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theme/themeOverride1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diagrams/layout3.xml" ContentType="application/vnd.openxmlformats-officedocument.drawingml.diagramLayout+xml"/>
  <Override PartName="/word/charts/chart22.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diagrams/quickStyle3.xml" ContentType="application/vnd.openxmlformats-officedocument.drawingml.diagramStyle+xml"/>
  <Override PartName="/word/charts/chart20.xml" ContentType="application/vnd.openxmlformats-officedocument.drawingml.chart+xml"/>
  <Override PartName="/word/theme/themeOverride6.xml" ContentType="application/vnd.openxmlformats-officedocument.themeOverride+xml"/>
  <Override PartName="/word/theme/themeOverride18.xml" ContentType="application/vnd.openxmlformats-officedocument.themeOverride+xml"/>
  <Override PartName="/word/charts/chart40.xml" ContentType="application/vnd.openxmlformats-officedocument.drawingml.chart+xml"/>
  <Override PartName="/word/diagrams/quickStyle1.xml" ContentType="application/vnd.openxmlformats-officedocument.drawingml.diagramStyl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14.xml" ContentType="application/vnd.openxmlformats-officedocument.themeOverride+xml"/>
  <Default Extension="jpeg" ContentType="image/jpeg"/>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diagrams/layout2.xml" ContentType="application/vnd.openxmlformats-officedocument.drawingml.diagramLayout+xml"/>
  <Override PartName="/word/charts/chart21.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55C" w:rsidRPr="00D82FEB" w:rsidRDefault="0002155C" w:rsidP="0002155C">
      <w:pPr>
        <w:pStyle w:val="Titlu1"/>
        <w:spacing w:before="0"/>
        <w:jc w:val="center"/>
      </w:pPr>
      <w:r w:rsidRPr="00D82FEB">
        <w:t>Industria auto</w:t>
      </w:r>
      <w:r>
        <w:t xml:space="preserve"> și mecatronica</w:t>
      </w:r>
      <w:r w:rsidRPr="00D82FEB">
        <w:t>, un domeniu economic cu o dezvoltare rapidă în Regiunea Centru</w:t>
      </w:r>
    </w:p>
    <w:p w:rsidR="0002155C" w:rsidRDefault="0002155C" w:rsidP="0002155C">
      <w:pPr>
        <w:jc w:val="both"/>
        <w:rPr>
          <w:b/>
          <w:sz w:val="24"/>
          <w:szCs w:val="24"/>
        </w:rPr>
      </w:pPr>
    </w:p>
    <w:p w:rsidR="0002155C" w:rsidRDefault="0002155C" w:rsidP="0002155C">
      <w:pPr>
        <w:pStyle w:val="Titlu2"/>
      </w:pPr>
      <w:r w:rsidRPr="00614FF2">
        <w:t>Situația industriei auto la nivel european</w:t>
      </w:r>
    </w:p>
    <w:p w:rsidR="0002155C" w:rsidRPr="00455866" w:rsidRDefault="0002155C" w:rsidP="0002155C"/>
    <w:p w:rsidR="0002155C" w:rsidRPr="00090914" w:rsidRDefault="0002155C" w:rsidP="0002155C">
      <w:pPr>
        <w:jc w:val="both"/>
        <w:rPr>
          <w:sz w:val="24"/>
          <w:szCs w:val="24"/>
        </w:rPr>
      </w:pPr>
      <w:r w:rsidRPr="00090914">
        <w:rPr>
          <w:sz w:val="24"/>
          <w:szCs w:val="24"/>
        </w:rPr>
        <w:t xml:space="preserve">Dezvoltarea fără precedent a industriei auto la nivel european </w:t>
      </w:r>
      <w:r>
        <w:rPr>
          <w:sz w:val="24"/>
          <w:szCs w:val="24"/>
        </w:rPr>
        <w:t>înregistrată în</w:t>
      </w:r>
      <w:r w:rsidRPr="00090914">
        <w:rPr>
          <w:sz w:val="24"/>
          <w:szCs w:val="24"/>
        </w:rPr>
        <w:t xml:space="preserve"> ultimele 3 decenii </w:t>
      </w:r>
      <w:r>
        <w:rPr>
          <w:sz w:val="24"/>
          <w:szCs w:val="24"/>
        </w:rPr>
        <w:t xml:space="preserve">s-a bazat pe o cerere internă în continuă expansiune determinată la rândul său de factori interni precum </w:t>
      </w:r>
      <w:r w:rsidRPr="00090914">
        <w:rPr>
          <w:sz w:val="24"/>
          <w:szCs w:val="24"/>
        </w:rPr>
        <w:t>creșterea gradului de motorizare</w:t>
      </w:r>
      <w:r>
        <w:rPr>
          <w:sz w:val="24"/>
          <w:szCs w:val="24"/>
        </w:rPr>
        <w:t xml:space="preserve"> în țările europene și de mărirea și întinerirea mai rapidă a parcului auto, pe de o parte și de creșterea spectaculoasă a piețelor emergente (piețele asiatice, în special cea chineză),</w:t>
      </w:r>
      <w:r w:rsidRPr="00090914">
        <w:rPr>
          <w:sz w:val="24"/>
          <w:szCs w:val="24"/>
        </w:rPr>
        <w:t xml:space="preserve">  </w:t>
      </w:r>
      <w:r>
        <w:rPr>
          <w:sz w:val="24"/>
          <w:szCs w:val="24"/>
        </w:rPr>
        <w:t>pe de altă parte.</w:t>
      </w:r>
      <w:r w:rsidRPr="00090914">
        <w:rPr>
          <w:sz w:val="24"/>
          <w:szCs w:val="24"/>
        </w:rPr>
        <w:t xml:space="preserve"> </w:t>
      </w:r>
    </w:p>
    <w:p w:rsidR="0002155C" w:rsidRPr="00090914" w:rsidRDefault="0002155C" w:rsidP="0002155C">
      <w:pPr>
        <w:jc w:val="both"/>
        <w:rPr>
          <w:sz w:val="24"/>
          <w:szCs w:val="24"/>
        </w:rPr>
      </w:pPr>
      <w:r w:rsidRPr="00090914">
        <w:rPr>
          <w:sz w:val="24"/>
          <w:szCs w:val="24"/>
        </w:rPr>
        <w:t>Conform celor mai recente date statistice publicate</w:t>
      </w:r>
      <w:r>
        <w:rPr>
          <w:rStyle w:val="Referinnotdesubsol"/>
          <w:sz w:val="24"/>
          <w:szCs w:val="24"/>
        </w:rPr>
        <w:footnoteReference w:id="2"/>
      </w:r>
      <w:r w:rsidRPr="00090914">
        <w:rPr>
          <w:sz w:val="24"/>
          <w:szCs w:val="24"/>
        </w:rPr>
        <w:t xml:space="preserve"> de către </w:t>
      </w:r>
      <w:r w:rsidRPr="002874FF">
        <w:rPr>
          <w:b/>
          <w:sz w:val="24"/>
          <w:szCs w:val="24"/>
        </w:rPr>
        <w:t>Asociația Europeană a Producătorilor de Autovehicule (ACEA)</w:t>
      </w:r>
      <w:r w:rsidRPr="00090914">
        <w:rPr>
          <w:sz w:val="24"/>
          <w:szCs w:val="24"/>
        </w:rPr>
        <w:t xml:space="preserve">, cifra de afaceri anuală realizată de către companiile europene din domeniu </w:t>
      </w:r>
      <w:r>
        <w:rPr>
          <w:sz w:val="24"/>
          <w:szCs w:val="24"/>
        </w:rPr>
        <w:t xml:space="preserve">s-a ridicat </w:t>
      </w:r>
      <w:r w:rsidRPr="00987B04">
        <w:rPr>
          <w:sz w:val="24"/>
          <w:szCs w:val="24"/>
        </w:rPr>
        <w:t xml:space="preserve">în anul 2015 la </w:t>
      </w:r>
      <w:r w:rsidRPr="00987B04">
        <w:rPr>
          <w:b/>
          <w:sz w:val="24"/>
          <w:szCs w:val="24"/>
        </w:rPr>
        <w:t>peste 951 miliarde euro,</w:t>
      </w:r>
      <w:r w:rsidRPr="00B64624">
        <w:rPr>
          <w:b/>
          <w:sz w:val="24"/>
          <w:szCs w:val="24"/>
        </w:rPr>
        <w:t xml:space="preserve"> reprezentând 6,</w:t>
      </w:r>
      <w:r>
        <w:rPr>
          <w:b/>
          <w:sz w:val="24"/>
          <w:szCs w:val="24"/>
        </w:rPr>
        <w:t>5</w:t>
      </w:r>
      <w:r w:rsidRPr="00B64624">
        <w:rPr>
          <w:b/>
          <w:sz w:val="24"/>
          <w:szCs w:val="24"/>
        </w:rPr>
        <w:t>% din produsul intern brut comunitar.</w:t>
      </w:r>
      <w:r w:rsidRPr="00090914">
        <w:rPr>
          <w:sz w:val="24"/>
          <w:szCs w:val="24"/>
        </w:rPr>
        <w:t xml:space="preserve"> Industria auto se numără </w:t>
      </w:r>
      <w:r>
        <w:rPr>
          <w:sz w:val="24"/>
          <w:szCs w:val="24"/>
        </w:rPr>
        <w:t>pri</w:t>
      </w:r>
      <w:r w:rsidRPr="00090914">
        <w:rPr>
          <w:sz w:val="24"/>
          <w:szCs w:val="24"/>
        </w:rPr>
        <w:t>ntre domeniile economice cu o pondere ridicată a valorii adăugate brute</w:t>
      </w:r>
      <w:r>
        <w:rPr>
          <w:sz w:val="24"/>
          <w:szCs w:val="24"/>
        </w:rPr>
        <w:t xml:space="preserve"> (154,3 miliarde euro în anul 2013, la nivelul Uniunii Europene). </w:t>
      </w:r>
    </w:p>
    <w:p w:rsidR="0002155C" w:rsidRPr="00090914" w:rsidRDefault="0002155C" w:rsidP="0002155C">
      <w:pPr>
        <w:jc w:val="both"/>
        <w:rPr>
          <w:sz w:val="24"/>
          <w:szCs w:val="24"/>
        </w:rPr>
      </w:pPr>
      <w:r>
        <w:rPr>
          <w:sz w:val="24"/>
          <w:szCs w:val="24"/>
        </w:rPr>
        <w:t>În același timp, s</w:t>
      </w:r>
      <w:r w:rsidRPr="00090914">
        <w:rPr>
          <w:sz w:val="24"/>
          <w:szCs w:val="24"/>
        </w:rPr>
        <w:t xml:space="preserve">ectorul auto are o contribuție foarte importantă la </w:t>
      </w:r>
      <w:r>
        <w:rPr>
          <w:sz w:val="24"/>
          <w:szCs w:val="24"/>
        </w:rPr>
        <w:t xml:space="preserve"> echilibrarea schimburilor comerciale ale</w:t>
      </w:r>
      <w:r w:rsidRPr="00090914">
        <w:rPr>
          <w:sz w:val="24"/>
          <w:szCs w:val="24"/>
        </w:rPr>
        <w:t xml:space="preserve"> statelor europene, </w:t>
      </w:r>
      <w:r>
        <w:rPr>
          <w:sz w:val="24"/>
          <w:szCs w:val="24"/>
        </w:rPr>
        <w:t>balanța exporturi/importuri în domeniul auto la nivelul Europei înregistrând an de an excedente considerabile (100,4 miliarde euro în anul 2015).</w:t>
      </w:r>
    </w:p>
    <w:p w:rsidR="0002155C" w:rsidRPr="00090914" w:rsidRDefault="0002155C" w:rsidP="0002155C">
      <w:pPr>
        <w:jc w:val="both"/>
        <w:rPr>
          <w:sz w:val="24"/>
          <w:szCs w:val="24"/>
        </w:rPr>
      </w:pPr>
      <w:r>
        <w:rPr>
          <w:sz w:val="24"/>
          <w:szCs w:val="24"/>
        </w:rPr>
        <w:t xml:space="preserve">Industria auto europeană acordă o atenție sporită conformării cu politicile naționale și europene de mediu. În acest scop, s-au depus eforturi susținute în direcția reducerii cantității de emisii de gaze cu efect de seră prin crearea unor motoare cu un consum redus de combustibili, în paralel cu creșterea performanțelor tehnice ale noilor autovehicule și prin dezvoltarea autovehiculelor electrice. Progrese remarcabile s-au făcut de asemenea în direcția creșterii siguranței pasagerilor și a celorlalți participanți la trafic și îmbunătățirea confortului pasagerilor. Aceste evoluții tehnologice  au fost posibile grație investițiilor considerabile în cercetare-dezvoltare-inovare realizate de marile companii europene din sectorul auto. Conform datelor statistice publicate de către Asociația Europeană a Producătorilor de Autovehicule, </w:t>
      </w:r>
      <w:r w:rsidRPr="00D82FEB">
        <w:rPr>
          <w:b/>
          <w:sz w:val="24"/>
          <w:szCs w:val="24"/>
        </w:rPr>
        <w:t>investițiile în cercetare –dezvoltare ale firmelor din industria auto au totalizat în anul 201</w:t>
      </w:r>
      <w:r>
        <w:rPr>
          <w:b/>
          <w:sz w:val="24"/>
          <w:szCs w:val="24"/>
        </w:rPr>
        <w:t>4</w:t>
      </w:r>
      <w:r w:rsidRPr="00D82FEB">
        <w:rPr>
          <w:b/>
          <w:sz w:val="24"/>
          <w:szCs w:val="24"/>
        </w:rPr>
        <w:t xml:space="preserve"> </w:t>
      </w:r>
      <w:r>
        <w:rPr>
          <w:b/>
          <w:sz w:val="24"/>
          <w:szCs w:val="24"/>
        </w:rPr>
        <w:t>aproape 45</w:t>
      </w:r>
      <w:r w:rsidRPr="00D82FEB">
        <w:rPr>
          <w:b/>
          <w:sz w:val="24"/>
          <w:szCs w:val="24"/>
        </w:rPr>
        <w:t xml:space="preserve"> miliarde euro,</w:t>
      </w:r>
      <w:r>
        <w:rPr>
          <w:sz w:val="24"/>
          <w:szCs w:val="24"/>
        </w:rPr>
        <w:t xml:space="preserve"> </w:t>
      </w:r>
      <w:r w:rsidRPr="00D82FEB">
        <w:rPr>
          <w:b/>
          <w:sz w:val="24"/>
          <w:szCs w:val="24"/>
        </w:rPr>
        <w:t xml:space="preserve">reprezentând </w:t>
      </w:r>
      <w:r>
        <w:rPr>
          <w:b/>
          <w:sz w:val="24"/>
          <w:szCs w:val="24"/>
        </w:rPr>
        <w:t>4</w:t>
      </w:r>
      <w:r w:rsidRPr="00E23A8F">
        <w:rPr>
          <w:b/>
          <w:sz w:val="24"/>
          <w:szCs w:val="24"/>
        </w:rPr>
        <w:t>,7% din cifra de afaceri realizată de acest sector economic.</w:t>
      </w:r>
      <w:r w:rsidRPr="002D4127">
        <w:rPr>
          <w:b/>
          <w:color w:val="FF0000"/>
          <w:sz w:val="24"/>
          <w:szCs w:val="24"/>
        </w:rPr>
        <w:t xml:space="preserve"> </w:t>
      </w:r>
      <w:r w:rsidRPr="002D4127">
        <w:rPr>
          <w:b/>
          <w:sz w:val="24"/>
          <w:szCs w:val="24"/>
        </w:rPr>
        <w:t>Circa 6 000 patente au fost înregistra</w:t>
      </w:r>
      <w:r>
        <w:rPr>
          <w:b/>
          <w:sz w:val="24"/>
          <w:szCs w:val="24"/>
        </w:rPr>
        <w:t>te</w:t>
      </w:r>
      <w:r w:rsidRPr="002D4127">
        <w:rPr>
          <w:b/>
          <w:sz w:val="24"/>
          <w:szCs w:val="24"/>
        </w:rPr>
        <w:t xml:space="preserve"> în cursul anului 2015 în industria auto europeană. </w:t>
      </w:r>
      <w:r>
        <w:rPr>
          <w:sz w:val="24"/>
          <w:szCs w:val="24"/>
        </w:rPr>
        <w:t>Acest efort investițional susținut a permis obținerea unor progrese tehnologice remarcabile care fac din industria auto unul din principalii vectori ai creșterii competitivității economiei țărilor europene și consolidarea poziției de lider în domeniul producției auto deținută de către Uniunea Europeană.</w:t>
      </w:r>
    </w:p>
    <w:p w:rsidR="0002155C" w:rsidRPr="00B64624" w:rsidRDefault="0002155C" w:rsidP="0002155C">
      <w:pPr>
        <w:jc w:val="both"/>
        <w:rPr>
          <w:b/>
          <w:sz w:val="24"/>
          <w:szCs w:val="24"/>
        </w:rPr>
      </w:pPr>
      <w:r>
        <w:rPr>
          <w:sz w:val="24"/>
          <w:szCs w:val="24"/>
        </w:rPr>
        <w:lastRenderedPageBreak/>
        <w:t xml:space="preserve">Câteva cifre statistice sunt edificatoare pentru a arăta importanța contribuției sectorului auto la crearea de locuri de muncă și creșterea nivelului de ocupare în țările europene. În anul 2013, activau în industria auto din Europa – direct sau în activitățile industriale conexe - aproximativ 2,3 milioane persoane. Alte 9,9 milioane salariați își desfășurau activitatea în alte sectoare economice aflate în legătură directă cu sectorul industriei auto (vânzări, închirieri, întreținere, reparații, transporturi rutiere, construcții drumuri etc ). </w:t>
      </w:r>
      <w:r w:rsidRPr="00B64624">
        <w:rPr>
          <w:b/>
          <w:sz w:val="24"/>
          <w:szCs w:val="24"/>
        </w:rPr>
        <w:t>În total, 12,</w:t>
      </w:r>
      <w:r>
        <w:rPr>
          <w:b/>
          <w:sz w:val="24"/>
          <w:szCs w:val="24"/>
        </w:rPr>
        <w:t>2</w:t>
      </w:r>
      <w:r w:rsidRPr="00B64624">
        <w:rPr>
          <w:b/>
          <w:sz w:val="24"/>
          <w:szCs w:val="24"/>
        </w:rPr>
        <w:t xml:space="preserve"> milioane persoane sunt angajate </w:t>
      </w:r>
      <w:r>
        <w:rPr>
          <w:b/>
          <w:sz w:val="24"/>
          <w:szCs w:val="24"/>
        </w:rPr>
        <w:t xml:space="preserve">în industria auto și </w:t>
      </w:r>
      <w:r w:rsidRPr="00B64624">
        <w:rPr>
          <w:b/>
          <w:sz w:val="24"/>
          <w:szCs w:val="24"/>
        </w:rPr>
        <w:t>în activități economice aflate în legătură cu industria auto</w:t>
      </w:r>
      <w:r>
        <w:rPr>
          <w:rStyle w:val="Referinnotdesubsol"/>
          <w:b/>
          <w:sz w:val="24"/>
          <w:szCs w:val="24"/>
        </w:rPr>
        <w:footnoteReference w:id="3"/>
      </w:r>
      <w:r w:rsidRPr="00B64624">
        <w:rPr>
          <w:b/>
          <w:sz w:val="24"/>
          <w:szCs w:val="24"/>
        </w:rPr>
        <w:t xml:space="preserve">. </w:t>
      </w:r>
    </w:p>
    <w:p w:rsidR="0002155C" w:rsidRDefault="0002155C" w:rsidP="0002155C">
      <w:pPr>
        <w:pStyle w:val="Titlu2"/>
      </w:pPr>
      <w:r w:rsidRPr="00AF1224">
        <w:t>Evoluția industriei auto la nivel național</w:t>
      </w:r>
    </w:p>
    <w:p w:rsidR="0002155C" w:rsidRPr="000B4791" w:rsidRDefault="0002155C" w:rsidP="0002155C"/>
    <w:p w:rsidR="0002155C" w:rsidRPr="005D02D7" w:rsidRDefault="0002155C" w:rsidP="0002155C">
      <w:pPr>
        <w:jc w:val="both"/>
        <w:rPr>
          <w:sz w:val="24"/>
          <w:szCs w:val="24"/>
        </w:rPr>
      </w:pPr>
      <w:r>
        <w:rPr>
          <w:sz w:val="24"/>
          <w:szCs w:val="24"/>
        </w:rPr>
        <w:t xml:space="preserve">După un deceniu de scădere aproape continuă a industriei auto din țara noastră înregistrată în anii 90, tendința s-a inversat începând cu anul 2004, iar </w:t>
      </w:r>
      <w:r w:rsidRPr="00090914">
        <w:rPr>
          <w:sz w:val="24"/>
          <w:szCs w:val="24"/>
        </w:rPr>
        <w:t xml:space="preserve">România se numără </w:t>
      </w:r>
      <w:r>
        <w:rPr>
          <w:sz w:val="24"/>
          <w:szCs w:val="24"/>
        </w:rPr>
        <w:t xml:space="preserve">astăzi </w:t>
      </w:r>
      <w:r w:rsidRPr="00090914">
        <w:rPr>
          <w:sz w:val="24"/>
          <w:szCs w:val="24"/>
        </w:rPr>
        <w:t xml:space="preserve">printre statele </w:t>
      </w:r>
      <w:r>
        <w:rPr>
          <w:sz w:val="24"/>
          <w:szCs w:val="24"/>
        </w:rPr>
        <w:t>europene cu cea mai rapidă creștere a producției auto. Această evoluție se datorează i</w:t>
      </w:r>
      <w:r w:rsidRPr="00090914">
        <w:rPr>
          <w:sz w:val="24"/>
          <w:szCs w:val="24"/>
        </w:rPr>
        <w:t>nvestițiil</w:t>
      </w:r>
      <w:r>
        <w:rPr>
          <w:sz w:val="24"/>
          <w:szCs w:val="24"/>
        </w:rPr>
        <w:t>or</w:t>
      </w:r>
      <w:r w:rsidRPr="00090914">
        <w:rPr>
          <w:sz w:val="24"/>
          <w:szCs w:val="24"/>
        </w:rPr>
        <w:t xml:space="preserve"> </w:t>
      </w:r>
      <w:r>
        <w:rPr>
          <w:sz w:val="24"/>
          <w:szCs w:val="24"/>
        </w:rPr>
        <w:t xml:space="preserve">străine realizate de </w:t>
      </w:r>
      <w:r w:rsidRPr="00090914">
        <w:rPr>
          <w:sz w:val="24"/>
          <w:szCs w:val="24"/>
        </w:rPr>
        <w:t xml:space="preserve">importante </w:t>
      </w:r>
      <w:r>
        <w:rPr>
          <w:sz w:val="24"/>
          <w:szCs w:val="24"/>
        </w:rPr>
        <w:t>companii din domeniul industriei auto</w:t>
      </w:r>
      <w:r w:rsidRPr="00090914">
        <w:rPr>
          <w:sz w:val="24"/>
          <w:szCs w:val="24"/>
        </w:rPr>
        <w:t xml:space="preserve">  (Renault, Daewoo</w:t>
      </w:r>
      <w:r>
        <w:rPr>
          <w:sz w:val="24"/>
          <w:szCs w:val="24"/>
        </w:rPr>
        <w:t>, înlocuită</w:t>
      </w:r>
      <w:r w:rsidRPr="00090914">
        <w:rPr>
          <w:sz w:val="24"/>
          <w:szCs w:val="24"/>
        </w:rPr>
        <w:t xml:space="preserve"> </w:t>
      </w:r>
      <w:r>
        <w:rPr>
          <w:sz w:val="24"/>
          <w:szCs w:val="24"/>
        </w:rPr>
        <w:t>în 2008 de Ford Company - firme care au preluat Uzinele Dacia și Uzina de Autoturisme Craiova</w:t>
      </w:r>
      <w:r w:rsidRPr="00090914">
        <w:rPr>
          <w:sz w:val="24"/>
          <w:szCs w:val="24"/>
        </w:rPr>
        <w:t>)</w:t>
      </w:r>
      <w:r>
        <w:rPr>
          <w:sz w:val="24"/>
          <w:szCs w:val="24"/>
        </w:rPr>
        <w:t>,</w:t>
      </w:r>
      <w:r w:rsidRPr="00090914">
        <w:rPr>
          <w:sz w:val="24"/>
          <w:szCs w:val="24"/>
        </w:rPr>
        <w:t xml:space="preserve"> care la rândul lor au atras  investiții semnificative din partea producători</w:t>
      </w:r>
      <w:r>
        <w:rPr>
          <w:sz w:val="24"/>
          <w:szCs w:val="24"/>
        </w:rPr>
        <w:t>lor</w:t>
      </w:r>
      <w:r w:rsidRPr="00090914">
        <w:rPr>
          <w:sz w:val="24"/>
          <w:szCs w:val="24"/>
        </w:rPr>
        <w:t xml:space="preserve"> de diverse părți componente și subansamble auto</w:t>
      </w:r>
      <w:r>
        <w:rPr>
          <w:sz w:val="24"/>
          <w:szCs w:val="24"/>
        </w:rPr>
        <w:t xml:space="preserve"> </w:t>
      </w:r>
      <w:r w:rsidRPr="00614FF2">
        <w:rPr>
          <w:sz w:val="24"/>
          <w:szCs w:val="24"/>
        </w:rPr>
        <w:t>(Continental,</w:t>
      </w:r>
      <w:r w:rsidRPr="00614FF2">
        <w:rPr>
          <w:rFonts w:eastAsia="Times New Roman" w:cs="Arial"/>
          <w:sz w:val="24"/>
          <w:szCs w:val="24"/>
        </w:rPr>
        <w:t xml:space="preserve"> DTR Draexlmaier, </w:t>
      </w:r>
      <w:r w:rsidRPr="00614FF2">
        <w:rPr>
          <w:sz w:val="24"/>
          <w:szCs w:val="24"/>
        </w:rPr>
        <w:t xml:space="preserve">Autoliv, Schaeffler, </w:t>
      </w:r>
      <w:r w:rsidRPr="00614FF2">
        <w:rPr>
          <w:sz w:val="24"/>
          <w:szCs w:val="24"/>
          <w:shd w:val="clear" w:color="auto" w:fill="FFFFFF"/>
        </w:rPr>
        <w:t xml:space="preserve">SNR Roulments, </w:t>
      </w:r>
      <w:r w:rsidRPr="00614FF2">
        <w:rPr>
          <w:sz w:val="24"/>
          <w:szCs w:val="24"/>
        </w:rPr>
        <w:t>Stabilus, Takata, Faurecia Seating, Kromberg &amp;Schubert etc). P</w:t>
      </w:r>
      <w:r w:rsidRPr="00090914">
        <w:rPr>
          <w:sz w:val="24"/>
          <w:szCs w:val="24"/>
        </w:rPr>
        <w:t>otrivit datelor Băncii Naționale a României</w:t>
      </w:r>
      <w:r w:rsidRPr="005D02D7">
        <w:rPr>
          <w:sz w:val="24"/>
          <w:szCs w:val="24"/>
        </w:rPr>
        <w:t xml:space="preserve">, </w:t>
      </w:r>
      <w:r w:rsidRPr="005D02D7">
        <w:rPr>
          <w:b/>
          <w:sz w:val="24"/>
          <w:szCs w:val="24"/>
        </w:rPr>
        <w:t>soldul investițiilor străine directe în industria mijloacelor de transport se ridica la peste 3,24 miliarde euro</w:t>
      </w:r>
      <w:r w:rsidRPr="005D02D7">
        <w:rPr>
          <w:sz w:val="24"/>
          <w:szCs w:val="24"/>
        </w:rPr>
        <w:t xml:space="preserve"> la sfârșitul anului 2014, cea mai mare parte a acestora fiind concentrate în subdomeniul auto. Numărul de vehicule asamblate în România în anul 2015 a atins cifra de 381 mii, cea mai mare parte a producției fiind exportată. La aceasta se adaugă producția de piese și subansamble auto  ce intră în componența unor mărci de prestigiu. </w:t>
      </w:r>
    </w:p>
    <w:p w:rsidR="0002155C" w:rsidRPr="001D46C0" w:rsidRDefault="0002155C" w:rsidP="0002155C">
      <w:pPr>
        <w:jc w:val="both"/>
        <w:rPr>
          <w:sz w:val="24"/>
          <w:szCs w:val="24"/>
        </w:rPr>
      </w:pPr>
      <w:r w:rsidRPr="001D46C0">
        <w:rPr>
          <w:b/>
          <w:sz w:val="24"/>
          <w:szCs w:val="24"/>
        </w:rPr>
        <w:t>Exporturile realizate de industria auto la nivel național însumează în 2015 aproape                          8 miliarde euro reprezentând 14,5% din totalul exporturilor României.</w:t>
      </w:r>
      <w:r w:rsidRPr="001D46C0">
        <w:rPr>
          <w:sz w:val="24"/>
          <w:szCs w:val="24"/>
        </w:rPr>
        <w:t xml:space="preserve"> Valoarea exporturilor a avut o creștere exponențială în doar 12 ani (de la 0,44 miliarde euro în 2003 la 3,55 miliarde euro în anul 2009 și la 7,93 miliarde în 2015), susținând semnificativ  creșterea economiei românești. Potrivit datelor Asociației Europene a Producătorilor de Autovehicule, </w:t>
      </w:r>
      <w:r w:rsidRPr="001D46C0">
        <w:rPr>
          <w:b/>
          <w:sz w:val="24"/>
          <w:szCs w:val="24"/>
        </w:rPr>
        <w:t>numărul angajaților din sectorul auto din România s-a ridicat la aproximativ 137 mii în anul 2013</w:t>
      </w:r>
      <w:r w:rsidRPr="001D46C0">
        <w:rPr>
          <w:sz w:val="24"/>
          <w:szCs w:val="24"/>
        </w:rPr>
        <w:t>, iar potrivit datelor Institutului Național de Statistică</w:t>
      </w:r>
      <w:r>
        <w:rPr>
          <w:sz w:val="24"/>
          <w:szCs w:val="24"/>
        </w:rPr>
        <w:t>, numărul mediu al salariaților din industria auto, în anul 2014, era de</w:t>
      </w:r>
      <w:r w:rsidRPr="001D46C0">
        <w:rPr>
          <w:sz w:val="24"/>
          <w:szCs w:val="24"/>
        </w:rPr>
        <w:t xml:space="preserve"> 143 871 persoane (13,3% din totalul salariaților din industria prelucrătoare). </w:t>
      </w:r>
      <w:r>
        <w:rPr>
          <w:sz w:val="24"/>
          <w:szCs w:val="24"/>
        </w:rPr>
        <w:t xml:space="preserve">Câștigul salarial </w:t>
      </w:r>
      <w:r w:rsidRPr="001D46C0">
        <w:rPr>
          <w:sz w:val="24"/>
          <w:szCs w:val="24"/>
        </w:rPr>
        <w:t xml:space="preserve">mediu brut calculat de INS la nivelul industriei auto era, în anul 2014, de 2840 lei, cu 22% peste salariul mediu brut calculat la nivelul întregii economii. Costul încă scăzut al forței de muncă și </w:t>
      </w:r>
      <w:r>
        <w:rPr>
          <w:sz w:val="24"/>
          <w:szCs w:val="24"/>
        </w:rPr>
        <w:t>buna pregătire</w:t>
      </w:r>
      <w:r w:rsidRPr="001D46C0">
        <w:rPr>
          <w:sz w:val="24"/>
          <w:szCs w:val="24"/>
        </w:rPr>
        <w:t xml:space="preserve"> profesională a angajaților sunt cei doi factori ce au influențat decizia firmelor</w:t>
      </w:r>
      <w:r>
        <w:rPr>
          <w:sz w:val="24"/>
          <w:szCs w:val="24"/>
        </w:rPr>
        <w:t xml:space="preserve"> mari</w:t>
      </w:r>
      <w:r w:rsidRPr="001D46C0">
        <w:rPr>
          <w:sz w:val="24"/>
          <w:szCs w:val="24"/>
        </w:rPr>
        <w:t xml:space="preserve"> din domeniul auto de a investi în țara noastră.  </w:t>
      </w:r>
    </w:p>
    <w:p w:rsidR="0002155C" w:rsidRDefault="0002155C" w:rsidP="0002155C">
      <w:pPr>
        <w:jc w:val="both"/>
        <w:rPr>
          <w:sz w:val="24"/>
          <w:szCs w:val="24"/>
        </w:rPr>
      </w:pPr>
      <w:r>
        <w:rPr>
          <w:sz w:val="24"/>
          <w:szCs w:val="24"/>
        </w:rPr>
        <w:lastRenderedPageBreak/>
        <w:t xml:space="preserve">Privită prin prisma dezvoltării unei economii bazate pe cunoaștere, deosebit de importantă este </w:t>
      </w:r>
      <w:r w:rsidRPr="00AB2539">
        <w:rPr>
          <w:b/>
          <w:sz w:val="24"/>
          <w:szCs w:val="24"/>
        </w:rPr>
        <w:t>crearea unor centre tehnologice</w:t>
      </w:r>
      <w:r>
        <w:rPr>
          <w:sz w:val="24"/>
          <w:szCs w:val="24"/>
        </w:rPr>
        <w:t xml:space="preserve"> precum Centrul de Tehnologie Renault de la Titu (investiție de aproximativ 100 mil. euro ) care concentrează cele mai înalte competențe din domeniul tehnologiilor auto și contribuie la dezvoltarea de noi produse. Multiplicarea acestui tip de investiții prin crearea unor noi astfel de centre (Centrul de Cercetare și Dezvoltare al firmei Continental din Timișoara, Centrul de Cercetare al companiei Bosch din Cluj Napoca, Centrul de Cercetare și Dezvoltare al firmei Continental din Iași, Centrul de Inginerie și Dezvoltare Autoliv din Brașov etc. ) favorizează întărirea legăturii cercetare - producție, permițând valorificarea potențialului de inovare al specialiștilor români și sporirea valorii produselor realizate.</w:t>
      </w:r>
    </w:p>
    <w:p w:rsidR="0002155C" w:rsidRDefault="0002155C" w:rsidP="0002155C">
      <w:pPr>
        <w:pStyle w:val="Titlu2"/>
        <w:spacing w:before="240" w:after="240"/>
      </w:pPr>
      <w:r>
        <w:t>Scurt istoric al industriei</w:t>
      </w:r>
      <w:r w:rsidRPr="004E40F4">
        <w:t xml:space="preserve"> auto în Regiunea Centru</w:t>
      </w:r>
    </w:p>
    <w:p w:rsidR="0002155C" w:rsidRDefault="0002155C" w:rsidP="0002155C">
      <w:pPr>
        <w:jc w:val="both"/>
        <w:rPr>
          <w:sz w:val="24"/>
          <w:szCs w:val="24"/>
        </w:rPr>
      </w:pPr>
      <w:r w:rsidRPr="00E30B81">
        <w:rPr>
          <w:sz w:val="24"/>
          <w:szCs w:val="24"/>
        </w:rPr>
        <w:t xml:space="preserve">Industria auto </w:t>
      </w:r>
      <w:r>
        <w:rPr>
          <w:sz w:val="24"/>
          <w:szCs w:val="24"/>
        </w:rPr>
        <w:t>are o tradiție puternică în Regiunea Centru, uzina constructoare de camioane și autospeciale de la Brașov fiind în același timp unul dintre pionierii industriei auto românești și unul din cele mai longevive branduri românești. Începuturile uzinei se găsesc în anii 20</w:t>
      </w:r>
      <w:r w:rsidRPr="003F793F">
        <w:rPr>
          <w:sz w:val="24"/>
          <w:szCs w:val="24"/>
        </w:rPr>
        <w:t xml:space="preserve"> </w:t>
      </w:r>
      <w:r>
        <w:rPr>
          <w:sz w:val="24"/>
          <w:szCs w:val="24"/>
        </w:rPr>
        <w:t xml:space="preserve">ai secolului trecut când aici a fost înființată societatea ROMLOC, firmă ce producea material rulant, iar mai târziu motoare și automobile. Începând cu anii 50 aici s-au produs camioane, producția ajungând la finele deceniului 8 ai secolului trecut la peste 30 mii bucăți. În perioada sa de maximă expansiune, întreprinderea  avea peste 20 000 angajați, o parte din forța muncă fiind atrasă din alte județe ale României. Ulterior, câteva firme importante producătoare de  componente și subansambluri auto s-au dezvoltat atât în Brașov cât și în orașele apropiate (Sfântu Gheorghe, Săcele). </w:t>
      </w:r>
    </w:p>
    <w:p w:rsidR="0002155C" w:rsidRDefault="0002155C" w:rsidP="0002155C">
      <w:pPr>
        <w:jc w:val="both"/>
        <w:rPr>
          <w:sz w:val="24"/>
          <w:szCs w:val="24"/>
        </w:rPr>
      </w:pPr>
      <w:r>
        <w:rPr>
          <w:sz w:val="24"/>
          <w:szCs w:val="24"/>
        </w:rPr>
        <w:t xml:space="preserve">Un alt vechi centru al industriei auto în Regiunea Centru este  municipiul Sibiu. Uzina Automecanica Sibiu și Uzina Elastic Sibiu s-au unificat în 1969, firma rezultată în urma fuziunii - Întreprinderea de Piese Auto Sibiu - fiind una  dintre cele mai importante companii românești în domeniul auto din anii 70-80. Alte companii producătoare de caroserii, remorci și suprastructuri auto precum și de vehicule speciale funcționau în județul Sibiu la Mediaș și Avrig-Mârșa. </w:t>
      </w:r>
    </w:p>
    <w:p w:rsidR="0002155C" w:rsidRDefault="0002155C" w:rsidP="0002155C">
      <w:pPr>
        <w:jc w:val="both"/>
        <w:rPr>
          <w:sz w:val="24"/>
          <w:szCs w:val="24"/>
        </w:rPr>
      </w:pPr>
      <w:r w:rsidRPr="00BA3B87">
        <w:rPr>
          <w:sz w:val="24"/>
          <w:szCs w:val="24"/>
        </w:rPr>
        <w:t>Perioada tranziției către economia de piață s-a dovedit dificilă pentru sectorul auto, puține dintre vechile companii românești din industria auto reușind să se adapteze noilor condiții de piață și să rămână profitabile. Începând cu anii 2000, în România au pătruns de prestigioase firme europene în domeniul auto, aceste companii fiind atrase de disponibilitatea forței de muncă și costurile salariale scăzute, pe de o parte și de stabilitatea mediului economic și dispariția taxelor vamale după aderarea României la Uniunea Europeană</w:t>
      </w:r>
      <w:r>
        <w:rPr>
          <w:sz w:val="24"/>
          <w:szCs w:val="24"/>
        </w:rPr>
        <w:t>, pe de altă parte</w:t>
      </w:r>
      <w:r w:rsidRPr="00BA3B87">
        <w:rPr>
          <w:sz w:val="24"/>
          <w:szCs w:val="24"/>
        </w:rPr>
        <w:t xml:space="preserve">. </w:t>
      </w:r>
      <w:r>
        <w:rPr>
          <w:sz w:val="24"/>
          <w:szCs w:val="24"/>
        </w:rPr>
        <w:t>Regiunea Centru,  alături de Regiunea Vest și de Regiunea Sud Muntenia se numără printre zonele cu cea mai rapidă creștere a investițiilor străine în domeniul auto.</w:t>
      </w:r>
      <w:r w:rsidRPr="00BA3B87">
        <w:rPr>
          <w:sz w:val="24"/>
          <w:szCs w:val="24"/>
        </w:rPr>
        <w:t xml:space="preserve"> Deși predomină capitalul german (</w:t>
      </w:r>
      <w:r>
        <w:rPr>
          <w:sz w:val="24"/>
          <w:szCs w:val="24"/>
        </w:rPr>
        <w:t>prin</w:t>
      </w:r>
      <w:r w:rsidRPr="00BA3B87">
        <w:rPr>
          <w:sz w:val="24"/>
          <w:szCs w:val="24"/>
        </w:rPr>
        <w:t xml:space="preserve"> firme precum  Continental Automotive, Ina Schaeffler, Mercedes Benz, Siemens, </w:t>
      </w:r>
      <w:r w:rsidRPr="00BA3B87">
        <w:rPr>
          <w:rFonts w:eastAsia="Times New Roman" w:cs="Arial"/>
          <w:color w:val="000000"/>
          <w:sz w:val="24"/>
          <w:szCs w:val="24"/>
        </w:rPr>
        <w:t>DTR Draexlmaier</w:t>
      </w:r>
      <w:r w:rsidRPr="00BA3B87">
        <w:rPr>
          <w:sz w:val="24"/>
          <w:szCs w:val="24"/>
        </w:rPr>
        <w:t xml:space="preserve">, Bosch, </w:t>
      </w:r>
      <w:r w:rsidRPr="00BA3B87">
        <w:rPr>
          <w:color w:val="000000"/>
          <w:sz w:val="24"/>
          <w:szCs w:val="24"/>
        </w:rPr>
        <w:t>Marquardt Schaltsysteme, Kromberg &amp;Schubert etc</w:t>
      </w:r>
      <w:r>
        <w:rPr>
          <w:color w:val="000000"/>
          <w:sz w:val="24"/>
          <w:szCs w:val="24"/>
        </w:rPr>
        <w:t>)</w:t>
      </w:r>
      <w:r w:rsidRPr="00BA3B87">
        <w:rPr>
          <w:color w:val="000000"/>
          <w:sz w:val="24"/>
          <w:szCs w:val="24"/>
        </w:rPr>
        <w:t xml:space="preserve">, sunt prezente și companii </w:t>
      </w:r>
      <w:r w:rsidRPr="00BA3B87">
        <w:rPr>
          <w:sz w:val="24"/>
          <w:szCs w:val="24"/>
        </w:rPr>
        <w:t>franceze precum SNR Roulments, Hutchinson, Faurecia Seatings, austriece (Hirschmann Automotive)</w:t>
      </w:r>
      <w:r>
        <w:rPr>
          <w:sz w:val="24"/>
          <w:szCs w:val="24"/>
        </w:rPr>
        <w:t>,</w:t>
      </w:r>
      <w:r w:rsidRPr="00BA3B87">
        <w:rPr>
          <w:sz w:val="24"/>
          <w:szCs w:val="24"/>
        </w:rPr>
        <w:t xml:space="preserve"> spaniole  </w:t>
      </w:r>
      <w:r w:rsidRPr="00BA3B87">
        <w:rPr>
          <w:sz w:val="24"/>
          <w:szCs w:val="24"/>
        </w:rPr>
        <w:lastRenderedPageBreak/>
        <w:t>(Cie Automotive, Indcar, Grupo Antolin), japoneze (Takata, Sumitomo) sau suedeze (Autoliv), maghiare (Valkes), belgiene (VCST).</w:t>
      </w:r>
      <w:r>
        <w:rPr>
          <w:sz w:val="24"/>
          <w:szCs w:val="24"/>
        </w:rPr>
        <w:t xml:space="preserve">  Se produc diverse componente precum rulmenți, arcuri, transmisii, elemente ale cutiilor de viteză, volane, cabluri electrice, subansambluri electronice, matrițe, airbag-uri, tapițerii auto,  anvelope, caroserii, remorci. Unitățile de producție variază mult ca dimensiuni și număr de locuri de muncă, pornind  de la unități mici cu câteva zeci de salariați la unități cu peste 8000  salariați în cazul fabricii Autoliv de la Brașov.  </w:t>
      </w:r>
    </w:p>
    <w:p w:rsidR="0002155C" w:rsidRDefault="0002155C" w:rsidP="0002155C">
      <w:pPr>
        <w:pStyle w:val="Titlu2"/>
      </w:pPr>
      <w:r>
        <w:t>Aspecte metodologice privind analiza industriei auto</w:t>
      </w:r>
    </w:p>
    <w:p w:rsidR="0002155C" w:rsidRPr="00097EF0" w:rsidRDefault="0002155C" w:rsidP="0002155C"/>
    <w:p w:rsidR="0002155C" w:rsidRPr="00FF5866" w:rsidRDefault="0002155C" w:rsidP="0002155C">
      <w:pPr>
        <w:widowControl w:val="0"/>
        <w:tabs>
          <w:tab w:val="left" w:pos="170"/>
          <w:tab w:val="left" w:pos="1245"/>
        </w:tabs>
        <w:autoSpaceDE w:val="0"/>
        <w:autoSpaceDN w:val="0"/>
        <w:adjustRightInd w:val="0"/>
        <w:jc w:val="both"/>
        <w:rPr>
          <w:rFonts w:ascii="Calibri" w:hAnsi="Calibri" w:cs="Arial"/>
          <w:bCs/>
          <w:color w:val="000000"/>
          <w:sz w:val="24"/>
          <w:szCs w:val="24"/>
        </w:rPr>
      </w:pPr>
      <w:r w:rsidRPr="00E74C42">
        <w:rPr>
          <w:rFonts w:ascii="Calibri" w:hAnsi="Calibri"/>
          <w:sz w:val="24"/>
          <w:szCs w:val="24"/>
        </w:rPr>
        <w:t xml:space="preserve">Analiza </w:t>
      </w:r>
      <w:r>
        <w:rPr>
          <w:rFonts w:ascii="Calibri" w:hAnsi="Calibri"/>
          <w:sz w:val="24"/>
          <w:szCs w:val="24"/>
        </w:rPr>
        <w:t xml:space="preserve">industriei auto a fost realizată pe baza </w:t>
      </w:r>
      <w:r w:rsidRPr="00E74C42">
        <w:rPr>
          <w:rFonts w:ascii="Calibri" w:hAnsi="Calibri"/>
          <w:sz w:val="24"/>
          <w:szCs w:val="24"/>
        </w:rPr>
        <w:t xml:space="preserve">datelor </w:t>
      </w:r>
      <w:r>
        <w:rPr>
          <w:rFonts w:ascii="Calibri" w:hAnsi="Calibri"/>
          <w:sz w:val="24"/>
          <w:szCs w:val="24"/>
        </w:rPr>
        <w:t xml:space="preserve">statistice și a celor </w:t>
      </w:r>
      <w:r w:rsidRPr="00E74C42">
        <w:rPr>
          <w:rFonts w:ascii="Calibri" w:hAnsi="Calibri"/>
          <w:sz w:val="24"/>
          <w:szCs w:val="24"/>
        </w:rPr>
        <w:t xml:space="preserve">financiar-contabile </w:t>
      </w:r>
      <w:r>
        <w:rPr>
          <w:rFonts w:ascii="Calibri" w:hAnsi="Calibri"/>
          <w:sz w:val="24"/>
          <w:szCs w:val="24"/>
        </w:rPr>
        <w:t>centralizate pentru toate companiile având ca obiect principal de activitate una din activitățile incluse în</w:t>
      </w:r>
      <w:r w:rsidRPr="00E74C42">
        <w:rPr>
          <w:rFonts w:ascii="Calibri" w:hAnsi="Calibri"/>
          <w:sz w:val="24"/>
          <w:szCs w:val="24"/>
        </w:rPr>
        <w:t xml:space="preserve"> cadrul diviziunii</w:t>
      </w:r>
      <w:r>
        <w:rPr>
          <w:rFonts w:ascii="Calibri" w:hAnsi="Calibri"/>
          <w:sz w:val="24"/>
          <w:szCs w:val="24"/>
        </w:rPr>
        <w:t xml:space="preserve"> </w:t>
      </w:r>
      <w:r w:rsidRPr="00E74C42">
        <w:rPr>
          <w:rFonts w:ascii="Calibri" w:eastAsia="Times New Roman" w:hAnsi="Calibri" w:cs="Arial"/>
          <w:b/>
          <w:bCs/>
          <w:i/>
          <w:color w:val="000000"/>
          <w:sz w:val="24"/>
          <w:szCs w:val="24"/>
        </w:rPr>
        <w:t>29 Fabricarea autovehiculelor de transport rutier, a remorcilor şi semiremorcilor</w:t>
      </w:r>
      <w:r>
        <w:rPr>
          <w:rFonts w:ascii="Calibri" w:eastAsia="Times New Roman" w:hAnsi="Calibri" w:cs="Arial"/>
          <w:bCs/>
          <w:color w:val="000000"/>
          <w:sz w:val="24"/>
          <w:szCs w:val="24"/>
        </w:rPr>
        <w:t>, conform CAEN 2008 Rev2</w:t>
      </w:r>
      <w:r w:rsidRPr="00E74C42">
        <w:rPr>
          <w:rFonts w:ascii="Calibri" w:eastAsia="Times New Roman" w:hAnsi="Calibri" w:cs="Arial"/>
          <w:bCs/>
          <w:color w:val="000000"/>
          <w:sz w:val="24"/>
          <w:szCs w:val="24"/>
        </w:rPr>
        <w:t xml:space="preserve">. </w:t>
      </w:r>
      <w:r w:rsidRPr="00E74C42">
        <w:rPr>
          <w:rFonts w:ascii="Calibri" w:eastAsia="Times New Roman" w:hAnsi="Calibri" w:cs="Arial"/>
          <w:color w:val="000000"/>
          <w:sz w:val="24"/>
          <w:szCs w:val="24"/>
        </w:rPr>
        <w:t>Această diviziune cu</w:t>
      </w:r>
      <w:r>
        <w:rPr>
          <w:rFonts w:ascii="Calibri" w:eastAsia="Times New Roman" w:hAnsi="Calibri" w:cs="Arial"/>
          <w:color w:val="000000"/>
          <w:sz w:val="24"/>
          <w:szCs w:val="24"/>
        </w:rPr>
        <w:t xml:space="preserve">prinde activitățile economice care contribuie nemijlocit la producerea autovehiculelor, respectiv </w:t>
      </w:r>
      <w:r w:rsidRPr="00E74C42">
        <w:rPr>
          <w:rFonts w:ascii="Calibri" w:eastAsia="Times New Roman" w:hAnsi="Calibri" w:cs="Arial"/>
          <w:color w:val="000000"/>
          <w:sz w:val="24"/>
          <w:szCs w:val="24"/>
        </w:rPr>
        <w:t xml:space="preserve">fabricarea de autovehicule pentru transportul de pasageri sau de mărfuri. Este inclusă aici şi fabricarea diferitelor piese şi accesorii, precum şi fabricarea remorcilor şi a semi-remorcilor. Această diviziune cuprinde următoarele clase: </w:t>
      </w:r>
      <w:r w:rsidRPr="00D63930">
        <w:rPr>
          <w:rFonts w:ascii="Calibri" w:eastAsia="Times New Roman" w:hAnsi="Calibri" w:cs="Arial"/>
          <w:bCs/>
          <w:i/>
          <w:color w:val="000000"/>
          <w:sz w:val="24"/>
          <w:szCs w:val="24"/>
        </w:rPr>
        <w:t>2910</w:t>
      </w:r>
      <w:r>
        <w:rPr>
          <w:rFonts w:ascii="Calibri" w:eastAsia="Times New Roman" w:hAnsi="Calibri" w:cs="Arial"/>
          <w:bCs/>
          <w:i/>
          <w:color w:val="000000"/>
          <w:sz w:val="24"/>
          <w:szCs w:val="24"/>
        </w:rPr>
        <w:t xml:space="preserve"> </w:t>
      </w:r>
      <w:r w:rsidRPr="00D63930">
        <w:rPr>
          <w:rFonts w:ascii="Calibri" w:eastAsia="Times New Roman" w:hAnsi="Calibri" w:cs="Arial"/>
          <w:bCs/>
          <w:i/>
          <w:color w:val="000000"/>
          <w:sz w:val="24"/>
          <w:szCs w:val="24"/>
        </w:rPr>
        <w:t>Fabricarea autovehiculelor de transport rutier, 2920</w:t>
      </w:r>
      <w:r>
        <w:rPr>
          <w:rFonts w:ascii="Calibri" w:eastAsia="Times New Roman" w:hAnsi="Calibri" w:cs="Arial"/>
          <w:bCs/>
          <w:i/>
          <w:color w:val="000000"/>
          <w:sz w:val="24"/>
          <w:szCs w:val="24"/>
        </w:rPr>
        <w:t xml:space="preserve"> </w:t>
      </w:r>
      <w:r w:rsidRPr="00D63930">
        <w:rPr>
          <w:rFonts w:ascii="Calibri" w:eastAsia="Times New Roman" w:hAnsi="Calibri" w:cs="Arial"/>
          <w:bCs/>
          <w:i/>
          <w:color w:val="000000"/>
          <w:sz w:val="24"/>
          <w:szCs w:val="24"/>
        </w:rPr>
        <w:t xml:space="preserve">Producţia de caroserii pentru autovehicule; fabricarea de remorci şi semiremorci, </w:t>
      </w:r>
      <w:r w:rsidRPr="00D63930">
        <w:rPr>
          <w:rFonts w:ascii="Calibri" w:eastAsia="Times New Roman" w:hAnsi="Calibri" w:cs="Arial"/>
          <w:i/>
          <w:sz w:val="24"/>
          <w:szCs w:val="24"/>
        </w:rPr>
        <w:t xml:space="preserve">  </w:t>
      </w:r>
      <w:r w:rsidRPr="00D63930">
        <w:rPr>
          <w:rFonts w:ascii="Calibri" w:eastAsia="Times New Roman" w:hAnsi="Calibri" w:cs="Arial"/>
          <w:bCs/>
          <w:i/>
          <w:color w:val="000000"/>
          <w:sz w:val="24"/>
          <w:szCs w:val="24"/>
        </w:rPr>
        <w:t>2931</w:t>
      </w:r>
      <w:r>
        <w:rPr>
          <w:rFonts w:ascii="Calibri" w:eastAsia="Times New Roman" w:hAnsi="Calibri" w:cs="Arial"/>
          <w:bCs/>
          <w:i/>
          <w:color w:val="000000"/>
          <w:sz w:val="24"/>
          <w:szCs w:val="24"/>
        </w:rPr>
        <w:t xml:space="preserve"> </w:t>
      </w:r>
      <w:r w:rsidRPr="00D63930">
        <w:rPr>
          <w:rFonts w:ascii="Calibri" w:eastAsia="Times New Roman" w:hAnsi="Calibri" w:cs="Arial"/>
          <w:bCs/>
          <w:i/>
          <w:color w:val="000000"/>
          <w:sz w:val="24"/>
          <w:szCs w:val="24"/>
        </w:rPr>
        <w:t>Fabricarea de echipamente electrice şi electronice pentru autovehicule şi pentru motoare de autovehicule, 2932</w:t>
      </w:r>
      <w:r w:rsidRPr="00D63930">
        <w:rPr>
          <w:rFonts w:ascii="Calibri" w:eastAsia="Times New Roman" w:hAnsi="Calibri" w:cs="Arial"/>
          <w:i/>
          <w:sz w:val="24"/>
          <w:szCs w:val="24"/>
        </w:rPr>
        <w:t xml:space="preserve"> </w:t>
      </w:r>
      <w:r w:rsidRPr="00D63930">
        <w:rPr>
          <w:rFonts w:ascii="Calibri" w:eastAsia="Times New Roman" w:hAnsi="Calibri" w:cs="Arial"/>
          <w:bCs/>
          <w:i/>
          <w:color w:val="000000"/>
          <w:sz w:val="24"/>
          <w:szCs w:val="24"/>
        </w:rPr>
        <w:t>Fabricarea altor piese şi accesorii pentru autovehicule şi pentru motoare de autovehicule</w:t>
      </w:r>
      <w:r>
        <w:rPr>
          <w:rFonts w:ascii="Calibri" w:eastAsia="Times New Roman" w:hAnsi="Calibri" w:cs="Arial"/>
          <w:bCs/>
          <w:i/>
          <w:color w:val="000000"/>
          <w:sz w:val="24"/>
          <w:szCs w:val="24"/>
        </w:rPr>
        <w:t xml:space="preserve">. </w:t>
      </w:r>
      <w:r>
        <w:rPr>
          <w:rFonts w:ascii="Calibri" w:eastAsia="Times New Roman" w:hAnsi="Calibri" w:cs="Arial"/>
          <w:bCs/>
          <w:color w:val="000000"/>
          <w:sz w:val="24"/>
          <w:szCs w:val="24"/>
        </w:rPr>
        <w:t xml:space="preserve">Pe lângă clasele incluse în diviziunea 29, în analiza sectorului auto au fost cuprinse și companiile având ca obiect principal de activitate </w:t>
      </w:r>
      <w:r w:rsidRPr="00C74561">
        <w:rPr>
          <w:rFonts w:ascii="Calibri" w:eastAsia="Times New Roman" w:hAnsi="Calibri" w:cs="Arial"/>
          <w:b/>
          <w:bCs/>
          <w:i/>
          <w:color w:val="000000"/>
          <w:sz w:val="24"/>
          <w:szCs w:val="24"/>
        </w:rPr>
        <w:t>f</w:t>
      </w:r>
      <w:r w:rsidRPr="00C74561">
        <w:rPr>
          <w:rFonts w:ascii="Arial" w:hAnsi="Arial" w:cs="Arial"/>
          <w:b/>
          <w:bCs/>
          <w:i/>
          <w:color w:val="000000"/>
          <w:sz w:val="20"/>
          <w:szCs w:val="20"/>
        </w:rPr>
        <w:t>abricarea altor fire şi cabluri electrice şi electrocasnice (cod CAEN 2732)</w:t>
      </w:r>
      <w:r>
        <w:rPr>
          <w:rFonts w:ascii="Arial" w:hAnsi="Arial" w:cs="Arial"/>
          <w:b/>
          <w:bCs/>
          <w:color w:val="000000"/>
          <w:sz w:val="20"/>
          <w:szCs w:val="20"/>
        </w:rPr>
        <w:t xml:space="preserve"> </w:t>
      </w:r>
      <w:r w:rsidRPr="00980F32">
        <w:rPr>
          <w:rFonts w:ascii="Calibri" w:hAnsi="Calibri" w:cs="Arial"/>
          <w:bCs/>
          <w:color w:val="000000"/>
          <w:sz w:val="24"/>
          <w:szCs w:val="24"/>
        </w:rPr>
        <w:t xml:space="preserve">și cele care au ca obiect de activitate </w:t>
      </w:r>
      <w:r w:rsidRPr="00C74561">
        <w:rPr>
          <w:rFonts w:ascii="Calibri" w:hAnsi="Calibri" w:cs="Arial"/>
          <w:b/>
          <w:bCs/>
          <w:i/>
          <w:color w:val="000000"/>
          <w:sz w:val="24"/>
          <w:szCs w:val="24"/>
        </w:rPr>
        <w:t>fabricarea lagărelor, angrenajelor, cutiilor de viteză şi a elementelor mecanice de transmisie (cod CAEN 2815)</w:t>
      </w:r>
      <w:r w:rsidRPr="00980F32">
        <w:rPr>
          <w:rFonts w:ascii="Calibri" w:hAnsi="Calibri" w:cs="Arial"/>
          <w:b/>
          <w:bCs/>
          <w:color w:val="000000"/>
          <w:sz w:val="24"/>
          <w:szCs w:val="24"/>
        </w:rPr>
        <w:t xml:space="preserve"> </w:t>
      </w:r>
      <w:r w:rsidRPr="00980F32">
        <w:rPr>
          <w:rFonts w:ascii="Calibri" w:hAnsi="Calibri" w:cs="Arial"/>
          <w:bCs/>
          <w:color w:val="000000"/>
          <w:sz w:val="24"/>
          <w:szCs w:val="24"/>
        </w:rPr>
        <w:t xml:space="preserve">deoarece majoritatea firmelor având înscrise aceste obiecte de activitate </w:t>
      </w:r>
      <w:r>
        <w:rPr>
          <w:rFonts w:ascii="Calibri" w:hAnsi="Calibri" w:cs="Arial"/>
          <w:bCs/>
          <w:color w:val="000000"/>
          <w:sz w:val="24"/>
          <w:szCs w:val="24"/>
        </w:rPr>
        <w:t xml:space="preserve">în fapt produc </w:t>
      </w:r>
      <w:r w:rsidRPr="00980F32">
        <w:rPr>
          <w:rFonts w:ascii="Calibri" w:hAnsi="Calibri" w:cs="Arial"/>
          <w:bCs/>
          <w:color w:val="000000"/>
          <w:sz w:val="24"/>
          <w:szCs w:val="24"/>
        </w:rPr>
        <w:t xml:space="preserve">componente auto. </w:t>
      </w:r>
      <w:r>
        <w:rPr>
          <w:rFonts w:ascii="Calibri" w:hAnsi="Calibri" w:cs="Arial"/>
          <w:bCs/>
          <w:color w:val="000000"/>
          <w:sz w:val="24"/>
          <w:szCs w:val="24"/>
        </w:rPr>
        <w:t xml:space="preserve">Unele firme care activează în domeniul auto ca producătoare de centuri de siguranță sau airbag-uri și-au încadrat în mod eronat activitatea la </w:t>
      </w:r>
      <w:r w:rsidRPr="00C74561">
        <w:rPr>
          <w:rFonts w:ascii="Calibri" w:hAnsi="Calibri" w:cs="Arial"/>
          <w:b/>
          <w:bCs/>
          <w:i/>
          <w:color w:val="000000"/>
          <w:sz w:val="24"/>
          <w:szCs w:val="24"/>
        </w:rPr>
        <w:t>Diviziunea  13 Fabricarea produselor textile</w:t>
      </w:r>
      <w:r>
        <w:rPr>
          <w:rFonts w:ascii="Calibri" w:hAnsi="Calibri" w:cs="Arial"/>
          <w:b/>
          <w:bCs/>
          <w:color w:val="000000"/>
          <w:sz w:val="24"/>
          <w:szCs w:val="24"/>
        </w:rPr>
        <w:t xml:space="preserve"> </w:t>
      </w:r>
      <w:r w:rsidRPr="00FF5866">
        <w:rPr>
          <w:rFonts w:ascii="Calibri" w:hAnsi="Calibri" w:cs="Arial"/>
          <w:bCs/>
          <w:color w:val="000000"/>
          <w:sz w:val="24"/>
          <w:szCs w:val="24"/>
        </w:rPr>
        <w:t>și în consecință datele lor economico-financ</w:t>
      </w:r>
      <w:r>
        <w:rPr>
          <w:rFonts w:ascii="Calibri" w:hAnsi="Calibri" w:cs="Arial"/>
          <w:bCs/>
          <w:color w:val="000000"/>
          <w:sz w:val="24"/>
          <w:szCs w:val="24"/>
        </w:rPr>
        <w:t>iare nu au putut fi incluse în cadrul sectorului auto</w:t>
      </w:r>
      <w:r w:rsidRPr="00FF5866">
        <w:rPr>
          <w:rFonts w:ascii="Calibri" w:hAnsi="Calibri" w:cs="Arial"/>
          <w:bCs/>
          <w:color w:val="000000"/>
          <w:sz w:val="24"/>
          <w:szCs w:val="24"/>
        </w:rPr>
        <w:t>.</w:t>
      </w:r>
      <w:r>
        <w:rPr>
          <w:rFonts w:ascii="Calibri" w:hAnsi="Calibri" w:cs="Arial"/>
          <w:bCs/>
          <w:color w:val="000000"/>
          <w:sz w:val="24"/>
          <w:szCs w:val="24"/>
        </w:rPr>
        <w:t xml:space="preserve"> Toate datele statistice și cele financiar-contabile utilizate ca atare sau pentru calcularea unor indicatori derivați au fost preluate din surse oficiale precum Portalul de date Tempo online al Institutului Național de Statistică și baza de date RECOM a Oficiului Național al Registrului Comerțului. </w:t>
      </w:r>
    </w:p>
    <w:p w:rsidR="0002155C" w:rsidRPr="00097EF0" w:rsidRDefault="0002155C" w:rsidP="0002155C">
      <w:pPr>
        <w:pStyle w:val="Titlu2"/>
        <w:spacing w:before="240" w:after="240"/>
      </w:pPr>
      <w:r w:rsidRPr="00097EF0">
        <w:t xml:space="preserve">Evoluția indicatorilor cheie ai industriei auto </w:t>
      </w:r>
    </w:p>
    <w:p w:rsidR="0002155C" w:rsidRPr="00980F32" w:rsidRDefault="0002155C" w:rsidP="0002155C">
      <w:pPr>
        <w:widowControl w:val="0"/>
        <w:tabs>
          <w:tab w:val="left" w:pos="170"/>
          <w:tab w:val="left" w:pos="1245"/>
        </w:tabs>
        <w:autoSpaceDE w:val="0"/>
        <w:autoSpaceDN w:val="0"/>
        <w:adjustRightInd w:val="0"/>
        <w:jc w:val="both"/>
        <w:rPr>
          <w:rFonts w:ascii="Calibri" w:hAnsi="Calibri" w:cs="Arial"/>
          <w:b/>
          <w:bCs/>
          <w:color w:val="000000"/>
          <w:sz w:val="24"/>
          <w:szCs w:val="24"/>
        </w:rPr>
      </w:pPr>
      <w:r>
        <w:rPr>
          <w:rFonts w:ascii="Calibri" w:hAnsi="Calibri" w:cs="Arial"/>
          <w:bCs/>
          <w:color w:val="000000"/>
          <w:sz w:val="24"/>
          <w:szCs w:val="24"/>
        </w:rPr>
        <w:t xml:space="preserve">Așa cum demonstrează datele statistice prezentate mai jos, cifra de afaceri (exprimată în prețuri curente) obținută de firmele din Regiunea Centru cu activitate în domeniul auto a crescut de peste 2,2 ori în perioada 2010-2014, ajungând să reprezinte cca </w:t>
      </w:r>
      <w:r w:rsidRPr="00C74561">
        <w:rPr>
          <w:rFonts w:ascii="Calibri" w:hAnsi="Calibri" w:cs="Arial"/>
          <w:bCs/>
          <w:sz w:val="24"/>
          <w:szCs w:val="24"/>
        </w:rPr>
        <w:t>10,2% din</w:t>
      </w:r>
      <w:r>
        <w:rPr>
          <w:rFonts w:ascii="Calibri" w:hAnsi="Calibri" w:cs="Arial"/>
          <w:bCs/>
          <w:color w:val="000000"/>
          <w:sz w:val="24"/>
          <w:szCs w:val="24"/>
        </w:rPr>
        <w:t xml:space="preserve"> totalul cifrei de afaceri realizate la nivelul Regiunii Centru.  Creșterea la nivel regional este net superioară celei înregistrate în aceeași perioadă la nivel național care se cifrează la +90%. Dintre cele șase județe ale Regiunii Centru, se detașează Brașovul și Alba, cu creșteri de </w:t>
      </w:r>
      <w:r>
        <w:rPr>
          <w:rFonts w:ascii="Calibri" w:hAnsi="Calibri" w:cs="Arial"/>
          <w:bCs/>
          <w:color w:val="000000"/>
          <w:sz w:val="24"/>
          <w:szCs w:val="24"/>
        </w:rPr>
        <w:lastRenderedPageBreak/>
        <w:t xml:space="preserve">184,7% respectiv 160,4%, iar 2 județe -  Mureș și Covasna au înregistrat creșteri mai modeste comparativ cu media regională.  </w:t>
      </w:r>
    </w:p>
    <w:p w:rsidR="0002155C" w:rsidRDefault="0002155C" w:rsidP="0002155C">
      <w:pPr>
        <w:jc w:val="center"/>
        <w:rPr>
          <w:rFonts w:ascii="Calibri" w:eastAsia="Times New Roman" w:hAnsi="Calibri" w:cs="Arial"/>
          <w:b/>
          <w:bCs/>
          <w:color w:val="000000"/>
          <w:sz w:val="24"/>
          <w:szCs w:val="24"/>
        </w:rPr>
      </w:pPr>
      <w:r>
        <w:rPr>
          <w:rFonts w:ascii="Calibri" w:eastAsia="Times New Roman" w:hAnsi="Calibri" w:cs="Arial"/>
          <w:b/>
          <w:bCs/>
          <w:color w:val="000000"/>
          <w:sz w:val="24"/>
          <w:szCs w:val="24"/>
        </w:rPr>
        <w:t>Tab. 1 Evoluția cifrei</w:t>
      </w:r>
      <w:r w:rsidRPr="0085542A">
        <w:rPr>
          <w:rFonts w:ascii="Calibri" w:eastAsia="Times New Roman" w:hAnsi="Calibri" w:cs="Arial"/>
          <w:b/>
          <w:bCs/>
          <w:color w:val="000000"/>
          <w:sz w:val="24"/>
          <w:szCs w:val="24"/>
        </w:rPr>
        <w:t xml:space="preserve"> de afaceri  realizată de sectorul auto</w:t>
      </w:r>
    </w:p>
    <w:p w:rsidR="0002155C" w:rsidRDefault="0002155C" w:rsidP="0002155C">
      <w:pPr>
        <w:spacing w:after="0"/>
        <w:jc w:val="right"/>
        <w:rPr>
          <w:rFonts w:ascii="Calibri" w:eastAsia="Times New Roman" w:hAnsi="Calibri" w:cs="Arial"/>
          <w:b/>
          <w:bCs/>
          <w:color w:val="000000"/>
          <w:sz w:val="24"/>
          <w:szCs w:val="24"/>
        </w:rPr>
      </w:pPr>
      <w:r>
        <w:rPr>
          <w:rFonts w:ascii="Calibri" w:eastAsia="Times New Roman" w:hAnsi="Calibri" w:cs="Arial"/>
          <w:b/>
          <w:bCs/>
          <w:color w:val="000000"/>
          <w:sz w:val="20"/>
          <w:szCs w:val="20"/>
        </w:rPr>
        <w:t>-</w:t>
      </w:r>
      <w:r w:rsidRPr="0085542A">
        <w:rPr>
          <w:rFonts w:ascii="Calibri" w:eastAsia="Times New Roman" w:hAnsi="Calibri" w:cs="Arial"/>
          <w:b/>
          <w:bCs/>
          <w:color w:val="000000"/>
          <w:sz w:val="20"/>
          <w:szCs w:val="20"/>
        </w:rPr>
        <w:t>mil. lei prețuri curente</w:t>
      </w:r>
      <w:r>
        <w:rPr>
          <w:rFonts w:ascii="Calibri" w:eastAsia="Times New Roman" w:hAnsi="Calibri" w:cs="Arial"/>
          <w:b/>
          <w:bCs/>
          <w:color w:val="000000"/>
          <w:sz w:val="20"/>
          <w:szCs w:val="20"/>
        </w:rPr>
        <w:t>-</w:t>
      </w:r>
    </w:p>
    <w:tbl>
      <w:tblPr>
        <w:tblStyle w:val="Hyperlink"/>
        <w:tblW w:w="9288" w:type="dxa"/>
        <w:tblLook w:val="04A0"/>
      </w:tblPr>
      <w:tblGrid>
        <w:gridCol w:w="1728"/>
        <w:gridCol w:w="1260"/>
        <w:gridCol w:w="1260"/>
        <w:gridCol w:w="1260"/>
        <w:gridCol w:w="1260"/>
        <w:gridCol w:w="1260"/>
        <w:gridCol w:w="1260"/>
      </w:tblGrid>
      <w:tr w:rsidR="0002155C" w:rsidTr="00064502">
        <w:tc>
          <w:tcPr>
            <w:tcW w:w="1728" w:type="dxa"/>
          </w:tcPr>
          <w:p w:rsidR="0002155C" w:rsidRPr="00103A1B" w:rsidRDefault="0002155C" w:rsidP="00064502">
            <w:pPr>
              <w:jc w:val="center"/>
              <w:rPr>
                <w:rFonts w:ascii="Calibri" w:eastAsia="Times New Roman" w:hAnsi="Calibri" w:cs="Times New Roman"/>
              </w:rPr>
            </w:pPr>
          </w:p>
        </w:tc>
        <w:tc>
          <w:tcPr>
            <w:tcW w:w="1260"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2010</w:t>
            </w:r>
          </w:p>
        </w:tc>
        <w:tc>
          <w:tcPr>
            <w:tcW w:w="1260"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2011</w:t>
            </w:r>
          </w:p>
        </w:tc>
        <w:tc>
          <w:tcPr>
            <w:tcW w:w="1260"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2012</w:t>
            </w:r>
          </w:p>
        </w:tc>
        <w:tc>
          <w:tcPr>
            <w:tcW w:w="1260"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2013</w:t>
            </w:r>
          </w:p>
        </w:tc>
        <w:tc>
          <w:tcPr>
            <w:tcW w:w="1260"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2014</w:t>
            </w:r>
          </w:p>
        </w:tc>
        <w:tc>
          <w:tcPr>
            <w:tcW w:w="1260" w:type="dxa"/>
          </w:tcPr>
          <w:p w:rsidR="0002155C" w:rsidRPr="00924EF1" w:rsidRDefault="0002155C" w:rsidP="00064502">
            <w:pPr>
              <w:jc w:val="center"/>
              <w:rPr>
                <w:rFonts w:ascii="Calibri" w:eastAsia="Times New Roman" w:hAnsi="Calibri" w:cs="Times New Roman"/>
              </w:rPr>
            </w:pPr>
            <w:r>
              <w:rPr>
                <w:rFonts w:ascii="Calibri" w:eastAsia="Times New Roman" w:hAnsi="Calibri" w:cs="Times New Roman"/>
              </w:rPr>
              <w:t xml:space="preserve">Creșterea relativă </w:t>
            </w:r>
            <w:r w:rsidRPr="00924EF1">
              <w:rPr>
                <w:rFonts w:ascii="Calibri" w:eastAsia="Times New Roman" w:hAnsi="Calibri" w:cs="Times New Roman"/>
              </w:rPr>
              <w:t>2014/2010</w:t>
            </w:r>
          </w:p>
          <w:p w:rsidR="0002155C" w:rsidRPr="00924EF1" w:rsidRDefault="0002155C" w:rsidP="00064502">
            <w:pPr>
              <w:jc w:val="center"/>
              <w:rPr>
                <w:rFonts w:ascii="Calibri" w:eastAsia="Times New Roman" w:hAnsi="Calibri" w:cs="Times New Roman"/>
              </w:rPr>
            </w:pPr>
            <w:r w:rsidRPr="00924EF1">
              <w:rPr>
                <w:rFonts w:ascii="Calibri" w:eastAsia="Times New Roman" w:hAnsi="Calibri" w:cs="Times New Roman"/>
              </w:rPr>
              <w:t>(%)</w:t>
            </w:r>
          </w:p>
          <w:p w:rsidR="0002155C" w:rsidRPr="00924EF1" w:rsidRDefault="0002155C" w:rsidP="00064502">
            <w:pPr>
              <w:jc w:val="center"/>
              <w:rPr>
                <w:rFonts w:ascii="Calibri" w:eastAsia="Times New Roman" w:hAnsi="Calibri" w:cs="Times New Roman"/>
              </w:rPr>
            </w:pP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R</w:t>
            </w:r>
            <w:r w:rsidRPr="0085542A">
              <w:rPr>
                <w:rFonts w:ascii="Calibri" w:eastAsia="Times New Roman" w:hAnsi="Calibri" w:cs="Times New Roman"/>
                <w:b/>
                <w:color w:val="000000"/>
              </w:rPr>
              <w:t>omânia</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33696,1</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44420,8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48206,7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59946,1</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64619,3</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+91,8</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R</w:t>
            </w:r>
            <w:r w:rsidRPr="0085542A">
              <w:rPr>
                <w:rFonts w:ascii="Calibri" w:eastAsia="Times New Roman" w:hAnsi="Calibri" w:cs="Times New Roman"/>
                <w:b/>
                <w:color w:val="000000"/>
              </w:rPr>
              <w:t>egiunea Centru</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5490,8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8540,6</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9016,1</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10586,5</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12252,6</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+123,1</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A</w:t>
            </w:r>
            <w:r w:rsidRPr="0085542A">
              <w:rPr>
                <w:rFonts w:ascii="Calibri" w:eastAsia="Times New Roman" w:hAnsi="Calibri" w:cs="Times New Roman"/>
                <w:b/>
                <w:color w:val="000000"/>
              </w:rPr>
              <w:t>lba</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293,1</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396,7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365,2</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459,5</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763,3</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+160,4</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B</w:t>
            </w:r>
            <w:r w:rsidRPr="0085542A">
              <w:rPr>
                <w:rFonts w:ascii="Calibri" w:eastAsia="Times New Roman" w:hAnsi="Calibri" w:cs="Times New Roman"/>
                <w:b/>
                <w:color w:val="000000"/>
              </w:rPr>
              <w:t>rașov</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2133,4</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4149,4</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4266,2</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5010,4</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6072,8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+184,7</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C</w:t>
            </w:r>
            <w:r w:rsidRPr="0085542A">
              <w:rPr>
                <w:rFonts w:ascii="Calibri" w:eastAsia="Times New Roman" w:hAnsi="Calibri" w:cs="Times New Roman"/>
                <w:b/>
                <w:color w:val="000000"/>
              </w:rPr>
              <w:t>ovasna</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31,0</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33,7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33,8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41,2</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42,7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+37,7</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H</w:t>
            </w:r>
            <w:r w:rsidRPr="0085542A">
              <w:rPr>
                <w:rFonts w:ascii="Calibri" w:eastAsia="Times New Roman" w:hAnsi="Calibri" w:cs="Times New Roman"/>
                <w:b/>
                <w:color w:val="000000"/>
              </w:rPr>
              <w:t>arghita</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26,0</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28,7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30,7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38,5</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43,6</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+67,9</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M</w:t>
            </w:r>
            <w:r w:rsidRPr="0085542A">
              <w:rPr>
                <w:rFonts w:ascii="Calibri" w:eastAsia="Times New Roman" w:hAnsi="Calibri" w:cs="Times New Roman"/>
                <w:b/>
                <w:color w:val="000000"/>
              </w:rPr>
              <w:t>ureș</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302,4</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545,3</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642,8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373,6</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402,3</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+33,0</w:t>
            </w:r>
          </w:p>
        </w:tc>
      </w:tr>
      <w:tr w:rsidR="0002155C" w:rsidTr="00064502">
        <w:tc>
          <w:tcPr>
            <w:tcW w:w="1728"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S</w:t>
            </w:r>
            <w:r w:rsidRPr="0085542A">
              <w:rPr>
                <w:rFonts w:ascii="Calibri" w:eastAsia="Times New Roman" w:hAnsi="Calibri" w:cs="Times New Roman"/>
                <w:b/>
                <w:color w:val="000000"/>
              </w:rPr>
              <w:t>ibiu</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2704,8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3386,7</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3677,4</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4663,2</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4927,8</w:t>
            </w:r>
          </w:p>
        </w:tc>
        <w:tc>
          <w:tcPr>
            <w:tcW w:w="1260" w:type="dxa"/>
            <w:vAlign w:val="bottom"/>
          </w:tcPr>
          <w:p w:rsidR="0002155C" w:rsidRDefault="0002155C" w:rsidP="00064502">
            <w:pPr>
              <w:jc w:val="right"/>
              <w:rPr>
                <w:rFonts w:ascii="Calibri" w:hAnsi="Calibri"/>
                <w:color w:val="000000"/>
              </w:rPr>
            </w:pPr>
            <w:r>
              <w:rPr>
                <w:rFonts w:ascii="Calibri" w:hAnsi="Calibri"/>
                <w:color w:val="000000"/>
              </w:rPr>
              <w:t>+82,2</w:t>
            </w:r>
          </w:p>
        </w:tc>
      </w:tr>
    </w:tbl>
    <w:p w:rsidR="0002155C" w:rsidRPr="00FB053F" w:rsidRDefault="0002155C" w:rsidP="0002155C">
      <w:pPr>
        <w:jc w:val="both"/>
        <w:rPr>
          <w:rFonts w:ascii="Calibri" w:eastAsia="Times New Roman" w:hAnsi="Calibri" w:cs="Arial"/>
          <w:bCs/>
          <w:color w:val="000000"/>
          <w:sz w:val="24"/>
          <w:szCs w:val="24"/>
        </w:rPr>
      </w:pPr>
      <w:r w:rsidRPr="00FB053F">
        <w:rPr>
          <w:rFonts w:ascii="Calibri" w:eastAsia="Times New Roman" w:hAnsi="Calibri" w:cs="Arial"/>
          <w:b/>
          <w:bCs/>
          <w:color w:val="000000"/>
          <w:sz w:val="24"/>
          <w:szCs w:val="24"/>
        </w:rPr>
        <w:t>Sursa:</w:t>
      </w:r>
      <w:r>
        <w:rPr>
          <w:rFonts w:ascii="Calibri" w:eastAsia="Times New Roman" w:hAnsi="Calibri" w:cs="Arial"/>
          <w:bCs/>
          <w:color w:val="000000"/>
          <w:sz w:val="24"/>
          <w:szCs w:val="24"/>
        </w:rPr>
        <w:t xml:space="preserve"> </w:t>
      </w:r>
      <w:r w:rsidRPr="00FB053F">
        <w:rPr>
          <w:rFonts w:ascii="Calibri" w:eastAsia="Times New Roman" w:hAnsi="Calibri" w:cs="Arial"/>
          <w:bCs/>
          <w:color w:val="000000"/>
          <w:sz w:val="24"/>
          <w:szCs w:val="24"/>
        </w:rPr>
        <w:t>Oficiul Național al Registrului Comerțului</w:t>
      </w:r>
    </w:p>
    <w:p w:rsidR="0002155C" w:rsidRDefault="0002155C" w:rsidP="0002155C">
      <w:pPr>
        <w:jc w:val="both"/>
        <w:rPr>
          <w:rFonts w:ascii="Calibri" w:eastAsia="Times New Roman" w:hAnsi="Calibri" w:cs="Arial"/>
          <w:bCs/>
          <w:color w:val="000000"/>
          <w:sz w:val="24"/>
          <w:szCs w:val="24"/>
        </w:rPr>
      </w:pPr>
      <w:r w:rsidRPr="00980F32">
        <w:rPr>
          <w:rFonts w:ascii="Calibri" w:eastAsia="Times New Roman" w:hAnsi="Calibri" w:cs="Arial"/>
          <w:bCs/>
          <w:noProof/>
          <w:color w:val="000000"/>
          <w:sz w:val="24"/>
          <w:szCs w:val="24"/>
        </w:rPr>
        <w:lastRenderedPageBreak/>
        <w:drawing>
          <wp:inline distT="0" distB="0" distL="0" distR="0">
            <wp:extent cx="5760648" cy="3372928"/>
            <wp:effectExtent l="19050" t="0" r="11502" b="0"/>
            <wp:docPr id="41"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2155C" w:rsidRPr="009E3129" w:rsidRDefault="0002155C" w:rsidP="0002155C">
      <w:pPr>
        <w:jc w:val="both"/>
        <w:rPr>
          <w:rFonts w:ascii="Calibri" w:eastAsia="Times New Roman" w:hAnsi="Calibri" w:cs="Arial"/>
          <w:b/>
          <w:bCs/>
          <w:color w:val="000000"/>
          <w:sz w:val="24"/>
          <w:szCs w:val="24"/>
        </w:rPr>
      </w:pPr>
      <w:r w:rsidRPr="009E3129">
        <w:rPr>
          <w:rFonts w:ascii="Calibri" w:eastAsia="Times New Roman" w:hAnsi="Calibri" w:cs="Arial"/>
          <w:b/>
          <w:bCs/>
          <w:color w:val="000000"/>
          <w:sz w:val="24"/>
          <w:szCs w:val="24"/>
        </w:rPr>
        <w:t>Fig. 1</w:t>
      </w:r>
    </w:p>
    <w:p w:rsidR="0002155C" w:rsidRPr="007968F5" w:rsidRDefault="0002155C" w:rsidP="0002155C">
      <w:pPr>
        <w:jc w:val="both"/>
        <w:rPr>
          <w:rFonts w:ascii="Calibri" w:eastAsia="Times New Roman" w:hAnsi="Calibri" w:cs="Arial"/>
          <w:bCs/>
          <w:color w:val="FF0000"/>
          <w:sz w:val="24"/>
          <w:szCs w:val="24"/>
        </w:rPr>
      </w:pPr>
      <w:r w:rsidRPr="00095396">
        <w:rPr>
          <w:rFonts w:ascii="Calibri" w:eastAsia="Times New Roman" w:hAnsi="Calibri" w:cs="Arial"/>
          <w:bCs/>
          <w:color w:val="000000"/>
          <w:sz w:val="24"/>
          <w:szCs w:val="24"/>
        </w:rPr>
        <w:t xml:space="preserve">Dezvoltarea rapidă a industriei auto </w:t>
      </w:r>
      <w:r>
        <w:rPr>
          <w:rFonts w:ascii="Calibri" w:eastAsia="Times New Roman" w:hAnsi="Calibri" w:cs="Arial"/>
          <w:bCs/>
          <w:color w:val="000000"/>
          <w:sz w:val="24"/>
          <w:szCs w:val="24"/>
        </w:rPr>
        <w:t xml:space="preserve">a generat un mare număr de noi locuri de muncă, numărul de angajați din acestor sector crescând în intervalul 2010-2014 cu 76,4% la nivelul Regiunii Centru și cu 31,3% la nivelul întregii țări. Această dinamică a propulsat sectorul auto la o pondere de 7,2% din numărul total al angajaților din firmele cu sediul în Regiunea Centru. Creșterile la nivel de județ au fost  foarte inegale, variind de la +163,2% în Brașov sau +158,3% în Alba, la o ,, creștere negativă ” – 9% în cazul județului Mureș. </w:t>
      </w:r>
    </w:p>
    <w:p w:rsidR="0002155C" w:rsidRDefault="0002155C" w:rsidP="0002155C">
      <w:pPr>
        <w:jc w:val="center"/>
        <w:rPr>
          <w:rFonts w:ascii="Calibri" w:eastAsia="Times New Roman" w:hAnsi="Calibri" w:cs="Arial"/>
          <w:b/>
          <w:bCs/>
          <w:color w:val="000000"/>
          <w:sz w:val="24"/>
          <w:szCs w:val="24"/>
        </w:rPr>
      </w:pPr>
      <w:r>
        <w:rPr>
          <w:rFonts w:ascii="Calibri" w:eastAsia="Times New Roman" w:hAnsi="Calibri" w:cs="Arial"/>
          <w:b/>
          <w:bCs/>
          <w:color w:val="000000"/>
          <w:sz w:val="24"/>
          <w:szCs w:val="24"/>
        </w:rPr>
        <w:t xml:space="preserve">Tab. 2 </w:t>
      </w:r>
      <w:r w:rsidRPr="0085542A">
        <w:rPr>
          <w:rFonts w:ascii="Calibri" w:eastAsia="Times New Roman" w:hAnsi="Calibri" w:cs="Arial"/>
          <w:b/>
          <w:bCs/>
          <w:color w:val="000000"/>
          <w:sz w:val="24"/>
          <w:szCs w:val="24"/>
        </w:rPr>
        <w:t>Numărul mediu de  salariați din sectorul auto</w:t>
      </w:r>
    </w:p>
    <w:p w:rsidR="0002155C" w:rsidRPr="0085542A" w:rsidRDefault="0002155C" w:rsidP="0002155C">
      <w:pPr>
        <w:spacing w:after="0"/>
        <w:jc w:val="right"/>
        <w:rPr>
          <w:rFonts w:ascii="Calibri" w:eastAsia="Times New Roman" w:hAnsi="Calibri" w:cs="Arial"/>
          <w:b/>
          <w:bCs/>
          <w:color w:val="000000"/>
          <w:sz w:val="20"/>
          <w:szCs w:val="20"/>
        </w:rPr>
      </w:pPr>
      <w:r w:rsidRPr="0085542A">
        <w:rPr>
          <w:rFonts w:ascii="Calibri" w:eastAsia="Times New Roman" w:hAnsi="Calibri" w:cs="Arial"/>
          <w:b/>
          <w:bCs/>
          <w:color w:val="000000"/>
          <w:sz w:val="20"/>
          <w:szCs w:val="20"/>
        </w:rPr>
        <w:t>-persoane-</w:t>
      </w:r>
    </w:p>
    <w:tbl>
      <w:tblPr>
        <w:tblStyle w:val="Hyperlink"/>
        <w:tblW w:w="0" w:type="auto"/>
        <w:tblLook w:val="04A0"/>
      </w:tblPr>
      <w:tblGrid>
        <w:gridCol w:w="2079"/>
        <w:gridCol w:w="1201"/>
        <w:gridCol w:w="1201"/>
        <w:gridCol w:w="1202"/>
        <w:gridCol w:w="1201"/>
        <w:gridCol w:w="1201"/>
        <w:gridCol w:w="1203"/>
      </w:tblGrid>
      <w:tr w:rsidR="0002155C" w:rsidTr="00064502">
        <w:trPr>
          <w:trHeight w:val="293"/>
        </w:trPr>
        <w:tc>
          <w:tcPr>
            <w:tcW w:w="2079" w:type="dxa"/>
          </w:tcPr>
          <w:p w:rsidR="0002155C" w:rsidRPr="000B0DC9" w:rsidRDefault="0002155C" w:rsidP="00064502">
            <w:pPr>
              <w:jc w:val="both"/>
              <w:rPr>
                <w:rFonts w:ascii="Calibri" w:eastAsia="Times New Roman" w:hAnsi="Calibri" w:cs="Arial"/>
                <w:bCs/>
                <w:sz w:val="24"/>
                <w:szCs w:val="24"/>
              </w:rPr>
            </w:pPr>
          </w:p>
        </w:tc>
        <w:tc>
          <w:tcPr>
            <w:tcW w:w="1201"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2010</w:t>
            </w:r>
          </w:p>
        </w:tc>
        <w:tc>
          <w:tcPr>
            <w:tcW w:w="1201"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2011</w:t>
            </w:r>
          </w:p>
        </w:tc>
        <w:tc>
          <w:tcPr>
            <w:tcW w:w="1202"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2012</w:t>
            </w:r>
          </w:p>
        </w:tc>
        <w:tc>
          <w:tcPr>
            <w:tcW w:w="1201"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2013</w:t>
            </w:r>
          </w:p>
        </w:tc>
        <w:tc>
          <w:tcPr>
            <w:tcW w:w="1201" w:type="dxa"/>
          </w:tcPr>
          <w:p w:rsidR="0002155C" w:rsidRPr="00103A1B" w:rsidRDefault="0002155C" w:rsidP="00064502">
            <w:pPr>
              <w:jc w:val="center"/>
              <w:rPr>
                <w:rFonts w:ascii="Calibri" w:eastAsia="Times New Roman" w:hAnsi="Calibri" w:cs="Times New Roman"/>
              </w:rPr>
            </w:pPr>
            <w:r w:rsidRPr="00103A1B">
              <w:rPr>
                <w:rFonts w:ascii="Calibri" w:eastAsia="Times New Roman" w:hAnsi="Calibri" w:cs="Times New Roman"/>
              </w:rPr>
              <w:t>2014</w:t>
            </w:r>
          </w:p>
        </w:tc>
        <w:tc>
          <w:tcPr>
            <w:tcW w:w="1203" w:type="dxa"/>
          </w:tcPr>
          <w:p w:rsidR="0002155C" w:rsidRPr="000B0DC9" w:rsidRDefault="0002155C" w:rsidP="00064502">
            <w:pPr>
              <w:jc w:val="center"/>
              <w:rPr>
                <w:rFonts w:ascii="Calibri" w:eastAsia="Times New Roman" w:hAnsi="Calibri" w:cs="Times New Roman"/>
              </w:rPr>
            </w:pPr>
            <w:r w:rsidRPr="000B0DC9">
              <w:rPr>
                <w:rFonts w:ascii="Calibri" w:eastAsia="Times New Roman" w:hAnsi="Calibri" w:cs="Times New Roman"/>
              </w:rPr>
              <w:t>Creșterea relativă 2014/2010 (%)</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R</w:t>
            </w:r>
            <w:r w:rsidRPr="0085542A">
              <w:rPr>
                <w:rFonts w:ascii="Calibri" w:eastAsia="Times New Roman" w:hAnsi="Calibri" w:cs="Times New Roman"/>
                <w:b/>
                <w:color w:val="000000"/>
              </w:rPr>
              <w:t>omânia</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115785</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126804</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134332</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144502</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152059</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+31,3</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R</w:t>
            </w:r>
            <w:r w:rsidRPr="0085542A">
              <w:rPr>
                <w:rFonts w:ascii="Calibri" w:eastAsia="Times New Roman" w:hAnsi="Calibri" w:cs="Times New Roman"/>
                <w:b/>
                <w:color w:val="000000"/>
              </w:rPr>
              <w:t>egiunea Centru</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20057</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24355</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27826</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31883</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35386</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+76,4</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A</w:t>
            </w:r>
            <w:r w:rsidRPr="0085542A">
              <w:rPr>
                <w:rFonts w:ascii="Calibri" w:eastAsia="Times New Roman" w:hAnsi="Calibri" w:cs="Times New Roman"/>
                <w:b/>
                <w:color w:val="000000"/>
              </w:rPr>
              <w:t>lba</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1153</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1467</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1661</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2172</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2978</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+158,3</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B</w:t>
            </w:r>
            <w:r w:rsidRPr="0085542A">
              <w:rPr>
                <w:rFonts w:ascii="Calibri" w:eastAsia="Times New Roman" w:hAnsi="Calibri" w:cs="Times New Roman"/>
                <w:b/>
                <w:color w:val="000000"/>
              </w:rPr>
              <w:t>rașov</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6239</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10334</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11210</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13846</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16418</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+163,2</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C</w:t>
            </w:r>
            <w:r w:rsidRPr="0085542A">
              <w:rPr>
                <w:rFonts w:ascii="Calibri" w:eastAsia="Times New Roman" w:hAnsi="Calibri" w:cs="Times New Roman"/>
                <w:b/>
                <w:color w:val="000000"/>
              </w:rPr>
              <w:t>ovasna</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967</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1115</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1118</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1601</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1462</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+51,2</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H</w:t>
            </w:r>
            <w:r w:rsidRPr="0085542A">
              <w:rPr>
                <w:rFonts w:ascii="Calibri" w:eastAsia="Times New Roman" w:hAnsi="Calibri" w:cs="Times New Roman"/>
                <w:b/>
                <w:color w:val="000000"/>
              </w:rPr>
              <w:t>arghita</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158</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189</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157</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204</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203</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+28,5</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lastRenderedPageBreak/>
              <w:t>M</w:t>
            </w:r>
            <w:r w:rsidRPr="0085542A">
              <w:rPr>
                <w:rFonts w:ascii="Calibri" w:eastAsia="Times New Roman" w:hAnsi="Calibri" w:cs="Times New Roman"/>
                <w:b/>
                <w:color w:val="000000"/>
              </w:rPr>
              <w:t>ureș</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1525</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1944</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1981</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1323</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1388</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-9,0</w:t>
            </w:r>
          </w:p>
        </w:tc>
      </w:tr>
      <w:tr w:rsidR="0002155C" w:rsidTr="00064502">
        <w:trPr>
          <w:trHeight w:val="293"/>
        </w:trPr>
        <w:tc>
          <w:tcPr>
            <w:tcW w:w="2079" w:type="dxa"/>
          </w:tcPr>
          <w:p w:rsidR="0002155C" w:rsidRPr="00103A1B" w:rsidRDefault="0002155C" w:rsidP="00064502">
            <w:pPr>
              <w:rPr>
                <w:rFonts w:ascii="Calibri" w:eastAsia="Times New Roman" w:hAnsi="Calibri" w:cs="Times New Roman"/>
                <w:b/>
                <w:color w:val="000000"/>
              </w:rPr>
            </w:pPr>
            <w:r w:rsidRPr="00103A1B">
              <w:rPr>
                <w:rFonts w:ascii="Calibri" w:eastAsia="Times New Roman" w:hAnsi="Calibri" w:cs="Times New Roman"/>
                <w:b/>
                <w:color w:val="000000"/>
              </w:rPr>
              <w:t>S</w:t>
            </w:r>
            <w:r w:rsidRPr="0085542A">
              <w:rPr>
                <w:rFonts w:ascii="Calibri" w:eastAsia="Times New Roman" w:hAnsi="Calibri" w:cs="Times New Roman"/>
                <w:b/>
                <w:color w:val="000000"/>
              </w:rPr>
              <w:t>ibiu</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10015</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9306</w:t>
            </w:r>
          </w:p>
        </w:tc>
        <w:tc>
          <w:tcPr>
            <w:tcW w:w="1202" w:type="dxa"/>
            <w:vAlign w:val="bottom"/>
          </w:tcPr>
          <w:p w:rsidR="0002155C" w:rsidRDefault="0002155C" w:rsidP="00064502">
            <w:pPr>
              <w:jc w:val="right"/>
              <w:rPr>
                <w:rFonts w:ascii="Calibri" w:hAnsi="Calibri"/>
                <w:color w:val="000000"/>
              </w:rPr>
            </w:pPr>
            <w:r>
              <w:rPr>
                <w:rFonts w:ascii="Calibri" w:hAnsi="Calibri"/>
                <w:color w:val="000000"/>
              </w:rPr>
              <w:t>11699</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12737</w:t>
            </w:r>
          </w:p>
        </w:tc>
        <w:tc>
          <w:tcPr>
            <w:tcW w:w="1201" w:type="dxa"/>
            <w:vAlign w:val="bottom"/>
          </w:tcPr>
          <w:p w:rsidR="0002155C" w:rsidRDefault="0002155C" w:rsidP="00064502">
            <w:pPr>
              <w:jc w:val="right"/>
              <w:rPr>
                <w:rFonts w:ascii="Calibri" w:hAnsi="Calibri"/>
                <w:color w:val="000000"/>
              </w:rPr>
            </w:pPr>
            <w:r>
              <w:rPr>
                <w:rFonts w:ascii="Calibri" w:hAnsi="Calibri"/>
                <w:color w:val="000000"/>
              </w:rPr>
              <w:t>12937</w:t>
            </w:r>
          </w:p>
        </w:tc>
        <w:tc>
          <w:tcPr>
            <w:tcW w:w="1203" w:type="dxa"/>
            <w:vAlign w:val="bottom"/>
          </w:tcPr>
          <w:p w:rsidR="0002155C" w:rsidRDefault="0002155C" w:rsidP="00064502">
            <w:pPr>
              <w:jc w:val="right"/>
              <w:rPr>
                <w:rFonts w:ascii="Calibri" w:hAnsi="Calibri"/>
                <w:color w:val="000000"/>
              </w:rPr>
            </w:pPr>
            <w:r>
              <w:rPr>
                <w:rFonts w:ascii="Calibri" w:hAnsi="Calibri"/>
                <w:color w:val="000000"/>
              </w:rPr>
              <w:t>+29,2</w:t>
            </w:r>
          </w:p>
        </w:tc>
      </w:tr>
    </w:tbl>
    <w:p w:rsidR="0002155C" w:rsidRDefault="0002155C" w:rsidP="0002155C">
      <w:pPr>
        <w:jc w:val="both"/>
        <w:rPr>
          <w:rFonts w:ascii="Calibri" w:eastAsia="Times New Roman" w:hAnsi="Calibri" w:cs="Arial"/>
          <w:bCs/>
          <w:color w:val="000000"/>
          <w:sz w:val="24"/>
          <w:szCs w:val="24"/>
        </w:rPr>
      </w:pPr>
      <w:r w:rsidRPr="00FB053F">
        <w:rPr>
          <w:rFonts w:ascii="Calibri" w:eastAsia="Times New Roman" w:hAnsi="Calibri" w:cs="Arial"/>
          <w:b/>
          <w:bCs/>
          <w:color w:val="000000"/>
          <w:sz w:val="24"/>
          <w:szCs w:val="24"/>
        </w:rPr>
        <w:t>Sursa:</w:t>
      </w:r>
      <w:r>
        <w:rPr>
          <w:rFonts w:ascii="Calibri" w:eastAsia="Times New Roman" w:hAnsi="Calibri" w:cs="Arial"/>
          <w:bCs/>
          <w:color w:val="000000"/>
          <w:sz w:val="24"/>
          <w:szCs w:val="24"/>
        </w:rPr>
        <w:t xml:space="preserve"> </w:t>
      </w:r>
      <w:r w:rsidRPr="00FB053F">
        <w:rPr>
          <w:rFonts w:ascii="Calibri" w:eastAsia="Times New Roman" w:hAnsi="Calibri" w:cs="Arial"/>
          <w:bCs/>
          <w:color w:val="000000"/>
          <w:sz w:val="24"/>
          <w:szCs w:val="24"/>
        </w:rPr>
        <w:t>Oficiul Național al Registrului Comerțului</w:t>
      </w:r>
    </w:p>
    <w:p w:rsidR="0002155C" w:rsidRDefault="0002155C" w:rsidP="0002155C">
      <w:pPr>
        <w:pStyle w:val="Titlu2"/>
        <w:spacing w:before="240" w:after="240"/>
        <w:rPr>
          <w:rFonts w:eastAsia="Times New Roman"/>
        </w:rPr>
      </w:pPr>
      <w:r w:rsidRPr="007968F5">
        <w:rPr>
          <w:rFonts w:eastAsia="Times New Roman"/>
        </w:rPr>
        <w:t>Productivitatea muncii</w:t>
      </w:r>
      <w:r>
        <w:rPr>
          <w:rFonts w:eastAsia="Times New Roman"/>
        </w:rPr>
        <w:t xml:space="preserve"> la nivelul industriei auto</w:t>
      </w:r>
    </w:p>
    <w:p w:rsidR="0002155C" w:rsidRPr="000910A9" w:rsidRDefault="0002155C" w:rsidP="0002155C">
      <w:pPr>
        <w:jc w:val="both"/>
        <w:rPr>
          <w:rFonts w:ascii="Calibri" w:eastAsia="Times New Roman" w:hAnsi="Calibri" w:cs="Arial"/>
          <w:bCs/>
          <w:sz w:val="24"/>
          <w:szCs w:val="24"/>
        </w:rPr>
      </w:pPr>
      <w:r w:rsidRPr="000910A9">
        <w:rPr>
          <w:rFonts w:ascii="Calibri" w:eastAsia="Times New Roman" w:hAnsi="Calibri" w:cs="Arial"/>
          <w:bCs/>
          <w:sz w:val="24"/>
          <w:szCs w:val="24"/>
        </w:rPr>
        <w:t>Dinamica mai rapidă a cifrei de afaceri obținute  de firmele din industria auto (+123,1%) comparativ cu dinamica numărului de angajați  (+76,4%) relevă o creștere semnificativă a productivității muncii în perioada analizată (+26,5 %). Această cifră trebuie însă ajustată cu indicele prețurilor de producție pentru industria auto în perioada 2010-2014 (115,5%) rezultând o creștere ,,reală” (în prețuri comparabile) a productivității muncii în industria auto a Regiunii Centru de 9,5%</w:t>
      </w:r>
    </w:p>
    <w:p w:rsidR="0002155C" w:rsidRPr="0061777E" w:rsidRDefault="0002155C" w:rsidP="0002155C">
      <w:pPr>
        <w:jc w:val="both"/>
        <w:rPr>
          <w:rFonts w:ascii="Calibri" w:eastAsia="Times New Roman" w:hAnsi="Calibri" w:cs="Arial"/>
          <w:b/>
          <w:bCs/>
          <w:color w:val="000000"/>
          <w:sz w:val="24"/>
          <w:szCs w:val="24"/>
        </w:rPr>
      </w:pPr>
      <w:r w:rsidRPr="00455866">
        <w:rPr>
          <w:rFonts w:ascii="Calibri" w:eastAsia="Times New Roman" w:hAnsi="Calibri" w:cs="Arial"/>
          <w:b/>
          <w:bCs/>
          <w:noProof/>
          <w:color w:val="000000"/>
          <w:sz w:val="24"/>
          <w:szCs w:val="24"/>
        </w:rPr>
        <w:drawing>
          <wp:inline distT="0" distB="0" distL="0" distR="0">
            <wp:extent cx="5864165" cy="3278038"/>
            <wp:effectExtent l="19050" t="0" r="22285" b="0"/>
            <wp:docPr id="42"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155C" w:rsidRPr="00321967" w:rsidRDefault="0002155C" w:rsidP="0002155C">
      <w:pPr>
        <w:rPr>
          <w:rFonts w:eastAsia="Times New Roman"/>
          <w:b/>
        </w:rPr>
      </w:pPr>
      <w:r w:rsidRPr="00321967">
        <w:rPr>
          <w:rFonts w:eastAsia="Times New Roman"/>
          <w:b/>
        </w:rPr>
        <w:t>Fig. 2</w:t>
      </w:r>
    </w:p>
    <w:p w:rsidR="0002155C" w:rsidRDefault="0002155C" w:rsidP="0002155C">
      <w:pPr>
        <w:pStyle w:val="Titlu2"/>
        <w:rPr>
          <w:rFonts w:eastAsia="Times New Roman"/>
        </w:rPr>
      </w:pPr>
      <w:r>
        <w:rPr>
          <w:rFonts w:eastAsia="Times New Roman"/>
        </w:rPr>
        <w:t>Distribuția</w:t>
      </w:r>
      <w:r w:rsidRPr="00230BFC">
        <w:rPr>
          <w:rFonts w:eastAsia="Times New Roman"/>
        </w:rPr>
        <w:t xml:space="preserve"> teritorială firmelor din industria auto</w:t>
      </w:r>
    </w:p>
    <w:p w:rsidR="0002155C" w:rsidRPr="00230BFC" w:rsidRDefault="0002155C" w:rsidP="0002155C"/>
    <w:p w:rsidR="0002155C" w:rsidRDefault="0002155C" w:rsidP="0002155C">
      <w:pPr>
        <w:jc w:val="both"/>
        <w:rPr>
          <w:sz w:val="24"/>
          <w:szCs w:val="24"/>
        </w:rPr>
      </w:pPr>
      <w:r>
        <w:rPr>
          <w:sz w:val="24"/>
          <w:szCs w:val="24"/>
        </w:rPr>
        <w:t xml:space="preserve">Locațiile preferate pentru investițiile auto sunt situate în jurul orașelor Sibiu și Brașov, Mediaș, orașe cu o forță de muncă bine pregătită, cu o importantă tradiție și deschidere spre spațiul geografic germanofon. Alte locații selectate de investitorii străini sunt situate în județele Alba (în special orașele Cugir, Sebeș, Blaj – localități de asemenea cu o forță de muncă specializată) și Mureș (Sighișoara, Tg. Mureș) și într-o mai mică măsură în județele Covasna și Harghita. Unele companii străine cu investiții mari și-au creat propriile centre de dezvoltare în Regiunea Centru. Astfel, la Brașov găsim Centrul de Inginerie și Dezvoltare al companiei Autoliv și Centrul de Cercetare al firmei Siemens, iar la Sibiu își au sediul un centru </w:t>
      </w:r>
      <w:r>
        <w:rPr>
          <w:sz w:val="24"/>
          <w:szCs w:val="24"/>
        </w:rPr>
        <w:lastRenderedPageBreak/>
        <w:t xml:space="preserve">de cercetare-dezvoltare al concernului Continental și unul al firmei </w:t>
      </w:r>
      <w:r w:rsidRPr="00A05790">
        <w:rPr>
          <w:color w:val="000000"/>
          <w:sz w:val="24"/>
          <w:szCs w:val="24"/>
        </w:rPr>
        <w:t>Kromberg &amp;Schubert</w:t>
      </w:r>
      <w:r>
        <w:rPr>
          <w:color w:val="000000"/>
          <w:sz w:val="24"/>
          <w:szCs w:val="24"/>
        </w:rPr>
        <w:t xml:space="preserve">. Importanța acestor centre este deosebită, inginerii români putând  beneficia de tehnologii de cel mai înalt nivel și colabora cu cei mai buni specialiști în domeniu. Prin aceste centre se fac pași importanți în direcția valorificării economice a rezultatelor cercetării și a dezvoltării unei economii bazată pe cunoaștere.   </w:t>
      </w:r>
    </w:p>
    <w:p w:rsidR="0002155C" w:rsidRPr="003C1165" w:rsidRDefault="0002155C" w:rsidP="0002155C">
      <w:pPr>
        <w:widowControl w:val="0"/>
        <w:tabs>
          <w:tab w:val="left" w:pos="855"/>
        </w:tabs>
        <w:autoSpaceDE w:val="0"/>
        <w:autoSpaceDN w:val="0"/>
        <w:adjustRightInd w:val="0"/>
        <w:rPr>
          <w:b/>
          <w:sz w:val="24"/>
          <w:szCs w:val="24"/>
        </w:rPr>
      </w:pPr>
      <w:r>
        <w:rPr>
          <w:b/>
          <w:sz w:val="24"/>
          <w:szCs w:val="24"/>
        </w:rPr>
        <w:t>Tab. 3 Principalele c</w:t>
      </w:r>
      <w:r w:rsidRPr="003C1165">
        <w:rPr>
          <w:b/>
          <w:sz w:val="24"/>
          <w:szCs w:val="24"/>
        </w:rPr>
        <w:t>ompanii active în domeniul auto din județele Alba și Sibiu</w:t>
      </w:r>
    </w:p>
    <w:tbl>
      <w:tblPr>
        <w:tblStyle w:val="Hyperlink"/>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1325"/>
        <w:gridCol w:w="1622"/>
        <w:gridCol w:w="1178"/>
        <w:gridCol w:w="1260"/>
        <w:gridCol w:w="1350"/>
        <w:gridCol w:w="1620"/>
      </w:tblGrid>
      <w:tr w:rsidR="0002155C" w:rsidTr="00064502">
        <w:trPr>
          <w:tblHeader/>
        </w:trPr>
        <w:tc>
          <w:tcPr>
            <w:tcW w:w="1023" w:type="dxa"/>
          </w:tcPr>
          <w:p w:rsidR="0002155C" w:rsidRPr="00457709" w:rsidRDefault="0002155C" w:rsidP="00064502">
            <w:pPr>
              <w:jc w:val="center"/>
            </w:pPr>
            <w:r>
              <w:rPr>
                <w:sz w:val="24"/>
                <w:szCs w:val="24"/>
              </w:rPr>
              <w:t xml:space="preserve">   </w:t>
            </w:r>
            <w:r w:rsidRPr="00457709">
              <w:t>Județul</w:t>
            </w:r>
          </w:p>
        </w:tc>
        <w:tc>
          <w:tcPr>
            <w:tcW w:w="1325" w:type="dxa"/>
          </w:tcPr>
          <w:p w:rsidR="0002155C" w:rsidRPr="00457709" w:rsidRDefault="0002155C" w:rsidP="00064502">
            <w:pPr>
              <w:jc w:val="center"/>
            </w:pPr>
            <w:r w:rsidRPr="00457709">
              <w:t>Localitatea</w:t>
            </w:r>
          </w:p>
        </w:tc>
        <w:tc>
          <w:tcPr>
            <w:tcW w:w="1622" w:type="dxa"/>
          </w:tcPr>
          <w:p w:rsidR="0002155C" w:rsidRPr="00457709" w:rsidRDefault="0002155C" w:rsidP="00064502">
            <w:pPr>
              <w:jc w:val="center"/>
            </w:pPr>
            <w:r w:rsidRPr="00457709">
              <w:t>Denumirea companiei</w:t>
            </w:r>
          </w:p>
        </w:tc>
        <w:tc>
          <w:tcPr>
            <w:tcW w:w="1178" w:type="dxa"/>
          </w:tcPr>
          <w:p w:rsidR="0002155C" w:rsidRPr="00457709" w:rsidRDefault="0002155C" w:rsidP="00064502">
            <w:pPr>
              <w:jc w:val="center"/>
            </w:pPr>
            <w:r w:rsidRPr="00457709">
              <w:t>Acționariatul</w:t>
            </w:r>
          </w:p>
        </w:tc>
        <w:tc>
          <w:tcPr>
            <w:tcW w:w="1260" w:type="dxa"/>
          </w:tcPr>
          <w:p w:rsidR="0002155C" w:rsidRPr="00457709" w:rsidRDefault="0002155C" w:rsidP="00064502">
            <w:pPr>
              <w:jc w:val="center"/>
            </w:pPr>
            <w:r w:rsidRPr="00457709">
              <w:t>Valoarea</w:t>
            </w:r>
            <w:r>
              <w:t xml:space="preserve"> declarată a</w:t>
            </w:r>
            <w:r w:rsidRPr="00457709">
              <w:t xml:space="preserve"> investiției (euro)</w:t>
            </w:r>
          </w:p>
        </w:tc>
        <w:tc>
          <w:tcPr>
            <w:tcW w:w="1350" w:type="dxa"/>
          </w:tcPr>
          <w:p w:rsidR="0002155C" w:rsidRPr="00457709" w:rsidRDefault="0002155C" w:rsidP="00064502">
            <w:pPr>
              <w:jc w:val="center"/>
            </w:pPr>
            <w:r w:rsidRPr="00457709">
              <w:t xml:space="preserve">Nr. </w:t>
            </w:r>
            <w:r>
              <w:t xml:space="preserve">mediu de </w:t>
            </w:r>
            <w:r w:rsidRPr="00457709">
              <w:t>angajați</w:t>
            </w:r>
            <w:r>
              <w:t xml:space="preserve"> (2015)</w:t>
            </w:r>
          </w:p>
        </w:tc>
        <w:tc>
          <w:tcPr>
            <w:tcW w:w="1620" w:type="dxa"/>
          </w:tcPr>
          <w:p w:rsidR="0002155C" w:rsidRPr="00457709" w:rsidRDefault="0002155C" w:rsidP="00064502">
            <w:pPr>
              <w:jc w:val="center"/>
            </w:pPr>
            <w:r>
              <w:t>Produsele</w:t>
            </w:r>
            <w:r w:rsidRPr="00457709">
              <w:t xml:space="preserve"> principal</w:t>
            </w:r>
            <w:r>
              <w:t>e realizate</w:t>
            </w:r>
          </w:p>
        </w:tc>
      </w:tr>
      <w:tr w:rsidR="0002155C" w:rsidTr="00064502">
        <w:tc>
          <w:tcPr>
            <w:tcW w:w="1023" w:type="dxa"/>
            <w:vMerge w:val="restart"/>
            <w:vAlign w:val="center"/>
          </w:tcPr>
          <w:p w:rsidR="0002155C" w:rsidRDefault="0002155C" w:rsidP="00064502">
            <w:pPr>
              <w:rPr>
                <w:sz w:val="24"/>
                <w:szCs w:val="24"/>
              </w:rPr>
            </w:pPr>
            <w:r>
              <w:rPr>
                <w:sz w:val="24"/>
                <w:szCs w:val="24"/>
              </w:rPr>
              <w:t>Alba</w:t>
            </w:r>
          </w:p>
        </w:tc>
        <w:tc>
          <w:tcPr>
            <w:tcW w:w="1325" w:type="dxa"/>
          </w:tcPr>
          <w:p w:rsidR="0002155C" w:rsidRDefault="0002155C" w:rsidP="00064502">
            <w:r>
              <w:t>Cugir + Sebeș</w:t>
            </w:r>
          </w:p>
        </w:tc>
        <w:tc>
          <w:tcPr>
            <w:tcW w:w="1622" w:type="dxa"/>
          </w:tcPr>
          <w:p w:rsidR="0002155C" w:rsidRDefault="0002155C" w:rsidP="00064502">
            <w:r>
              <w:t>Star transmission  (Daimler Benz)</w:t>
            </w:r>
          </w:p>
        </w:tc>
        <w:tc>
          <w:tcPr>
            <w:tcW w:w="1178" w:type="dxa"/>
          </w:tcPr>
          <w:p w:rsidR="0002155C" w:rsidRDefault="0002155C" w:rsidP="00064502">
            <w:r>
              <w:t>româno-german</w:t>
            </w:r>
          </w:p>
        </w:tc>
        <w:tc>
          <w:tcPr>
            <w:tcW w:w="1260" w:type="dxa"/>
          </w:tcPr>
          <w:p w:rsidR="0002155C" w:rsidRDefault="0002155C" w:rsidP="00064502">
            <w:r>
              <w:t>240 mil.</w:t>
            </w:r>
          </w:p>
        </w:tc>
        <w:tc>
          <w:tcPr>
            <w:tcW w:w="1350" w:type="dxa"/>
          </w:tcPr>
          <w:p w:rsidR="0002155C" w:rsidRDefault="0002155C" w:rsidP="00064502">
            <w:r>
              <w:t>1321</w:t>
            </w:r>
          </w:p>
        </w:tc>
        <w:tc>
          <w:tcPr>
            <w:tcW w:w="1620" w:type="dxa"/>
          </w:tcPr>
          <w:p w:rsidR="0002155C" w:rsidRPr="00B3508C" w:rsidRDefault="0002155C" w:rsidP="00064502">
            <w:r>
              <w:t>Transmisii, cutii de viteză</w:t>
            </w:r>
          </w:p>
        </w:tc>
      </w:tr>
      <w:tr w:rsidR="0002155C" w:rsidTr="00064502">
        <w:tc>
          <w:tcPr>
            <w:tcW w:w="1023" w:type="dxa"/>
            <w:vMerge/>
            <w:vAlign w:val="center"/>
          </w:tcPr>
          <w:p w:rsidR="0002155C" w:rsidRDefault="0002155C" w:rsidP="00064502">
            <w:pPr>
              <w:rPr>
                <w:sz w:val="24"/>
                <w:szCs w:val="24"/>
              </w:rPr>
            </w:pPr>
          </w:p>
        </w:tc>
        <w:tc>
          <w:tcPr>
            <w:tcW w:w="1325" w:type="dxa"/>
          </w:tcPr>
          <w:p w:rsidR="0002155C" w:rsidRDefault="0002155C" w:rsidP="00064502">
            <w:r>
              <w:t xml:space="preserve">Blaj </w:t>
            </w:r>
          </w:p>
        </w:tc>
        <w:tc>
          <w:tcPr>
            <w:tcW w:w="1622" w:type="dxa"/>
          </w:tcPr>
          <w:p w:rsidR="0002155C" w:rsidRDefault="0002155C" w:rsidP="00064502">
            <w:r>
              <w:t>Bosch Rexroth</w:t>
            </w:r>
          </w:p>
        </w:tc>
        <w:tc>
          <w:tcPr>
            <w:tcW w:w="1178" w:type="dxa"/>
          </w:tcPr>
          <w:p w:rsidR="0002155C" w:rsidRDefault="0002155C" w:rsidP="00064502">
            <w:r>
              <w:t>german</w:t>
            </w:r>
          </w:p>
        </w:tc>
        <w:tc>
          <w:tcPr>
            <w:tcW w:w="1260" w:type="dxa"/>
          </w:tcPr>
          <w:p w:rsidR="0002155C" w:rsidRDefault="0002155C" w:rsidP="00064502">
            <w:r>
              <w:t>80 mil.</w:t>
            </w:r>
          </w:p>
        </w:tc>
        <w:tc>
          <w:tcPr>
            <w:tcW w:w="1350" w:type="dxa"/>
          </w:tcPr>
          <w:p w:rsidR="0002155C" w:rsidRDefault="0002155C" w:rsidP="00064502">
            <w:r>
              <w:t>1435</w:t>
            </w:r>
          </w:p>
        </w:tc>
        <w:tc>
          <w:tcPr>
            <w:tcW w:w="1620" w:type="dxa"/>
          </w:tcPr>
          <w:p w:rsidR="0002155C" w:rsidRDefault="0002155C" w:rsidP="00064502">
            <w:r>
              <w:t>cutii de viteza, senzori auto</w:t>
            </w:r>
          </w:p>
        </w:tc>
      </w:tr>
      <w:tr w:rsidR="0002155C" w:rsidTr="00064502">
        <w:tc>
          <w:tcPr>
            <w:tcW w:w="1023" w:type="dxa"/>
            <w:vMerge/>
            <w:vAlign w:val="center"/>
          </w:tcPr>
          <w:p w:rsidR="0002155C" w:rsidRDefault="0002155C" w:rsidP="00064502">
            <w:pPr>
              <w:rPr>
                <w:sz w:val="24"/>
                <w:szCs w:val="24"/>
              </w:rPr>
            </w:pPr>
          </w:p>
        </w:tc>
        <w:tc>
          <w:tcPr>
            <w:tcW w:w="1325" w:type="dxa"/>
          </w:tcPr>
          <w:p w:rsidR="0002155C" w:rsidRDefault="0002155C" w:rsidP="00064502">
            <w:r>
              <w:t>Alba Iulia</w:t>
            </w:r>
          </w:p>
        </w:tc>
        <w:tc>
          <w:tcPr>
            <w:tcW w:w="1622" w:type="dxa"/>
          </w:tcPr>
          <w:p w:rsidR="0002155C" w:rsidRDefault="0002155C" w:rsidP="00064502">
            <w:r>
              <w:t>VCST</w:t>
            </w:r>
          </w:p>
        </w:tc>
        <w:tc>
          <w:tcPr>
            <w:tcW w:w="1178" w:type="dxa"/>
          </w:tcPr>
          <w:p w:rsidR="0002155C" w:rsidRDefault="0002155C" w:rsidP="00064502">
            <w:r>
              <w:t>belgian</w:t>
            </w:r>
          </w:p>
        </w:tc>
        <w:tc>
          <w:tcPr>
            <w:tcW w:w="1260" w:type="dxa"/>
          </w:tcPr>
          <w:p w:rsidR="0002155C" w:rsidRDefault="0002155C" w:rsidP="00064502">
            <w:r>
              <w:t xml:space="preserve">30 mil. </w:t>
            </w:r>
          </w:p>
        </w:tc>
        <w:tc>
          <w:tcPr>
            <w:tcW w:w="1350" w:type="dxa"/>
          </w:tcPr>
          <w:p w:rsidR="0002155C" w:rsidRDefault="0002155C" w:rsidP="00064502">
            <w:r>
              <w:t>147</w:t>
            </w:r>
          </w:p>
        </w:tc>
        <w:tc>
          <w:tcPr>
            <w:tcW w:w="1620" w:type="dxa"/>
          </w:tcPr>
          <w:p w:rsidR="0002155C" w:rsidRPr="002E241C" w:rsidRDefault="0002155C" w:rsidP="00064502">
            <w:r>
              <w:t xml:space="preserve">Repere pt. cutii de viteză, transmisii, </w:t>
            </w:r>
          </w:p>
        </w:tc>
      </w:tr>
      <w:tr w:rsidR="0002155C" w:rsidTr="00064502">
        <w:tc>
          <w:tcPr>
            <w:tcW w:w="1023" w:type="dxa"/>
            <w:vMerge/>
            <w:vAlign w:val="center"/>
          </w:tcPr>
          <w:p w:rsidR="0002155C" w:rsidRDefault="0002155C" w:rsidP="00064502">
            <w:pPr>
              <w:rPr>
                <w:sz w:val="24"/>
                <w:szCs w:val="24"/>
              </w:rPr>
            </w:pPr>
          </w:p>
        </w:tc>
        <w:tc>
          <w:tcPr>
            <w:tcW w:w="1325" w:type="dxa"/>
          </w:tcPr>
          <w:p w:rsidR="0002155C" w:rsidRDefault="0002155C" w:rsidP="00064502">
            <w:r>
              <w:t>Alba Iulia</w:t>
            </w:r>
          </w:p>
        </w:tc>
        <w:tc>
          <w:tcPr>
            <w:tcW w:w="1622" w:type="dxa"/>
          </w:tcPr>
          <w:p w:rsidR="0002155C" w:rsidRDefault="0002155C" w:rsidP="00064502">
            <w:r>
              <w:t>SEWS –r (Sumitomo)</w:t>
            </w:r>
          </w:p>
        </w:tc>
        <w:tc>
          <w:tcPr>
            <w:tcW w:w="1178" w:type="dxa"/>
          </w:tcPr>
          <w:p w:rsidR="0002155C" w:rsidRDefault="0002155C" w:rsidP="00064502">
            <w:r>
              <w:t>japonez</w:t>
            </w:r>
          </w:p>
        </w:tc>
        <w:tc>
          <w:tcPr>
            <w:tcW w:w="1260" w:type="dxa"/>
          </w:tcPr>
          <w:p w:rsidR="0002155C" w:rsidRDefault="0002155C" w:rsidP="00064502"/>
        </w:tc>
        <w:tc>
          <w:tcPr>
            <w:tcW w:w="1350" w:type="dxa"/>
          </w:tcPr>
          <w:p w:rsidR="0002155C" w:rsidRDefault="0002155C" w:rsidP="00064502"/>
        </w:tc>
        <w:tc>
          <w:tcPr>
            <w:tcW w:w="1620" w:type="dxa"/>
          </w:tcPr>
          <w:p w:rsidR="0002155C" w:rsidRDefault="0002155C" w:rsidP="00064502">
            <w:r>
              <w:t>cablaje</w:t>
            </w:r>
          </w:p>
        </w:tc>
      </w:tr>
      <w:tr w:rsidR="0002155C" w:rsidTr="00064502">
        <w:tc>
          <w:tcPr>
            <w:tcW w:w="1023" w:type="dxa"/>
            <w:vMerge w:val="restart"/>
            <w:vAlign w:val="center"/>
          </w:tcPr>
          <w:p w:rsidR="0002155C" w:rsidRDefault="0002155C" w:rsidP="00064502">
            <w:pPr>
              <w:rPr>
                <w:sz w:val="24"/>
                <w:szCs w:val="24"/>
              </w:rPr>
            </w:pPr>
            <w:r>
              <w:rPr>
                <w:sz w:val="24"/>
                <w:szCs w:val="24"/>
              </w:rPr>
              <w:t>Sibiu</w:t>
            </w:r>
          </w:p>
        </w:tc>
        <w:tc>
          <w:tcPr>
            <w:tcW w:w="1325" w:type="dxa"/>
          </w:tcPr>
          <w:p w:rsidR="0002155C" w:rsidRDefault="0002155C" w:rsidP="00064502">
            <w:r>
              <w:t>Sibiu</w:t>
            </w:r>
          </w:p>
        </w:tc>
        <w:tc>
          <w:tcPr>
            <w:tcW w:w="1622" w:type="dxa"/>
          </w:tcPr>
          <w:p w:rsidR="0002155C" w:rsidRPr="00801EA9" w:rsidRDefault="0002155C" w:rsidP="00064502">
            <w:r w:rsidRPr="00801EA9">
              <w:rPr>
                <w:color w:val="333333"/>
                <w:shd w:val="clear" w:color="auto" w:fill="FFFFFF"/>
              </w:rPr>
              <w:t>SNR Rulmenti</w:t>
            </w:r>
          </w:p>
        </w:tc>
        <w:tc>
          <w:tcPr>
            <w:tcW w:w="1178" w:type="dxa"/>
          </w:tcPr>
          <w:p w:rsidR="0002155C" w:rsidRDefault="0002155C" w:rsidP="00064502">
            <w:r>
              <w:t>francez</w:t>
            </w:r>
          </w:p>
        </w:tc>
        <w:tc>
          <w:tcPr>
            <w:tcW w:w="1260" w:type="dxa"/>
          </w:tcPr>
          <w:p w:rsidR="0002155C" w:rsidRDefault="0002155C" w:rsidP="00064502"/>
        </w:tc>
        <w:tc>
          <w:tcPr>
            <w:tcW w:w="1350" w:type="dxa"/>
          </w:tcPr>
          <w:p w:rsidR="0002155C" w:rsidRDefault="0002155C" w:rsidP="00064502">
            <w:r>
              <w:t>802</w:t>
            </w:r>
          </w:p>
        </w:tc>
        <w:tc>
          <w:tcPr>
            <w:tcW w:w="1620" w:type="dxa"/>
          </w:tcPr>
          <w:p w:rsidR="0002155C" w:rsidRDefault="0002155C" w:rsidP="00064502">
            <w:r>
              <w:t>rulmenți</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r w:rsidRPr="00801EA9">
              <w:rPr>
                <w:color w:val="333333"/>
                <w:shd w:val="clear" w:color="auto" w:fill="FFFFFF"/>
              </w:rPr>
              <w:t xml:space="preserve">Continental </w:t>
            </w:r>
            <w:r w:rsidRPr="00801EA9">
              <w:rPr>
                <w:color w:val="000000"/>
              </w:rPr>
              <w:t>Automotive Systems</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2896</w:t>
            </w:r>
          </w:p>
        </w:tc>
        <w:tc>
          <w:tcPr>
            <w:tcW w:w="1620" w:type="dxa"/>
          </w:tcPr>
          <w:p w:rsidR="0002155C" w:rsidRDefault="0002155C" w:rsidP="00064502">
            <w:r w:rsidRPr="00963263">
              <w:t>Fabricarea de echipamente electrice si electronice pentru autovehicule si pentru motoare de autovehicule</w:t>
            </w:r>
          </w:p>
        </w:tc>
      </w:tr>
      <w:tr w:rsidR="0002155C" w:rsidTr="00064502">
        <w:tc>
          <w:tcPr>
            <w:tcW w:w="1023" w:type="dxa"/>
            <w:vMerge/>
          </w:tcPr>
          <w:p w:rsidR="0002155C" w:rsidRDefault="0002155C" w:rsidP="00064502">
            <w:pPr>
              <w:jc w:val="center"/>
              <w:rPr>
                <w:sz w:val="24"/>
                <w:szCs w:val="24"/>
              </w:rPr>
            </w:pPr>
          </w:p>
        </w:tc>
        <w:tc>
          <w:tcPr>
            <w:tcW w:w="1325" w:type="dxa"/>
            <w:tcBorders>
              <w:bottom w:val="single" w:sz="4" w:space="0" w:color="auto"/>
            </w:tcBorders>
          </w:tcPr>
          <w:p w:rsidR="0002155C" w:rsidRDefault="0002155C" w:rsidP="00064502">
            <w:r>
              <w:t>Sibiu</w:t>
            </w:r>
          </w:p>
        </w:tc>
        <w:tc>
          <w:tcPr>
            <w:tcW w:w="1622" w:type="dxa"/>
            <w:tcBorders>
              <w:bottom w:val="single" w:sz="4" w:space="0" w:color="auto"/>
            </w:tcBorders>
          </w:tcPr>
          <w:p w:rsidR="0002155C" w:rsidRPr="00801EA9" w:rsidRDefault="0002155C" w:rsidP="00064502">
            <w:r w:rsidRPr="00801EA9">
              <w:t>Sirfit</w:t>
            </w:r>
          </w:p>
        </w:tc>
        <w:tc>
          <w:tcPr>
            <w:tcW w:w="1178" w:type="dxa"/>
            <w:tcBorders>
              <w:bottom w:val="single" w:sz="4" w:space="0" w:color="auto"/>
            </w:tcBorders>
          </w:tcPr>
          <w:p w:rsidR="0002155C" w:rsidRDefault="0002155C" w:rsidP="00064502"/>
        </w:tc>
        <w:tc>
          <w:tcPr>
            <w:tcW w:w="1260" w:type="dxa"/>
            <w:tcBorders>
              <w:bottom w:val="single" w:sz="4" w:space="0" w:color="auto"/>
            </w:tcBorders>
          </w:tcPr>
          <w:p w:rsidR="0002155C" w:rsidRDefault="0002155C" w:rsidP="00064502"/>
        </w:tc>
        <w:tc>
          <w:tcPr>
            <w:tcW w:w="1350" w:type="dxa"/>
            <w:tcBorders>
              <w:bottom w:val="single" w:sz="4" w:space="0" w:color="auto"/>
            </w:tcBorders>
          </w:tcPr>
          <w:p w:rsidR="0002155C" w:rsidRDefault="0002155C" w:rsidP="00064502">
            <w:r>
              <w:t>136</w:t>
            </w:r>
          </w:p>
        </w:tc>
        <w:tc>
          <w:tcPr>
            <w:tcW w:w="1620" w:type="dxa"/>
            <w:tcBorders>
              <w:bottom w:val="single" w:sz="4" w:space="0" w:color="auto"/>
            </w:tcBorders>
          </w:tcPr>
          <w:p w:rsidR="0002155C" w:rsidRDefault="0002155C" w:rsidP="00064502">
            <w:r w:rsidRPr="00963263">
              <w:t>Fabricarea altor piese si accesorii pentru autovehicule si pentru motoare de autovehicule</w:t>
            </w:r>
          </w:p>
        </w:tc>
      </w:tr>
      <w:tr w:rsidR="0002155C" w:rsidTr="00064502">
        <w:trPr>
          <w:trHeight w:val="628"/>
        </w:trPr>
        <w:tc>
          <w:tcPr>
            <w:tcW w:w="1023" w:type="dxa"/>
            <w:vMerge/>
            <w:tcBorders>
              <w:right w:val="single" w:sz="4" w:space="0" w:color="auto"/>
            </w:tcBorders>
          </w:tcPr>
          <w:p w:rsidR="0002155C" w:rsidRDefault="0002155C" w:rsidP="00064502">
            <w:pPr>
              <w:jc w:val="center"/>
              <w:rPr>
                <w:sz w:val="24"/>
                <w:szCs w:val="24"/>
              </w:rPr>
            </w:pPr>
          </w:p>
        </w:tc>
        <w:tc>
          <w:tcPr>
            <w:tcW w:w="1325" w:type="dxa"/>
            <w:tcBorders>
              <w:left w:val="single" w:sz="4" w:space="0" w:color="auto"/>
              <w:right w:val="single" w:sz="4" w:space="0" w:color="auto"/>
            </w:tcBorders>
          </w:tcPr>
          <w:p w:rsidR="0002155C" w:rsidRPr="00963263" w:rsidRDefault="0002155C" w:rsidP="00064502">
            <w:pPr>
              <w:rPr>
                <w:color w:val="FF0000"/>
              </w:rPr>
            </w:pPr>
            <w:r>
              <w:t>Sibiu</w:t>
            </w:r>
          </w:p>
        </w:tc>
        <w:tc>
          <w:tcPr>
            <w:tcW w:w="1622" w:type="dxa"/>
            <w:tcBorders>
              <w:left w:val="single" w:sz="4" w:space="0" w:color="auto"/>
              <w:right w:val="single" w:sz="4" w:space="0" w:color="auto"/>
            </w:tcBorders>
          </w:tcPr>
          <w:p w:rsidR="0002155C" w:rsidRPr="00963263" w:rsidRDefault="0002155C" w:rsidP="00064502">
            <w:pPr>
              <w:rPr>
                <w:color w:val="FF0000"/>
              </w:rPr>
            </w:pPr>
            <w:r w:rsidRPr="00801EA9">
              <w:t>Takata</w:t>
            </w:r>
          </w:p>
        </w:tc>
        <w:tc>
          <w:tcPr>
            <w:tcW w:w="1178" w:type="dxa"/>
            <w:tcBorders>
              <w:left w:val="single" w:sz="4" w:space="0" w:color="auto"/>
              <w:right w:val="single" w:sz="4" w:space="0" w:color="auto"/>
            </w:tcBorders>
          </w:tcPr>
          <w:p w:rsidR="0002155C" w:rsidRPr="00963263" w:rsidRDefault="0002155C" w:rsidP="00064502">
            <w:pPr>
              <w:rPr>
                <w:color w:val="FF0000"/>
              </w:rPr>
            </w:pPr>
            <w:r>
              <w:t>japonez</w:t>
            </w:r>
          </w:p>
        </w:tc>
        <w:tc>
          <w:tcPr>
            <w:tcW w:w="1260" w:type="dxa"/>
            <w:tcBorders>
              <w:left w:val="single" w:sz="4" w:space="0" w:color="auto"/>
              <w:right w:val="single" w:sz="4" w:space="0" w:color="auto"/>
            </w:tcBorders>
          </w:tcPr>
          <w:p w:rsidR="0002155C" w:rsidRPr="00963263" w:rsidRDefault="0002155C" w:rsidP="00064502">
            <w:pPr>
              <w:rPr>
                <w:color w:val="FF0000"/>
              </w:rPr>
            </w:pPr>
          </w:p>
        </w:tc>
        <w:tc>
          <w:tcPr>
            <w:tcW w:w="1350" w:type="dxa"/>
            <w:tcBorders>
              <w:left w:val="single" w:sz="4" w:space="0" w:color="auto"/>
              <w:right w:val="single" w:sz="4" w:space="0" w:color="auto"/>
            </w:tcBorders>
          </w:tcPr>
          <w:p w:rsidR="0002155C" w:rsidRPr="00963263" w:rsidRDefault="0002155C" w:rsidP="00064502">
            <w:pPr>
              <w:rPr>
                <w:color w:val="FF0000"/>
              </w:rPr>
            </w:pPr>
            <w:r>
              <w:t>2621</w:t>
            </w:r>
          </w:p>
        </w:tc>
        <w:tc>
          <w:tcPr>
            <w:tcW w:w="1620" w:type="dxa"/>
            <w:tcBorders>
              <w:left w:val="single" w:sz="4" w:space="0" w:color="auto"/>
            </w:tcBorders>
          </w:tcPr>
          <w:p w:rsidR="0002155C" w:rsidRPr="00963263" w:rsidRDefault="0002155C" w:rsidP="00064502">
            <w:pPr>
              <w:rPr>
                <w:color w:val="FF0000"/>
              </w:rPr>
            </w:pPr>
            <w:r>
              <w:t>airbag-uri</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Tălmaciu</w:t>
            </w:r>
          </w:p>
        </w:tc>
        <w:tc>
          <w:tcPr>
            <w:tcW w:w="1622" w:type="dxa"/>
          </w:tcPr>
          <w:p w:rsidR="0002155C" w:rsidRPr="00801EA9" w:rsidRDefault="0002155C" w:rsidP="00064502">
            <w:r w:rsidRPr="00801EA9">
              <w:rPr>
                <w:color w:val="000000"/>
              </w:rPr>
              <w:t>Faurecia Seating</w:t>
            </w:r>
          </w:p>
        </w:tc>
        <w:tc>
          <w:tcPr>
            <w:tcW w:w="1178" w:type="dxa"/>
          </w:tcPr>
          <w:p w:rsidR="0002155C" w:rsidRDefault="0002155C" w:rsidP="00064502"/>
        </w:tc>
        <w:tc>
          <w:tcPr>
            <w:tcW w:w="1260" w:type="dxa"/>
          </w:tcPr>
          <w:p w:rsidR="0002155C" w:rsidRDefault="0002155C" w:rsidP="00064502"/>
        </w:tc>
        <w:tc>
          <w:tcPr>
            <w:tcW w:w="1350" w:type="dxa"/>
          </w:tcPr>
          <w:p w:rsidR="0002155C" w:rsidRDefault="0002155C" w:rsidP="00064502">
            <w:r>
              <w:t>1403</w:t>
            </w:r>
          </w:p>
        </w:tc>
        <w:tc>
          <w:tcPr>
            <w:tcW w:w="1620" w:type="dxa"/>
          </w:tcPr>
          <w:p w:rsidR="0002155C" w:rsidRDefault="0002155C" w:rsidP="00064502">
            <w:r w:rsidRPr="000251A0">
              <w:t>Fabricarea altor piese si accesorii pentru autovehicule si pentru motoare de autovehicule</w:t>
            </w:r>
            <w:r>
              <w:t xml:space="preserve"> (tapițerii auto)</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tc>
        <w:tc>
          <w:tcPr>
            <w:tcW w:w="1622" w:type="dxa"/>
          </w:tcPr>
          <w:p w:rsidR="0002155C" w:rsidRDefault="0002155C" w:rsidP="00064502">
            <w:r w:rsidRPr="000251A0">
              <w:t>FUJIKURA AUTOMOTIVE ROMANIA SR</w:t>
            </w:r>
            <w:r>
              <w:t>L</w:t>
            </w:r>
          </w:p>
          <w:p w:rsidR="0002155C" w:rsidRPr="00801EA9" w:rsidRDefault="0002155C" w:rsidP="00064502">
            <w:r>
              <w:t>Sibiu</w:t>
            </w:r>
          </w:p>
        </w:tc>
        <w:tc>
          <w:tcPr>
            <w:tcW w:w="1178" w:type="dxa"/>
          </w:tcPr>
          <w:p w:rsidR="0002155C" w:rsidRDefault="0002155C" w:rsidP="00064502"/>
        </w:tc>
        <w:tc>
          <w:tcPr>
            <w:tcW w:w="1260" w:type="dxa"/>
          </w:tcPr>
          <w:p w:rsidR="0002155C" w:rsidRDefault="0002155C" w:rsidP="00064502"/>
        </w:tc>
        <w:tc>
          <w:tcPr>
            <w:tcW w:w="1350" w:type="dxa"/>
          </w:tcPr>
          <w:p w:rsidR="0002155C" w:rsidRPr="00BA412A" w:rsidRDefault="0002155C" w:rsidP="00064502">
            <w:r w:rsidRPr="00BA412A">
              <w:t>3196</w:t>
            </w:r>
          </w:p>
        </w:tc>
        <w:tc>
          <w:tcPr>
            <w:tcW w:w="1620" w:type="dxa"/>
          </w:tcPr>
          <w:p w:rsidR="0002155C" w:rsidRDefault="0002155C" w:rsidP="00064502">
            <w:r w:rsidRPr="000251A0">
              <w:t>Fabricarea de echipamente electrice si electronice pentru autovehicule si pentru motoare de autovehicule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0251A0" w:rsidRDefault="0002155C" w:rsidP="00064502">
            <w:r>
              <w:t>Kendrion Automotive</w:t>
            </w:r>
          </w:p>
        </w:tc>
        <w:tc>
          <w:tcPr>
            <w:tcW w:w="1178" w:type="dxa"/>
          </w:tcPr>
          <w:p w:rsidR="0002155C" w:rsidRDefault="0002155C" w:rsidP="00064502">
            <w:r>
              <w:t>olandez</w:t>
            </w:r>
          </w:p>
        </w:tc>
        <w:tc>
          <w:tcPr>
            <w:tcW w:w="1260" w:type="dxa"/>
          </w:tcPr>
          <w:p w:rsidR="0002155C" w:rsidRPr="000251A0" w:rsidRDefault="0002155C" w:rsidP="00064502"/>
        </w:tc>
        <w:tc>
          <w:tcPr>
            <w:tcW w:w="1350" w:type="dxa"/>
          </w:tcPr>
          <w:p w:rsidR="0002155C" w:rsidRPr="000251A0" w:rsidRDefault="0002155C" w:rsidP="00064502">
            <w:r w:rsidRPr="000251A0">
              <w:t>422</w:t>
            </w:r>
          </w:p>
        </w:tc>
        <w:tc>
          <w:tcPr>
            <w:tcW w:w="1620" w:type="dxa"/>
          </w:tcPr>
          <w:p w:rsidR="0002155C" w:rsidRPr="000251A0" w:rsidRDefault="0002155C" w:rsidP="00064502">
            <w:r>
              <w:rPr>
                <w:color w:val="333333"/>
                <w:shd w:val="clear" w:color="auto" w:fill="FCF8F5"/>
              </w:rPr>
              <w:t>Fabricarea subansamblurilor electronice (module)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Pr="00BA412A" w:rsidRDefault="0002155C" w:rsidP="00064502">
            <w:r w:rsidRPr="00BA412A">
              <w:t>Sibiu</w:t>
            </w:r>
          </w:p>
        </w:tc>
        <w:tc>
          <w:tcPr>
            <w:tcW w:w="1622" w:type="dxa"/>
          </w:tcPr>
          <w:p w:rsidR="0002155C" w:rsidRPr="00BA412A" w:rsidRDefault="0002155C" w:rsidP="00064502">
            <w:r w:rsidRPr="00BA412A">
              <w:t xml:space="preserve"> Simea (Siemens)</w:t>
            </w:r>
          </w:p>
        </w:tc>
        <w:tc>
          <w:tcPr>
            <w:tcW w:w="1178" w:type="dxa"/>
          </w:tcPr>
          <w:p w:rsidR="0002155C" w:rsidRPr="00BA412A" w:rsidRDefault="0002155C" w:rsidP="00064502"/>
        </w:tc>
        <w:tc>
          <w:tcPr>
            <w:tcW w:w="1260" w:type="dxa"/>
          </w:tcPr>
          <w:p w:rsidR="0002155C" w:rsidRPr="00BA412A" w:rsidRDefault="0002155C" w:rsidP="00064502"/>
        </w:tc>
        <w:tc>
          <w:tcPr>
            <w:tcW w:w="1350" w:type="dxa"/>
          </w:tcPr>
          <w:p w:rsidR="0002155C" w:rsidRPr="00BA412A" w:rsidRDefault="0002155C" w:rsidP="00064502">
            <w:r w:rsidRPr="00BA412A">
              <w:t>898</w:t>
            </w:r>
          </w:p>
        </w:tc>
        <w:tc>
          <w:tcPr>
            <w:tcW w:w="1620" w:type="dxa"/>
          </w:tcPr>
          <w:p w:rsidR="0002155C" w:rsidRPr="00BA412A" w:rsidRDefault="0002155C" w:rsidP="00064502">
            <w:r w:rsidRPr="00BA412A">
              <w:t>subansamble electronice (module)</w:t>
            </w:r>
          </w:p>
        </w:tc>
      </w:tr>
      <w:tr w:rsidR="0002155C" w:rsidTr="00064502">
        <w:trPr>
          <w:trHeight w:val="1651"/>
        </w:trPr>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r w:rsidRPr="00801EA9">
              <w:rPr>
                <w:rFonts w:cs="Arial"/>
                <w:color w:val="000000"/>
              </w:rPr>
              <w:t>Thyssen Krupp</w:t>
            </w:r>
            <w:r w:rsidRPr="00801EA9">
              <w:rPr>
                <w:color w:val="000000"/>
              </w:rPr>
              <w:t xml:space="preserve"> </w:t>
            </w:r>
            <w:r>
              <w:rPr>
                <w:color w:val="000000"/>
              </w:rPr>
              <w:t xml:space="preserve"> </w:t>
            </w:r>
            <w:r w:rsidRPr="00801EA9">
              <w:rPr>
                <w:color w:val="000000"/>
              </w:rPr>
              <w:t xml:space="preserve">Bilstein </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476</w:t>
            </w:r>
          </w:p>
        </w:tc>
        <w:tc>
          <w:tcPr>
            <w:tcW w:w="1620" w:type="dxa"/>
          </w:tcPr>
          <w:p w:rsidR="0002155C" w:rsidRDefault="0002155C" w:rsidP="00064502">
            <w:r w:rsidRPr="00F96E6D">
              <w:t>Fabricarea altor piese si accesorii pentru autovehicule si pentru motoare de autovehicule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r w:rsidRPr="00801EA9">
              <w:rPr>
                <w:color w:val="000000"/>
              </w:rPr>
              <w:t xml:space="preserve">Marquardt Schaltsysteme </w:t>
            </w:r>
            <w:r w:rsidRPr="00801EA9">
              <w:rPr>
                <w:color w:val="000000"/>
              </w:rPr>
              <w:lastRenderedPageBreak/>
              <w:t>S.C.S</w:t>
            </w:r>
          </w:p>
        </w:tc>
        <w:tc>
          <w:tcPr>
            <w:tcW w:w="1178" w:type="dxa"/>
          </w:tcPr>
          <w:p w:rsidR="0002155C" w:rsidRDefault="0002155C" w:rsidP="00064502"/>
        </w:tc>
        <w:tc>
          <w:tcPr>
            <w:tcW w:w="1260" w:type="dxa"/>
          </w:tcPr>
          <w:p w:rsidR="0002155C" w:rsidRDefault="0002155C" w:rsidP="00064502"/>
        </w:tc>
        <w:tc>
          <w:tcPr>
            <w:tcW w:w="1350" w:type="dxa"/>
          </w:tcPr>
          <w:p w:rsidR="0002155C" w:rsidRDefault="0002155C" w:rsidP="00064502">
            <w:r>
              <w:t>2457</w:t>
            </w:r>
          </w:p>
        </w:tc>
        <w:tc>
          <w:tcPr>
            <w:tcW w:w="1620" w:type="dxa"/>
          </w:tcPr>
          <w:p w:rsidR="0002155C" w:rsidRDefault="0002155C" w:rsidP="00064502">
            <w:r>
              <w:t xml:space="preserve">sisteme </w:t>
            </w:r>
            <w:r>
              <w:lastRenderedPageBreak/>
              <w:t>electrice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pPr>
              <w:rPr>
                <w:rFonts w:cs="Helvetica"/>
                <w:color w:val="333333"/>
                <w:shd w:val="clear" w:color="auto" w:fill="FFFFFF"/>
              </w:rPr>
            </w:pPr>
            <w:r w:rsidRPr="00801EA9">
              <w:rPr>
                <w:rFonts w:cs="Helvetica"/>
                <w:color w:val="333333"/>
                <w:shd w:val="clear" w:color="auto" w:fill="FFFFFF"/>
              </w:rPr>
              <w:t>Brandl</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564</w:t>
            </w:r>
          </w:p>
        </w:tc>
        <w:tc>
          <w:tcPr>
            <w:tcW w:w="1620" w:type="dxa"/>
          </w:tcPr>
          <w:p w:rsidR="0002155C" w:rsidRDefault="0002155C" w:rsidP="00064502">
            <w:r w:rsidRPr="00C121DC">
              <w:t>Fabricarea altor piese si accesorii pentru autovehicule si pentru motoare de autovehicule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pPr>
              <w:rPr>
                <w:rFonts w:cs="Helvetica"/>
                <w:color w:val="333333"/>
                <w:shd w:val="clear" w:color="auto" w:fill="FFFFFF"/>
              </w:rPr>
            </w:pPr>
            <w:r w:rsidRPr="00801EA9">
              <w:rPr>
                <w:rFonts w:cs="Arial"/>
                <w:bCs/>
                <w:color w:val="343434"/>
                <w:shd w:val="clear" w:color="auto" w:fill="FFFFFF"/>
              </w:rPr>
              <w:t>Grupo Antolin</w:t>
            </w:r>
          </w:p>
        </w:tc>
        <w:tc>
          <w:tcPr>
            <w:tcW w:w="1178" w:type="dxa"/>
          </w:tcPr>
          <w:p w:rsidR="0002155C" w:rsidRDefault="0002155C" w:rsidP="00064502">
            <w:r>
              <w:t>spaniol</w:t>
            </w:r>
          </w:p>
        </w:tc>
        <w:tc>
          <w:tcPr>
            <w:tcW w:w="1260" w:type="dxa"/>
          </w:tcPr>
          <w:p w:rsidR="0002155C" w:rsidRDefault="0002155C" w:rsidP="00064502"/>
        </w:tc>
        <w:tc>
          <w:tcPr>
            <w:tcW w:w="1350" w:type="dxa"/>
          </w:tcPr>
          <w:p w:rsidR="0002155C" w:rsidRDefault="0002155C" w:rsidP="00064502">
            <w:r>
              <w:t>311</w:t>
            </w:r>
          </w:p>
        </w:tc>
        <w:tc>
          <w:tcPr>
            <w:tcW w:w="1620" w:type="dxa"/>
          </w:tcPr>
          <w:p w:rsidR="0002155C" w:rsidRDefault="0002155C" w:rsidP="00064502">
            <w:r>
              <w:t>corpuri de iluminat</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pPr>
              <w:rPr>
                <w:rFonts w:cs="Arial"/>
                <w:bCs/>
                <w:color w:val="343434"/>
                <w:shd w:val="clear" w:color="auto" w:fill="FFFFFF"/>
              </w:rPr>
            </w:pPr>
            <w:r w:rsidRPr="00801EA9">
              <w:rPr>
                <w:rFonts w:cs="Arial"/>
                <w:bCs/>
                <w:color w:val="343434"/>
                <w:shd w:val="clear" w:color="auto" w:fill="FFFFFF"/>
              </w:rPr>
              <w:t>Simea</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898</w:t>
            </w:r>
          </w:p>
        </w:tc>
        <w:tc>
          <w:tcPr>
            <w:tcW w:w="1620" w:type="dxa"/>
          </w:tcPr>
          <w:p w:rsidR="0002155C" w:rsidRDefault="0002155C" w:rsidP="00064502">
            <w:r>
              <w:t>subansamble  electronice (module)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Mediaș</w:t>
            </w:r>
          </w:p>
        </w:tc>
        <w:tc>
          <w:tcPr>
            <w:tcW w:w="1622" w:type="dxa"/>
          </w:tcPr>
          <w:p w:rsidR="0002155C" w:rsidRPr="00801EA9" w:rsidRDefault="0002155C" w:rsidP="00064502">
            <w:pPr>
              <w:rPr>
                <w:rFonts w:cs="Arial"/>
                <w:bCs/>
                <w:color w:val="343434"/>
                <w:shd w:val="clear" w:color="auto" w:fill="FFFFFF"/>
              </w:rPr>
            </w:pPr>
            <w:r w:rsidRPr="00801EA9">
              <w:rPr>
                <w:color w:val="000000"/>
              </w:rPr>
              <w:t>Kromberg &amp;Schubert</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5405</w:t>
            </w:r>
          </w:p>
        </w:tc>
        <w:tc>
          <w:tcPr>
            <w:tcW w:w="1620" w:type="dxa"/>
          </w:tcPr>
          <w:p w:rsidR="0002155C" w:rsidRDefault="0002155C" w:rsidP="00064502">
            <w:r>
              <w:t>cablaje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pPr>
              <w:rPr>
                <w:rFonts w:cs="Arial"/>
                <w:bCs/>
                <w:color w:val="343434"/>
                <w:shd w:val="clear" w:color="auto" w:fill="FFFFFF"/>
              </w:rPr>
            </w:pPr>
            <w:r w:rsidRPr="00801EA9">
              <w:rPr>
                <w:color w:val="000000"/>
              </w:rPr>
              <w:t>Kromberg &amp;Schubert</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tc>
        <w:tc>
          <w:tcPr>
            <w:tcW w:w="1620" w:type="dxa"/>
          </w:tcPr>
          <w:p w:rsidR="0002155C" w:rsidRDefault="0002155C" w:rsidP="00064502">
            <w:r>
              <w:t>Centru de cercetare- dezvoltare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rPr>
                <w:color w:val="000000"/>
              </w:rPr>
              <w:t>Mediaș</w:t>
            </w:r>
          </w:p>
        </w:tc>
        <w:tc>
          <w:tcPr>
            <w:tcW w:w="1622" w:type="dxa"/>
          </w:tcPr>
          <w:p w:rsidR="0002155C" w:rsidRPr="00801EA9" w:rsidRDefault="0002155C" w:rsidP="00064502">
            <w:pPr>
              <w:rPr>
                <w:color w:val="000000"/>
              </w:rPr>
            </w:pPr>
            <w:r>
              <w:rPr>
                <w:color w:val="000000"/>
              </w:rPr>
              <w:t>Schrader Mediaș</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53</w:t>
            </w:r>
          </w:p>
        </w:tc>
        <w:tc>
          <w:tcPr>
            <w:tcW w:w="1620" w:type="dxa"/>
          </w:tcPr>
          <w:p w:rsidR="0002155C" w:rsidRDefault="0002155C" w:rsidP="00064502">
            <w:r>
              <w:t xml:space="preserve">Remorci, suprastructuri </w:t>
            </w:r>
          </w:p>
          <w:p w:rsidR="0002155C" w:rsidRDefault="0002155C" w:rsidP="00064502">
            <w:r>
              <w:t>auto</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rPr>
                <w:color w:val="000000"/>
              </w:rPr>
              <w:t>Mediaș</w:t>
            </w:r>
          </w:p>
        </w:tc>
        <w:tc>
          <w:tcPr>
            <w:tcW w:w="1622" w:type="dxa"/>
          </w:tcPr>
          <w:p w:rsidR="0002155C" w:rsidRPr="00801EA9" w:rsidRDefault="0002155C" w:rsidP="00064502">
            <w:pPr>
              <w:rPr>
                <w:color w:val="000000"/>
              </w:rPr>
            </w:pPr>
            <w:r>
              <w:rPr>
                <w:color w:val="000000"/>
              </w:rPr>
              <w:t>Langendorf Mediaș</w:t>
            </w:r>
          </w:p>
        </w:tc>
        <w:tc>
          <w:tcPr>
            <w:tcW w:w="1178" w:type="dxa"/>
          </w:tcPr>
          <w:p w:rsidR="0002155C" w:rsidRDefault="0002155C" w:rsidP="00064502">
            <w:r>
              <w:t>german</w:t>
            </w:r>
          </w:p>
        </w:tc>
        <w:tc>
          <w:tcPr>
            <w:tcW w:w="1260" w:type="dxa"/>
          </w:tcPr>
          <w:p w:rsidR="0002155C" w:rsidRDefault="0002155C" w:rsidP="00064502"/>
        </w:tc>
        <w:tc>
          <w:tcPr>
            <w:tcW w:w="1350" w:type="dxa"/>
          </w:tcPr>
          <w:p w:rsidR="0002155C" w:rsidRDefault="0002155C" w:rsidP="00064502">
            <w:r>
              <w:t>62</w:t>
            </w:r>
          </w:p>
        </w:tc>
        <w:tc>
          <w:tcPr>
            <w:tcW w:w="1620" w:type="dxa"/>
          </w:tcPr>
          <w:p w:rsidR="0002155C" w:rsidRDefault="0002155C" w:rsidP="00064502">
            <w:r>
              <w:t xml:space="preserve">Remorci, suprastructuri </w:t>
            </w:r>
          </w:p>
          <w:p w:rsidR="0002155C" w:rsidRDefault="0002155C" w:rsidP="00064502">
            <w:r>
              <w:t>auto</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Avrig</w:t>
            </w:r>
          </w:p>
        </w:tc>
        <w:tc>
          <w:tcPr>
            <w:tcW w:w="1622" w:type="dxa"/>
          </w:tcPr>
          <w:p w:rsidR="0002155C" w:rsidRPr="00801EA9" w:rsidRDefault="0002155C" w:rsidP="00064502">
            <w:pPr>
              <w:rPr>
                <w:color w:val="000000"/>
              </w:rPr>
            </w:pPr>
            <w:r w:rsidRPr="00801EA9">
              <w:t xml:space="preserve">Mecanica </w:t>
            </w:r>
            <w:r>
              <w:t xml:space="preserve"> SA</w:t>
            </w:r>
          </w:p>
        </w:tc>
        <w:tc>
          <w:tcPr>
            <w:tcW w:w="1178" w:type="dxa"/>
          </w:tcPr>
          <w:p w:rsidR="0002155C" w:rsidRDefault="0002155C" w:rsidP="00064502">
            <w:r>
              <w:t>românesc</w:t>
            </w:r>
          </w:p>
        </w:tc>
        <w:tc>
          <w:tcPr>
            <w:tcW w:w="1260" w:type="dxa"/>
          </w:tcPr>
          <w:p w:rsidR="0002155C" w:rsidRDefault="0002155C" w:rsidP="00064502"/>
        </w:tc>
        <w:tc>
          <w:tcPr>
            <w:tcW w:w="1350" w:type="dxa"/>
          </w:tcPr>
          <w:p w:rsidR="0002155C" w:rsidRDefault="0002155C" w:rsidP="00064502">
            <w:r>
              <w:t>100</w:t>
            </w:r>
          </w:p>
        </w:tc>
        <w:tc>
          <w:tcPr>
            <w:tcW w:w="1620" w:type="dxa"/>
          </w:tcPr>
          <w:p w:rsidR="0002155C" w:rsidRDefault="0002155C" w:rsidP="00064502">
            <w:r>
              <w:t>Remorci, suprastructuri auto</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Pr="00801EA9" w:rsidRDefault="0002155C" w:rsidP="00064502">
            <w:r>
              <w:t>Compa</w:t>
            </w:r>
          </w:p>
        </w:tc>
        <w:tc>
          <w:tcPr>
            <w:tcW w:w="1178" w:type="dxa"/>
          </w:tcPr>
          <w:p w:rsidR="0002155C" w:rsidRDefault="0002155C" w:rsidP="00064502">
            <w:r>
              <w:t>românesc</w:t>
            </w:r>
          </w:p>
        </w:tc>
        <w:tc>
          <w:tcPr>
            <w:tcW w:w="1260" w:type="dxa"/>
          </w:tcPr>
          <w:p w:rsidR="0002155C" w:rsidRDefault="0002155C" w:rsidP="00064502"/>
        </w:tc>
        <w:tc>
          <w:tcPr>
            <w:tcW w:w="1350" w:type="dxa"/>
          </w:tcPr>
          <w:p w:rsidR="0002155C" w:rsidRDefault="0002155C" w:rsidP="00064502">
            <w:r>
              <w:t>1743</w:t>
            </w:r>
          </w:p>
        </w:tc>
        <w:tc>
          <w:tcPr>
            <w:tcW w:w="1620" w:type="dxa"/>
          </w:tcPr>
          <w:p w:rsidR="0002155C" w:rsidRDefault="0002155C" w:rsidP="00064502">
            <w:r>
              <w:t>Injectoare, direcții, turbosuflante, arcuri, frâne</w:t>
            </w:r>
          </w:p>
        </w:tc>
      </w:tr>
      <w:tr w:rsidR="0002155C" w:rsidTr="00064502">
        <w:tc>
          <w:tcPr>
            <w:tcW w:w="1023" w:type="dxa"/>
            <w:vMerge/>
          </w:tcPr>
          <w:p w:rsidR="0002155C" w:rsidRDefault="0002155C" w:rsidP="00064502">
            <w:pPr>
              <w:jc w:val="center"/>
              <w:rPr>
                <w:sz w:val="24"/>
                <w:szCs w:val="24"/>
              </w:rPr>
            </w:pPr>
          </w:p>
        </w:tc>
        <w:tc>
          <w:tcPr>
            <w:tcW w:w="1325" w:type="dxa"/>
          </w:tcPr>
          <w:p w:rsidR="0002155C" w:rsidRDefault="0002155C" w:rsidP="00064502">
            <w:r>
              <w:t>Sibiu</w:t>
            </w:r>
          </w:p>
        </w:tc>
        <w:tc>
          <w:tcPr>
            <w:tcW w:w="1622" w:type="dxa"/>
          </w:tcPr>
          <w:p w:rsidR="0002155C" w:rsidRDefault="0002155C" w:rsidP="00064502">
            <w:r>
              <w:t>Flaro (RTC)</w:t>
            </w:r>
          </w:p>
        </w:tc>
        <w:tc>
          <w:tcPr>
            <w:tcW w:w="1178" w:type="dxa"/>
          </w:tcPr>
          <w:p w:rsidR="0002155C" w:rsidRDefault="0002155C" w:rsidP="00064502">
            <w:r>
              <w:t>francez</w:t>
            </w:r>
          </w:p>
        </w:tc>
        <w:tc>
          <w:tcPr>
            <w:tcW w:w="1260" w:type="dxa"/>
          </w:tcPr>
          <w:p w:rsidR="0002155C" w:rsidRDefault="0002155C" w:rsidP="00064502"/>
        </w:tc>
        <w:tc>
          <w:tcPr>
            <w:tcW w:w="1350" w:type="dxa"/>
          </w:tcPr>
          <w:p w:rsidR="0002155C" w:rsidRDefault="0002155C" w:rsidP="00064502">
            <w:r>
              <w:t>367</w:t>
            </w:r>
          </w:p>
        </w:tc>
        <w:tc>
          <w:tcPr>
            <w:tcW w:w="1620" w:type="dxa"/>
          </w:tcPr>
          <w:p w:rsidR="0002155C" w:rsidRDefault="0002155C" w:rsidP="00064502">
            <w:r>
              <w:t>Cablaje, componente din mase plastice</w:t>
            </w:r>
          </w:p>
        </w:tc>
      </w:tr>
    </w:tbl>
    <w:p w:rsidR="0002155C" w:rsidRDefault="0002155C" w:rsidP="0002155C">
      <w:pPr>
        <w:rPr>
          <w:sz w:val="24"/>
          <w:szCs w:val="24"/>
        </w:rPr>
      </w:pPr>
      <w:r w:rsidRPr="00A674C2">
        <w:rPr>
          <w:b/>
          <w:sz w:val="24"/>
          <w:szCs w:val="24"/>
        </w:rPr>
        <w:t>Sursa:</w:t>
      </w:r>
      <w:r>
        <w:rPr>
          <w:sz w:val="24"/>
          <w:szCs w:val="24"/>
        </w:rPr>
        <w:t xml:space="preserve"> ANAF, media online</w:t>
      </w:r>
    </w:p>
    <w:p w:rsidR="0002155C" w:rsidRDefault="0002155C" w:rsidP="0002155C">
      <w:pPr>
        <w:rPr>
          <w:sz w:val="24"/>
          <w:szCs w:val="24"/>
        </w:rPr>
      </w:pPr>
    </w:p>
    <w:p w:rsidR="0002155C" w:rsidRPr="00BA3B87" w:rsidRDefault="0002155C" w:rsidP="0002155C">
      <w:pPr>
        <w:jc w:val="center"/>
        <w:rPr>
          <w:b/>
          <w:sz w:val="24"/>
          <w:szCs w:val="24"/>
        </w:rPr>
      </w:pPr>
      <w:r>
        <w:rPr>
          <w:b/>
          <w:sz w:val="24"/>
          <w:szCs w:val="24"/>
        </w:rPr>
        <w:t>Tab. 4 Principalele c</w:t>
      </w:r>
      <w:r w:rsidRPr="00BA3B87">
        <w:rPr>
          <w:b/>
          <w:sz w:val="24"/>
          <w:szCs w:val="24"/>
        </w:rPr>
        <w:t xml:space="preserve">ompanii </w:t>
      </w:r>
      <w:r>
        <w:rPr>
          <w:b/>
          <w:sz w:val="24"/>
          <w:szCs w:val="24"/>
        </w:rPr>
        <w:t xml:space="preserve">și unități </w:t>
      </w:r>
      <w:r w:rsidRPr="00BA3B87">
        <w:rPr>
          <w:b/>
          <w:sz w:val="24"/>
          <w:szCs w:val="24"/>
        </w:rPr>
        <w:t>active în domeniul auto din județele Brașov, Covasna și Mureș</w:t>
      </w:r>
    </w:p>
    <w:tbl>
      <w:tblPr>
        <w:tblStyle w:val="Hyperlink"/>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1270"/>
        <w:gridCol w:w="1566"/>
        <w:gridCol w:w="1419"/>
        <w:gridCol w:w="1285"/>
        <w:gridCol w:w="1260"/>
        <w:gridCol w:w="1440"/>
      </w:tblGrid>
      <w:tr w:rsidR="0002155C" w:rsidTr="00064502">
        <w:trPr>
          <w:tblHeader/>
        </w:trPr>
        <w:tc>
          <w:tcPr>
            <w:tcW w:w="1048" w:type="dxa"/>
            <w:tcBorders>
              <w:bottom w:val="single" w:sz="4" w:space="0" w:color="auto"/>
            </w:tcBorders>
          </w:tcPr>
          <w:p w:rsidR="0002155C" w:rsidRPr="003C1165" w:rsidRDefault="0002155C" w:rsidP="00064502">
            <w:r w:rsidRPr="003C1165">
              <w:t>Județul</w:t>
            </w:r>
          </w:p>
        </w:tc>
        <w:tc>
          <w:tcPr>
            <w:tcW w:w="1270" w:type="dxa"/>
            <w:tcBorders>
              <w:bottom w:val="single" w:sz="4" w:space="0" w:color="auto"/>
            </w:tcBorders>
          </w:tcPr>
          <w:p w:rsidR="0002155C" w:rsidRPr="003C1165" w:rsidRDefault="0002155C" w:rsidP="00064502">
            <w:r w:rsidRPr="003C1165">
              <w:t>Localitatea</w:t>
            </w:r>
          </w:p>
        </w:tc>
        <w:tc>
          <w:tcPr>
            <w:tcW w:w="1566" w:type="dxa"/>
            <w:tcBorders>
              <w:bottom w:val="single" w:sz="4" w:space="0" w:color="auto"/>
            </w:tcBorders>
          </w:tcPr>
          <w:p w:rsidR="0002155C" w:rsidRPr="003C1165" w:rsidRDefault="0002155C" w:rsidP="00064502">
            <w:r w:rsidRPr="003C1165">
              <w:t>Denumirea companiei</w:t>
            </w:r>
          </w:p>
        </w:tc>
        <w:tc>
          <w:tcPr>
            <w:tcW w:w="1419" w:type="dxa"/>
            <w:tcBorders>
              <w:bottom w:val="single" w:sz="4" w:space="0" w:color="auto"/>
            </w:tcBorders>
          </w:tcPr>
          <w:p w:rsidR="0002155C" w:rsidRPr="003C1165" w:rsidRDefault="0002155C" w:rsidP="00064502">
            <w:r w:rsidRPr="003C1165">
              <w:t>Acționariatul</w:t>
            </w:r>
          </w:p>
        </w:tc>
        <w:tc>
          <w:tcPr>
            <w:tcW w:w="1285" w:type="dxa"/>
            <w:tcBorders>
              <w:bottom w:val="single" w:sz="4" w:space="0" w:color="auto"/>
            </w:tcBorders>
          </w:tcPr>
          <w:p w:rsidR="0002155C" w:rsidRPr="003C1165" w:rsidRDefault="0002155C" w:rsidP="00064502">
            <w:r w:rsidRPr="00457709">
              <w:t>Valoarea</w:t>
            </w:r>
            <w:r>
              <w:t xml:space="preserve"> declarată a</w:t>
            </w:r>
            <w:r w:rsidRPr="00457709">
              <w:t xml:space="preserve"> investiției (euro)</w:t>
            </w:r>
          </w:p>
        </w:tc>
        <w:tc>
          <w:tcPr>
            <w:tcW w:w="1260" w:type="dxa"/>
            <w:tcBorders>
              <w:bottom w:val="single" w:sz="4" w:space="0" w:color="auto"/>
            </w:tcBorders>
          </w:tcPr>
          <w:p w:rsidR="0002155C" w:rsidRPr="003C1165" w:rsidRDefault="0002155C" w:rsidP="00064502">
            <w:r w:rsidRPr="003C1165">
              <w:t xml:space="preserve">Nr. </w:t>
            </w:r>
            <w:r>
              <w:t xml:space="preserve">mediu de </w:t>
            </w:r>
            <w:r w:rsidRPr="003C1165">
              <w:t>angajați</w:t>
            </w:r>
            <w:r>
              <w:t xml:space="preserve"> (2015)</w:t>
            </w:r>
          </w:p>
        </w:tc>
        <w:tc>
          <w:tcPr>
            <w:tcW w:w="1440" w:type="dxa"/>
            <w:tcBorders>
              <w:bottom w:val="single" w:sz="4" w:space="0" w:color="auto"/>
            </w:tcBorders>
          </w:tcPr>
          <w:p w:rsidR="0002155C" w:rsidRPr="003C1165" w:rsidRDefault="0002155C" w:rsidP="00064502">
            <w:r>
              <w:t xml:space="preserve">Produsele </w:t>
            </w:r>
            <w:r w:rsidRPr="003C1165">
              <w:t xml:space="preserve"> principal</w:t>
            </w:r>
            <w:r>
              <w:t>e realizate</w:t>
            </w:r>
          </w:p>
        </w:tc>
      </w:tr>
      <w:tr w:rsidR="0002155C" w:rsidTr="00064502">
        <w:tc>
          <w:tcPr>
            <w:tcW w:w="1048" w:type="dxa"/>
            <w:vMerge w:val="restart"/>
            <w:tcBorders>
              <w:right w:val="single" w:sz="4" w:space="0" w:color="auto"/>
            </w:tcBorders>
            <w:vAlign w:val="center"/>
          </w:tcPr>
          <w:p w:rsidR="0002155C" w:rsidRDefault="0002155C" w:rsidP="00064502">
            <w:pPr>
              <w:rPr>
                <w:sz w:val="24"/>
                <w:szCs w:val="24"/>
              </w:rPr>
            </w:pPr>
            <w:r>
              <w:rPr>
                <w:sz w:val="24"/>
                <w:szCs w:val="24"/>
              </w:rPr>
              <w:t>Brașov</w:t>
            </w:r>
          </w:p>
        </w:tc>
        <w:tc>
          <w:tcPr>
            <w:tcW w:w="1270" w:type="dxa"/>
            <w:tcBorders>
              <w:left w:val="single" w:sz="4" w:space="0" w:color="auto"/>
              <w:right w:val="single" w:sz="4" w:space="0" w:color="auto"/>
            </w:tcBorders>
          </w:tcPr>
          <w:p w:rsidR="0002155C" w:rsidRDefault="0002155C" w:rsidP="00064502">
            <w:r>
              <w:t>Brașov</w:t>
            </w:r>
          </w:p>
        </w:tc>
        <w:tc>
          <w:tcPr>
            <w:tcW w:w="1566" w:type="dxa"/>
            <w:tcBorders>
              <w:left w:val="single" w:sz="4" w:space="0" w:color="auto"/>
              <w:right w:val="single" w:sz="4" w:space="0" w:color="auto"/>
            </w:tcBorders>
          </w:tcPr>
          <w:p w:rsidR="0002155C" w:rsidRDefault="0002155C" w:rsidP="00064502">
            <w:r>
              <w:t>Autoliv România</w:t>
            </w:r>
          </w:p>
        </w:tc>
        <w:tc>
          <w:tcPr>
            <w:tcW w:w="1419" w:type="dxa"/>
            <w:tcBorders>
              <w:left w:val="single" w:sz="4" w:space="0" w:color="auto"/>
              <w:right w:val="single" w:sz="4" w:space="0" w:color="auto"/>
            </w:tcBorders>
          </w:tcPr>
          <w:p w:rsidR="0002155C" w:rsidRDefault="0002155C" w:rsidP="00064502">
            <w:r>
              <w:t>suedez</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r>
              <w:t>8124</w:t>
            </w:r>
          </w:p>
          <w:p w:rsidR="0002155C" w:rsidRDefault="0002155C" w:rsidP="00064502"/>
        </w:tc>
        <w:tc>
          <w:tcPr>
            <w:tcW w:w="1440" w:type="dxa"/>
            <w:tcBorders>
              <w:left w:val="single" w:sz="4" w:space="0" w:color="auto"/>
            </w:tcBorders>
          </w:tcPr>
          <w:p w:rsidR="0002155C" w:rsidRDefault="0002155C" w:rsidP="00064502">
            <w:r>
              <w:t>sisteme de siguranță auto</w:t>
            </w:r>
          </w:p>
        </w:tc>
      </w:tr>
      <w:tr w:rsidR="0002155C" w:rsidTr="00064502">
        <w:tc>
          <w:tcPr>
            <w:tcW w:w="1048" w:type="dxa"/>
            <w:vMerge/>
            <w:vAlign w:val="center"/>
          </w:tcPr>
          <w:p w:rsidR="0002155C" w:rsidRDefault="0002155C" w:rsidP="00064502">
            <w:pPr>
              <w:rPr>
                <w:sz w:val="24"/>
                <w:szCs w:val="24"/>
              </w:rPr>
            </w:pPr>
          </w:p>
        </w:tc>
        <w:tc>
          <w:tcPr>
            <w:tcW w:w="1270" w:type="dxa"/>
          </w:tcPr>
          <w:p w:rsidR="0002155C" w:rsidRPr="00BA412A" w:rsidRDefault="0002155C" w:rsidP="00064502">
            <w:r w:rsidRPr="00BA412A">
              <w:t>Brașov</w:t>
            </w:r>
          </w:p>
        </w:tc>
        <w:tc>
          <w:tcPr>
            <w:tcW w:w="1566" w:type="dxa"/>
          </w:tcPr>
          <w:p w:rsidR="0002155C" w:rsidRPr="00BA412A" w:rsidRDefault="0002155C" w:rsidP="00064502">
            <w:r w:rsidRPr="00BA412A">
              <w:t>Centrul de inginerie si dezvoltare Autoliv</w:t>
            </w:r>
          </w:p>
        </w:tc>
        <w:tc>
          <w:tcPr>
            <w:tcW w:w="1419" w:type="dxa"/>
          </w:tcPr>
          <w:p w:rsidR="0002155C" w:rsidRPr="00BA412A" w:rsidRDefault="0002155C" w:rsidP="00064502">
            <w:r w:rsidRPr="00BA412A">
              <w:t>suedez</w:t>
            </w:r>
          </w:p>
        </w:tc>
        <w:tc>
          <w:tcPr>
            <w:tcW w:w="1285" w:type="dxa"/>
          </w:tcPr>
          <w:p w:rsidR="0002155C" w:rsidRPr="00BA412A" w:rsidRDefault="0002155C" w:rsidP="00064502"/>
        </w:tc>
        <w:tc>
          <w:tcPr>
            <w:tcW w:w="1260" w:type="dxa"/>
          </w:tcPr>
          <w:p w:rsidR="0002155C" w:rsidRPr="00BA412A" w:rsidRDefault="0002155C" w:rsidP="00064502"/>
        </w:tc>
        <w:tc>
          <w:tcPr>
            <w:tcW w:w="1440" w:type="dxa"/>
          </w:tcPr>
          <w:p w:rsidR="0002155C" w:rsidRPr="00BA412A" w:rsidRDefault="0002155C" w:rsidP="00064502">
            <w:r w:rsidRPr="00BA412A">
              <w:t>sisteme de siguranță auto</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Default="0002155C" w:rsidP="00064502">
            <w:r>
              <w:t>Prejmer</w:t>
            </w:r>
          </w:p>
        </w:tc>
        <w:tc>
          <w:tcPr>
            <w:tcW w:w="1566" w:type="dxa"/>
            <w:tcBorders>
              <w:left w:val="single" w:sz="4" w:space="0" w:color="auto"/>
              <w:right w:val="single" w:sz="4" w:space="0" w:color="auto"/>
            </w:tcBorders>
          </w:tcPr>
          <w:p w:rsidR="0002155C" w:rsidRDefault="0002155C" w:rsidP="00064502">
            <w:r>
              <w:t>Autoliv</w:t>
            </w:r>
          </w:p>
        </w:tc>
        <w:tc>
          <w:tcPr>
            <w:tcW w:w="1419" w:type="dxa"/>
            <w:tcBorders>
              <w:left w:val="single" w:sz="4" w:space="0" w:color="auto"/>
              <w:right w:val="single" w:sz="4" w:space="0" w:color="auto"/>
            </w:tcBorders>
          </w:tcPr>
          <w:p w:rsidR="0002155C" w:rsidRDefault="0002155C" w:rsidP="00064502">
            <w:r>
              <w:t>suedez</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tc>
        <w:tc>
          <w:tcPr>
            <w:tcW w:w="1440" w:type="dxa"/>
            <w:tcBorders>
              <w:left w:val="single" w:sz="4" w:space="0" w:color="auto"/>
            </w:tcBorders>
          </w:tcPr>
          <w:p w:rsidR="0002155C" w:rsidRDefault="0002155C" w:rsidP="00064502">
            <w:r>
              <w:t>sisteme de siguranță auto</w:t>
            </w:r>
          </w:p>
        </w:tc>
      </w:tr>
      <w:tr w:rsidR="0002155C" w:rsidTr="00064502">
        <w:tc>
          <w:tcPr>
            <w:tcW w:w="1048" w:type="dxa"/>
            <w:vMerge/>
            <w:vAlign w:val="center"/>
          </w:tcPr>
          <w:p w:rsidR="0002155C" w:rsidRDefault="0002155C" w:rsidP="00064502">
            <w:pPr>
              <w:rPr>
                <w:sz w:val="24"/>
                <w:szCs w:val="24"/>
              </w:rPr>
            </w:pPr>
          </w:p>
        </w:tc>
        <w:tc>
          <w:tcPr>
            <w:tcW w:w="1270" w:type="dxa"/>
          </w:tcPr>
          <w:p w:rsidR="0002155C" w:rsidRDefault="0002155C" w:rsidP="00064502">
            <w:r>
              <w:t>Cristian</w:t>
            </w:r>
          </w:p>
        </w:tc>
        <w:tc>
          <w:tcPr>
            <w:tcW w:w="1566" w:type="dxa"/>
          </w:tcPr>
          <w:p w:rsidR="0002155C" w:rsidRDefault="0002155C" w:rsidP="00064502">
            <w:r>
              <w:t>Schaeffler</w:t>
            </w:r>
          </w:p>
        </w:tc>
        <w:tc>
          <w:tcPr>
            <w:tcW w:w="1419" w:type="dxa"/>
          </w:tcPr>
          <w:p w:rsidR="0002155C" w:rsidRDefault="0002155C" w:rsidP="00064502">
            <w:r>
              <w:t>german</w:t>
            </w:r>
          </w:p>
        </w:tc>
        <w:tc>
          <w:tcPr>
            <w:tcW w:w="1285" w:type="dxa"/>
          </w:tcPr>
          <w:p w:rsidR="0002155C" w:rsidRDefault="0002155C" w:rsidP="00064502"/>
        </w:tc>
        <w:tc>
          <w:tcPr>
            <w:tcW w:w="1260" w:type="dxa"/>
          </w:tcPr>
          <w:p w:rsidR="0002155C" w:rsidRDefault="0002155C" w:rsidP="00064502">
            <w:r>
              <w:t xml:space="preserve">3600 </w:t>
            </w:r>
          </w:p>
        </w:tc>
        <w:tc>
          <w:tcPr>
            <w:tcW w:w="1440" w:type="dxa"/>
          </w:tcPr>
          <w:p w:rsidR="0002155C" w:rsidRDefault="0002155C" w:rsidP="00064502">
            <w:r>
              <w:t>rulmenți,  lagăre de alunecare</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Default="0002155C" w:rsidP="00064502">
            <w:r>
              <w:t>Cristian</w:t>
            </w:r>
          </w:p>
        </w:tc>
        <w:tc>
          <w:tcPr>
            <w:tcW w:w="1566" w:type="dxa"/>
            <w:tcBorders>
              <w:left w:val="single" w:sz="4" w:space="0" w:color="auto"/>
              <w:right w:val="single" w:sz="4" w:space="0" w:color="auto"/>
            </w:tcBorders>
          </w:tcPr>
          <w:p w:rsidR="0002155C" w:rsidRDefault="0002155C" w:rsidP="00064502">
            <w:r>
              <w:t>Rolem</w:t>
            </w:r>
          </w:p>
        </w:tc>
        <w:tc>
          <w:tcPr>
            <w:tcW w:w="1419" w:type="dxa"/>
            <w:tcBorders>
              <w:left w:val="single" w:sz="4" w:space="0" w:color="auto"/>
              <w:right w:val="single" w:sz="4" w:space="0" w:color="auto"/>
            </w:tcBorders>
          </w:tcPr>
          <w:p w:rsidR="0002155C" w:rsidRDefault="0002155C" w:rsidP="00064502">
            <w:r>
              <w:t>german</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r>
              <w:t>580</w:t>
            </w:r>
          </w:p>
        </w:tc>
        <w:tc>
          <w:tcPr>
            <w:tcW w:w="1440" w:type="dxa"/>
            <w:tcBorders>
              <w:left w:val="single" w:sz="4" w:space="0" w:color="auto"/>
            </w:tcBorders>
          </w:tcPr>
          <w:p w:rsidR="0002155C" w:rsidRDefault="0002155C" w:rsidP="00064502"/>
        </w:tc>
      </w:tr>
      <w:tr w:rsidR="0002155C" w:rsidTr="00064502">
        <w:tc>
          <w:tcPr>
            <w:tcW w:w="1048" w:type="dxa"/>
            <w:vMerge/>
            <w:vAlign w:val="center"/>
          </w:tcPr>
          <w:p w:rsidR="0002155C" w:rsidRDefault="0002155C" w:rsidP="00064502">
            <w:pPr>
              <w:rPr>
                <w:sz w:val="24"/>
                <w:szCs w:val="24"/>
              </w:rPr>
            </w:pPr>
          </w:p>
        </w:tc>
        <w:tc>
          <w:tcPr>
            <w:tcW w:w="1270" w:type="dxa"/>
          </w:tcPr>
          <w:p w:rsidR="0002155C" w:rsidRDefault="0002155C" w:rsidP="00064502">
            <w:r>
              <w:t>Codlea</w:t>
            </w:r>
          </w:p>
        </w:tc>
        <w:tc>
          <w:tcPr>
            <w:tcW w:w="1566" w:type="dxa"/>
          </w:tcPr>
          <w:p w:rsidR="0002155C" w:rsidRPr="00B8469D" w:rsidRDefault="0002155C" w:rsidP="00064502">
            <w:pPr>
              <w:rPr>
                <w:rFonts w:cs="Arial"/>
              </w:rPr>
            </w:pPr>
            <w:r w:rsidRPr="00B8469D">
              <w:rPr>
                <w:rFonts w:eastAsia="Times New Roman" w:cs="Arial"/>
                <w:color w:val="000000"/>
              </w:rPr>
              <w:t>DTR Draexlmaier România</w:t>
            </w:r>
          </w:p>
        </w:tc>
        <w:tc>
          <w:tcPr>
            <w:tcW w:w="1419" w:type="dxa"/>
          </w:tcPr>
          <w:p w:rsidR="0002155C" w:rsidRDefault="0002155C" w:rsidP="00064502">
            <w:r>
              <w:t>german</w:t>
            </w:r>
          </w:p>
        </w:tc>
        <w:tc>
          <w:tcPr>
            <w:tcW w:w="1285" w:type="dxa"/>
          </w:tcPr>
          <w:p w:rsidR="0002155C" w:rsidRDefault="0002155C" w:rsidP="00064502"/>
        </w:tc>
        <w:tc>
          <w:tcPr>
            <w:tcW w:w="1260" w:type="dxa"/>
          </w:tcPr>
          <w:p w:rsidR="0002155C" w:rsidRDefault="0002155C" w:rsidP="00064502">
            <w:r>
              <w:t>1050</w:t>
            </w:r>
          </w:p>
        </w:tc>
        <w:tc>
          <w:tcPr>
            <w:tcW w:w="1440" w:type="dxa"/>
          </w:tcPr>
          <w:p w:rsidR="0002155C" w:rsidRDefault="0002155C" w:rsidP="00064502">
            <w:r>
              <w:t>cablaje</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Default="0002155C" w:rsidP="00064502">
            <w:r>
              <w:t>Cristian</w:t>
            </w:r>
          </w:p>
        </w:tc>
        <w:tc>
          <w:tcPr>
            <w:tcW w:w="1566" w:type="dxa"/>
            <w:tcBorders>
              <w:left w:val="single" w:sz="4" w:space="0" w:color="auto"/>
              <w:right w:val="single" w:sz="4" w:space="0" w:color="auto"/>
            </w:tcBorders>
          </w:tcPr>
          <w:p w:rsidR="0002155C" w:rsidRPr="00B8469D" w:rsidRDefault="0002155C" w:rsidP="00064502">
            <w:r w:rsidRPr="00B8469D">
              <w:rPr>
                <w:rFonts w:eastAsia="Times New Roman" w:cs="Arial"/>
                <w:color w:val="000000"/>
              </w:rPr>
              <w:t>Continental Automotive</w:t>
            </w:r>
          </w:p>
        </w:tc>
        <w:tc>
          <w:tcPr>
            <w:tcW w:w="1419" w:type="dxa"/>
            <w:tcBorders>
              <w:left w:val="single" w:sz="4" w:space="0" w:color="auto"/>
              <w:right w:val="single" w:sz="4" w:space="0" w:color="auto"/>
            </w:tcBorders>
          </w:tcPr>
          <w:p w:rsidR="0002155C" w:rsidRDefault="0002155C" w:rsidP="00064502">
            <w:r>
              <w:t>german</w:t>
            </w:r>
          </w:p>
        </w:tc>
        <w:tc>
          <w:tcPr>
            <w:tcW w:w="1285" w:type="dxa"/>
            <w:tcBorders>
              <w:left w:val="single" w:sz="4" w:space="0" w:color="auto"/>
              <w:right w:val="single" w:sz="4" w:space="0" w:color="auto"/>
            </w:tcBorders>
          </w:tcPr>
          <w:p w:rsidR="0002155C" w:rsidRDefault="0002155C" w:rsidP="00064502">
            <w:r>
              <w:t xml:space="preserve">20 mil. </w:t>
            </w:r>
          </w:p>
        </w:tc>
        <w:tc>
          <w:tcPr>
            <w:tcW w:w="1260" w:type="dxa"/>
            <w:tcBorders>
              <w:left w:val="single" w:sz="4" w:space="0" w:color="auto"/>
              <w:right w:val="single" w:sz="4" w:space="0" w:color="auto"/>
            </w:tcBorders>
          </w:tcPr>
          <w:p w:rsidR="0002155C" w:rsidRDefault="0002155C" w:rsidP="00064502">
            <w:r>
              <w:t>180</w:t>
            </w:r>
          </w:p>
        </w:tc>
        <w:tc>
          <w:tcPr>
            <w:tcW w:w="1440" w:type="dxa"/>
            <w:tcBorders>
              <w:left w:val="single" w:sz="4" w:space="0" w:color="auto"/>
            </w:tcBorders>
          </w:tcPr>
          <w:p w:rsidR="0002155C" w:rsidRDefault="0002155C" w:rsidP="00064502"/>
        </w:tc>
      </w:tr>
      <w:tr w:rsidR="0002155C" w:rsidTr="00064502">
        <w:tc>
          <w:tcPr>
            <w:tcW w:w="1048" w:type="dxa"/>
            <w:vMerge/>
            <w:vAlign w:val="center"/>
          </w:tcPr>
          <w:p w:rsidR="0002155C" w:rsidRDefault="0002155C" w:rsidP="00064502">
            <w:pPr>
              <w:rPr>
                <w:sz w:val="24"/>
                <w:szCs w:val="24"/>
              </w:rPr>
            </w:pPr>
          </w:p>
        </w:tc>
        <w:tc>
          <w:tcPr>
            <w:tcW w:w="1270" w:type="dxa"/>
          </w:tcPr>
          <w:p w:rsidR="0002155C" w:rsidRDefault="0002155C" w:rsidP="00064502">
            <w:r>
              <w:t>Ghimbav</w:t>
            </w:r>
          </w:p>
        </w:tc>
        <w:tc>
          <w:tcPr>
            <w:tcW w:w="1566" w:type="dxa"/>
          </w:tcPr>
          <w:p w:rsidR="0002155C" w:rsidRPr="00B8469D" w:rsidRDefault="0002155C" w:rsidP="00064502">
            <w:r w:rsidRPr="00B8469D">
              <w:rPr>
                <w:rFonts w:eastAsia="Times New Roman" w:cs="Arial"/>
                <w:color w:val="000000"/>
              </w:rPr>
              <w:t>Quin România</w:t>
            </w:r>
          </w:p>
        </w:tc>
        <w:tc>
          <w:tcPr>
            <w:tcW w:w="1419" w:type="dxa"/>
          </w:tcPr>
          <w:p w:rsidR="0002155C" w:rsidRDefault="0002155C" w:rsidP="00064502">
            <w:r>
              <w:t>german</w:t>
            </w:r>
          </w:p>
        </w:tc>
        <w:tc>
          <w:tcPr>
            <w:tcW w:w="1285" w:type="dxa"/>
          </w:tcPr>
          <w:p w:rsidR="0002155C" w:rsidRDefault="0002155C" w:rsidP="00064502">
            <w:r>
              <w:t xml:space="preserve">22 mil. </w:t>
            </w:r>
          </w:p>
        </w:tc>
        <w:tc>
          <w:tcPr>
            <w:tcW w:w="1260" w:type="dxa"/>
          </w:tcPr>
          <w:p w:rsidR="0002155C" w:rsidRDefault="0002155C" w:rsidP="00064502">
            <w:r>
              <w:t>1250</w:t>
            </w:r>
          </w:p>
        </w:tc>
        <w:tc>
          <w:tcPr>
            <w:tcW w:w="1440" w:type="dxa"/>
          </w:tcPr>
          <w:p w:rsidR="0002155C" w:rsidRDefault="0002155C" w:rsidP="00064502">
            <w:r>
              <w:t>volane, schimbătoare de viteză</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Default="0002155C" w:rsidP="00064502">
            <w:r>
              <w:t>Ghimbav</w:t>
            </w:r>
          </w:p>
        </w:tc>
        <w:tc>
          <w:tcPr>
            <w:tcW w:w="1566" w:type="dxa"/>
            <w:tcBorders>
              <w:left w:val="single" w:sz="4" w:space="0" w:color="auto"/>
              <w:right w:val="single" w:sz="4" w:space="0" w:color="auto"/>
            </w:tcBorders>
          </w:tcPr>
          <w:p w:rsidR="0002155C" w:rsidRDefault="0002155C" w:rsidP="00064502">
            <w:r>
              <w:t>Stabilus</w:t>
            </w:r>
          </w:p>
        </w:tc>
        <w:tc>
          <w:tcPr>
            <w:tcW w:w="1419" w:type="dxa"/>
            <w:tcBorders>
              <w:left w:val="single" w:sz="4" w:space="0" w:color="auto"/>
              <w:right w:val="single" w:sz="4" w:space="0" w:color="auto"/>
            </w:tcBorders>
          </w:tcPr>
          <w:p w:rsidR="0002155C" w:rsidRDefault="0002155C" w:rsidP="00064502">
            <w:r>
              <w:t>german</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r>
              <w:t>440</w:t>
            </w:r>
          </w:p>
        </w:tc>
        <w:tc>
          <w:tcPr>
            <w:tcW w:w="1440" w:type="dxa"/>
            <w:tcBorders>
              <w:left w:val="single" w:sz="4" w:space="0" w:color="auto"/>
            </w:tcBorders>
          </w:tcPr>
          <w:p w:rsidR="0002155C" w:rsidRDefault="0002155C" w:rsidP="00064502"/>
        </w:tc>
      </w:tr>
      <w:tr w:rsidR="0002155C" w:rsidTr="00064502">
        <w:tc>
          <w:tcPr>
            <w:tcW w:w="1048" w:type="dxa"/>
            <w:vMerge/>
            <w:vAlign w:val="center"/>
          </w:tcPr>
          <w:p w:rsidR="0002155C" w:rsidRDefault="0002155C" w:rsidP="00064502">
            <w:pPr>
              <w:rPr>
                <w:sz w:val="24"/>
                <w:szCs w:val="24"/>
              </w:rPr>
            </w:pPr>
          </w:p>
        </w:tc>
        <w:tc>
          <w:tcPr>
            <w:tcW w:w="1270" w:type="dxa"/>
          </w:tcPr>
          <w:p w:rsidR="0002155C" w:rsidRDefault="0002155C" w:rsidP="00064502">
            <w:r>
              <w:t>Ghimbav</w:t>
            </w:r>
          </w:p>
        </w:tc>
        <w:tc>
          <w:tcPr>
            <w:tcW w:w="1566" w:type="dxa"/>
          </w:tcPr>
          <w:p w:rsidR="0002155C" w:rsidRDefault="0002155C" w:rsidP="00064502">
            <w:r>
              <w:t>Preh</w:t>
            </w:r>
          </w:p>
        </w:tc>
        <w:tc>
          <w:tcPr>
            <w:tcW w:w="1419" w:type="dxa"/>
          </w:tcPr>
          <w:p w:rsidR="0002155C" w:rsidRDefault="0002155C" w:rsidP="00064502">
            <w:r>
              <w:t>german</w:t>
            </w:r>
          </w:p>
        </w:tc>
        <w:tc>
          <w:tcPr>
            <w:tcW w:w="1285" w:type="dxa"/>
          </w:tcPr>
          <w:p w:rsidR="0002155C" w:rsidRDefault="0002155C" w:rsidP="00064502"/>
        </w:tc>
        <w:tc>
          <w:tcPr>
            <w:tcW w:w="1260" w:type="dxa"/>
          </w:tcPr>
          <w:p w:rsidR="0002155C" w:rsidRDefault="0002155C" w:rsidP="00064502">
            <w:r>
              <w:t xml:space="preserve">560 </w:t>
            </w:r>
          </w:p>
        </w:tc>
        <w:tc>
          <w:tcPr>
            <w:tcW w:w="1440" w:type="dxa"/>
          </w:tcPr>
          <w:p w:rsidR="0002155C" w:rsidRDefault="0002155C" w:rsidP="00064502"/>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Default="0002155C" w:rsidP="00064502">
            <w:r>
              <w:t>Prejmer</w:t>
            </w:r>
          </w:p>
        </w:tc>
        <w:tc>
          <w:tcPr>
            <w:tcW w:w="1566" w:type="dxa"/>
            <w:tcBorders>
              <w:left w:val="single" w:sz="4" w:space="0" w:color="auto"/>
              <w:right w:val="single" w:sz="4" w:space="0" w:color="auto"/>
            </w:tcBorders>
          </w:tcPr>
          <w:p w:rsidR="0002155C" w:rsidRDefault="0002155C" w:rsidP="00064502">
            <w:r>
              <w:t>Indcar</w:t>
            </w:r>
          </w:p>
        </w:tc>
        <w:tc>
          <w:tcPr>
            <w:tcW w:w="1419" w:type="dxa"/>
            <w:tcBorders>
              <w:left w:val="single" w:sz="4" w:space="0" w:color="auto"/>
              <w:right w:val="single" w:sz="4" w:space="0" w:color="auto"/>
            </w:tcBorders>
          </w:tcPr>
          <w:p w:rsidR="0002155C" w:rsidRDefault="0002155C" w:rsidP="00064502">
            <w:r>
              <w:t>spaniol</w:t>
            </w:r>
          </w:p>
        </w:tc>
        <w:tc>
          <w:tcPr>
            <w:tcW w:w="1285" w:type="dxa"/>
            <w:tcBorders>
              <w:left w:val="single" w:sz="4" w:space="0" w:color="auto"/>
              <w:right w:val="single" w:sz="4" w:space="0" w:color="auto"/>
            </w:tcBorders>
          </w:tcPr>
          <w:p w:rsidR="0002155C" w:rsidRDefault="0002155C" w:rsidP="00064502">
            <w:r>
              <w:t xml:space="preserve">4,6 mil. </w:t>
            </w:r>
          </w:p>
        </w:tc>
        <w:tc>
          <w:tcPr>
            <w:tcW w:w="1260" w:type="dxa"/>
            <w:tcBorders>
              <w:left w:val="single" w:sz="4" w:space="0" w:color="auto"/>
              <w:right w:val="single" w:sz="4" w:space="0" w:color="auto"/>
            </w:tcBorders>
          </w:tcPr>
          <w:p w:rsidR="0002155C" w:rsidRDefault="0002155C" w:rsidP="00064502"/>
        </w:tc>
        <w:tc>
          <w:tcPr>
            <w:tcW w:w="1440" w:type="dxa"/>
            <w:tcBorders>
              <w:left w:val="single" w:sz="4" w:space="0" w:color="auto"/>
            </w:tcBorders>
          </w:tcPr>
          <w:p w:rsidR="0002155C" w:rsidRDefault="0002155C" w:rsidP="00064502">
            <w:r>
              <w:t>caroserii</w:t>
            </w:r>
          </w:p>
        </w:tc>
      </w:tr>
      <w:tr w:rsidR="0002155C" w:rsidTr="00064502">
        <w:tc>
          <w:tcPr>
            <w:tcW w:w="1048" w:type="dxa"/>
            <w:vMerge/>
            <w:vAlign w:val="center"/>
          </w:tcPr>
          <w:p w:rsidR="0002155C" w:rsidRDefault="0002155C" w:rsidP="00064502">
            <w:pPr>
              <w:rPr>
                <w:sz w:val="24"/>
                <w:szCs w:val="24"/>
              </w:rPr>
            </w:pPr>
          </w:p>
        </w:tc>
        <w:tc>
          <w:tcPr>
            <w:tcW w:w="1270" w:type="dxa"/>
          </w:tcPr>
          <w:p w:rsidR="0002155C" w:rsidRDefault="0002155C" w:rsidP="00064502">
            <w:r>
              <w:t>Brașov</w:t>
            </w:r>
          </w:p>
        </w:tc>
        <w:tc>
          <w:tcPr>
            <w:tcW w:w="1566" w:type="dxa"/>
          </w:tcPr>
          <w:p w:rsidR="0002155C" w:rsidRDefault="0002155C" w:rsidP="00064502">
            <w:r>
              <w:t>Roman SA</w:t>
            </w:r>
          </w:p>
        </w:tc>
        <w:tc>
          <w:tcPr>
            <w:tcW w:w="1419" w:type="dxa"/>
          </w:tcPr>
          <w:p w:rsidR="0002155C" w:rsidRDefault="0002155C" w:rsidP="00064502">
            <w:r>
              <w:t>românesc</w:t>
            </w:r>
          </w:p>
        </w:tc>
        <w:tc>
          <w:tcPr>
            <w:tcW w:w="1285" w:type="dxa"/>
          </w:tcPr>
          <w:p w:rsidR="0002155C" w:rsidRDefault="0002155C" w:rsidP="00064502"/>
        </w:tc>
        <w:tc>
          <w:tcPr>
            <w:tcW w:w="1260" w:type="dxa"/>
          </w:tcPr>
          <w:p w:rsidR="0002155C" w:rsidRDefault="0002155C" w:rsidP="00064502">
            <w:r>
              <w:t>224</w:t>
            </w:r>
          </w:p>
        </w:tc>
        <w:tc>
          <w:tcPr>
            <w:tcW w:w="1440" w:type="dxa"/>
          </w:tcPr>
          <w:p w:rsidR="0002155C" w:rsidRDefault="0002155C" w:rsidP="00064502">
            <w:r>
              <w:t xml:space="preserve">camioane, autospeciale, autobuze, piese </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Pr="00D86ECB" w:rsidRDefault="0002155C" w:rsidP="00064502">
            <w:r w:rsidRPr="00D86ECB">
              <w:t>Cristian</w:t>
            </w:r>
          </w:p>
        </w:tc>
        <w:tc>
          <w:tcPr>
            <w:tcW w:w="1566" w:type="dxa"/>
            <w:tcBorders>
              <w:left w:val="single" w:sz="4" w:space="0" w:color="auto"/>
              <w:right w:val="single" w:sz="4" w:space="0" w:color="auto"/>
            </w:tcBorders>
          </w:tcPr>
          <w:p w:rsidR="0002155C" w:rsidRPr="00D86ECB" w:rsidRDefault="0002155C" w:rsidP="00064502">
            <w:r w:rsidRPr="00D86ECB">
              <w:t>Hutchinson</w:t>
            </w:r>
          </w:p>
        </w:tc>
        <w:tc>
          <w:tcPr>
            <w:tcW w:w="1419" w:type="dxa"/>
            <w:tcBorders>
              <w:left w:val="single" w:sz="4" w:space="0" w:color="auto"/>
              <w:right w:val="single" w:sz="4" w:space="0" w:color="auto"/>
            </w:tcBorders>
          </w:tcPr>
          <w:p w:rsidR="0002155C" w:rsidRPr="00D86ECB" w:rsidRDefault="0002155C" w:rsidP="00064502">
            <w:r w:rsidRPr="00D86ECB">
              <w:t>francez</w:t>
            </w:r>
          </w:p>
        </w:tc>
        <w:tc>
          <w:tcPr>
            <w:tcW w:w="1285" w:type="dxa"/>
            <w:tcBorders>
              <w:left w:val="single" w:sz="4" w:space="0" w:color="auto"/>
              <w:right w:val="single" w:sz="4" w:space="0" w:color="auto"/>
            </w:tcBorders>
          </w:tcPr>
          <w:p w:rsidR="0002155C" w:rsidRPr="00D86ECB" w:rsidRDefault="0002155C" w:rsidP="00064502"/>
        </w:tc>
        <w:tc>
          <w:tcPr>
            <w:tcW w:w="1260" w:type="dxa"/>
            <w:tcBorders>
              <w:left w:val="single" w:sz="4" w:space="0" w:color="auto"/>
              <w:right w:val="single" w:sz="4" w:space="0" w:color="auto"/>
            </w:tcBorders>
          </w:tcPr>
          <w:p w:rsidR="0002155C" w:rsidRPr="00D86ECB" w:rsidRDefault="0002155C" w:rsidP="00064502">
            <w:r w:rsidRPr="00D86ECB">
              <w:t>765</w:t>
            </w:r>
          </w:p>
        </w:tc>
        <w:tc>
          <w:tcPr>
            <w:tcW w:w="1440" w:type="dxa"/>
            <w:tcBorders>
              <w:left w:val="single" w:sz="4" w:space="0" w:color="auto"/>
            </w:tcBorders>
          </w:tcPr>
          <w:p w:rsidR="0002155C" w:rsidRDefault="0002155C" w:rsidP="00064502">
            <w:r w:rsidRPr="009B15D2">
              <w:t>componente din cauciuc pentru etanșeizare de precizie</w:t>
            </w:r>
          </w:p>
        </w:tc>
      </w:tr>
      <w:tr w:rsidR="0002155C" w:rsidTr="00064502">
        <w:tc>
          <w:tcPr>
            <w:tcW w:w="1048" w:type="dxa"/>
            <w:vMerge/>
            <w:vAlign w:val="center"/>
          </w:tcPr>
          <w:p w:rsidR="0002155C" w:rsidRDefault="0002155C" w:rsidP="00064502">
            <w:pPr>
              <w:rPr>
                <w:sz w:val="24"/>
                <w:szCs w:val="24"/>
              </w:rPr>
            </w:pPr>
          </w:p>
        </w:tc>
        <w:tc>
          <w:tcPr>
            <w:tcW w:w="1270" w:type="dxa"/>
          </w:tcPr>
          <w:p w:rsidR="0002155C" w:rsidRPr="00D86ECB" w:rsidRDefault="0002155C" w:rsidP="00064502">
            <w:r w:rsidRPr="00D86ECB">
              <w:t>Săcele</w:t>
            </w:r>
          </w:p>
        </w:tc>
        <w:tc>
          <w:tcPr>
            <w:tcW w:w="1566" w:type="dxa"/>
          </w:tcPr>
          <w:p w:rsidR="0002155C" w:rsidRPr="00D86ECB" w:rsidRDefault="0002155C" w:rsidP="00064502">
            <w:r w:rsidRPr="00D86ECB">
              <w:t>Electroprecizia Automotive Equipment</w:t>
            </w:r>
          </w:p>
        </w:tc>
        <w:tc>
          <w:tcPr>
            <w:tcW w:w="1419" w:type="dxa"/>
          </w:tcPr>
          <w:p w:rsidR="0002155C" w:rsidRPr="00D86ECB" w:rsidRDefault="0002155C" w:rsidP="00064502">
            <w:r w:rsidRPr="00D86ECB">
              <w:t>romanesc</w:t>
            </w:r>
          </w:p>
        </w:tc>
        <w:tc>
          <w:tcPr>
            <w:tcW w:w="1285" w:type="dxa"/>
          </w:tcPr>
          <w:p w:rsidR="0002155C" w:rsidRPr="00D86ECB" w:rsidRDefault="0002155C" w:rsidP="00064502"/>
        </w:tc>
        <w:tc>
          <w:tcPr>
            <w:tcW w:w="1260" w:type="dxa"/>
          </w:tcPr>
          <w:p w:rsidR="0002155C" w:rsidRPr="00D86ECB" w:rsidRDefault="0002155C" w:rsidP="00064502">
            <w:r>
              <w:t>109</w:t>
            </w:r>
          </w:p>
        </w:tc>
        <w:tc>
          <w:tcPr>
            <w:tcW w:w="1440" w:type="dxa"/>
          </w:tcPr>
          <w:p w:rsidR="0002155C" w:rsidRDefault="0002155C" w:rsidP="00064502">
            <w:r w:rsidRPr="0053495A">
              <w:t>Fabricarea de echipamente electrice si electronice pentru autovehicule si pentru motoare de autovehicule</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Pr="00D86ECB" w:rsidRDefault="0002155C" w:rsidP="00064502">
            <w:r w:rsidRPr="00D86ECB">
              <w:t>Săcele</w:t>
            </w:r>
          </w:p>
        </w:tc>
        <w:tc>
          <w:tcPr>
            <w:tcW w:w="1566" w:type="dxa"/>
            <w:tcBorders>
              <w:left w:val="single" w:sz="4" w:space="0" w:color="auto"/>
              <w:right w:val="single" w:sz="4" w:space="0" w:color="auto"/>
            </w:tcBorders>
          </w:tcPr>
          <w:p w:rsidR="0002155C" w:rsidRPr="00D86ECB" w:rsidRDefault="0002155C" w:rsidP="00064502">
            <w:r w:rsidRPr="00D86ECB">
              <w:t>Electroprecizia Electrical  Equipment</w:t>
            </w:r>
          </w:p>
        </w:tc>
        <w:tc>
          <w:tcPr>
            <w:tcW w:w="1419" w:type="dxa"/>
            <w:tcBorders>
              <w:left w:val="single" w:sz="4" w:space="0" w:color="auto"/>
              <w:right w:val="single" w:sz="4" w:space="0" w:color="auto"/>
            </w:tcBorders>
          </w:tcPr>
          <w:p w:rsidR="0002155C" w:rsidRPr="00D86ECB" w:rsidRDefault="0002155C" w:rsidP="00064502">
            <w:r w:rsidRPr="00D86ECB">
              <w:t>romanesc</w:t>
            </w:r>
          </w:p>
        </w:tc>
        <w:tc>
          <w:tcPr>
            <w:tcW w:w="1285" w:type="dxa"/>
            <w:tcBorders>
              <w:left w:val="single" w:sz="4" w:space="0" w:color="auto"/>
              <w:right w:val="single" w:sz="4" w:space="0" w:color="auto"/>
            </w:tcBorders>
          </w:tcPr>
          <w:p w:rsidR="0002155C" w:rsidRPr="00D86ECB" w:rsidRDefault="0002155C" w:rsidP="00064502"/>
        </w:tc>
        <w:tc>
          <w:tcPr>
            <w:tcW w:w="1260" w:type="dxa"/>
            <w:tcBorders>
              <w:left w:val="single" w:sz="4" w:space="0" w:color="auto"/>
              <w:right w:val="single" w:sz="4" w:space="0" w:color="auto"/>
            </w:tcBorders>
          </w:tcPr>
          <w:p w:rsidR="0002155C" w:rsidRPr="00D86ECB" w:rsidRDefault="0002155C" w:rsidP="00064502">
            <w:r>
              <w:t>169</w:t>
            </w:r>
          </w:p>
        </w:tc>
        <w:tc>
          <w:tcPr>
            <w:tcW w:w="1440" w:type="dxa"/>
            <w:tcBorders>
              <w:left w:val="single" w:sz="4" w:space="0" w:color="auto"/>
            </w:tcBorders>
          </w:tcPr>
          <w:p w:rsidR="0002155C" w:rsidRDefault="0002155C" w:rsidP="00064502">
            <w:r w:rsidRPr="0053495A">
              <w:t>Fabricarea subansamblurilor electronice (module)</w:t>
            </w:r>
          </w:p>
        </w:tc>
      </w:tr>
      <w:tr w:rsidR="0002155C" w:rsidTr="00064502">
        <w:tc>
          <w:tcPr>
            <w:tcW w:w="1048" w:type="dxa"/>
            <w:vMerge w:val="restart"/>
            <w:vAlign w:val="center"/>
          </w:tcPr>
          <w:p w:rsidR="0002155C" w:rsidRDefault="0002155C" w:rsidP="00064502">
            <w:pPr>
              <w:rPr>
                <w:sz w:val="24"/>
                <w:szCs w:val="24"/>
              </w:rPr>
            </w:pPr>
            <w:r>
              <w:rPr>
                <w:sz w:val="24"/>
                <w:szCs w:val="24"/>
              </w:rPr>
              <w:t>Covasna</w:t>
            </w:r>
          </w:p>
        </w:tc>
        <w:tc>
          <w:tcPr>
            <w:tcW w:w="1270" w:type="dxa"/>
          </w:tcPr>
          <w:p w:rsidR="0002155C" w:rsidRPr="00D86ECB" w:rsidRDefault="0002155C" w:rsidP="00064502">
            <w:r>
              <w:t xml:space="preserve">Sfântu </w:t>
            </w:r>
            <w:r w:rsidRPr="00D86ECB">
              <w:t>Gheorghe</w:t>
            </w:r>
          </w:p>
        </w:tc>
        <w:tc>
          <w:tcPr>
            <w:tcW w:w="1566" w:type="dxa"/>
          </w:tcPr>
          <w:p w:rsidR="0002155C" w:rsidRPr="00D86ECB" w:rsidRDefault="0002155C" w:rsidP="00064502">
            <w:r w:rsidRPr="00D86ECB">
              <w:t>Autoliv</w:t>
            </w:r>
          </w:p>
        </w:tc>
        <w:tc>
          <w:tcPr>
            <w:tcW w:w="1419" w:type="dxa"/>
          </w:tcPr>
          <w:p w:rsidR="0002155C" w:rsidRPr="00D86ECB" w:rsidRDefault="0002155C" w:rsidP="00064502">
            <w:r>
              <w:t>suedez</w:t>
            </w:r>
          </w:p>
        </w:tc>
        <w:tc>
          <w:tcPr>
            <w:tcW w:w="1285" w:type="dxa"/>
          </w:tcPr>
          <w:p w:rsidR="0002155C" w:rsidRPr="00D86ECB" w:rsidRDefault="0002155C" w:rsidP="00064502"/>
        </w:tc>
        <w:tc>
          <w:tcPr>
            <w:tcW w:w="1260" w:type="dxa"/>
          </w:tcPr>
          <w:p w:rsidR="0002155C" w:rsidRPr="00D86ECB" w:rsidRDefault="0002155C" w:rsidP="00064502">
            <w:r>
              <w:t>1500</w:t>
            </w:r>
          </w:p>
        </w:tc>
        <w:tc>
          <w:tcPr>
            <w:tcW w:w="1440" w:type="dxa"/>
          </w:tcPr>
          <w:p w:rsidR="0002155C" w:rsidRDefault="0002155C" w:rsidP="00064502">
            <w:r>
              <w:t>volane</w:t>
            </w:r>
          </w:p>
        </w:tc>
      </w:tr>
      <w:tr w:rsidR="0002155C" w:rsidTr="00064502">
        <w:tc>
          <w:tcPr>
            <w:tcW w:w="1048" w:type="dxa"/>
            <w:vMerge/>
            <w:tcBorders>
              <w:right w:val="single" w:sz="4" w:space="0" w:color="auto"/>
            </w:tcBorders>
            <w:vAlign w:val="center"/>
          </w:tcPr>
          <w:p w:rsidR="0002155C" w:rsidRDefault="0002155C" w:rsidP="00064502">
            <w:pPr>
              <w:rPr>
                <w:sz w:val="24"/>
                <w:szCs w:val="24"/>
              </w:rPr>
            </w:pPr>
          </w:p>
        </w:tc>
        <w:tc>
          <w:tcPr>
            <w:tcW w:w="1270" w:type="dxa"/>
            <w:tcBorders>
              <w:left w:val="single" w:sz="4" w:space="0" w:color="auto"/>
              <w:right w:val="single" w:sz="4" w:space="0" w:color="auto"/>
            </w:tcBorders>
          </w:tcPr>
          <w:p w:rsidR="0002155C" w:rsidRDefault="0002155C" w:rsidP="00064502">
            <w:r>
              <w:t xml:space="preserve">Tg. Secuiesc, Sfântu </w:t>
            </w:r>
            <w:r>
              <w:lastRenderedPageBreak/>
              <w:t>Gheorghe</w:t>
            </w:r>
          </w:p>
        </w:tc>
        <w:tc>
          <w:tcPr>
            <w:tcW w:w="1566" w:type="dxa"/>
            <w:tcBorders>
              <w:left w:val="single" w:sz="4" w:space="0" w:color="auto"/>
              <w:right w:val="single" w:sz="4" w:space="0" w:color="auto"/>
            </w:tcBorders>
          </w:tcPr>
          <w:p w:rsidR="0002155C" w:rsidRDefault="0002155C" w:rsidP="00064502">
            <w:r>
              <w:lastRenderedPageBreak/>
              <w:t xml:space="preserve">Valkes </w:t>
            </w:r>
          </w:p>
        </w:tc>
        <w:tc>
          <w:tcPr>
            <w:tcW w:w="1419" w:type="dxa"/>
            <w:tcBorders>
              <w:left w:val="single" w:sz="4" w:space="0" w:color="auto"/>
              <w:right w:val="single" w:sz="4" w:space="0" w:color="auto"/>
            </w:tcBorders>
          </w:tcPr>
          <w:p w:rsidR="0002155C" w:rsidRDefault="0002155C" w:rsidP="00064502">
            <w:r>
              <w:t>maghiar</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r>
              <w:t>1007</w:t>
            </w:r>
          </w:p>
        </w:tc>
        <w:tc>
          <w:tcPr>
            <w:tcW w:w="1440" w:type="dxa"/>
            <w:tcBorders>
              <w:left w:val="single" w:sz="4" w:space="0" w:color="auto"/>
            </w:tcBorders>
          </w:tcPr>
          <w:p w:rsidR="0002155C" w:rsidRDefault="0002155C" w:rsidP="00064502">
            <w:r>
              <w:t>echipamente electrice</w:t>
            </w:r>
          </w:p>
        </w:tc>
      </w:tr>
      <w:tr w:rsidR="0002155C" w:rsidTr="00064502">
        <w:tc>
          <w:tcPr>
            <w:tcW w:w="1048" w:type="dxa"/>
            <w:vMerge/>
            <w:vAlign w:val="center"/>
          </w:tcPr>
          <w:p w:rsidR="0002155C" w:rsidRDefault="0002155C" w:rsidP="00064502">
            <w:pPr>
              <w:rPr>
                <w:sz w:val="24"/>
                <w:szCs w:val="24"/>
              </w:rPr>
            </w:pPr>
          </w:p>
        </w:tc>
        <w:tc>
          <w:tcPr>
            <w:tcW w:w="1270" w:type="dxa"/>
          </w:tcPr>
          <w:p w:rsidR="0002155C" w:rsidRDefault="0002155C" w:rsidP="00064502">
            <w:r>
              <w:t>Sf. Gheorghe</w:t>
            </w:r>
          </w:p>
        </w:tc>
        <w:tc>
          <w:tcPr>
            <w:tcW w:w="1566" w:type="dxa"/>
          </w:tcPr>
          <w:p w:rsidR="0002155C" w:rsidRDefault="0002155C" w:rsidP="00064502">
            <w:r>
              <w:t>Subansamble auto</w:t>
            </w:r>
          </w:p>
        </w:tc>
        <w:tc>
          <w:tcPr>
            <w:tcW w:w="1419" w:type="dxa"/>
          </w:tcPr>
          <w:p w:rsidR="0002155C" w:rsidRDefault="0002155C" w:rsidP="00064502">
            <w:r>
              <w:t>românesc</w:t>
            </w:r>
          </w:p>
        </w:tc>
        <w:tc>
          <w:tcPr>
            <w:tcW w:w="1285" w:type="dxa"/>
          </w:tcPr>
          <w:p w:rsidR="0002155C" w:rsidRDefault="0002155C" w:rsidP="00064502"/>
        </w:tc>
        <w:tc>
          <w:tcPr>
            <w:tcW w:w="1260" w:type="dxa"/>
          </w:tcPr>
          <w:p w:rsidR="0002155C" w:rsidRDefault="0002155C" w:rsidP="00064502">
            <w:r>
              <w:t>35</w:t>
            </w:r>
          </w:p>
        </w:tc>
        <w:tc>
          <w:tcPr>
            <w:tcW w:w="1440" w:type="dxa"/>
          </w:tcPr>
          <w:p w:rsidR="0002155C" w:rsidRDefault="0002155C" w:rsidP="00064502">
            <w:r>
              <w:t>Cutii de viteze, cutii de distribuție</w:t>
            </w:r>
          </w:p>
        </w:tc>
      </w:tr>
      <w:tr w:rsidR="0002155C" w:rsidTr="00064502">
        <w:tc>
          <w:tcPr>
            <w:tcW w:w="1048" w:type="dxa"/>
            <w:vMerge w:val="restart"/>
            <w:tcBorders>
              <w:right w:val="single" w:sz="4" w:space="0" w:color="auto"/>
            </w:tcBorders>
            <w:vAlign w:val="center"/>
          </w:tcPr>
          <w:p w:rsidR="0002155C" w:rsidRDefault="0002155C" w:rsidP="00064502">
            <w:pPr>
              <w:rPr>
                <w:sz w:val="24"/>
                <w:szCs w:val="24"/>
              </w:rPr>
            </w:pPr>
            <w:r>
              <w:rPr>
                <w:sz w:val="24"/>
                <w:szCs w:val="24"/>
              </w:rPr>
              <w:t>Mureș</w:t>
            </w:r>
          </w:p>
        </w:tc>
        <w:tc>
          <w:tcPr>
            <w:tcW w:w="1270" w:type="dxa"/>
            <w:tcBorders>
              <w:left w:val="single" w:sz="4" w:space="0" w:color="auto"/>
              <w:right w:val="single" w:sz="4" w:space="0" w:color="auto"/>
            </w:tcBorders>
          </w:tcPr>
          <w:p w:rsidR="0002155C" w:rsidRDefault="0002155C" w:rsidP="00064502">
            <w:r>
              <w:t>Tg. Mureș (Sânpaul)</w:t>
            </w:r>
          </w:p>
        </w:tc>
        <w:tc>
          <w:tcPr>
            <w:tcW w:w="1566" w:type="dxa"/>
            <w:tcBorders>
              <w:left w:val="single" w:sz="4" w:space="0" w:color="auto"/>
              <w:bottom w:val="single" w:sz="4" w:space="0" w:color="auto"/>
              <w:right w:val="single" w:sz="4" w:space="0" w:color="auto"/>
            </w:tcBorders>
          </w:tcPr>
          <w:p w:rsidR="0002155C" w:rsidRDefault="0002155C" w:rsidP="00064502">
            <w:r>
              <w:t>Hirschmann Automotive</w:t>
            </w:r>
          </w:p>
        </w:tc>
        <w:tc>
          <w:tcPr>
            <w:tcW w:w="1419" w:type="dxa"/>
            <w:tcBorders>
              <w:left w:val="single" w:sz="4" w:space="0" w:color="auto"/>
              <w:bottom w:val="single" w:sz="4" w:space="0" w:color="auto"/>
              <w:right w:val="single" w:sz="4" w:space="0" w:color="auto"/>
            </w:tcBorders>
          </w:tcPr>
          <w:p w:rsidR="0002155C" w:rsidRDefault="0002155C" w:rsidP="00064502">
            <w:r>
              <w:t>austriac</w:t>
            </w:r>
          </w:p>
        </w:tc>
        <w:tc>
          <w:tcPr>
            <w:tcW w:w="1285" w:type="dxa"/>
            <w:tcBorders>
              <w:left w:val="single" w:sz="4" w:space="0" w:color="auto"/>
              <w:bottom w:val="single" w:sz="4" w:space="0" w:color="auto"/>
              <w:right w:val="single" w:sz="4" w:space="0" w:color="auto"/>
            </w:tcBorders>
          </w:tcPr>
          <w:p w:rsidR="0002155C" w:rsidRPr="004E5977" w:rsidRDefault="0002155C" w:rsidP="00064502">
            <w:r>
              <w:t>10,5 mil</w:t>
            </w:r>
          </w:p>
        </w:tc>
        <w:tc>
          <w:tcPr>
            <w:tcW w:w="1260" w:type="dxa"/>
            <w:tcBorders>
              <w:left w:val="single" w:sz="4" w:space="0" w:color="auto"/>
              <w:bottom w:val="single" w:sz="4" w:space="0" w:color="auto"/>
              <w:right w:val="single" w:sz="4" w:space="0" w:color="auto"/>
            </w:tcBorders>
          </w:tcPr>
          <w:p w:rsidR="0002155C" w:rsidRDefault="0002155C" w:rsidP="00064502">
            <w:r>
              <w:t>819</w:t>
            </w:r>
          </w:p>
        </w:tc>
        <w:tc>
          <w:tcPr>
            <w:tcW w:w="1440" w:type="dxa"/>
            <w:tcBorders>
              <w:left w:val="single" w:sz="4" w:space="0" w:color="auto"/>
            </w:tcBorders>
          </w:tcPr>
          <w:p w:rsidR="0002155C" w:rsidRDefault="0002155C" w:rsidP="00064502">
            <w:r>
              <w:t>cablaje</w:t>
            </w:r>
          </w:p>
        </w:tc>
      </w:tr>
      <w:tr w:rsidR="0002155C" w:rsidTr="00064502">
        <w:tc>
          <w:tcPr>
            <w:tcW w:w="1048" w:type="dxa"/>
            <w:vMerge/>
          </w:tcPr>
          <w:p w:rsidR="0002155C" w:rsidRDefault="0002155C" w:rsidP="00064502">
            <w:pPr>
              <w:jc w:val="center"/>
              <w:rPr>
                <w:sz w:val="24"/>
                <w:szCs w:val="24"/>
              </w:rPr>
            </w:pPr>
          </w:p>
        </w:tc>
        <w:tc>
          <w:tcPr>
            <w:tcW w:w="1270" w:type="dxa"/>
          </w:tcPr>
          <w:p w:rsidR="0002155C" w:rsidRDefault="0002155C" w:rsidP="00064502">
            <w:r>
              <w:t>Sighișoara</w:t>
            </w:r>
          </w:p>
        </w:tc>
        <w:tc>
          <w:tcPr>
            <w:tcW w:w="1566" w:type="dxa"/>
          </w:tcPr>
          <w:p w:rsidR="0002155C" w:rsidRDefault="0002155C" w:rsidP="00064502">
            <w:r>
              <w:rPr>
                <w:rFonts w:ascii="Arial" w:hAnsi="Arial" w:cs="Arial"/>
                <w:color w:val="0F0F0F"/>
                <w:sz w:val="20"/>
                <w:szCs w:val="20"/>
              </w:rPr>
              <w:t>Global Safety Textiles (GST)</w:t>
            </w:r>
          </w:p>
        </w:tc>
        <w:tc>
          <w:tcPr>
            <w:tcW w:w="1419" w:type="dxa"/>
          </w:tcPr>
          <w:p w:rsidR="0002155C" w:rsidRDefault="0002155C" w:rsidP="00064502">
            <w:r>
              <w:t>german</w:t>
            </w:r>
          </w:p>
        </w:tc>
        <w:tc>
          <w:tcPr>
            <w:tcW w:w="1285" w:type="dxa"/>
          </w:tcPr>
          <w:p w:rsidR="0002155C" w:rsidRDefault="0002155C" w:rsidP="00064502"/>
        </w:tc>
        <w:tc>
          <w:tcPr>
            <w:tcW w:w="1260" w:type="dxa"/>
          </w:tcPr>
          <w:p w:rsidR="0002155C" w:rsidRDefault="0002155C" w:rsidP="00064502">
            <w:r>
              <w:t>257</w:t>
            </w:r>
          </w:p>
        </w:tc>
        <w:tc>
          <w:tcPr>
            <w:tcW w:w="1440" w:type="dxa"/>
          </w:tcPr>
          <w:p w:rsidR="0002155C" w:rsidRDefault="0002155C" w:rsidP="00064502"/>
        </w:tc>
      </w:tr>
      <w:tr w:rsidR="0002155C" w:rsidTr="00064502">
        <w:tc>
          <w:tcPr>
            <w:tcW w:w="1048" w:type="dxa"/>
            <w:vMerge/>
          </w:tcPr>
          <w:p w:rsidR="0002155C" w:rsidRDefault="0002155C" w:rsidP="00064502">
            <w:pPr>
              <w:jc w:val="center"/>
              <w:rPr>
                <w:sz w:val="24"/>
                <w:szCs w:val="24"/>
              </w:rPr>
            </w:pPr>
          </w:p>
        </w:tc>
        <w:tc>
          <w:tcPr>
            <w:tcW w:w="1270" w:type="dxa"/>
            <w:tcBorders>
              <w:right w:val="single" w:sz="4" w:space="0" w:color="auto"/>
            </w:tcBorders>
          </w:tcPr>
          <w:p w:rsidR="0002155C" w:rsidRDefault="0002155C" w:rsidP="00064502">
            <w:r>
              <w:t>Sighișoara</w:t>
            </w:r>
          </w:p>
        </w:tc>
        <w:tc>
          <w:tcPr>
            <w:tcW w:w="1566" w:type="dxa"/>
            <w:tcBorders>
              <w:left w:val="single" w:sz="4" w:space="0" w:color="auto"/>
              <w:right w:val="single" w:sz="4" w:space="0" w:color="auto"/>
            </w:tcBorders>
          </w:tcPr>
          <w:p w:rsidR="0002155C" w:rsidRDefault="0002155C" w:rsidP="00064502">
            <w:r>
              <w:rPr>
                <w:rFonts w:ascii="Arial" w:hAnsi="Arial" w:cs="Arial"/>
                <w:color w:val="0F0F0F"/>
                <w:sz w:val="20"/>
                <w:szCs w:val="20"/>
              </w:rPr>
              <w:t>GST Automotive Safety Ro</w:t>
            </w:r>
          </w:p>
        </w:tc>
        <w:tc>
          <w:tcPr>
            <w:tcW w:w="1419" w:type="dxa"/>
            <w:tcBorders>
              <w:left w:val="single" w:sz="4" w:space="0" w:color="auto"/>
              <w:right w:val="single" w:sz="4" w:space="0" w:color="auto"/>
            </w:tcBorders>
          </w:tcPr>
          <w:p w:rsidR="0002155C" w:rsidRDefault="0002155C" w:rsidP="00064502">
            <w:r>
              <w:t>german</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r>
              <w:t>978</w:t>
            </w:r>
          </w:p>
        </w:tc>
        <w:tc>
          <w:tcPr>
            <w:tcW w:w="1440" w:type="dxa"/>
            <w:tcBorders>
              <w:left w:val="single" w:sz="4" w:space="0" w:color="auto"/>
            </w:tcBorders>
          </w:tcPr>
          <w:p w:rsidR="0002155C" w:rsidRDefault="0002155C" w:rsidP="00064502">
            <w:r>
              <w:t>airbag-uri</w:t>
            </w:r>
          </w:p>
        </w:tc>
      </w:tr>
      <w:tr w:rsidR="0002155C" w:rsidTr="00064502">
        <w:tc>
          <w:tcPr>
            <w:tcW w:w="1048" w:type="dxa"/>
            <w:vMerge/>
            <w:tcBorders>
              <w:right w:val="single" w:sz="4" w:space="0" w:color="auto"/>
            </w:tcBorders>
          </w:tcPr>
          <w:p w:rsidR="0002155C" w:rsidRDefault="0002155C" w:rsidP="00064502">
            <w:pPr>
              <w:jc w:val="center"/>
              <w:rPr>
                <w:sz w:val="24"/>
                <w:szCs w:val="24"/>
              </w:rPr>
            </w:pPr>
          </w:p>
        </w:tc>
        <w:tc>
          <w:tcPr>
            <w:tcW w:w="1270" w:type="dxa"/>
            <w:tcBorders>
              <w:left w:val="single" w:sz="4" w:space="0" w:color="auto"/>
              <w:right w:val="single" w:sz="4" w:space="0" w:color="auto"/>
            </w:tcBorders>
          </w:tcPr>
          <w:p w:rsidR="0002155C" w:rsidRDefault="0002155C" w:rsidP="00064502">
            <w:r>
              <w:t>Sighișoara</w:t>
            </w:r>
          </w:p>
        </w:tc>
        <w:tc>
          <w:tcPr>
            <w:tcW w:w="1566" w:type="dxa"/>
            <w:tcBorders>
              <w:left w:val="single" w:sz="4" w:space="0" w:color="auto"/>
              <w:right w:val="single" w:sz="4" w:space="0" w:color="auto"/>
            </w:tcBorders>
          </w:tcPr>
          <w:p w:rsidR="0002155C" w:rsidRDefault="0002155C" w:rsidP="00064502">
            <w:r>
              <w:rPr>
                <w:rFonts w:ascii="Arial" w:hAnsi="Arial" w:cs="Arial"/>
                <w:color w:val="2E2F2D"/>
                <w:sz w:val="21"/>
                <w:szCs w:val="21"/>
                <w:shd w:val="clear" w:color="auto" w:fill="FFFFFF"/>
              </w:rPr>
              <w:t>Cableteam (Wilms)</w:t>
            </w:r>
          </w:p>
        </w:tc>
        <w:tc>
          <w:tcPr>
            <w:tcW w:w="1419" w:type="dxa"/>
            <w:tcBorders>
              <w:left w:val="single" w:sz="4" w:space="0" w:color="auto"/>
              <w:right w:val="single" w:sz="4" w:space="0" w:color="auto"/>
            </w:tcBorders>
          </w:tcPr>
          <w:p w:rsidR="0002155C" w:rsidRDefault="0002155C" w:rsidP="00064502">
            <w:r>
              <w:t>german</w:t>
            </w:r>
          </w:p>
        </w:tc>
        <w:tc>
          <w:tcPr>
            <w:tcW w:w="1285" w:type="dxa"/>
            <w:tcBorders>
              <w:left w:val="single" w:sz="4" w:space="0" w:color="auto"/>
              <w:right w:val="single" w:sz="4" w:space="0" w:color="auto"/>
            </w:tcBorders>
          </w:tcPr>
          <w:p w:rsidR="0002155C" w:rsidRDefault="0002155C" w:rsidP="00064502"/>
        </w:tc>
        <w:tc>
          <w:tcPr>
            <w:tcW w:w="1260" w:type="dxa"/>
            <w:tcBorders>
              <w:left w:val="single" w:sz="4" w:space="0" w:color="auto"/>
              <w:right w:val="single" w:sz="4" w:space="0" w:color="auto"/>
            </w:tcBorders>
          </w:tcPr>
          <w:p w:rsidR="0002155C" w:rsidRDefault="0002155C" w:rsidP="00064502">
            <w:r>
              <w:t>311</w:t>
            </w:r>
          </w:p>
        </w:tc>
        <w:tc>
          <w:tcPr>
            <w:tcW w:w="1440" w:type="dxa"/>
            <w:tcBorders>
              <w:left w:val="single" w:sz="4" w:space="0" w:color="auto"/>
            </w:tcBorders>
          </w:tcPr>
          <w:p w:rsidR="0002155C" w:rsidRDefault="0002155C" w:rsidP="00064502">
            <w:r>
              <w:t xml:space="preserve">cablaje </w:t>
            </w:r>
          </w:p>
        </w:tc>
      </w:tr>
      <w:tr w:rsidR="0002155C" w:rsidTr="00064502">
        <w:tc>
          <w:tcPr>
            <w:tcW w:w="1048" w:type="dxa"/>
            <w:vMerge/>
          </w:tcPr>
          <w:p w:rsidR="0002155C" w:rsidRDefault="0002155C" w:rsidP="00064502">
            <w:pPr>
              <w:jc w:val="center"/>
              <w:rPr>
                <w:sz w:val="24"/>
                <w:szCs w:val="24"/>
              </w:rPr>
            </w:pPr>
          </w:p>
        </w:tc>
        <w:tc>
          <w:tcPr>
            <w:tcW w:w="1270" w:type="dxa"/>
          </w:tcPr>
          <w:p w:rsidR="0002155C" w:rsidRDefault="0002155C" w:rsidP="00064502">
            <w:r>
              <w:t>Sighișoara</w:t>
            </w:r>
          </w:p>
        </w:tc>
        <w:tc>
          <w:tcPr>
            <w:tcW w:w="1566" w:type="dxa"/>
          </w:tcPr>
          <w:p w:rsidR="0002155C" w:rsidRPr="0013363D" w:rsidRDefault="0002155C" w:rsidP="00064502">
            <w:r w:rsidRPr="0013363D">
              <w:rPr>
                <w:color w:val="000000"/>
                <w:shd w:val="clear" w:color="auto" w:fill="FFFFFF"/>
              </w:rPr>
              <w:t>SC Parat-Ro SRL</w:t>
            </w:r>
          </w:p>
        </w:tc>
        <w:tc>
          <w:tcPr>
            <w:tcW w:w="1419" w:type="dxa"/>
          </w:tcPr>
          <w:p w:rsidR="0002155C" w:rsidRDefault="0002155C" w:rsidP="00064502">
            <w:r>
              <w:t>german</w:t>
            </w:r>
          </w:p>
        </w:tc>
        <w:tc>
          <w:tcPr>
            <w:tcW w:w="1285" w:type="dxa"/>
          </w:tcPr>
          <w:p w:rsidR="0002155C" w:rsidRDefault="0002155C" w:rsidP="00064502"/>
        </w:tc>
        <w:tc>
          <w:tcPr>
            <w:tcW w:w="1260" w:type="dxa"/>
          </w:tcPr>
          <w:p w:rsidR="0002155C" w:rsidRDefault="0002155C" w:rsidP="00064502">
            <w:r>
              <w:t>111</w:t>
            </w:r>
          </w:p>
        </w:tc>
        <w:tc>
          <w:tcPr>
            <w:tcW w:w="1440" w:type="dxa"/>
          </w:tcPr>
          <w:p w:rsidR="0002155C" w:rsidRDefault="0002155C" w:rsidP="00064502">
            <w:r>
              <w:t xml:space="preserve">airbag-uri </w:t>
            </w:r>
          </w:p>
        </w:tc>
      </w:tr>
      <w:tr w:rsidR="0002155C" w:rsidTr="00064502">
        <w:tc>
          <w:tcPr>
            <w:tcW w:w="1048" w:type="dxa"/>
            <w:vMerge/>
            <w:tcBorders>
              <w:right w:val="single" w:sz="4" w:space="0" w:color="auto"/>
            </w:tcBorders>
          </w:tcPr>
          <w:p w:rsidR="0002155C" w:rsidRDefault="0002155C" w:rsidP="00064502">
            <w:pPr>
              <w:jc w:val="center"/>
              <w:rPr>
                <w:sz w:val="24"/>
                <w:szCs w:val="24"/>
              </w:rPr>
            </w:pPr>
          </w:p>
        </w:tc>
        <w:tc>
          <w:tcPr>
            <w:tcW w:w="1270" w:type="dxa"/>
            <w:tcBorders>
              <w:left w:val="single" w:sz="4" w:space="0" w:color="auto"/>
              <w:right w:val="single" w:sz="4" w:space="0" w:color="auto"/>
            </w:tcBorders>
          </w:tcPr>
          <w:p w:rsidR="0002155C" w:rsidRDefault="0002155C" w:rsidP="00064502">
            <w:r>
              <w:t>Tg. Mureș</w:t>
            </w:r>
          </w:p>
        </w:tc>
        <w:tc>
          <w:tcPr>
            <w:tcW w:w="1566" w:type="dxa"/>
            <w:tcBorders>
              <w:left w:val="single" w:sz="4" w:space="0" w:color="auto"/>
              <w:right w:val="single" w:sz="4" w:space="0" w:color="auto"/>
            </w:tcBorders>
          </w:tcPr>
          <w:p w:rsidR="0002155C" w:rsidRDefault="0002155C" w:rsidP="00064502">
            <w:r>
              <w:t>CIE Matricon</w:t>
            </w:r>
          </w:p>
        </w:tc>
        <w:tc>
          <w:tcPr>
            <w:tcW w:w="1419" w:type="dxa"/>
            <w:tcBorders>
              <w:left w:val="single" w:sz="4" w:space="0" w:color="auto"/>
              <w:right w:val="single" w:sz="4" w:space="0" w:color="auto"/>
            </w:tcBorders>
          </w:tcPr>
          <w:p w:rsidR="0002155C" w:rsidRDefault="0002155C" w:rsidP="00064502">
            <w:r>
              <w:t>spaniol</w:t>
            </w:r>
          </w:p>
        </w:tc>
        <w:tc>
          <w:tcPr>
            <w:tcW w:w="1285" w:type="dxa"/>
            <w:tcBorders>
              <w:left w:val="single" w:sz="4" w:space="0" w:color="auto"/>
              <w:right w:val="single" w:sz="4" w:space="0" w:color="auto"/>
            </w:tcBorders>
          </w:tcPr>
          <w:p w:rsidR="0002155C" w:rsidRDefault="0002155C" w:rsidP="00064502">
            <w:r>
              <w:t xml:space="preserve">2,5 mil. </w:t>
            </w:r>
          </w:p>
        </w:tc>
        <w:tc>
          <w:tcPr>
            <w:tcW w:w="1260" w:type="dxa"/>
            <w:tcBorders>
              <w:left w:val="single" w:sz="4" w:space="0" w:color="auto"/>
              <w:right w:val="single" w:sz="4" w:space="0" w:color="auto"/>
            </w:tcBorders>
          </w:tcPr>
          <w:p w:rsidR="0002155C" w:rsidRDefault="0002155C" w:rsidP="00064502">
            <w:r>
              <w:t>242</w:t>
            </w:r>
          </w:p>
        </w:tc>
        <w:tc>
          <w:tcPr>
            <w:tcW w:w="1440" w:type="dxa"/>
            <w:tcBorders>
              <w:left w:val="single" w:sz="4" w:space="0" w:color="auto"/>
            </w:tcBorders>
          </w:tcPr>
          <w:p w:rsidR="0002155C" w:rsidRDefault="0002155C" w:rsidP="00064502">
            <w:r>
              <w:t>piese turnate, matrițe</w:t>
            </w:r>
          </w:p>
        </w:tc>
      </w:tr>
    </w:tbl>
    <w:p w:rsidR="0002155C" w:rsidRDefault="0002155C" w:rsidP="0002155C">
      <w:pPr>
        <w:rPr>
          <w:sz w:val="24"/>
          <w:szCs w:val="24"/>
        </w:rPr>
      </w:pPr>
      <w:r w:rsidRPr="00A674C2">
        <w:rPr>
          <w:b/>
          <w:sz w:val="24"/>
          <w:szCs w:val="24"/>
        </w:rPr>
        <w:t>Sursa:</w:t>
      </w:r>
      <w:r>
        <w:rPr>
          <w:sz w:val="24"/>
          <w:szCs w:val="24"/>
        </w:rPr>
        <w:t xml:space="preserve"> ANAF, media online</w:t>
      </w:r>
    </w:p>
    <w:p w:rsidR="0002155C" w:rsidRDefault="0002155C" w:rsidP="0002155C">
      <w:pPr>
        <w:pStyle w:val="Titlu2"/>
      </w:pPr>
      <w:r>
        <w:t>Evoluția e</w:t>
      </w:r>
      <w:r w:rsidRPr="003E4B67">
        <w:t>xporturil</w:t>
      </w:r>
      <w:r>
        <w:t>or</w:t>
      </w:r>
      <w:r w:rsidRPr="003E4B67">
        <w:t xml:space="preserve"> </w:t>
      </w:r>
      <w:r>
        <w:t>regionale ale industriei auto</w:t>
      </w:r>
    </w:p>
    <w:p w:rsidR="0002155C" w:rsidRPr="000910A9" w:rsidRDefault="0002155C" w:rsidP="0002155C"/>
    <w:p w:rsidR="0002155C" w:rsidRDefault="0002155C" w:rsidP="0002155C">
      <w:pPr>
        <w:jc w:val="both"/>
        <w:rPr>
          <w:sz w:val="24"/>
          <w:szCs w:val="24"/>
        </w:rPr>
      </w:pPr>
      <w:r>
        <w:rPr>
          <w:sz w:val="24"/>
          <w:szCs w:val="24"/>
        </w:rPr>
        <w:t xml:space="preserve">La nivelul Regiunii Centru, </w:t>
      </w:r>
      <w:r w:rsidRPr="00B64624">
        <w:rPr>
          <w:b/>
          <w:sz w:val="24"/>
          <w:szCs w:val="24"/>
        </w:rPr>
        <w:t>valoarea exporturilor</w:t>
      </w:r>
      <w:r>
        <w:rPr>
          <w:b/>
          <w:sz w:val="24"/>
          <w:szCs w:val="24"/>
        </w:rPr>
        <w:t xml:space="preserve">  de</w:t>
      </w:r>
      <w:r w:rsidRPr="00B64624">
        <w:rPr>
          <w:b/>
          <w:sz w:val="24"/>
          <w:szCs w:val="24"/>
        </w:rPr>
        <w:t xml:space="preserve"> </w:t>
      </w:r>
      <w:r>
        <w:rPr>
          <w:b/>
          <w:sz w:val="24"/>
          <w:szCs w:val="24"/>
        </w:rPr>
        <w:t>autovehicule</w:t>
      </w:r>
      <w:r w:rsidRPr="00B64624">
        <w:rPr>
          <w:b/>
          <w:sz w:val="24"/>
          <w:szCs w:val="24"/>
        </w:rPr>
        <w:t xml:space="preserve"> și componente auto a crescut de cca </w:t>
      </w:r>
      <w:r>
        <w:rPr>
          <w:b/>
          <w:sz w:val="24"/>
          <w:szCs w:val="24"/>
        </w:rPr>
        <w:t>6,3</w:t>
      </w:r>
      <w:r w:rsidRPr="00B64624">
        <w:rPr>
          <w:b/>
          <w:sz w:val="24"/>
          <w:szCs w:val="24"/>
        </w:rPr>
        <w:t xml:space="preserve"> ori</w:t>
      </w:r>
      <w:r>
        <w:rPr>
          <w:sz w:val="24"/>
          <w:szCs w:val="24"/>
        </w:rPr>
        <w:t xml:space="preserve"> în perioada 2003-2014, creșterea fiind mai rapidă decât dinamica exporturilor totale de bunuri ale regiunii calculată pentru </w:t>
      </w:r>
      <w:r w:rsidRPr="003221D6">
        <w:rPr>
          <w:sz w:val="24"/>
          <w:szCs w:val="24"/>
        </w:rPr>
        <w:t xml:space="preserve">aceeași perioadă (4,1 ori). </w:t>
      </w:r>
      <w:r w:rsidRPr="003221D6">
        <w:rPr>
          <w:b/>
          <w:sz w:val="24"/>
          <w:szCs w:val="24"/>
        </w:rPr>
        <w:t>În termeni</w:t>
      </w:r>
      <w:r w:rsidRPr="00B8303E">
        <w:rPr>
          <w:b/>
          <w:sz w:val="24"/>
          <w:szCs w:val="24"/>
        </w:rPr>
        <w:t xml:space="preserve"> valorici, exporturile</w:t>
      </w:r>
      <w:r>
        <w:rPr>
          <w:sz w:val="24"/>
          <w:szCs w:val="24"/>
        </w:rPr>
        <w:t xml:space="preserve"> sectorului automotive totalizează </w:t>
      </w:r>
      <w:r>
        <w:rPr>
          <w:b/>
          <w:sz w:val="24"/>
          <w:szCs w:val="24"/>
        </w:rPr>
        <w:t>în anul 2014</w:t>
      </w:r>
      <w:r w:rsidRPr="00B64624">
        <w:rPr>
          <w:b/>
          <w:sz w:val="24"/>
          <w:szCs w:val="24"/>
        </w:rPr>
        <w:t xml:space="preserve"> peste </w:t>
      </w:r>
      <w:r>
        <w:rPr>
          <w:b/>
          <w:sz w:val="24"/>
          <w:szCs w:val="24"/>
        </w:rPr>
        <w:t>1,23 miliarde</w:t>
      </w:r>
      <w:r w:rsidRPr="00B64624">
        <w:rPr>
          <w:b/>
          <w:sz w:val="24"/>
          <w:szCs w:val="24"/>
        </w:rPr>
        <w:t xml:space="preserve"> euro</w:t>
      </w:r>
      <w:r>
        <w:rPr>
          <w:sz w:val="24"/>
          <w:szCs w:val="24"/>
        </w:rPr>
        <w:t xml:space="preserve">, reprezentând 16,6% din exporturile regiunii, ponderea depășind media înregistrată la nivel național. </w:t>
      </w:r>
    </w:p>
    <w:p w:rsidR="0002155C" w:rsidRDefault="0002155C" w:rsidP="0002155C">
      <w:pPr>
        <w:spacing w:after="120"/>
        <w:jc w:val="center"/>
        <w:rPr>
          <w:b/>
          <w:sz w:val="24"/>
          <w:szCs w:val="24"/>
        </w:rPr>
      </w:pPr>
      <w:r>
        <w:rPr>
          <w:b/>
          <w:sz w:val="24"/>
          <w:szCs w:val="24"/>
        </w:rPr>
        <w:t xml:space="preserve">Tab. 5 </w:t>
      </w:r>
      <w:r w:rsidRPr="00AD2361">
        <w:rPr>
          <w:b/>
          <w:sz w:val="24"/>
          <w:szCs w:val="24"/>
        </w:rPr>
        <w:t>Evoluția exporturilor de</w:t>
      </w:r>
      <w:r>
        <w:rPr>
          <w:b/>
          <w:sz w:val="24"/>
          <w:szCs w:val="24"/>
        </w:rPr>
        <w:t xml:space="preserve"> autovehicule</w:t>
      </w:r>
      <w:r w:rsidRPr="00AD2361">
        <w:rPr>
          <w:b/>
          <w:sz w:val="24"/>
          <w:szCs w:val="24"/>
        </w:rPr>
        <w:t xml:space="preserve"> și componente auto</w:t>
      </w:r>
    </w:p>
    <w:p w:rsidR="0002155C" w:rsidRPr="00AD2361" w:rsidRDefault="0002155C" w:rsidP="0002155C">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-mii euro-</w:t>
      </w:r>
    </w:p>
    <w:tbl>
      <w:tblPr>
        <w:tblStyle w:val="Hyperlink"/>
        <w:tblW w:w="7699" w:type="dxa"/>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150"/>
        <w:gridCol w:w="1150"/>
        <w:gridCol w:w="1150"/>
        <w:gridCol w:w="1150"/>
        <w:gridCol w:w="1150"/>
      </w:tblGrid>
      <w:tr w:rsidR="0002155C" w:rsidRPr="006E4D77" w:rsidTr="00064502">
        <w:trPr>
          <w:trHeight w:val="315"/>
          <w:tblHeader/>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 </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2003</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2011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2012</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2013</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2014</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Regiunea Centru</w:t>
            </w:r>
          </w:p>
        </w:tc>
        <w:tc>
          <w:tcPr>
            <w:tcW w:w="1150" w:type="dxa"/>
          </w:tcPr>
          <w:p w:rsidR="0002155C" w:rsidRPr="00AD2361" w:rsidRDefault="0002155C" w:rsidP="00064502">
            <w:pPr>
              <w:jc w:val="right"/>
              <w:rPr>
                <w:rFonts w:ascii="Calibri" w:eastAsia="Times New Roman" w:hAnsi="Calibri" w:cs="Times New Roman"/>
                <w:b/>
                <w:color w:val="000000"/>
              </w:rPr>
            </w:pPr>
            <w:r>
              <w:rPr>
                <w:rFonts w:ascii="Calibri" w:eastAsia="Times New Roman" w:hAnsi="Calibri" w:cs="Times New Roman"/>
                <w:b/>
                <w:color w:val="000000"/>
              </w:rPr>
              <w:t>195831</w:t>
            </w:r>
          </w:p>
        </w:tc>
        <w:tc>
          <w:tcPr>
            <w:tcW w:w="1150" w:type="dxa"/>
            <w:noWrap/>
            <w:hideMark/>
          </w:tcPr>
          <w:p w:rsidR="0002155C" w:rsidRPr="00AD2361" w:rsidRDefault="0002155C" w:rsidP="00064502">
            <w:pPr>
              <w:jc w:val="right"/>
              <w:rPr>
                <w:rFonts w:ascii="Calibri" w:eastAsia="Times New Roman" w:hAnsi="Calibri" w:cs="Times New Roman"/>
                <w:b/>
                <w:color w:val="000000"/>
              </w:rPr>
            </w:pPr>
            <w:r w:rsidRPr="00AD2361">
              <w:rPr>
                <w:rFonts w:ascii="Calibri" w:eastAsia="Times New Roman" w:hAnsi="Calibri" w:cs="Times New Roman"/>
                <w:b/>
                <w:color w:val="000000"/>
              </w:rPr>
              <w:t>679453</w:t>
            </w:r>
          </w:p>
        </w:tc>
        <w:tc>
          <w:tcPr>
            <w:tcW w:w="1150" w:type="dxa"/>
            <w:noWrap/>
            <w:hideMark/>
          </w:tcPr>
          <w:p w:rsidR="0002155C" w:rsidRPr="00AD2361" w:rsidRDefault="0002155C" w:rsidP="00064502">
            <w:pPr>
              <w:jc w:val="right"/>
              <w:rPr>
                <w:rFonts w:ascii="Calibri" w:eastAsia="Times New Roman" w:hAnsi="Calibri" w:cs="Times New Roman"/>
                <w:b/>
                <w:color w:val="000000"/>
              </w:rPr>
            </w:pPr>
            <w:r w:rsidRPr="00AD2361">
              <w:rPr>
                <w:rFonts w:ascii="Calibri" w:eastAsia="Times New Roman" w:hAnsi="Calibri" w:cs="Times New Roman"/>
                <w:b/>
                <w:color w:val="000000"/>
              </w:rPr>
              <w:t>692835</w:t>
            </w:r>
          </w:p>
        </w:tc>
        <w:tc>
          <w:tcPr>
            <w:tcW w:w="1150" w:type="dxa"/>
            <w:noWrap/>
            <w:hideMark/>
          </w:tcPr>
          <w:p w:rsidR="0002155C" w:rsidRPr="00AD2361" w:rsidRDefault="0002155C" w:rsidP="00064502">
            <w:pPr>
              <w:jc w:val="right"/>
              <w:rPr>
                <w:rFonts w:ascii="Calibri" w:eastAsia="Times New Roman" w:hAnsi="Calibri" w:cs="Times New Roman"/>
                <w:b/>
                <w:color w:val="000000"/>
              </w:rPr>
            </w:pPr>
            <w:r w:rsidRPr="00AD2361">
              <w:rPr>
                <w:rFonts w:ascii="Calibri" w:eastAsia="Times New Roman" w:hAnsi="Calibri" w:cs="Times New Roman"/>
                <w:b/>
                <w:color w:val="000000"/>
              </w:rPr>
              <w:t>972577</w:t>
            </w:r>
          </w:p>
        </w:tc>
        <w:tc>
          <w:tcPr>
            <w:tcW w:w="1150" w:type="dxa"/>
            <w:vAlign w:val="bottom"/>
          </w:tcPr>
          <w:p w:rsidR="0002155C" w:rsidRPr="00D45361" w:rsidRDefault="0002155C" w:rsidP="00064502">
            <w:pPr>
              <w:jc w:val="right"/>
              <w:rPr>
                <w:rFonts w:ascii="Calibri" w:hAnsi="Calibri"/>
                <w:b/>
                <w:color w:val="000000"/>
              </w:rPr>
            </w:pPr>
            <w:r w:rsidRPr="00D45361">
              <w:rPr>
                <w:rFonts w:ascii="Calibri" w:hAnsi="Calibri"/>
                <w:b/>
                <w:color w:val="000000"/>
              </w:rPr>
              <w:t>1234759</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lastRenderedPageBreak/>
              <w:t>Alba</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261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4750</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8195</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45037</w:t>
            </w:r>
          </w:p>
        </w:tc>
        <w:tc>
          <w:tcPr>
            <w:tcW w:w="1150" w:type="dxa"/>
            <w:vAlign w:val="bottom"/>
          </w:tcPr>
          <w:p w:rsidR="0002155C" w:rsidRPr="00D45361" w:rsidRDefault="0002155C" w:rsidP="00064502">
            <w:pPr>
              <w:jc w:val="right"/>
              <w:rPr>
                <w:rFonts w:ascii="Calibri" w:hAnsi="Calibri"/>
                <w:bCs/>
                <w:color w:val="000000"/>
              </w:rPr>
            </w:pPr>
            <w:r w:rsidRPr="00D45361">
              <w:rPr>
                <w:rFonts w:ascii="Calibri" w:hAnsi="Calibri"/>
                <w:bCs/>
                <w:color w:val="000000"/>
              </w:rPr>
              <w:t>209825</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Pr>
                <w:rFonts w:ascii="Calibri" w:eastAsia="Times New Roman" w:hAnsi="Calibri" w:cs="Times New Roman"/>
                <w:color w:val="000000"/>
              </w:rPr>
              <w:t>Braș</w:t>
            </w:r>
            <w:r w:rsidRPr="006E4D77">
              <w:rPr>
                <w:rFonts w:ascii="Calibri" w:eastAsia="Times New Roman" w:hAnsi="Calibri" w:cs="Times New Roman"/>
                <w:color w:val="000000"/>
              </w:rPr>
              <w:t>ov</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154656</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451908</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462505</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516547</w:t>
            </w:r>
          </w:p>
        </w:tc>
        <w:tc>
          <w:tcPr>
            <w:tcW w:w="1150" w:type="dxa"/>
            <w:vAlign w:val="bottom"/>
          </w:tcPr>
          <w:p w:rsidR="0002155C" w:rsidRPr="00D45361" w:rsidRDefault="0002155C" w:rsidP="00064502">
            <w:pPr>
              <w:jc w:val="right"/>
              <w:rPr>
                <w:rFonts w:ascii="Calibri" w:hAnsi="Calibri"/>
                <w:bCs/>
                <w:color w:val="000000"/>
              </w:rPr>
            </w:pPr>
            <w:r w:rsidRPr="00D45361">
              <w:rPr>
                <w:rFonts w:ascii="Calibri" w:hAnsi="Calibri"/>
                <w:bCs/>
                <w:color w:val="000000"/>
              </w:rPr>
              <w:t>608285</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Covasna</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90</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8228</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11001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11852</w:t>
            </w:r>
          </w:p>
        </w:tc>
        <w:tc>
          <w:tcPr>
            <w:tcW w:w="1150" w:type="dxa"/>
            <w:vAlign w:val="bottom"/>
          </w:tcPr>
          <w:p w:rsidR="0002155C" w:rsidRPr="00D45361" w:rsidRDefault="0002155C" w:rsidP="00064502">
            <w:pPr>
              <w:jc w:val="right"/>
              <w:rPr>
                <w:rFonts w:ascii="Calibri" w:hAnsi="Calibri"/>
                <w:bCs/>
                <w:color w:val="000000"/>
              </w:rPr>
            </w:pPr>
            <w:r w:rsidRPr="00D45361">
              <w:rPr>
                <w:rFonts w:ascii="Calibri" w:hAnsi="Calibri"/>
                <w:bCs/>
                <w:color w:val="000000"/>
              </w:rPr>
              <w:t>13228</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Harghita</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95</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7159</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6342</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19114</w:t>
            </w:r>
          </w:p>
        </w:tc>
        <w:tc>
          <w:tcPr>
            <w:tcW w:w="1150" w:type="dxa"/>
            <w:vAlign w:val="bottom"/>
          </w:tcPr>
          <w:p w:rsidR="0002155C" w:rsidRPr="00D45361" w:rsidRDefault="0002155C" w:rsidP="00064502">
            <w:pPr>
              <w:jc w:val="right"/>
              <w:rPr>
                <w:rFonts w:ascii="Calibri" w:hAnsi="Calibri"/>
                <w:bCs/>
                <w:color w:val="000000"/>
              </w:rPr>
            </w:pPr>
            <w:r w:rsidRPr="00D45361">
              <w:rPr>
                <w:rFonts w:ascii="Calibri" w:hAnsi="Calibri"/>
                <w:bCs/>
                <w:color w:val="000000"/>
              </w:rPr>
              <w:t>31070</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Mure</w:t>
            </w:r>
            <w:r>
              <w:rPr>
                <w:rFonts w:ascii="Calibri" w:eastAsia="Times New Roman" w:hAnsi="Calibri" w:cs="Times New Roman"/>
                <w:color w:val="000000"/>
              </w:rPr>
              <w:t>ș</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13241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32921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30171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34534</w:t>
            </w:r>
          </w:p>
        </w:tc>
        <w:tc>
          <w:tcPr>
            <w:tcW w:w="1150" w:type="dxa"/>
            <w:vAlign w:val="bottom"/>
          </w:tcPr>
          <w:p w:rsidR="0002155C" w:rsidRPr="00D45361" w:rsidRDefault="0002155C" w:rsidP="00064502">
            <w:pPr>
              <w:jc w:val="right"/>
              <w:rPr>
                <w:rFonts w:ascii="Calibri" w:hAnsi="Calibri"/>
                <w:bCs/>
                <w:color w:val="000000"/>
              </w:rPr>
            </w:pPr>
            <w:r w:rsidRPr="00D45361">
              <w:rPr>
                <w:rFonts w:ascii="Calibri" w:hAnsi="Calibri"/>
                <w:bCs/>
                <w:color w:val="000000"/>
              </w:rPr>
              <w:t>40347</w:t>
            </w:r>
          </w:p>
        </w:tc>
      </w:tr>
      <w:tr w:rsidR="0002155C" w:rsidRPr="00D45361" w:rsidTr="00064502">
        <w:trPr>
          <w:trHeight w:val="315"/>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Sibiu</w:t>
            </w:r>
          </w:p>
        </w:tc>
        <w:tc>
          <w:tcPr>
            <w:tcW w:w="1150" w:type="dxa"/>
          </w:tcPr>
          <w:p w:rsidR="0002155C" w:rsidRPr="006E4D77" w:rsidRDefault="0002155C" w:rsidP="00064502">
            <w:pPr>
              <w:jc w:val="right"/>
              <w:rPr>
                <w:rFonts w:ascii="Calibri" w:eastAsia="Times New Roman" w:hAnsi="Calibri" w:cs="Times New Roman"/>
                <w:color w:val="000000"/>
              </w:rPr>
            </w:pPr>
            <w:r>
              <w:rPr>
                <w:rFonts w:ascii="Calibri" w:eastAsia="Times New Roman" w:hAnsi="Calibri" w:cs="Times New Roman"/>
                <w:color w:val="000000"/>
              </w:rPr>
              <w:t>27487</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174487</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174621</w:t>
            </w:r>
          </w:p>
        </w:tc>
        <w:tc>
          <w:tcPr>
            <w:tcW w:w="1150" w:type="dxa"/>
            <w:noWrap/>
            <w:hideMark/>
          </w:tcPr>
          <w:p w:rsidR="0002155C" w:rsidRPr="006E4D77" w:rsidRDefault="0002155C" w:rsidP="00064502">
            <w:pPr>
              <w:jc w:val="right"/>
              <w:rPr>
                <w:rFonts w:ascii="Calibri" w:eastAsia="Times New Roman" w:hAnsi="Calibri" w:cs="Times New Roman"/>
                <w:color w:val="000000"/>
              </w:rPr>
            </w:pPr>
            <w:r w:rsidRPr="006E4D77">
              <w:rPr>
                <w:rFonts w:ascii="Calibri" w:eastAsia="Times New Roman" w:hAnsi="Calibri" w:cs="Times New Roman"/>
                <w:color w:val="000000"/>
              </w:rPr>
              <w:t>345493</w:t>
            </w:r>
          </w:p>
        </w:tc>
        <w:tc>
          <w:tcPr>
            <w:tcW w:w="1150" w:type="dxa"/>
            <w:vAlign w:val="bottom"/>
          </w:tcPr>
          <w:p w:rsidR="0002155C" w:rsidRPr="00D45361" w:rsidRDefault="0002155C" w:rsidP="00064502">
            <w:pPr>
              <w:jc w:val="right"/>
              <w:rPr>
                <w:rFonts w:ascii="Calibri" w:hAnsi="Calibri"/>
                <w:bCs/>
                <w:color w:val="000000"/>
              </w:rPr>
            </w:pPr>
            <w:r w:rsidRPr="00D45361">
              <w:rPr>
                <w:rFonts w:ascii="Calibri" w:hAnsi="Calibri"/>
                <w:bCs/>
                <w:color w:val="000000"/>
              </w:rPr>
              <w:t>332004</w:t>
            </w:r>
          </w:p>
        </w:tc>
      </w:tr>
    </w:tbl>
    <w:p w:rsidR="0002155C" w:rsidRDefault="0002155C" w:rsidP="0002155C">
      <w:pPr>
        <w:rPr>
          <w:sz w:val="24"/>
          <w:szCs w:val="24"/>
        </w:rPr>
      </w:pPr>
      <w:r>
        <w:rPr>
          <w:sz w:val="24"/>
          <w:szCs w:val="24"/>
        </w:rPr>
        <w:tab/>
      </w:r>
      <w:r w:rsidRPr="00AD2361">
        <w:rPr>
          <w:b/>
          <w:sz w:val="24"/>
          <w:szCs w:val="24"/>
        </w:rPr>
        <w:t>Sursa:</w:t>
      </w:r>
      <w:r>
        <w:rPr>
          <w:sz w:val="24"/>
          <w:szCs w:val="24"/>
        </w:rPr>
        <w:t xml:space="preserve"> Institutul Național de Statistică</w:t>
      </w:r>
    </w:p>
    <w:p w:rsidR="0002155C" w:rsidRPr="00D45361" w:rsidRDefault="0002155C" w:rsidP="0002155C">
      <w:pPr>
        <w:jc w:val="both"/>
        <w:rPr>
          <w:sz w:val="24"/>
          <w:szCs w:val="24"/>
        </w:rPr>
      </w:pPr>
      <w:r w:rsidRPr="00D45361">
        <w:rPr>
          <w:sz w:val="24"/>
          <w:szCs w:val="24"/>
        </w:rPr>
        <w:t>Două județe – Brașovul și Sibiul – realizează împreună aproximativ 76% din valoarea sectorului automotive înregistrată la nivel regional în anul 2014. Județele Alba și Mureș realizează 17% respectiv 3,3% din exportul regional al sectorului auto, în timp ce celelalte 2 județe au contribuții foarte reduse.</w:t>
      </w:r>
    </w:p>
    <w:p w:rsidR="0002155C" w:rsidRDefault="0002155C" w:rsidP="0002155C">
      <w:pPr>
        <w:jc w:val="center"/>
        <w:rPr>
          <w:sz w:val="24"/>
          <w:szCs w:val="24"/>
        </w:rPr>
      </w:pPr>
      <w:r w:rsidRPr="00D45361">
        <w:rPr>
          <w:noProof/>
          <w:sz w:val="24"/>
          <w:szCs w:val="24"/>
        </w:rPr>
        <w:drawing>
          <wp:inline distT="0" distB="0" distL="0" distR="0">
            <wp:extent cx="4724400" cy="3314700"/>
            <wp:effectExtent l="19050" t="0" r="19050" b="0"/>
            <wp:docPr id="43"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155C" w:rsidRPr="00A674C2" w:rsidRDefault="0002155C" w:rsidP="0002155C">
      <w:pPr>
        <w:spacing w:after="0"/>
        <w:rPr>
          <w:b/>
          <w:sz w:val="24"/>
          <w:szCs w:val="24"/>
        </w:rPr>
      </w:pPr>
      <w:r>
        <w:rPr>
          <w:sz w:val="24"/>
          <w:szCs w:val="24"/>
        </w:rPr>
        <w:tab/>
      </w:r>
      <w:r>
        <w:rPr>
          <w:sz w:val="24"/>
          <w:szCs w:val="24"/>
        </w:rPr>
        <w:tab/>
      </w:r>
      <w:r w:rsidRPr="00A674C2">
        <w:rPr>
          <w:b/>
          <w:sz w:val="24"/>
          <w:szCs w:val="24"/>
        </w:rPr>
        <w:t xml:space="preserve">Fig. </w:t>
      </w:r>
      <w:r>
        <w:rPr>
          <w:b/>
          <w:sz w:val="24"/>
          <w:szCs w:val="24"/>
        </w:rPr>
        <w:t>3</w:t>
      </w:r>
      <w:r w:rsidRPr="00A674C2">
        <w:rPr>
          <w:b/>
          <w:sz w:val="24"/>
          <w:szCs w:val="24"/>
        </w:rPr>
        <w:t xml:space="preserve"> </w:t>
      </w:r>
    </w:p>
    <w:p w:rsidR="0002155C" w:rsidRDefault="0002155C" w:rsidP="0002155C">
      <w:pPr>
        <w:jc w:val="both"/>
        <w:rPr>
          <w:sz w:val="24"/>
          <w:szCs w:val="24"/>
        </w:rPr>
      </w:pPr>
      <w:r>
        <w:rPr>
          <w:sz w:val="24"/>
          <w:szCs w:val="24"/>
        </w:rPr>
        <w:t xml:space="preserve">Raportat la valoarea totală a exporturilor realizate la nivel județean, cele mai mari ponderi se înregistrează în județele Brașov Alba și Sibiu (24,4%, 16,6% respectiv 15,3%), în Harghita ponderea sectorului auto atinge 10%, în timp ce în celelalte județe ponderea sectorului auto se situează sub pragul de 5%. Cu toate că atât ponderea cât și valoarea exporturilor auto rămân reduse, evoluția cea mai dinamică la nivel județean se înregistrează și în județe precum Harghita sau Covasna, dintre județele cu o pondere importantă a domeniului auto în </w:t>
      </w:r>
      <w:r>
        <w:rPr>
          <w:sz w:val="24"/>
          <w:szCs w:val="24"/>
        </w:rPr>
        <w:lastRenderedPageBreak/>
        <w:t>exportul regional, Alba a avut cea mai spectaculoasă performanță, cu o creștere în perioada 2003-2014 de peste 560 ori a valorii exporturilor sectorului auto.</w:t>
      </w:r>
    </w:p>
    <w:p w:rsidR="0002155C" w:rsidRDefault="0002155C" w:rsidP="0002155C">
      <w:pPr>
        <w:jc w:val="center"/>
        <w:rPr>
          <w:b/>
          <w:sz w:val="24"/>
          <w:szCs w:val="24"/>
        </w:rPr>
      </w:pPr>
      <w:r>
        <w:rPr>
          <w:b/>
          <w:sz w:val="24"/>
          <w:szCs w:val="24"/>
        </w:rPr>
        <w:t>Tab. 6 Ponderea industriei auto în totalul exporturilor în perioada 2011-2014</w:t>
      </w:r>
    </w:p>
    <w:p w:rsidR="0002155C" w:rsidRPr="00C2266C" w:rsidRDefault="0002155C" w:rsidP="0002155C">
      <w:pPr>
        <w:spacing w:after="0"/>
        <w:jc w:val="center"/>
        <w:rPr>
          <w:b/>
          <w:sz w:val="20"/>
          <w:szCs w:val="20"/>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C2266C">
        <w:rPr>
          <w:b/>
          <w:sz w:val="20"/>
          <w:szCs w:val="20"/>
        </w:rPr>
        <w:t>-%-</w:t>
      </w:r>
    </w:p>
    <w:tbl>
      <w:tblPr>
        <w:tblStyle w:val="Referinnotdesubsol"/>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150"/>
        <w:gridCol w:w="1150"/>
        <w:gridCol w:w="1150"/>
        <w:gridCol w:w="1150"/>
      </w:tblGrid>
      <w:tr w:rsidR="0002155C" w:rsidRPr="006E4D77" w:rsidTr="00064502">
        <w:trPr>
          <w:trHeight w:val="588"/>
          <w:jc w:val="center"/>
        </w:trPr>
        <w:tc>
          <w:tcPr>
            <w:tcW w:w="1949" w:type="dxa"/>
            <w:noWrap/>
            <w:vAlign w:val="center"/>
            <w:hideMark/>
          </w:tcPr>
          <w:p w:rsidR="0002155C" w:rsidRPr="006E4D77" w:rsidRDefault="0002155C" w:rsidP="00064502">
            <w:pPr>
              <w:jc w:val="center"/>
              <w:rPr>
                <w:rFonts w:ascii="Calibri" w:eastAsia="Times New Roman" w:hAnsi="Calibri" w:cs="Times New Roman"/>
                <w:color w:val="000000"/>
              </w:rPr>
            </w:pPr>
          </w:p>
        </w:tc>
        <w:tc>
          <w:tcPr>
            <w:tcW w:w="1150" w:type="dxa"/>
            <w:vAlign w:val="center"/>
          </w:tcPr>
          <w:p w:rsidR="0002155C" w:rsidRDefault="0002155C" w:rsidP="00064502">
            <w:pPr>
              <w:jc w:val="center"/>
              <w:rPr>
                <w:rFonts w:ascii="Calibri" w:hAnsi="Calibri"/>
                <w:color w:val="000000"/>
              </w:rPr>
            </w:pPr>
            <w:r>
              <w:rPr>
                <w:rFonts w:ascii="Calibri" w:hAnsi="Calibri"/>
                <w:color w:val="000000"/>
              </w:rPr>
              <w:t>2011</w:t>
            </w:r>
          </w:p>
        </w:tc>
        <w:tc>
          <w:tcPr>
            <w:tcW w:w="1150" w:type="dxa"/>
            <w:noWrap/>
            <w:vAlign w:val="center"/>
            <w:hideMark/>
          </w:tcPr>
          <w:p w:rsidR="0002155C" w:rsidRDefault="0002155C" w:rsidP="00064502">
            <w:pPr>
              <w:jc w:val="center"/>
              <w:rPr>
                <w:rFonts w:ascii="Calibri" w:hAnsi="Calibri"/>
                <w:color w:val="000000"/>
              </w:rPr>
            </w:pPr>
            <w:r>
              <w:rPr>
                <w:rFonts w:ascii="Calibri" w:hAnsi="Calibri"/>
                <w:color w:val="000000"/>
              </w:rPr>
              <w:t>2012</w:t>
            </w:r>
          </w:p>
        </w:tc>
        <w:tc>
          <w:tcPr>
            <w:tcW w:w="1150" w:type="dxa"/>
            <w:noWrap/>
            <w:vAlign w:val="center"/>
            <w:hideMark/>
          </w:tcPr>
          <w:p w:rsidR="0002155C" w:rsidRDefault="0002155C" w:rsidP="00064502">
            <w:pPr>
              <w:jc w:val="center"/>
              <w:rPr>
                <w:rFonts w:ascii="Calibri" w:hAnsi="Calibri"/>
                <w:color w:val="000000"/>
              </w:rPr>
            </w:pPr>
            <w:r>
              <w:rPr>
                <w:rFonts w:ascii="Calibri" w:hAnsi="Calibri"/>
                <w:color w:val="000000"/>
              </w:rPr>
              <w:t>2013</w:t>
            </w:r>
          </w:p>
        </w:tc>
        <w:tc>
          <w:tcPr>
            <w:tcW w:w="1150" w:type="dxa"/>
            <w:noWrap/>
            <w:vAlign w:val="center"/>
            <w:hideMark/>
          </w:tcPr>
          <w:p w:rsidR="0002155C" w:rsidRDefault="0002155C" w:rsidP="00064502">
            <w:pPr>
              <w:jc w:val="center"/>
              <w:rPr>
                <w:rFonts w:ascii="Calibri" w:hAnsi="Calibri"/>
                <w:color w:val="000000"/>
              </w:rPr>
            </w:pPr>
            <w:r>
              <w:rPr>
                <w:rFonts w:ascii="Calibri" w:hAnsi="Calibri"/>
                <w:color w:val="000000"/>
              </w:rPr>
              <w:t>2014</w:t>
            </w:r>
          </w:p>
        </w:tc>
      </w:tr>
      <w:tr w:rsidR="0002155C" w:rsidRPr="006E4D77" w:rsidTr="00064502">
        <w:trPr>
          <w:trHeight w:val="315"/>
          <w:jc w:val="center"/>
        </w:trPr>
        <w:tc>
          <w:tcPr>
            <w:tcW w:w="1949" w:type="dxa"/>
            <w:noWrap/>
            <w:hideMark/>
          </w:tcPr>
          <w:p w:rsidR="0002155C" w:rsidRPr="006E4D77" w:rsidRDefault="0002155C" w:rsidP="00064502">
            <w:pPr>
              <w:rPr>
                <w:rFonts w:ascii="Calibri" w:eastAsia="Times New Roman" w:hAnsi="Calibri" w:cs="Times New Roman"/>
                <w:color w:val="000000"/>
              </w:rPr>
            </w:pPr>
            <w:r>
              <w:rPr>
                <w:rFonts w:ascii="Calibri" w:eastAsia="Times New Roman" w:hAnsi="Calibri" w:cs="Times New Roman"/>
                <w:color w:val="000000"/>
              </w:rPr>
              <w:t>România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12,0</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12,8</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14,3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14,2</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Regiunea Centru</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11,7</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11,5</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14,3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16,6</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Alba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0,5</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0,9</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4,4</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16,6</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Pr>
                <w:rFonts w:ascii="Calibri" w:eastAsia="Times New Roman" w:hAnsi="Calibri" w:cs="Times New Roman"/>
                <w:color w:val="000000"/>
              </w:rPr>
              <w:t>Braș</w:t>
            </w:r>
            <w:r w:rsidRPr="006E4D77">
              <w:rPr>
                <w:rFonts w:ascii="Calibri" w:eastAsia="Times New Roman" w:hAnsi="Calibri" w:cs="Times New Roman"/>
                <w:color w:val="000000"/>
              </w:rPr>
              <w:t>ov</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24,6</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23,5</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22,4</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24,4</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Covasna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3,0</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4,0</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4,1</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3,8</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Harghita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2,6</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2,7</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7,2</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10,0</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Mure</w:t>
            </w:r>
            <w:r>
              <w:rPr>
                <w:rFonts w:ascii="Calibri" w:eastAsia="Times New Roman" w:hAnsi="Calibri" w:cs="Times New Roman"/>
                <w:color w:val="000000"/>
              </w:rPr>
              <w:t>ș</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4,4</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3,8</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4,3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4,7</w:t>
            </w:r>
          </w:p>
        </w:tc>
      </w:tr>
      <w:tr w:rsidR="0002155C" w:rsidRPr="00D45361" w:rsidTr="00064502">
        <w:trPr>
          <w:trHeight w:val="315"/>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Sibiu</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9,8</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9,5</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17,3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15,3</w:t>
            </w:r>
          </w:p>
        </w:tc>
      </w:tr>
    </w:tbl>
    <w:p w:rsidR="0002155C" w:rsidRDefault="0002155C" w:rsidP="0002155C">
      <w:pPr>
        <w:rPr>
          <w:b/>
          <w:sz w:val="24"/>
          <w:szCs w:val="24"/>
        </w:rPr>
      </w:pPr>
      <w:r>
        <w:rPr>
          <w:b/>
          <w:sz w:val="24"/>
          <w:szCs w:val="24"/>
        </w:rPr>
        <w:tab/>
      </w:r>
      <w:r>
        <w:rPr>
          <w:b/>
          <w:sz w:val="24"/>
          <w:szCs w:val="24"/>
        </w:rPr>
        <w:tab/>
        <w:t>Calcule proprii pe baza datelor INS</w:t>
      </w:r>
    </w:p>
    <w:p w:rsidR="0002155C" w:rsidRDefault="0002155C" w:rsidP="0002155C">
      <w:pPr>
        <w:jc w:val="center"/>
        <w:rPr>
          <w:b/>
          <w:sz w:val="24"/>
          <w:szCs w:val="24"/>
        </w:rPr>
      </w:pPr>
      <w:r w:rsidRPr="0006628A">
        <w:rPr>
          <w:b/>
          <w:noProof/>
          <w:sz w:val="24"/>
          <w:szCs w:val="24"/>
        </w:rPr>
        <w:drawing>
          <wp:inline distT="0" distB="0" distL="0" distR="0">
            <wp:extent cx="4837622" cy="3269411"/>
            <wp:effectExtent l="19050" t="0" r="20128" b="7189"/>
            <wp:docPr id="4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155C" w:rsidRPr="0006628A" w:rsidRDefault="0002155C" w:rsidP="0002155C">
      <w:pPr>
        <w:pStyle w:val="Titlu2"/>
        <w:rPr>
          <w:rFonts w:ascii="Calibri" w:hAnsi="Calibri"/>
          <w:color w:val="auto"/>
          <w:sz w:val="24"/>
          <w:szCs w:val="24"/>
        </w:rPr>
      </w:pPr>
      <w:r>
        <w:rPr>
          <w:rFonts w:ascii="Calibri" w:hAnsi="Calibri"/>
          <w:color w:val="auto"/>
          <w:sz w:val="24"/>
          <w:szCs w:val="24"/>
        </w:rPr>
        <w:tab/>
      </w:r>
      <w:r w:rsidRPr="0006628A">
        <w:rPr>
          <w:rFonts w:ascii="Calibri" w:hAnsi="Calibri"/>
          <w:color w:val="auto"/>
          <w:sz w:val="24"/>
          <w:szCs w:val="24"/>
        </w:rPr>
        <w:t>Fig. 4</w:t>
      </w:r>
    </w:p>
    <w:p w:rsidR="0002155C" w:rsidRDefault="0002155C" w:rsidP="0002155C">
      <w:pPr>
        <w:pStyle w:val="Titlu2"/>
      </w:pPr>
      <w:r>
        <w:t>Indicele de specializare a exporturilor</w:t>
      </w:r>
    </w:p>
    <w:p w:rsidR="0002155C" w:rsidRPr="00C34B53" w:rsidRDefault="0002155C" w:rsidP="0002155C"/>
    <w:p w:rsidR="0002155C" w:rsidRDefault="0002155C" w:rsidP="0002155C">
      <w:pPr>
        <w:jc w:val="both"/>
        <w:rPr>
          <w:rStyle w:val="apple-converted-space"/>
          <w:color w:val="000000"/>
          <w:sz w:val="24"/>
          <w:szCs w:val="24"/>
          <w:shd w:val="clear" w:color="auto" w:fill="FFFFFF"/>
        </w:rPr>
      </w:pPr>
      <w:r w:rsidRPr="00C34B53">
        <w:rPr>
          <w:sz w:val="24"/>
          <w:szCs w:val="24"/>
        </w:rPr>
        <w:lastRenderedPageBreak/>
        <w:t>La nivel internațional, un indicator frecvent utilizat este</w:t>
      </w:r>
      <w:r>
        <w:rPr>
          <w:b/>
          <w:sz w:val="24"/>
          <w:szCs w:val="24"/>
        </w:rPr>
        <w:t xml:space="preserve"> </w:t>
      </w:r>
      <w:r w:rsidRPr="00C34B53">
        <w:rPr>
          <w:b/>
          <w:sz w:val="24"/>
          <w:szCs w:val="24"/>
        </w:rPr>
        <w:t>Indicele avantajului comparativ RCA (revealed comparative advantage</w:t>
      </w:r>
      <w:r>
        <w:rPr>
          <w:b/>
          <w:sz w:val="24"/>
          <w:szCs w:val="24"/>
        </w:rPr>
        <w:t xml:space="preserve"> sau </w:t>
      </w:r>
      <w:r w:rsidRPr="00C34B53">
        <w:rPr>
          <w:b/>
          <w:sz w:val="24"/>
          <w:szCs w:val="24"/>
        </w:rPr>
        <w:t>indicele Balassa)</w:t>
      </w:r>
      <w:r>
        <w:rPr>
          <w:b/>
          <w:sz w:val="24"/>
          <w:szCs w:val="24"/>
        </w:rPr>
        <w:t xml:space="preserve">. </w:t>
      </w:r>
      <w:r w:rsidRPr="00C34B53">
        <w:rPr>
          <w:sz w:val="24"/>
          <w:szCs w:val="24"/>
        </w:rPr>
        <w:t xml:space="preserve">Acest indicator </w:t>
      </w:r>
      <w:r w:rsidRPr="00C34B53">
        <w:rPr>
          <w:b/>
          <w:sz w:val="24"/>
          <w:szCs w:val="24"/>
        </w:rPr>
        <w:t xml:space="preserve"> </w:t>
      </w:r>
      <w:r>
        <w:rPr>
          <w:sz w:val="24"/>
          <w:szCs w:val="24"/>
        </w:rPr>
        <w:t>servește la determinarea</w:t>
      </w:r>
      <w:r w:rsidRPr="00C34B53">
        <w:rPr>
          <w:sz w:val="24"/>
          <w:szCs w:val="24"/>
        </w:rPr>
        <w:t xml:space="preserve"> avantajului / dezavantajului relativ pe care îl deține o țară îl are </w:t>
      </w:r>
      <w:r>
        <w:rPr>
          <w:sz w:val="24"/>
          <w:szCs w:val="24"/>
        </w:rPr>
        <w:t>în comerțul internațional pentru o</w:t>
      </w:r>
      <w:r w:rsidRPr="00C34B53">
        <w:rPr>
          <w:sz w:val="24"/>
          <w:szCs w:val="24"/>
        </w:rPr>
        <w:t xml:space="preserve"> anumită clasă de bunuri și servicii. Dacă valoarea indicatorului este supraunitară țara respectivă are un avantaj comparativ,  iar dacă este subunitară, există un dezavantaj comparativ pentru respectiva clasă de bunuri și servicii</w:t>
      </w:r>
      <w:r>
        <w:rPr>
          <w:sz w:val="24"/>
          <w:szCs w:val="24"/>
        </w:rPr>
        <w:t xml:space="preserve">. Aplicat în cadrul unei analize la nivelul unei singure țări, indicele Balassa nu are aceeași relevanță, însă pornind de la formula de calcul al indicelui RCA, s-a construit un </w:t>
      </w:r>
      <w:r w:rsidRPr="00321967">
        <w:rPr>
          <w:b/>
          <w:sz w:val="24"/>
          <w:szCs w:val="24"/>
        </w:rPr>
        <w:t>indice de specializare sectorială a exporturilor (ISSE),</w:t>
      </w:r>
      <w:r>
        <w:rPr>
          <w:sz w:val="24"/>
          <w:szCs w:val="24"/>
        </w:rPr>
        <w:t xml:space="preserve"> având următoarea </w:t>
      </w:r>
      <w:r w:rsidRPr="00623B51">
        <w:rPr>
          <w:sz w:val="24"/>
          <w:szCs w:val="24"/>
        </w:rPr>
        <w:t xml:space="preserve">formulă  </w:t>
      </w:r>
      <w:r>
        <w:rPr>
          <w:b/>
          <w:color w:val="000000"/>
          <w:sz w:val="24"/>
          <w:szCs w:val="24"/>
          <w:shd w:val="clear" w:color="auto" w:fill="FFFFFF"/>
        </w:rPr>
        <w:t>ISSE</w:t>
      </w:r>
      <w:r w:rsidRPr="00623B51">
        <w:rPr>
          <w:b/>
          <w:color w:val="000000"/>
          <w:sz w:val="24"/>
          <w:szCs w:val="24"/>
          <w:bdr w:val="none" w:sz="0" w:space="0" w:color="auto" w:frame="1"/>
          <w:shd w:val="clear" w:color="auto" w:fill="FFFFFF"/>
          <w:vertAlign w:val="subscript"/>
        </w:rPr>
        <w:t>ij</w:t>
      </w:r>
      <w:r w:rsidRPr="00623B51">
        <w:rPr>
          <w:rStyle w:val="apple-converted-space"/>
          <w:b/>
          <w:color w:val="000000"/>
          <w:sz w:val="24"/>
          <w:szCs w:val="24"/>
          <w:shd w:val="clear" w:color="auto" w:fill="FFFFFF"/>
        </w:rPr>
        <w:t> </w:t>
      </w:r>
      <w:r w:rsidRPr="00623B51">
        <w:rPr>
          <w:b/>
          <w:color w:val="000000"/>
          <w:sz w:val="24"/>
          <w:szCs w:val="24"/>
          <w:shd w:val="clear" w:color="auto" w:fill="FFFFFF"/>
        </w:rPr>
        <w:t>= (x</w:t>
      </w:r>
      <w:r w:rsidRPr="00623B51">
        <w:rPr>
          <w:b/>
          <w:color w:val="000000"/>
          <w:sz w:val="24"/>
          <w:szCs w:val="24"/>
          <w:bdr w:val="none" w:sz="0" w:space="0" w:color="auto" w:frame="1"/>
          <w:shd w:val="clear" w:color="auto" w:fill="FFFFFF"/>
          <w:vertAlign w:val="subscript"/>
        </w:rPr>
        <w:t>ij</w:t>
      </w:r>
      <w:r w:rsidRPr="00623B51">
        <w:rPr>
          <w:b/>
          <w:color w:val="000000"/>
          <w:sz w:val="24"/>
          <w:szCs w:val="24"/>
          <w:shd w:val="clear" w:color="auto" w:fill="FFFFFF"/>
        </w:rPr>
        <w:t>/X</w:t>
      </w:r>
      <w:r w:rsidRPr="00623B51">
        <w:rPr>
          <w:b/>
          <w:color w:val="000000"/>
          <w:sz w:val="24"/>
          <w:szCs w:val="24"/>
          <w:bdr w:val="none" w:sz="0" w:space="0" w:color="auto" w:frame="1"/>
          <w:shd w:val="clear" w:color="auto" w:fill="FFFFFF"/>
          <w:vertAlign w:val="subscript"/>
        </w:rPr>
        <w:t>it</w:t>
      </w:r>
      <w:r w:rsidRPr="00623B51">
        <w:rPr>
          <w:b/>
          <w:color w:val="000000"/>
          <w:sz w:val="24"/>
          <w:szCs w:val="24"/>
          <w:shd w:val="clear" w:color="auto" w:fill="FFFFFF"/>
        </w:rPr>
        <w:t>) / (x</w:t>
      </w:r>
      <w:r w:rsidRPr="00623B51">
        <w:rPr>
          <w:b/>
          <w:color w:val="000000"/>
          <w:sz w:val="24"/>
          <w:szCs w:val="24"/>
          <w:bdr w:val="none" w:sz="0" w:space="0" w:color="auto" w:frame="1"/>
          <w:shd w:val="clear" w:color="auto" w:fill="FFFFFF"/>
          <w:vertAlign w:val="subscript"/>
        </w:rPr>
        <w:t>nj</w:t>
      </w:r>
      <w:r w:rsidRPr="00623B51">
        <w:rPr>
          <w:b/>
          <w:color w:val="000000"/>
          <w:sz w:val="24"/>
          <w:szCs w:val="24"/>
          <w:shd w:val="clear" w:color="auto" w:fill="FFFFFF"/>
        </w:rPr>
        <w:t>/Xn</w:t>
      </w:r>
      <w:r w:rsidRPr="00623B51">
        <w:rPr>
          <w:b/>
          <w:color w:val="000000"/>
          <w:sz w:val="24"/>
          <w:szCs w:val="24"/>
          <w:bdr w:val="none" w:sz="0" w:space="0" w:color="auto" w:frame="1"/>
          <w:shd w:val="clear" w:color="auto" w:fill="FFFFFF"/>
          <w:vertAlign w:val="subscript"/>
        </w:rPr>
        <w:t>t</w:t>
      </w:r>
      <w:r w:rsidRPr="00623B51">
        <w:rPr>
          <w:b/>
          <w:color w:val="000000"/>
          <w:sz w:val="24"/>
          <w:szCs w:val="24"/>
          <w:shd w:val="clear" w:color="auto" w:fill="FFFFFF"/>
        </w:rPr>
        <w:t>)</w:t>
      </w:r>
      <w:r w:rsidRPr="00623B51">
        <w:rPr>
          <w:color w:val="000000"/>
          <w:sz w:val="24"/>
          <w:szCs w:val="24"/>
          <w:shd w:val="clear" w:color="auto" w:fill="FFFFFF"/>
        </w:rPr>
        <w:t>, unde x</w:t>
      </w:r>
      <w:r w:rsidRPr="00623B51">
        <w:rPr>
          <w:color w:val="000000"/>
          <w:sz w:val="24"/>
          <w:szCs w:val="24"/>
          <w:bdr w:val="none" w:sz="0" w:space="0" w:color="auto" w:frame="1"/>
          <w:shd w:val="clear" w:color="auto" w:fill="FFFFFF"/>
          <w:vertAlign w:val="subscript"/>
        </w:rPr>
        <w:t>ij</w:t>
      </w:r>
      <w:r w:rsidRPr="00623B51">
        <w:rPr>
          <w:rStyle w:val="apple-converted-space"/>
          <w:color w:val="000000"/>
          <w:sz w:val="24"/>
          <w:szCs w:val="24"/>
          <w:shd w:val="clear" w:color="auto" w:fill="FFFFFF"/>
        </w:rPr>
        <w:t> </w:t>
      </w:r>
      <w:r w:rsidRPr="00623B51">
        <w:rPr>
          <w:color w:val="000000"/>
          <w:sz w:val="24"/>
          <w:szCs w:val="24"/>
          <w:shd w:val="clear" w:color="auto" w:fill="FFFFFF"/>
        </w:rPr>
        <w:t>și x</w:t>
      </w:r>
      <w:r w:rsidRPr="00623B51">
        <w:rPr>
          <w:color w:val="000000"/>
          <w:sz w:val="24"/>
          <w:szCs w:val="24"/>
          <w:shd w:val="clear" w:color="auto" w:fill="FFFFFF"/>
          <w:vertAlign w:val="subscript"/>
        </w:rPr>
        <w:t>n</w:t>
      </w:r>
      <w:r w:rsidRPr="00623B51">
        <w:rPr>
          <w:color w:val="000000"/>
          <w:sz w:val="24"/>
          <w:szCs w:val="24"/>
          <w:bdr w:val="none" w:sz="0" w:space="0" w:color="auto" w:frame="1"/>
          <w:shd w:val="clear" w:color="auto" w:fill="FFFFFF"/>
          <w:vertAlign w:val="subscript"/>
        </w:rPr>
        <w:t>j</w:t>
      </w:r>
      <w:r w:rsidRPr="00623B51">
        <w:rPr>
          <w:rStyle w:val="apple-converted-space"/>
          <w:color w:val="000000"/>
          <w:sz w:val="24"/>
          <w:szCs w:val="24"/>
          <w:shd w:val="clear" w:color="auto" w:fill="FFFFFF"/>
        </w:rPr>
        <w:t xml:space="preserve"> reprezintă exporturile Regiunii i de mărfuri aparținând grupei j respectiv exportul național de produse aparținând grupei j, iar </w:t>
      </w:r>
      <w:r w:rsidRPr="00623B51">
        <w:rPr>
          <w:color w:val="000000"/>
          <w:sz w:val="24"/>
          <w:szCs w:val="24"/>
          <w:shd w:val="clear" w:color="auto" w:fill="FFFFFF"/>
        </w:rPr>
        <w:t>X</w:t>
      </w:r>
      <w:r w:rsidRPr="00623B51">
        <w:rPr>
          <w:color w:val="000000"/>
          <w:sz w:val="24"/>
          <w:szCs w:val="24"/>
          <w:bdr w:val="none" w:sz="0" w:space="0" w:color="auto" w:frame="1"/>
          <w:shd w:val="clear" w:color="auto" w:fill="FFFFFF"/>
          <w:vertAlign w:val="subscript"/>
        </w:rPr>
        <w:t>it</w:t>
      </w:r>
      <w:r w:rsidRPr="00623B51">
        <w:rPr>
          <w:rStyle w:val="apple-converted-space"/>
          <w:color w:val="000000"/>
          <w:sz w:val="24"/>
          <w:szCs w:val="24"/>
          <w:shd w:val="clear" w:color="auto" w:fill="FFFFFF"/>
        </w:rPr>
        <w:t> și</w:t>
      </w:r>
      <w:r w:rsidRPr="00623B51">
        <w:rPr>
          <w:color w:val="000000"/>
          <w:sz w:val="24"/>
          <w:szCs w:val="24"/>
          <w:shd w:val="clear" w:color="auto" w:fill="FFFFFF"/>
        </w:rPr>
        <w:t xml:space="preserve"> X</w:t>
      </w:r>
      <w:r w:rsidRPr="00623B51">
        <w:rPr>
          <w:color w:val="000000"/>
          <w:sz w:val="24"/>
          <w:szCs w:val="24"/>
          <w:shd w:val="clear" w:color="auto" w:fill="FFFFFF"/>
          <w:vertAlign w:val="subscript"/>
        </w:rPr>
        <w:t>n</w:t>
      </w:r>
      <w:r w:rsidRPr="00623B51">
        <w:rPr>
          <w:color w:val="000000"/>
          <w:sz w:val="24"/>
          <w:szCs w:val="24"/>
          <w:bdr w:val="none" w:sz="0" w:space="0" w:color="auto" w:frame="1"/>
          <w:shd w:val="clear" w:color="auto" w:fill="FFFFFF"/>
          <w:vertAlign w:val="subscript"/>
        </w:rPr>
        <w:t>t</w:t>
      </w:r>
      <w:r w:rsidRPr="00623B51">
        <w:rPr>
          <w:rStyle w:val="apple-converted-space"/>
          <w:color w:val="000000"/>
          <w:sz w:val="24"/>
          <w:szCs w:val="24"/>
          <w:shd w:val="clear" w:color="auto" w:fill="FFFFFF"/>
        </w:rPr>
        <w:t> reprezintă exportul total regional respectiv exportul total național</w:t>
      </w:r>
      <w:r>
        <w:rPr>
          <w:rStyle w:val="apple-converted-space"/>
          <w:color w:val="000000"/>
          <w:sz w:val="24"/>
          <w:szCs w:val="24"/>
          <w:shd w:val="clear" w:color="auto" w:fill="FFFFFF"/>
        </w:rPr>
        <w:t xml:space="preserve">. Acest indice arată în ce măsură ponderea la nivel regional/județean a exporturilor unei grupe de mărfuri depășește sau, dimpotrivă, este inferioară ponderii deținută de respectiva grupă de mărfuri în cadrul exporturilor realizate la nivel național.  </w:t>
      </w:r>
    </w:p>
    <w:p w:rsidR="0002155C" w:rsidRPr="00623B51" w:rsidRDefault="0002155C" w:rsidP="0002155C">
      <w:pPr>
        <w:jc w:val="both"/>
        <w:rPr>
          <w:b/>
          <w:sz w:val="24"/>
          <w:szCs w:val="24"/>
        </w:rPr>
      </w:pPr>
      <w:r>
        <w:rPr>
          <w:rStyle w:val="apple-converted-space"/>
          <w:color w:val="000000"/>
          <w:sz w:val="24"/>
          <w:szCs w:val="24"/>
          <w:shd w:val="clear" w:color="auto" w:fill="FFFFFF"/>
        </w:rPr>
        <w:t>În cazul Regiunii Centru, indicele de specializare a exporturilor pentru sectorul auto în anul 2014 a fost de 1,2 și, ca urmare, putem vorbi de o anumită prevalență a sectorului auto comparativ cu situația la nivel național. Detaliind analiza la nivelul Regiunii Centru, se remarcă faptul că trei  județe înregistrează o valoare supraunitară a indicelui de specializare sectorială  a exporturilor pentru sectorul auto  (Brașov, Alba, Sibiu). Aceste cifre sunt în concordanță cu celelalte date statistice și conturează o anumită specializare  în domeniul industriei auto a celor trei județe menționate anterior.</w:t>
      </w:r>
    </w:p>
    <w:p w:rsidR="0002155C" w:rsidRDefault="0002155C" w:rsidP="0002155C">
      <w:pPr>
        <w:jc w:val="center"/>
        <w:rPr>
          <w:b/>
          <w:sz w:val="24"/>
          <w:szCs w:val="24"/>
        </w:rPr>
      </w:pPr>
      <w:r>
        <w:rPr>
          <w:b/>
          <w:sz w:val="24"/>
          <w:szCs w:val="24"/>
        </w:rPr>
        <w:t>Tab. 7 Indicele de specializare a exporturilor pentru sectorul industriei auto</w:t>
      </w:r>
    </w:p>
    <w:tbl>
      <w:tblPr>
        <w:tblStyle w:val="Hyperlink"/>
        <w:tblW w:w="6549" w:type="dxa"/>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150"/>
        <w:gridCol w:w="1150"/>
        <w:gridCol w:w="1150"/>
        <w:gridCol w:w="1150"/>
      </w:tblGrid>
      <w:tr w:rsidR="0002155C" w:rsidRPr="006E4D77" w:rsidTr="00064502">
        <w:trPr>
          <w:trHeight w:val="705"/>
          <w:tblHeader/>
          <w:jc w:val="center"/>
        </w:trPr>
        <w:tc>
          <w:tcPr>
            <w:tcW w:w="1949" w:type="dxa"/>
            <w:noWrap/>
            <w:vAlign w:val="center"/>
            <w:hideMark/>
          </w:tcPr>
          <w:p w:rsidR="0002155C" w:rsidRPr="006E4D77" w:rsidRDefault="0002155C" w:rsidP="00064502">
            <w:pPr>
              <w:jc w:val="center"/>
              <w:rPr>
                <w:rFonts w:ascii="Calibri" w:eastAsia="Times New Roman" w:hAnsi="Calibri" w:cs="Times New Roman"/>
                <w:color w:val="000000"/>
              </w:rPr>
            </w:pPr>
          </w:p>
        </w:tc>
        <w:tc>
          <w:tcPr>
            <w:tcW w:w="1150" w:type="dxa"/>
            <w:vAlign w:val="center"/>
          </w:tcPr>
          <w:p w:rsidR="0002155C" w:rsidRDefault="0002155C" w:rsidP="00064502">
            <w:pPr>
              <w:jc w:val="center"/>
              <w:rPr>
                <w:rFonts w:ascii="Calibri" w:hAnsi="Calibri"/>
                <w:color w:val="000000"/>
              </w:rPr>
            </w:pPr>
            <w:r>
              <w:rPr>
                <w:rFonts w:ascii="Calibri" w:hAnsi="Calibri"/>
                <w:color w:val="000000"/>
              </w:rPr>
              <w:t>2011</w:t>
            </w:r>
          </w:p>
        </w:tc>
        <w:tc>
          <w:tcPr>
            <w:tcW w:w="1150" w:type="dxa"/>
            <w:noWrap/>
            <w:vAlign w:val="center"/>
            <w:hideMark/>
          </w:tcPr>
          <w:p w:rsidR="0002155C" w:rsidRDefault="0002155C" w:rsidP="00064502">
            <w:pPr>
              <w:jc w:val="center"/>
              <w:rPr>
                <w:rFonts w:ascii="Calibri" w:hAnsi="Calibri"/>
                <w:color w:val="000000"/>
              </w:rPr>
            </w:pPr>
            <w:r>
              <w:rPr>
                <w:rFonts w:ascii="Calibri" w:hAnsi="Calibri"/>
                <w:color w:val="000000"/>
              </w:rPr>
              <w:t>2012</w:t>
            </w:r>
          </w:p>
        </w:tc>
        <w:tc>
          <w:tcPr>
            <w:tcW w:w="1150" w:type="dxa"/>
            <w:noWrap/>
            <w:vAlign w:val="center"/>
            <w:hideMark/>
          </w:tcPr>
          <w:p w:rsidR="0002155C" w:rsidRDefault="0002155C" w:rsidP="00064502">
            <w:pPr>
              <w:jc w:val="center"/>
              <w:rPr>
                <w:rFonts w:ascii="Calibri" w:hAnsi="Calibri"/>
                <w:color w:val="000000"/>
              </w:rPr>
            </w:pPr>
            <w:r>
              <w:rPr>
                <w:rFonts w:ascii="Calibri" w:hAnsi="Calibri"/>
                <w:color w:val="000000"/>
              </w:rPr>
              <w:t>2013</w:t>
            </w:r>
          </w:p>
        </w:tc>
        <w:tc>
          <w:tcPr>
            <w:tcW w:w="1150" w:type="dxa"/>
            <w:noWrap/>
            <w:vAlign w:val="center"/>
            <w:hideMark/>
          </w:tcPr>
          <w:p w:rsidR="0002155C" w:rsidRDefault="0002155C" w:rsidP="00064502">
            <w:pPr>
              <w:jc w:val="center"/>
              <w:rPr>
                <w:rFonts w:ascii="Calibri" w:hAnsi="Calibri"/>
                <w:color w:val="000000"/>
              </w:rPr>
            </w:pPr>
            <w:r>
              <w:rPr>
                <w:rFonts w:ascii="Calibri" w:hAnsi="Calibri"/>
                <w:color w:val="000000"/>
              </w:rPr>
              <w:t>2014</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Regiunea Centru</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1,0</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0,9</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1,0</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1,2</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Alba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0,0</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0,1</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1,2</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Pr>
                <w:rFonts w:ascii="Calibri" w:eastAsia="Times New Roman" w:hAnsi="Calibri" w:cs="Times New Roman"/>
                <w:color w:val="000000"/>
              </w:rPr>
              <w:t>Braș</w:t>
            </w:r>
            <w:r w:rsidRPr="006E4D77">
              <w:rPr>
                <w:rFonts w:ascii="Calibri" w:eastAsia="Times New Roman" w:hAnsi="Calibri" w:cs="Times New Roman"/>
                <w:color w:val="000000"/>
              </w:rPr>
              <w:t>ov</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2,1</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1,8</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1,6</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1,7</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Covasna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0,2</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Harghita</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0,2</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0,2</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0,5</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0,7</w:t>
            </w:r>
          </w:p>
        </w:tc>
      </w:tr>
      <w:tr w:rsidR="0002155C" w:rsidRPr="00D45361" w:rsidTr="00064502">
        <w:trPr>
          <w:trHeight w:val="300"/>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Mure</w:t>
            </w:r>
            <w:r>
              <w:rPr>
                <w:rFonts w:ascii="Calibri" w:eastAsia="Times New Roman" w:hAnsi="Calibri" w:cs="Times New Roman"/>
                <w:color w:val="000000"/>
              </w:rPr>
              <w:t>ș</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0,4</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0,3</w:t>
            </w:r>
          </w:p>
        </w:tc>
      </w:tr>
      <w:tr w:rsidR="0002155C" w:rsidRPr="00D45361" w:rsidTr="00064502">
        <w:trPr>
          <w:trHeight w:val="315"/>
          <w:jc w:val="center"/>
        </w:trPr>
        <w:tc>
          <w:tcPr>
            <w:tcW w:w="1949" w:type="dxa"/>
            <w:noWrap/>
            <w:hideMark/>
          </w:tcPr>
          <w:p w:rsidR="0002155C" w:rsidRPr="006E4D77" w:rsidRDefault="0002155C" w:rsidP="00064502">
            <w:pPr>
              <w:rPr>
                <w:rFonts w:ascii="Calibri" w:eastAsia="Times New Roman" w:hAnsi="Calibri" w:cs="Times New Roman"/>
                <w:color w:val="000000"/>
              </w:rPr>
            </w:pPr>
            <w:r w:rsidRPr="006E4D77">
              <w:rPr>
                <w:rFonts w:ascii="Calibri" w:eastAsia="Times New Roman" w:hAnsi="Calibri" w:cs="Times New Roman"/>
                <w:color w:val="000000"/>
              </w:rPr>
              <w:t>Sibiu</w:t>
            </w:r>
          </w:p>
        </w:tc>
        <w:tc>
          <w:tcPr>
            <w:tcW w:w="1150" w:type="dxa"/>
            <w:vAlign w:val="bottom"/>
          </w:tcPr>
          <w:p w:rsidR="0002155C" w:rsidRDefault="0002155C" w:rsidP="00064502">
            <w:pPr>
              <w:jc w:val="right"/>
              <w:rPr>
                <w:rFonts w:ascii="Calibri" w:hAnsi="Calibri"/>
                <w:color w:val="000000"/>
              </w:rPr>
            </w:pPr>
            <w:r>
              <w:rPr>
                <w:rFonts w:ascii="Calibri" w:hAnsi="Calibri"/>
                <w:color w:val="000000"/>
              </w:rPr>
              <w:t>0,8</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0,7</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1,2</w:t>
            </w:r>
          </w:p>
        </w:tc>
        <w:tc>
          <w:tcPr>
            <w:tcW w:w="1150" w:type="dxa"/>
            <w:noWrap/>
            <w:vAlign w:val="bottom"/>
            <w:hideMark/>
          </w:tcPr>
          <w:p w:rsidR="0002155C" w:rsidRDefault="0002155C" w:rsidP="00064502">
            <w:pPr>
              <w:jc w:val="right"/>
              <w:rPr>
                <w:rFonts w:ascii="Calibri" w:hAnsi="Calibri"/>
                <w:color w:val="000000"/>
              </w:rPr>
            </w:pPr>
            <w:r>
              <w:rPr>
                <w:rFonts w:ascii="Calibri" w:hAnsi="Calibri"/>
                <w:color w:val="000000"/>
              </w:rPr>
              <w:t>1,1</w:t>
            </w:r>
          </w:p>
        </w:tc>
      </w:tr>
    </w:tbl>
    <w:p w:rsidR="0002155C" w:rsidRDefault="0002155C" w:rsidP="0002155C">
      <w:pPr>
        <w:rPr>
          <w:b/>
          <w:sz w:val="24"/>
          <w:szCs w:val="24"/>
        </w:rPr>
      </w:pPr>
      <w:r>
        <w:rPr>
          <w:b/>
          <w:sz w:val="24"/>
          <w:szCs w:val="24"/>
        </w:rPr>
        <w:tab/>
      </w:r>
      <w:r>
        <w:rPr>
          <w:b/>
          <w:sz w:val="24"/>
          <w:szCs w:val="24"/>
        </w:rPr>
        <w:tab/>
        <w:t>Calcule proprii pe baza datelor INS</w:t>
      </w:r>
    </w:p>
    <w:p w:rsidR="0002155C" w:rsidRDefault="0002155C" w:rsidP="0002155C">
      <w:pPr>
        <w:pStyle w:val="Titlu2"/>
      </w:pPr>
    </w:p>
    <w:p w:rsidR="0002155C" w:rsidRPr="0002155C" w:rsidRDefault="0002155C" w:rsidP="0002155C">
      <w:pPr>
        <w:pStyle w:val="Titlu2"/>
      </w:pPr>
      <w:r>
        <w:t>Resursele umane și formarea profesională</w:t>
      </w:r>
    </w:p>
    <w:p w:rsidR="0002155C" w:rsidRDefault="0002155C" w:rsidP="0002155C">
      <w:pPr>
        <w:jc w:val="both"/>
        <w:rPr>
          <w:sz w:val="24"/>
          <w:szCs w:val="24"/>
        </w:rPr>
      </w:pPr>
      <w:r w:rsidRPr="00594668">
        <w:rPr>
          <w:sz w:val="24"/>
          <w:szCs w:val="24"/>
        </w:rPr>
        <w:t xml:space="preserve">Conform </w:t>
      </w:r>
      <w:r>
        <w:rPr>
          <w:sz w:val="24"/>
          <w:szCs w:val="24"/>
        </w:rPr>
        <w:t xml:space="preserve">datelor statistice oficiale, </w:t>
      </w:r>
      <w:r w:rsidRPr="00B64624">
        <w:rPr>
          <w:b/>
          <w:sz w:val="24"/>
          <w:szCs w:val="24"/>
        </w:rPr>
        <w:t>în anul 201</w:t>
      </w:r>
      <w:r>
        <w:rPr>
          <w:b/>
          <w:sz w:val="24"/>
          <w:szCs w:val="24"/>
        </w:rPr>
        <w:t>4</w:t>
      </w:r>
      <w:r w:rsidRPr="00B64624">
        <w:rPr>
          <w:b/>
          <w:sz w:val="24"/>
          <w:szCs w:val="24"/>
        </w:rPr>
        <w:t>, numărul mediu anual de salariați</w:t>
      </w:r>
      <w:r>
        <w:rPr>
          <w:sz w:val="24"/>
          <w:szCs w:val="24"/>
        </w:rPr>
        <w:t xml:space="preserve"> din sectorul auto la nivelul Regiunii Centru era de </w:t>
      </w:r>
      <w:r w:rsidRPr="00B64624">
        <w:rPr>
          <w:b/>
          <w:sz w:val="24"/>
          <w:szCs w:val="24"/>
        </w:rPr>
        <w:t>2</w:t>
      </w:r>
      <w:r>
        <w:rPr>
          <w:b/>
          <w:sz w:val="24"/>
          <w:szCs w:val="24"/>
        </w:rPr>
        <w:t>7,7</w:t>
      </w:r>
      <w:r w:rsidRPr="00B64624">
        <w:rPr>
          <w:b/>
          <w:sz w:val="24"/>
          <w:szCs w:val="24"/>
        </w:rPr>
        <w:t xml:space="preserve"> mii persoane</w:t>
      </w:r>
      <w:r>
        <w:rPr>
          <w:sz w:val="24"/>
          <w:szCs w:val="24"/>
        </w:rPr>
        <w:t xml:space="preserve">,  fiind cu cca 5800 angajați peste numărul de salariați din 2008, anul de debut al crizei economico-financiare. În raport cu celelalte regiuni de dezvoltare, </w:t>
      </w:r>
      <w:r w:rsidRPr="00F24B04">
        <w:rPr>
          <w:b/>
          <w:sz w:val="24"/>
          <w:szCs w:val="24"/>
        </w:rPr>
        <w:t>Regiunea Centru ocupa în 2014 locul al 3-lea</w:t>
      </w:r>
      <w:r>
        <w:rPr>
          <w:sz w:val="24"/>
          <w:szCs w:val="24"/>
        </w:rPr>
        <w:t>, după Regiunea Vest și Regiunea Sud-Muntenia. Grație ritmului ridicat de creștere din ultimii ani, industria auto a devenit una din principalele ramuri industriale ale Regiunii Centru, în termenii forței de muncă salariate. Astfel, în 2014, sectorul auto deținea o pondere de 15% din personalul angajat în industria prelucrătoare la nivel regional și de 13,2% din totalul angajaților din industria regională. La nivel județean, cele mai ridicate ponderi ale domeniului auto în numărul total de angajați din industria prelucrătoare se înregistrează în județele Sibiu (29,3%), Covasna (18,5%) și Brașov (18,1%). Aceste valori sunt superioare celor înregistrate la nivel național, unde proporția numărului de salariați din industria auto raportat la totalul salariaților din industria prelucrătoare  și la totalul salariaților din industrie era de 13,3% respectiv de 11%. Creșteri ale numărului mediu de salariați au avut loc în aproape toate cele șase județe ale Regiunii (exc. județul Mureș), cea mai spectaculoasă evoluție înregistrându-se în județul Covasna (în doar șase ani numărul de angajați în industria auto a crescut de peste 4 ori).</w:t>
      </w:r>
    </w:p>
    <w:p w:rsidR="0002155C" w:rsidRDefault="0002155C" w:rsidP="0002155C">
      <w:pPr>
        <w:jc w:val="center"/>
        <w:rPr>
          <w:b/>
          <w:sz w:val="24"/>
          <w:szCs w:val="24"/>
        </w:rPr>
      </w:pPr>
      <w:r>
        <w:rPr>
          <w:b/>
          <w:sz w:val="24"/>
          <w:szCs w:val="24"/>
        </w:rPr>
        <w:t>Tab. 8 Numărul mediu de salariați din industria auto</w:t>
      </w:r>
    </w:p>
    <w:tbl>
      <w:tblPr>
        <w:tblStyle w:val="Hyperlink"/>
        <w:tblW w:w="9288" w:type="dxa"/>
        <w:jc w:val="center"/>
        <w:tblLayout w:type="fixed"/>
        <w:tblLook w:val="04A0"/>
      </w:tblPr>
      <w:tblGrid>
        <w:gridCol w:w="1908"/>
        <w:gridCol w:w="1170"/>
        <w:gridCol w:w="1350"/>
        <w:gridCol w:w="1260"/>
        <w:gridCol w:w="1440"/>
        <w:gridCol w:w="2160"/>
      </w:tblGrid>
      <w:tr w:rsidR="0002155C" w:rsidRPr="002874FF" w:rsidTr="00064502">
        <w:trPr>
          <w:trHeight w:val="315"/>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 </w:t>
            </w:r>
          </w:p>
        </w:tc>
        <w:tc>
          <w:tcPr>
            <w:tcW w:w="1170" w:type="dxa"/>
            <w:noWrap/>
            <w:hideMark/>
          </w:tcPr>
          <w:p w:rsidR="0002155C" w:rsidRPr="002874FF" w:rsidRDefault="0002155C" w:rsidP="00064502">
            <w:pPr>
              <w:jc w:val="center"/>
              <w:rPr>
                <w:rFonts w:ascii="Calibri" w:eastAsia="Times New Roman" w:hAnsi="Calibri" w:cs="Times New Roman"/>
                <w:color w:val="000000"/>
              </w:rPr>
            </w:pPr>
            <w:r w:rsidRPr="002874FF">
              <w:rPr>
                <w:rFonts w:ascii="Calibri" w:eastAsia="Times New Roman" w:hAnsi="Calibri" w:cs="Times New Roman"/>
                <w:color w:val="000000"/>
              </w:rPr>
              <w:t>2008</w:t>
            </w:r>
          </w:p>
        </w:tc>
        <w:tc>
          <w:tcPr>
            <w:tcW w:w="1350" w:type="dxa"/>
            <w:noWrap/>
            <w:hideMark/>
          </w:tcPr>
          <w:p w:rsidR="0002155C" w:rsidRPr="002874FF" w:rsidRDefault="0002155C" w:rsidP="00064502">
            <w:pPr>
              <w:jc w:val="center"/>
              <w:rPr>
                <w:rFonts w:ascii="Calibri" w:eastAsia="Times New Roman" w:hAnsi="Calibri" w:cs="Times New Roman"/>
                <w:color w:val="000000"/>
              </w:rPr>
            </w:pPr>
            <w:r w:rsidRPr="002874FF">
              <w:rPr>
                <w:rFonts w:ascii="Calibri" w:eastAsia="Times New Roman" w:hAnsi="Calibri" w:cs="Times New Roman"/>
                <w:color w:val="000000"/>
              </w:rPr>
              <w:t>2010</w:t>
            </w:r>
          </w:p>
        </w:tc>
        <w:tc>
          <w:tcPr>
            <w:tcW w:w="1260" w:type="dxa"/>
            <w:noWrap/>
            <w:hideMark/>
          </w:tcPr>
          <w:p w:rsidR="0002155C" w:rsidRPr="002874FF" w:rsidRDefault="0002155C" w:rsidP="00064502">
            <w:pPr>
              <w:jc w:val="center"/>
              <w:rPr>
                <w:rFonts w:ascii="Calibri" w:eastAsia="Times New Roman" w:hAnsi="Calibri" w:cs="Times New Roman"/>
                <w:color w:val="000000"/>
              </w:rPr>
            </w:pPr>
            <w:r w:rsidRPr="002874FF">
              <w:rPr>
                <w:rFonts w:ascii="Calibri" w:eastAsia="Times New Roman" w:hAnsi="Calibri" w:cs="Times New Roman"/>
                <w:color w:val="000000"/>
              </w:rPr>
              <w:t>2012</w:t>
            </w:r>
          </w:p>
        </w:tc>
        <w:tc>
          <w:tcPr>
            <w:tcW w:w="1440" w:type="dxa"/>
          </w:tcPr>
          <w:p w:rsidR="0002155C" w:rsidRDefault="0002155C" w:rsidP="00064502">
            <w:pPr>
              <w:jc w:val="center"/>
              <w:rPr>
                <w:rFonts w:ascii="Calibri" w:eastAsia="Times New Roman" w:hAnsi="Calibri" w:cs="Times New Roman"/>
                <w:color w:val="000000"/>
              </w:rPr>
            </w:pPr>
            <w:r>
              <w:rPr>
                <w:rFonts w:ascii="Calibri" w:eastAsia="Times New Roman" w:hAnsi="Calibri" w:cs="Times New Roman"/>
                <w:color w:val="000000"/>
              </w:rPr>
              <w:t>2014</w:t>
            </w:r>
          </w:p>
        </w:tc>
        <w:tc>
          <w:tcPr>
            <w:tcW w:w="2160" w:type="dxa"/>
          </w:tcPr>
          <w:p w:rsidR="0002155C" w:rsidRPr="002874FF" w:rsidRDefault="0002155C" w:rsidP="00064502">
            <w:pPr>
              <w:jc w:val="center"/>
              <w:rPr>
                <w:rFonts w:ascii="Calibri" w:eastAsia="Times New Roman" w:hAnsi="Calibri" w:cs="Times New Roman"/>
                <w:color w:val="000000"/>
              </w:rPr>
            </w:pPr>
            <w:r>
              <w:rPr>
                <w:rFonts w:ascii="Calibri" w:eastAsia="Times New Roman" w:hAnsi="Calibri" w:cs="Times New Roman"/>
                <w:color w:val="000000"/>
              </w:rPr>
              <w:t>2014 (% din total personal ind. prelucrătoare)</w:t>
            </w:r>
          </w:p>
        </w:tc>
      </w:tr>
      <w:tr w:rsidR="0002155C" w:rsidRPr="002874FF" w:rsidTr="00064502">
        <w:trPr>
          <w:trHeight w:val="300"/>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Regiunea Centru</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21905</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19454</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23612</w:t>
            </w:r>
          </w:p>
        </w:tc>
        <w:tc>
          <w:tcPr>
            <w:tcW w:w="1440" w:type="dxa"/>
          </w:tcPr>
          <w:p w:rsidR="0002155C" w:rsidRDefault="0002155C" w:rsidP="00064502">
            <w:pPr>
              <w:jc w:val="right"/>
              <w:rPr>
                <w:rFonts w:ascii="Calibri" w:hAnsi="Calibri"/>
                <w:color w:val="000000"/>
              </w:rPr>
            </w:pPr>
            <w:r>
              <w:rPr>
                <w:rFonts w:ascii="Calibri" w:hAnsi="Calibri"/>
                <w:color w:val="000000"/>
              </w:rPr>
              <w:t>27747</w:t>
            </w:r>
          </w:p>
        </w:tc>
        <w:tc>
          <w:tcPr>
            <w:tcW w:w="2160" w:type="dxa"/>
          </w:tcPr>
          <w:p w:rsidR="0002155C" w:rsidRDefault="0002155C" w:rsidP="00064502">
            <w:pPr>
              <w:jc w:val="right"/>
              <w:rPr>
                <w:rFonts w:ascii="Calibri" w:hAnsi="Calibri"/>
                <w:color w:val="000000"/>
              </w:rPr>
            </w:pPr>
            <w:r>
              <w:rPr>
                <w:rFonts w:ascii="Calibri" w:hAnsi="Calibri"/>
                <w:color w:val="000000"/>
              </w:rPr>
              <w:t>15,0</w:t>
            </w:r>
          </w:p>
        </w:tc>
      </w:tr>
      <w:tr w:rsidR="0002155C" w:rsidRPr="002874FF" w:rsidTr="00064502">
        <w:trPr>
          <w:trHeight w:val="300"/>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Alba</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2598</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1698</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2656</w:t>
            </w:r>
          </w:p>
        </w:tc>
        <w:tc>
          <w:tcPr>
            <w:tcW w:w="1440" w:type="dxa"/>
          </w:tcPr>
          <w:p w:rsidR="0002155C" w:rsidRDefault="0002155C" w:rsidP="00064502">
            <w:pPr>
              <w:jc w:val="right"/>
              <w:rPr>
                <w:rFonts w:ascii="Calibri" w:hAnsi="Calibri"/>
                <w:color w:val="000000"/>
              </w:rPr>
            </w:pPr>
            <w:r>
              <w:rPr>
                <w:rFonts w:ascii="Calibri" w:hAnsi="Calibri"/>
                <w:color w:val="000000"/>
              </w:rPr>
              <w:t>2918</w:t>
            </w:r>
          </w:p>
        </w:tc>
        <w:tc>
          <w:tcPr>
            <w:tcW w:w="2160" w:type="dxa"/>
          </w:tcPr>
          <w:p w:rsidR="0002155C" w:rsidRDefault="0002155C" w:rsidP="00064502">
            <w:pPr>
              <w:jc w:val="right"/>
              <w:rPr>
                <w:rFonts w:ascii="Calibri" w:hAnsi="Calibri"/>
                <w:color w:val="000000"/>
              </w:rPr>
            </w:pPr>
            <w:r>
              <w:rPr>
                <w:rFonts w:ascii="Calibri" w:hAnsi="Calibri"/>
                <w:color w:val="000000"/>
              </w:rPr>
              <w:t>10,3</w:t>
            </w:r>
          </w:p>
        </w:tc>
      </w:tr>
      <w:tr w:rsidR="0002155C" w:rsidRPr="002874FF" w:rsidTr="00064502">
        <w:trPr>
          <w:trHeight w:val="300"/>
          <w:jc w:val="center"/>
        </w:trPr>
        <w:tc>
          <w:tcPr>
            <w:tcW w:w="1908" w:type="dxa"/>
            <w:noWrap/>
            <w:hideMark/>
          </w:tcPr>
          <w:p w:rsidR="0002155C" w:rsidRPr="002874FF" w:rsidRDefault="0002155C" w:rsidP="00064502">
            <w:pPr>
              <w:rPr>
                <w:rFonts w:ascii="Calibri" w:eastAsia="Times New Roman" w:hAnsi="Calibri" w:cs="Times New Roman"/>
                <w:color w:val="000000"/>
              </w:rPr>
            </w:pPr>
            <w:r>
              <w:rPr>
                <w:rFonts w:ascii="Calibri" w:eastAsia="Times New Roman" w:hAnsi="Calibri" w:cs="Times New Roman"/>
                <w:color w:val="000000"/>
              </w:rPr>
              <w:t>Braș</w:t>
            </w:r>
            <w:r w:rsidRPr="002874FF">
              <w:rPr>
                <w:rFonts w:ascii="Calibri" w:eastAsia="Times New Roman" w:hAnsi="Calibri" w:cs="Times New Roman"/>
                <w:color w:val="000000"/>
              </w:rPr>
              <w:t>ov</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7351</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6440</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7808</w:t>
            </w:r>
          </w:p>
        </w:tc>
        <w:tc>
          <w:tcPr>
            <w:tcW w:w="1440" w:type="dxa"/>
          </w:tcPr>
          <w:p w:rsidR="0002155C" w:rsidRDefault="0002155C" w:rsidP="00064502">
            <w:pPr>
              <w:jc w:val="right"/>
              <w:rPr>
                <w:rFonts w:ascii="Calibri" w:hAnsi="Calibri"/>
                <w:color w:val="000000"/>
              </w:rPr>
            </w:pPr>
            <w:r>
              <w:rPr>
                <w:rFonts w:ascii="Calibri" w:hAnsi="Calibri"/>
                <w:color w:val="000000"/>
              </w:rPr>
              <w:t>8404</w:t>
            </w:r>
          </w:p>
        </w:tc>
        <w:tc>
          <w:tcPr>
            <w:tcW w:w="2160" w:type="dxa"/>
          </w:tcPr>
          <w:p w:rsidR="0002155C" w:rsidRDefault="0002155C" w:rsidP="00064502">
            <w:pPr>
              <w:jc w:val="right"/>
              <w:rPr>
                <w:rFonts w:ascii="Calibri" w:hAnsi="Calibri"/>
                <w:color w:val="000000"/>
              </w:rPr>
            </w:pPr>
            <w:r>
              <w:rPr>
                <w:rFonts w:ascii="Calibri" w:hAnsi="Calibri"/>
                <w:color w:val="000000"/>
              </w:rPr>
              <w:t>18,1</w:t>
            </w:r>
          </w:p>
        </w:tc>
      </w:tr>
      <w:tr w:rsidR="0002155C" w:rsidRPr="002874FF" w:rsidTr="00064502">
        <w:trPr>
          <w:trHeight w:val="300"/>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Covasna</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775</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848</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937</w:t>
            </w:r>
          </w:p>
        </w:tc>
        <w:tc>
          <w:tcPr>
            <w:tcW w:w="1440" w:type="dxa"/>
          </w:tcPr>
          <w:p w:rsidR="0002155C" w:rsidRDefault="0002155C" w:rsidP="00064502">
            <w:pPr>
              <w:jc w:val="right"/>
              <w:rPr>
                <w:rFonts w:ascii="Calibri" w:hAnsi="Calibri"/>
                <w:color w:val="000000"/>
              </w:rPr>
            </w:pPr>
            <w:r>
              <w:rPr>
                <w:rFonts w:ascii="Calibri" w:hAnsi="Calibri"/>
                <w:color w:val="000000"/>
              </w:rPr>
              <w:t>3198</w:t>
            </w:r>
          </w:p>
        </w:tc>
        <w:tc>
          <w:tcPr>
            <w:tcW w:w="2160" w:type="dxa"/>
          </w:tcPr>
          <w:p w:rsidR="0002155C" w:rsidRDefault="0002155C" w:rsidP="00064502">
            <w:pPr>
              <w:jc w:val="right"/>
              <w:rPr>
                <w:rFonts w:ascii="Calibri" w:hAnsi="Calibri"/>
                <w:color w:val="000000"/>
              </w:rPr>
            </w:pPr>
            <w:r>
              <w:rPr>
                <w:rFonts w:ascii="Calibri" w:hAnsi="Calibri"/>
                <w:color w:val="000000"/>
              </w:rPr>
              <w:t>18,5</w:t>
            </w:r>
          </w:p>
        </w:tc>
      </w:tr>
      <w:tr w:rsidR="0002155C" w:rsidRPr="002874FF" w:rsidTr="00064502">
        <w:trPr>
          <w:trHeight w:val="300"/>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Harghita</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121</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94</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158</w:t>
            </w:r>
          </w:p>
        </w:tc>
        <w:tc>
          <w:tcPr>
            <w:tcW w:w="1440" w:type="dxa"/>
          </w:tcPr>
          <w:p w:rsidR="0002155C" w:rsidRDefault="0002155C" w:rsidP="00064502">
            <w:pPr>
              <w:jc w:val="right"/>
              <w:rPr>
                <w:rFonts w:ascii="Calibri" w:hAnsi="Calibri"/>
                <w:color w:val="000000"/>
              </w:rPr>
            </w:pPr>
            <w:r>
              <w:rPr>
                <w:rFonts w:ascii="Calibri" w:hAnsi="Calibri"/>
                <w:color w:val="000000"/>
              </w:rPr>
              <w:t>255</w:t>
            </w:r>
          </w:p>
        </w:tc>
        <w:tc>
          <w:tcPr>
            <w:tcW w:w="2160" w:type="dxa"/>
          </w:tcPr>
          <w:p w:rsidR="0002155C" w:rsidRDefault="0002155C" w:rsidP="00064502">
            <w:pPr>
              <w:jc w:val="right"/>
              <w:rPr>
                <w:rFonts w:ascii="Calibri" w:hAnsi="Calibri"/>
                <w:color w:val="000000"/>
              </w:rPr>
            </w:pPr>
            <w:r>
              <w:rPr>
                <w:rFonts w:ascii="Calibri" w:hAnsi="Calibri"/>
                <w:color w:val="000000"/>
              </w:rPr>
              <w:t>1,4</w:t>
            </w:r>
          </w:p>
        </w:tc>
      </w:tr>
      <w:tr w:rsidR="0002155C" w:rsidRPr="002874FF" w:rsidTr="00064502">
        <w:trPr>
          <w:trHeight w:val="300"/>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Mure</w:t>
            </w:r>
            <w:r>
              <w:rPr>
                <w:rFonts w:ascii="Calibri" w:eastAsia="Times New Roman" w:hAnsi="Calibri" w:cs="Times New Roman"/>
                <w:color w:val="000000"/>
              </w:rPr>
              <w:t>ș</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1191</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1026</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1184</w:t>
            </w:r>
          </w:p>
        </w:tc>
        <w:tc>
          <w:tcPr>
            <w:tcW w:w="1440" w:type="dxa"/>
          </w:tcPr>
          <w:p w:rsidR="0002155C" w:rsidRDefault="0002155C" w:rsidP="00064502">
            <w:pPr>
              <w:jc w:val="right"/>
              <w:rPr>
                <w:rFonts w:ascii="Calibri" w:hAnsi="Calibri"/>
                <w:color w:val="000000"/>
              </w:rPr>
            </w:pPr>
            <w:r>
              <w:rPr>
                <w:rFonts w:ascii="Calibri" w:hAnsi="Calibri"/>
                <w:color w:val="000000"/>
              </w:rPr>
              <w:t>951</w:t>
            </w:r>
          </w:p>
        </w:tc>
        <w:tc>
          <w:tcPr>
            <w:tcW w:w="2160" w:type="dxa"/>
          </w:tcPr>
          <w:p w:rsidR="0002155C" w:rsidRDefault="0002155C" w:rsidP="00064502">
            <w:pPr>
              <w:jc w:val="right"/>
              <w:rPr>
                <w:rFonts w:ascii="Calibri" w:hAnsi="Calibri"/>
                <w:color w:val="000000"/>
              </w:rPr>
            </w:pPr>
            <w:r>
              <w:rPr>
                <w:rFonts w:ascii="Calibri" w:hAnsi="Calibri"/>
                <w:color w:val="000000"/>
              </w:rPr>
              <w:t>2,9</w:t>
            </w:r>
          </w:p>
        </w:tc>
      </w:tr>
      <w:tr w:rsidR="0002155C" w:rsidRPr="002874FF" w:rsidTr="00064502">
        <w:trPr>
          <w:trHeight w:val="315"/>
          <w:jc w:val="center"/>
        </w:trPr>
        <w:tc>
          <w:tcPr>
            <w:tcW w:w="1908" w:type="dxa"/>
            <w:noWrap/>
            <w:hideMark/>
          </w:tcPr>
          <w:p w:rsidR="0002155C" w:rsidRPr="002874FF" w:rsidRDefault="0002155C" w:rsidP="00064502">
            <w:pPr>
              <w:rPr>
                <w:rFonts w:ascii="Calibri" w:eastAsia="Times New Roman" w:hAnsi="Calibri" w:cs="Times New Roman"/>
                <w:color w:val="000000"/>
              </w:rPr>
            </w:pPr>
            <w:r w:rsidRPr="002874FF">
              <w:rPr>
                <w:rFonts w:ascii="Calibri" w:eastAsia="Times New Roman" w:hAnsi="Calibri" w:cs="Times New Roman"/>
                <w:color w:val="000000"/>
              </w:rPr>
              <w:t>Sibiu</w:t>
            </w:r>
          </w:p>
        </w:tc>
        <w:tc>
          <w:tcPr>
            <w:tcW w:w="117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9869</w:t>
            </w:r>
          </w:p>
        </w:tc>
        <w:tc>
          <w:tcPr>
            <w:tcW w:w="135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9348</w:t>
            </w:r>
          </w:p>
        </w:tc>
        <w:tc>
          <w:tcPr>
            <w:tcW w:w="1260" w:type="dxa"/>
            <w:noWrap/>
            <w:hideMark/>
          </w:tcPr>
          <w:p w:rsidR="0002155C" w:rsidRPr="002874FF" w:rsidRDefault="0002155C" w:rsidP="00064502">
            <w:pPr>
              <w:jc w:val="right"/>
              <w:rPr>
                <w:rFonts w:ascii="Calibri" w:eastAsia="Times New Roman" w:hAnsi="Calibri" w:cs="Times New Roman"/>
                <w:color w:val="000000"/>
              </w:rPr>
            </w:pPr>
            <w:r w:rsidRPr="002874FF">
              <w:rPr>
                <w:rFonts w:ascii="Calibri" w:eastAsia="Times New Roman" w:hAnsi="Calibri" w:cs="Times New Roman"/>
                <w:color w:val="000000"/>
              </w:rPr>
              <w:t>10869</w:t>
            </w:r>
          </w:p>
        </w:tc>
        <w:tc>
          <w:tcPr>
            <w:tcW w:w="1440" w:type="dxa"/>
          </w:tcPr>
          <w:p w:rsidR="0002155C" w:rsidRDefault="0002155C" w:rsidP="00064502">
            <w:pPr>
              <w:jc w:val="right"/>
              <w:rPr>
                <w:rFonts w:ascii="Calibri" w:hAnsi="Calibri"/>
                <w:color w:val="000000"/>
              </w:rPr>
            </w:pPr>
            <w:r>
              <w:rPr>
                <w:rFonts w:ascii="Calibri" w:hAnsi="Calibri"/>
                <w:color w:val="000000"/>
              </w:rPr>
              <w:t>12021</w:t>
            </w:r>
          </w:p>
        </w:tc>
        <w:tc>
          <w:tcPr>
            <w:tcW w:w="2160" w:type="dxa"/>
          </w:tcPr>
          <w:p w:rsidR="0002155C" w:rsidRDefault="0002155C" w:rsidP="00064502">
            <w:pPr>
              <w:jc w:val="right"/>
              <w:rPr>
                <w:rFonts w:ascii="Calibri" w:hAnsi="Calibri"/>
                <w:color w:val="000000"/>
              </w:rPr>
            </w:pPr>
            <w:r>
              <w:rPr>
                <w:rFonts w:ascii="Calibri" w:hAnsi="Calibri"/>
                <w:color w:val="000000"/>
              </w:rPr>
              <w:t>29,3</w:t>
            </w:r>
          </w:p>
        </w:tc>
      </w:tr>
    </w:tbl>
    <w:p w:rsidR="0002155C" w:rsidRDefault="0002155C" w:rsidP="0002155C">
      <w:pPr>
        <w:rPr>
          <w:sz w:val="24"/>
          <w:szCs w:val="24"/>
        </w:rPr>
      </w:pPr>
      <w:r w:rsidRPr="00AD2361">
        <w:rPr>
          <w:b/>
          <w:sz w:val="24"/>
          <w:szCs w:val="24"/>
        </w:rPr>
        <w:t>Sursa:</w:t>
      </w:r>
      <w:r>
        <w:rPr>
          <w:sz w:val="24"/>
          <w:szCs w:val="24"/>
        </w:rPr>
        <w:t xml:space="preserve"> date prelucrate după Institutul Național de Statistică</w:t>
      </w:r>
    </w:p>
    <w:p w:rsidR="0002155C" w:rsidRDefault="0002155C" w:rsidP="0002155C">
      <w:pPr>
        <w:spacing w:before="240" w:after="240"/>
        <w:jc w:val="both"/>
        <w:rPr>
          <w:sz w:val="24"/>
          <w:szCs w:val="24"/>
        </w:rPr>
      </w:pPr>
      <w:r w:rsidRPr="00BA27DD">
        <w:rPr>
          <w:noProof/>
          <w:sz w:val="24"/>
          <w:szCs w:val="24"/>
        </w:rPr>
        <w:lastRenderedPageBreak/>
        <w:drawing>
          <wp:inline distT="0" distB="0" distL="0" distR="0">
            <wp:extent cx="5700263" cy="3441940"/>
            <wp:effectExtent l="19050" t="0" r="14737" b="6110"/>
            <wp:docPr id="55"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155C" w:rsidRPr="00BA27DD" w:rsidRDefault="0002155C" w:rsidP="0002155C">
      <w:pPr>
        <w:spacing w:before="240" w:after="240"/>
        <w:jc w:val="both"/>
        <w:rPr>
          <w:b/>
          <w:sz w:val="24"/>
          <w:szCs w:val="24"/>
        </w:rPr>
      </w:pPr>
      <w:r w:rsidRPr="00BA27DD">
        <w:rPr>
          <w:b/>
          <w:sz w:val="24"/>
          <w:szCs w:val="24"/>
        </w:rPr>
        <w:t>Fig. 5</w:t>
      </w:r>
    </w:p>
    <w:p w:rsidR="0002155C" w:rsidRDefault="0002155C" w:rsidP="0002155C">
      <w:pPr>
        <w:spacing w:before="240" w:after="240"/>
        <w:jc w:val="both"/>
        <w:rPr>
          <w:rFonts w:ascii="Calibri" w:eastAsia="Times New Roman" w:hAnsi="Calibri" w:cs="Arial"/>
          <w:sz w:val="24"/>
          <w:szCs w:val="24"/>
        </w:rPr>
      </w:pPr>
      <w:r w:rsidRPr="00CB3E1E">
        <w:rPr>
          <w:sz w:val="24"/>
          <w:szCs w:val="24"/>
        </w:rPr>
        <w:t xml:space="preserve">Poate cel mai relevant indicator </w:t>
      </w:r>
      <w:r>
        <w:rPr>
          <w:sz w:val="24"/>
          <w:szCs w:val="24"/>
        </w:rPr>
        <w:t xml:space="preserve">în domeniul forței de muncă, ce </w:t>
      </w:r>
      <w:r w:rsidRPr="00CB3E1E">
        <w:rPr>
          <w:sz w:val="24"/>
          <w:szCs w:val="24"/>
        </w:rPr>
        <w:t xml:space="preserve">permite comparații </w:t>
      </w:r>
      <w:r>
        <w:rPr>
          <w:sz w:val="24"/>
          <w:szCs w:val="24"/>
        </w:rPr>
        <w:t xml:space="preserve">atât cu nivelul național cât și cu alte regiuni este </w:t>
      </w:r>
      <w:r w:rsidRPr="00C448BA">
        <w:rPr>
          <w:b/>
          <w:i/>
          <w:sz w:val="24"/>
          <w:szCs w:val="24"/>
        </w:rPr>
        <w:t>indicele de specializare sectorială a forței de muncă</w:t>
      </w:r>
      <w:r>
        <w:rPr>
          <w:b/>
          <w:i/>
          <w:sz w:val="24"/>
          <w:szCs w:val="24"/>
        </w:rPr>
        <w:t xml:space="preserve"> (ISSS)</w:t>
      </w:r>
      <w:r>
        <w:rPr>
          <w:rStyle w:val="Referinnotdesubsol"/>
          <w:b/>
          <w:i/>
          <w:sz w:val="24"/>
          <w:szCs w:val="24"/>
        </w:rPr>
        <w:footnoteReference w:id="4"/>
      </w:r>
      <w:r>
        <w:rPr>
          <w:sz w:val="24"/>
          <w:szCs w:val="24"/>
        </w:rPr>
        <w:t>, indicator ce măsoară</w:t>
      </w:r>
      <w:r w:rsidRPr="006206F0">
        <w:rPr>
          <w:rFonts w:ascii="Calibri" w:eastAsia="Times New Roman" w:hAnsi="Calibri" w:cs="Arial"/>
          <w:sz w:val="24"/>
          <w:szCs w:val="24"/>
        </w:rPr>
        <w:t xml:space="preserve"> raportul dintre ponderea sectorului la nivel regional şi cea la nivel naţional, pondere măsurată în termenii populaţiei ocupate</w:t>
      </w:r>
      <w:r>
        <w:rPr>
          <w:rFonts w:ascii="Calibri" w:eastAsia="Times New Roman" w:hAnsi="Calibri" w:cs="Arial"/>
          <w:sz w:val="24"/>
          <w:szCs w:val="24"/>
        </w:rPr>
        <w:t xml:space="preserve">. Prin valoarea calculată la nivel regional a acestui indicator, </w:t>
      </w:r>
      <w:r w:rsidRPr="00EB1380">
        <w:rPr>
          <w:rFonts w:ascii="Calibri" w:eastAsia="Times New Roman" w:hAnsi="Calibri" w:cs="Arial"/>
          <w:b/>
          <w:sz w:val="24"/>
          <w:szCs w:val="24"/>
        </w:rPr>
        <w:t xml:space="preserve">Regiunea Centru  se plasează pe a treia poziție la nivel național, imediat după Regiunea Sud Muntenia </w:t>
      </w:r>
      <w:r w:rsidRPr="00113636">
        <w:rPr>
          <w:rFonts w:ascii="Calibri" w:eastAsia="Times New Roman" w:hAnsi="Calibri" w:cs="Arial"/>
          <w:sz w:val="24"/>
          <w:szCs w:val="24"/>
        </w:rPr>
        <w:t xml:space="preserve">, iar </w:t>
      </w:r>
      <w:r>
        <w:rPr>
          <w:rFonts w:ascii="Calibri" w:eastAsia="Times New Roman" w:hAnsi="Calibri" w:cs="Arial"/>
          <w:sz w:val="24"/>
          <w:szCs w:val="24"/>
        </w:rPr>
        <w:t xml:space="preserve">noile </w:t>
      </w:r>
      <w:r w:rsidRPr="00113636">
        <w:rPr>
          <w:rFonts w:ascii="Calibri" w:eastAsia="Times New Roman" w:hAnsi="Calibri" w:cs="Arial"/>
          <w:sz w:val="24"/>
          <w:szCs w:val="24"/>
        </w:rPr>
        <w:t>angaj</w:t>
      </w:r>
      <w:r>
        <w:rPr>
          <w:rFonts w:ascii="Calibri" w:eastAsia="Times New Roman" w:hAnsi="Calibri" w:cs="Arial"/>
          <w:sz w:val="24"/>
          <w:szCs w:val="24"/>
        </w:rPr>
        <w:t>ări din cursul anului 2015 și din primele luni ale anului 2016 deschid perspectiva creșterii în continuare a importanței sectorului auto regional.</w:t>
      </w:r>
    </w:p>
    <w:p w:rsidR="0002155C" w:rsidRDefault="0002155C" w:rsidP="0002155C">
      <w:pPr>
        <w:spacing w:before="240" w:after="0"/>
        <w:jc w:val="center"/>
        <w:rPr>
          <w:b/>
          <w:sz w:val="24"/>
          <w:szCs w:val="24"/>
        </w:rPr>
      </w:pPr>
      <w:r>
        <w:rPr>
          <w:b/>
          <w:sz w:val="24"/>
          <w:szCs w:val="24"/>
        </w:rPr>
        <w:t xml:space="preserve">Tab. 9 </w:t>
      </w:r>
      <w:r w:rsidRPr="001A3609">
        <w:rPr>
          <w:b/>
          <w:sz w:val="24"/>
          <w:szCs w:val="24"/>
        </w:rPr>
        <w:t>Forța de muncă salariată din industria auto și indicele de specializare a forței de muncă la nivel regional în anul 2014</w:t>
      </w:r>
    </w:p>
    <w:tbl>
      <w:tblPr>
        <w:tblStyle w:val="Hyperlink"/>
        <w:tblW w:w="0" w:type="auto"/>
        <w:tblLook w:val="04A0"/>
      </w:tblPr>
      <w:tblGrid>
        <w:gridCol w:w="3168"/>
        <w:gridCol w:w="1440"/>
        <w:gridCol w:w="1620"/>
        <w:gridCol w:w="1642"/>
        <w:gridCol w:w="1418"/>
      </w:tblGrid>
      <w:tr w:rsidR="0002155C" w:rsidRPr="00512E71" w:rsidTr="00064502">
        <w:tc>
          <w:tcPr>
            <w:tcW w:w="3168" w:type="dxa"/>
          </w:tcPr>
          <w:p w:rsidR="0002155C" w:rsidRDefault="0002155C" w:rsidP="00064502">
            <w:pPr>
              <w:spacing w:before="240" w:after="240"/>
              <w:jc w:val="both"/>
              <w:rPr>
                <w:b/>
                <w:sz w:val="24"/>
                <w:szCs w:val="24"/>
              </w:rPr>
            </w:pPr>
          </w:p>
        </w:tc>
        <w:tc>
          <w:tcPr>
            <w:tcW w:w="1440" w:type="dxa"/>
          </w:tcPr>
          <w:p w:rsidR="0002155C" w:rsidRPr="00512E71" w:rsidRDefault="0002155C" w:rsidP="00064502">
            <w:pPr>
              <w:spacing w:before="240" w:after="240"/>
              <w:jc w:val="center"/>
              <w:rPr>
                <w:sz w:val="20"/>
                <w:szCs w:val="20"/>
              </w:rPr>
            </w:pPr>
            <w:r w:rsidRPr="00512E71">
              <w:rPr>
                <w:sz w:val="20"/>
                <w:szCs w:val="20"/>
              </w:rPr>
              <w:t>Nr. mediu de salariați din ind. auto (pers.)</w:t>
            </w:r>
          </w:p>
        </w:tc>
        <w:tc>
          <w:tcPr>
            <w:tcW w:w="1620" w:type="dxa"/>
          </w:tcPr>
          <w:p w:rsidR="0002155C" w:rsidRPr="00512E71" w:rsidRDefault="0002155C" w:rsidP="00064502">
            <w:pPr>
              <w:spacing w:before="240" w:after="240"/>
              <w:jc w:val="center"/>
              <w:rPr>
                <w:sz w:val="20"/>
                <w:szCs w:val="20"/>
              </w:rPr>
            </w:pPr>
            <w:r w:rsidRPr="00512E71">
              <w:rPr>
                <w:sz w:val="20"/>
                <w:szCs w:val="20"/>
              </w:rPr>
              <w:t>Nr. mediu de salariați din economie (pers.)</w:t>
            </w:r>
          </w:p>
        </w:tc>
        <w:tc>
          <w:tcPr>
            <w:tcW w:w="1642" w:type="dxa"/>
          </w:tcPr>
          <w:p w:rsidR="0002155C" w:rsidRPr="00512E71" w:rsidRDefault="0002155C" w:rsidP="00064502">
            <w:pPr>
              <w:spacing w:before="240" w:after="240"/>
              <w:jc w:val="center"/>
              <w:rPr>
                <w:sz w:val="20"/>
                <w:szCs w:val="20"/>
              </w:rPr>
            </w:pPr>
            <w:r w:rsidRPr="00512E71">
              <w:rPr>
                <w:sz w:val="20"/>
                <w:szCs w:val="20"/>
              </w:rPr>
              <w:t>Ponderea ind. auto în totalul forței de muncă (%)</w:t>
            </w:r>
          </w:p>
        </w:tc>
        <w:tc>
          <w:tcPr>
            <w:tcW w:w="1418" w:type="dxa"/>
          </w:tcPr>
          <w:p w:rsidR="0002155C" w:rsidRPr="00512E71" w:rsidRDefault="0002155C" w:rsidP="00064502">
            <w:pPr>
              <w:spacing w:before="240" w:after="240"/>
              <w:jc w:val="center"/>
              <w:rPr>
                <w:sz w:val="20"/>
                <w:szCs w:val="20"/>
              </w:rPr>
            </w:pPr>
            <w:r w:rsidRPr="00512E71">
              <w:rPr>
                <w:sz w:val="20"/>
                <w:szCs w:val="20"/>
              </w:rPr>
              <w:t>Indicele de specializare sectorială</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t>Regiunea VEST</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51667</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486208</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10,6</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3,32</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lastRenderedPageBreak/>
              <w:t>Regiunea SUD-MUNTENIA</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31033</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531232</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5,8</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1,83</w:t>
            </w:r>
          </w:p>
        </w:tc>
      </w:tr>
      <w:tr w:rsidR="0002155C" w:rsidTr="00064502">
        <w:trPr>
          <w:trHeight w:hRule="exact" w:val="360"/>
        </w:trPr>
        <w:tc>
          <w:tcPr>
            <w:tcW w:w="3168" w:type="dxa"/>
            <w:vAlign w:val="center"/>
          </w:tcPr>
          <w:p w:rsidR="0002155C" w:rsidRPr="00321967" w:rsidRDefault="0002155C" w:rsidP="00064502">
            <w:pPr>
              <w:rPr>
                <w:rFonts w:ascii="Calibri" w:eastAsia="Times New Roman" w:hAnsi="Calibri" w:cs="Times New Roman"/>
                <w:color w:val="000000"/>
              </w:rPr>
            </w:pPr>
            <w:r w:rsidRPr="00321967">
              <w:rPr>
                <w:rFonts w:ascii="Calibri" w:eastAsia="Times New Roman" w:hAnsi="Calibri" w:cs="Times New Roman"/>
                <w:color w:val="000000"/>
              </w:rPr>
              <w:t>Regiunea CENTRU</w:t>
            </w:r>
          </w:p>
        </w:tc>
        <w:tc>
          <w:tcPr>
            <w:tcW w:w="1440" w:type="dxa"/>
            <w:vAlign w:val="bottom"/>
          </w:tcPr>
          <w:p w:rsidR="0002155C" w:rsidRPr="00321967" w:rsidRDefault="0002155C" w:rsidP="00064502">
            <w:pPr>
              <w:jc w:val="right"/>
              <w:rPr>
                <w:rFonts w:ascii="Calibri" w:hAnsi="Calibri"/>
                <w:b/>
                <w:color w:val="000000"/>
              </w:rPr>
            </w:pPr>
            <w:r w:rsidRPr="00321967">
              <w:rPr>
                <w:rFonts w:ascii="Calibri" w:hAnsi="Calibri"/>
                <w:b/>
                <w:color w:val="000000"/>
              </w:rPr>
              <w:t>27747</w:t>
            </w:r>
          </w:p>
        </w:tc>
        <w:tc>
          <w:tcPr>
            <w:tcW w:w="1620" w:type="dxa"/>
            <w:vAlign w:val="bottom"/>
          </w:tcPr>
          <w:p w:rsidR="0002155C" w:rsidRPr="00321967" w:rsidRDefault="0002155C" w:rsidP="00064502">
            <w:pPr>
              <w:jc w:val="right"/>
              <w:rPr>
                <w:rFonts w:ascii="Calibri" w:hAnsi="Calibri"/>
                <w:b/>
                <w:color w:val="000000"/>
              </w:rPr>
            </w:pPr>
            <w:r w:rsidRPr="00321967">
              <w:rPr>
                <w:rFonts w:ascii="Calibri" w:hAnsi="Calibri"/>
                <w:b/>
                <w:color w:val="000000"/>
              </w:rPr>
              <w:t>579874</w:t>
            </w:r>
          </w:p>
        </w:tc>
        <w:tc>
          <w:tcPr>
            <w:tcW w:w="1642" w:type="dxa"/>
            <w:vAlign w:val="bottom"/>
          </w:tcPr>
          <w:p w:rsidR="0002155C" w:rsidRPr="00321967" w:rsidRDefault="0002155C" w:rsidP="00064502">
            <w:pPr>
              <w:jc w:val="right"/>
              <w:rPr>
                <w:rFonts w:ascii="Calibri" w:hAnsi="Calibri"/>
                <w:b/>
                <w:color w:val="000000"/>
              </w:rPr>
            </w:pPr>
            <w:r w:rsidRPr="00321967">
              <w:rPr>
                <w:rFonts w:ascii="Calibri" w:hAnsi="Calibri"/>
                <w:b/>
                <w:color w:val="000000"/>
              </w:rPr>
              <w:t>4,8</w:t>
            </w:r>
          </w:p>
        </w:tc>
        <w:tc>
          <w:tcPr>
            <w:tcW w:w="1418" w:type="dxa"/>
            <w:vAlign w:val="bottom"/>
          </w:tcPr>
          <w:p w:rsidR="0002155C" w:rsidRPr="00321967" w:rsidRDefault="0002155C" w:rsidP="00064502">
            <w:pPr>
              <w:jc w:val="right"/>
              <w:rPr>
                <w:rFonts w:ascii="Calibri" w:hAnsi="Calibri"/>
                <w:b/>
                <w:color w:val="000000"/>
              </w:rPr>
            </w:pPr>
            <w:r w:rsidRPr="00321967">
              <w:rPr>
                <w:rFonts w:ascii="Calibri" w:hAnsi="Calibri"/>
                <w:b/>
                <w:color w:val="000000"/>
              </w:rPr>
              <w:t>1,50</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t>Regiunea NORD-VEST</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22246</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614810</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3,6</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1,13</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t>Regiunea SUD-VEST OLTENIA</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6925</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359789</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1,9</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0,60</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t>Regiunea NORD-EST</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1934</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499798</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0,4</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0,12</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t>Regiunea BUCURESTI - ILFOV</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1862</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932699</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0,2</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0,06</w:t>
            </w:r>
          </w:p>
        </w:tc>
      </w:tr>
      <w:tr w:rsidR="0002155C" w:rsidTr="00064502">
        <w:trPr>
          <w:trHeight w:hRule="exact" w:val="360"/>
        </w:trPr>
        <w:tc>
          <w:tcPr>
            <w:tcW w:w="3168" w:type="dxa"/>
            <w:vAlign w:val="center"/>
          </w:tcPr>
          <w:p w:rsidR="0002155C" w:rsidRPr="001A3609" w:rsidRDefault="0002155C" w:rsidP="00064502">
            <w:pPr>
              <w:rPr>
                <w:rFonts w:ascii="Calibri" w:eastAsia="Times New Roman" w:hAnsi="Calibri" w:cs="Times New Roman"/>
                <w:color w:val="000000"/>
              </w:rPr>
            </w:pPr>
            <w:r w:rsidRPr="001A3609">
              <w:rPr>
                <w:rFonts w:ascii="Calibri" w:eastAsia="Times New Roman" w:hAnsi="Calibri" w:cs="Times New Roman"/>
                <w:color w:val="000000"/>
              </w:rPr>
              <w:t>Regiunea SUD-EST</w:t>
            </w:r>
          </w:p>
        </w:tc>
        <w:tc>
          <w:tcPr>
            <w:tcW w:w="1440" w:type="dxa"/>
            <w:vAlign w:val="bottom"/>
          </w:tcPr>
          <w:p w:rsidR="0002155C" w:rsidRDefault="0002155C" w:rsidP="00064502">
            <w:pPr>
              <w:jc w:val="right"/>
              <w:rPr>
                <w:rFonts w:ascii="Calibri" w:hAnsi="Calibri"/>
                <w:color w:val="000000"/>
              </w:rPr>
            </w:pPr>
            <w:r>
              <w:rPr>
                <w:rFonts w:ascii="Calibri" w:hAnsi="Calibri"/>
                <w:color w:val="000000"/>
              </w:rPr>
              <w:t>457</w:t>
            </w:r>
          </w:p>
        </w:tc>
        <w:tc>
          <w:tcPr>
            <w:tcW w:w="1620" w:type="dxa"/>
            <w:vAlign w:val="bottom"/>
          </w:tcPr>
          <w:p w:rsidR="0002155C" w:rsidRDefault="0002155C" w:rsidP="00064502">
            <w:pPr>
              <w:jc w:val="right"/>
              <w:rPr>
                <w:rFonts w:ascii="Calibri" w:hAnsi="Calibri"/>
                <w:color w:val="000000"/>
              </w:rPr>
            </w:pPr>
            <w:r>
              <w:rPr>
                <w:rFonts w:ascii="Calibri" w:hAnsi="Calibri"/>
                <w:color w:val="000000"/>
              </w:rPr>
              <w:t>503319</w:t>
            </w:r>
          </w:p>
        </w:tc>
        <w:tc>
          <w:tcPr>
            <w:tcW w:w="1642" w:type="dxa"/>
            <w:vAlign w:val="bottom"/>
          </w:tcPr>
          <w:p w:rsidR="0002155C" w:rsidRDefault="0002155C" w:rsidP="00064502">
            <w:pPr>
              <w:jc w:val="right"/>
              <w:rPr>
                <w:rFonts w:ascii="Calibri" w:hAnsi="Calibri"/>
                <w:color w:val="000000"/>
              </w:rPr>
            </w:pPr>
            <w:r>
              <w:rPr>
                <w:rFonts w:ascii="Calibri" w:hAnsi="Calibri"/>
                <w:color w:val="000000"/>
              </w:rPr>
              <w:t>0,1</w:t>
            </w:r>
          </w:p>
        </w:tc>
        <w:tc>
          <w:tcPr>
            <w:tcW w:w="1418" w:type="dxa"/>
            <w:vAlign w:val="bottom"/>
          </w:tcPr>
          <w:p w:rsidR="0002155C" w:rsidRDefault="0002155C" w:rsidP="00064502">
            <w:pPr>
              <w:jc w:val="right"/>
              <w:rPr>
                <w:rFonts w:ascii="Calibri" w:hAnsi="Calibri"/>
                <w:color w:val="000000"/>
              </w:rPr>
            </w:pPr>
            <w:r>
              <w:rPr>
                <w:rFonts w:ascii="Calibri" w:hAnsi="Calibri"/>
                <w:color w:val="000000"/>
              </w:rPr>
              <w:t>0,03</w:t>
            </w:r>
          </w:p>
        </w:tc>
      </w:tr>
    </w:tbl>
    <w:p w:rsidR="0002155C" w:rsidRDefault="0002155C" w:rsidP="0002155C">
      <w:pPr>
        <w:spacing w:after="240"/>
        <w:rPr>
          <w:b/>
          <w:sz w:val="24"/>
          <w:szCs w:val="24"/>
        </w:rPr>
      </w:pPr>
      <w:r>
        <w:rPr>
          <w:b/>
          <w:sz w:val="24"/>
          <w:szCs w:val="24"/>
        </w:rPr>
        <w:t>Calcule proprii pe baza datelor INS</w:t>
      </w:r>
    </w:p>
    <w:p w:rsidR="0002155C" w:rsidRDefault="0002155C" w:rsidP="0002155C">
      <w:pPr>
        <w:spacing w:before="240" w:after="0"/>
        <w:jc w:val="center"/>
        <w:rPr>
          <w:b/>
          <w:sz w:val="24"/>
          <w:szCs w:val="24"/>
        </w:rPr>
      </w:pPr>
      <w:r w:rsidRPr="00512E71">
        <w:rPr>
          <w:b/>
          <w:noProof/>
          <w:sz w:val="24"/>
          <w:szCs w:val="24"/>
        </w:rPr>
        <w:drawing>
          <wp:inline distT="0" distB="0" distL="0" distR="0">
            <wp:extent cx="6001182" cy="3083811"/>
            <wp:effectExtent l="19050" t="0" r="18618" b="2289"/>
            <wp:docPr id="56"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155C" w:rsidRPr="009E3129" w:rsidRDefault="0002155C" w:rsidP="0002155C">
      <w:pPr>
        <w:spacing w:after="240"/>
        <w:rPr>
          <w:b/>
          <w:sz w:val="24"/>
          <w:szCs w:val="24"/>
        </w:rPr>
      </w:pPr>
      <w:r w:rsidRPr="009E3129">
        <w:rPr>
          <w:b/>
          <w:sz w:val="24"/>
          <w:szCs w:val="24"/>
        </w:rPr>
        <w:t xml:space="preserve">Fig. </w:t>
      </w:r>
      <w:r>
        <w:rPr>
          <w:b/>
          <w:sz w:val="24"/>
          <w:szCs w:val="24"/>
        </w:rPr>
        <w:t>6</w:t>
      </w:r>
    </w:p>
    <w:p w:rsidR="0002155C" w:rsidRPr="005174C2" w:rsidRDefault="0002155C" w:rsidP="0002155C">
      <w:pPr>
        <w:pStyle w:val="Titlu2"/>
      </w:pPr>
      <w:r w:rsidRPr="005174C2">
        <w:t>Formarea profesională</w:t>
      </w:r>
    </w:p>
    <w:p w:rsidR="0002155C" w:rsidRDefault="0002155C" w:rsidP="0002155C">
      <w:pPr>
        <w:spacing w:before="240" w:after="240"/>
        <w:jc w:val="both"/>
        <w:rPr>
          <w:sz w:val="24"/>
          <w:szCs w:val="24"/>
        </w:rPr>
      </w:pPr>
      <w:r w:rsidRPr="002B18DF">
        <w:rPr>
          <w:sz w:val="24"/>
          <w:szCs w:val="24"/>
        </w:rPr>
        <w:t xml:space="preserve">Regiunea Centru beneficiază instituții de formare profesională în domeniul ingineriei auto de cel mai înalt nivel. În cadrul </w:t>
      </w:r>
      <w:r w:rsidRPr="00B64624">
        <w:rPr>
          <w:b/>
          <w:sz w:val="24"/>
          <w:szCs w:val="24"/>
        </w:rPr>
        <w:t>Universității Transilvania</w:t>
      </w:r>
      <w:r w:rsidRPr="002B18DF">
        <w:rPr>
          <w:sz w:val="24"/>
          <w:szCs w:val="24"/>
        </w:rPr>
        <w:t xml:space="preserve">, la Facultatea de Inginerie Mecanică funcționează </w:t>
      </w:r>
      <w:r w:rsidRPr="00B64624">
        <w:rPr>
          <w:b/>
          <w:sz w:val="24"/>
          <w:szCs w:val="24"/>
        </w:rPr>
        <w:t>Departamentul de Autovehicule și Transporturi</w:t>
      </w:r>
      <w:r w:rsidRPr="002B18DF">
        <w:rPr>
          <w:sz w:val="24"/>
          <w:szCs w:val="24"/>
        </w:rPr>
        <w:t xml:space="preserve">, </w:t>
      </w:r>
      <w:r>
        <w:rPr>
          <w:sz w:val="24"/>
          <w:szCs w:val="24"/>
        </w:rPr>
        <w:t>o entitate profesională cu</w:t>
      </w:r>
      <w:r w:rsidRPr="002B18DF">
        <w:rPr>
          <w:sz w:val="24"/>
          <w:szCs w:val="24"/>
        </w:rPr>
        <w:t xml:space="preserve"> o vechime neîntreruptă de peste 50 ani în activitatea în domeniul autovehiculelor şi motoarelor pentru autovehicule, </w:t>
      </w:r>
      <w:r>
        <w:rPr>
          <w:sz w:val="24"/>
          <w:szCs w:val="24"/>
        </w:rPr>
        <w:t>în acest departament de învățământ superior</w:t>
      </w:r>
      <w:r w:rsidRPr="002B18DF">
        <w:rPr>
          <w:sz w:val="24"/>
          <w:szCs w:val="24"/>
        </w:rPr>
        <w:t xml:space="preserve"> formându-se majoritatea specialiștilor români în domeniul auto</w:t>
      </w:r>
      <w:r>
        <w:rPr>
          <w:sz w:val="24"/>
          <w:szCs w:val="24"/>
        </w:rPr>
        <w:t xml:space="preserve">. Programele de studii oferă specializare pentru profilurile Autovehicule Rutiere (în limbile română și engleză) și pentru Ingineria Transporturilor și a Traficului – nivelul licență, iar specializările oferite pentru nivelul master sunt:  Autovehiculul și Tehnologiile Viitorului, Securitate Rutieră, Transport și Interacțiunea cu Mediul, Autovehiculul  și Mediul și Virtual Engineering in Automotive Design (în lb. engleză). Una dintre realizările recente ale acestui departament este conversia unui vehicul cu motor cu ardere internă în vehicul cu motor electric, prototipul fiind capabil să ruleze cu viteza de 80km/h și având asigurată o autonomie de până la 60 km. </w:t>
      </w:r>
    </w:p>
    <w:p w:rsidR="0002155C" w:rsidRDefault="0002155C" w:rsidP="0002155C">
      <w:pPr>
        <w:spacing w:before="240" w:after="240"/>
        <w:jc w:val="both"/>
        <w:rPr>
          <w:sz w:val="24"/>
          <w:szCs w:val="24"/>
        </w:rPr>
      </w:pPr>
      <w:r>
        <w:rPr>
          <w:sz w:val="24"/>
          <w:szCs w:val="24"/>
        </w:rPr>
        <w:lastRenderedPageBreak/>
        <w:t xml:space="preserve">Învățământul secundar cuprinde o rețea dezvoltată de licee tehnologice și de școli de arte și meserii cu profilurile mecanică și electromecanică în toate cele șase județe ale Regiunii Centru. De câțiva ani funcționează cu succes în regiunea noastră câteva școli duale ce urmează modelul școlilor profesionale din Germania. Școala Profesională Germană Kronstadt din Brașov, Școala Profesională Germană Alba Iulia, Școala Profesională Franceză din Făgăraș pregătesc personal calificat pentru firmele din domeniul auto și în același timp contribuie la îmbunătățirea semnificativă a percepției pe care elevii și părinții o au în legătură cu învățământul profesional, succesul acestor școli fiind o importantă premisă a relansării învățământului profesional de nivel secundar. </w:t>
      </w:r>
    </w:p>
    <w:p w:rsidR="0002155C" w:rsidRDefault="0002155C" w:rsidP="0002155C">
      <w:pPr>
        <w:pStyle w:val="Titlu2"/>
        <w:spacing w:after="240"/>
      </w:pPr>
      <w:r>
        <w:t xml:space="preserve">Activitatea de </w:t>
      </w:r>
      <w:r w:rsidRPr="0061563A">
        <w:t>cercetare</w:t>
      </w:r>
      <w:r>
        <w:t>-dezvoltare</w:t>
      </w:r>
    </w:p>
    <w:p w:rsidR="0002155C" w:rsidRPr="002B18DF" w:rsidRDefault="0002155C" w:rsidP="0002155C">
      <w:pPr>
        <w:jc w:val="both"/>
        <w:rPr>
          <w:sz w:val="24"/>
          <w:szCs w:val="24"/>
        </w:rPr>
      </w:pPr>
      <w:r>
        <w:rPr>
          <w:sz w:val="24"/>
          <w:szCs w:val="24"/>
        </w:rPr>
        <w:t>Alături de activitățile didactice,</w:t>
      </w:r>
      <w:r w:rsidRPr="002B18DF">
        <w:rPr>
          <w:sz w:val="24"/>
          <w:szCs w:val="24"/>
        </w:rPr>
        <w:t xml:space="preserve"> </w:t>
      </w:r>
      <w:r>
        <w:rPr>
          <w:sz w:val="24"/>
          <w:szCs w:val="24"/>
        </w:rPr>
        <w:t>Universitatea Transilvania din Brașov</w:t>
      </w:r>
      <w:r w:rsidRPr="002B18DF">
        <w:rPr>
          <w:sz w:val="24"/>
          <w:szCs w:val="24"/>
        </w:rPr>
        <w:t xml:space="preserve"> desfășoară o importantă activitate de cercetare</w:t>
      </w:r>
      <w:r>
        <w:rPr>
          <w:sz w:val="24"/>
          <w:szCs w:val="24"/>
        </w:rPr>
        <w:t>-dezvoltare</w:t>
      </w:r>
      <w:r w:rsidRPr="002B18DF">
        <w:rPr>
          <w:sz w:val="24"/>
          <w:szCs w:val="24"/>
        </w:rPr>
        <w:t xml:space="preserve">. </w:t>
      </w:r>
      <w:r>
        <w:rPr>
          <w:sz w:val="24"/>
          <w:szCs w:val="24"/>
        </w:rPr>
        <w:t>D</w:t>
      </w:r>
      <w:r w:rsidRPr="002B18DF">
        <w:rPr>
          <w:sz w:val="24"/>
          <w:szCs w:val="24"/>
        </w:rPr>
        <w:t>omenii</w:t>
      </w:r>
      <w:r>
        <w:rPr>
          <w:sz w:val="24"/>
          <w:szCs w:val="24"/>
        </w:rPr>
        <w:t>le</w:t>
      </w:r>
      <w:r w:rsidRPr="002B18DF">
        <w:rPr>
          <w:sz w:val="24"/>
          <w:szCs w:val="24"/>
        </w:rPr>
        <w:t xml:space="preserve"> </w:t>
      </w:r>
      <w:r>
        <w:rPr>
          <w:sz w:val="24"/>
          <w:szCs w:val="24"/>
        </w:rPr>
        <w:t xml:space="preserve">și temele </w:t>
      </w:r>
      <w:r w:rsidRPr="002B18DF">
        <w:rPr>
          <w:sz w:val="24"/>
          <w:szCs w:val="24"/>
        </w:rPr>
        <w:t>de cercetare abordate în cursul ultimilor ani sunt</w:t>
      </w:r>
      <w:r>
        <w:rPr>
          <w:sz w:val="24"/>
          <w:szCs w:val="24"/>
        </w:rPr>
        <w:t xml:space="preserve"> următoarele</w:t>
      </w:r>
      <w:r w:rsidRPr="002B18DF">
        <w:rPr>
          <w:sz w:val="24"/>
          <w:szCs w:val="24"/>
        </w:rPr>
        <w:t xml:space="preserve">:  </w:t>
      </w:r>
    </w:p>
    <w:p w:rsidR="0002155C" w:rsidRDefault="0002155C" w:rsidP="0002155C">
      <w:pPr>
        <w:pStyle w:val="Listparagraf"/>
        <w:numPr>
          <w:ilvl w:val="0"/>
          <w:numId w:val="1"/>
        </w:numPr>
        <w:jc w:val="both"/>
        <w:rPr>
          <w:sz w:val="24"/>
          <w:szCs w:val="24"/>
        </w:rPr>
      </w:pPr>
      <w:r w:rsidRPr="00CE6860">
        <w:rPr>
          <w:sz w:val="24"/>
          <w:szCs w:val="24"/>
        </w:rPr>
        <w:t>domeniul motoarelor</w:t>
      </w:r>
      <w:r>
        <w:rPr>
          <w:sz w:val="24"/>
          <w:szCs w:val="24"/>
        </w:rPr>
        <w:t xml:space="preserve"> auto</w:t>
      </w:r>
      <w:r w:rsidRPr="00CE6860">
        <w:rPr>
          <w:sz w:val="24"/>
          <w:szCs w:val="24"/>
        </w:rPr>
        <w:t>:</w:t>
      </w:r>
    </w:p>
    <w:p w:rsidR="0002155C" w:rsidRPr="00CE6860" w:rsidRDefault="0002155C" w:rsidP="0002155C">
      <w:pPr>
        <w:pStyle w:val="Listparagraf"/>
        <w:numPr>
          <w:ilvl w:val="0"/>
          <w:numId w:val="2"/>
        </w:numPr>
        <w:jc w:val="both"/>
        <w:rPr>
          <w:sz w:val="24"/>
          <w:szCs w:val="24"/>
        </w:rPr>
      </w:pPr>
      <w:r w:rsidRPr="00CE6860">
        <w:rPr>
          <w:rFonts w:ascii="Calibri" w:hAnsi="Calibri" w:cs="Calibri"/>
          <w:sz w:val="24"/>
          <w:szCs w:val="24"/>
        </w:rPr>
        <w:t>cercetări privind îmbunătăţirea proceselor di</w:t>
      </w:r>
      <w:r w:rsidRPr="00CE6860">
        <w:rPr>
          <w:sz w:val="24"/>
          <w:szCs w:val="24"/>
        </w:rPr>
        <w:t xml:space="preserve">n motoare: îmbunătăţirea umplerii; </w:t>
      </w:r>
    </w:p>
    <w:p w:rsidR="0002155C" w:rsidRPr="00CE6860" w:rsidRDefault="0002155C" w:rsidP="0002155C">
      <w:pPr>
        <w:pStyle w:val="Listparagraf"/>
        <w:numPr>
          <w:ilvl w:val="0"/>
          <w:numId w:val="2"/>
        </w:numPr>
        <w:jc w:val="both"/>
        <w:rPr>
          <w:sz w:val="24"/>
          <w:szCs w:val="24"/>
        </w:rPr>
      </w:pPr>
      <w:r w:rsidRPr="00CE6860">
        <w:rPr>
          <w:rFonts w:ascii="Calibri" w:hAnsi="Calibri" w:cs="Calibri"/>
          <w:sz w:val="24"/>
          <w:szCs w:val="24"/>
        </w:rPr>
        <w:t>cercetări privind dinamica motoarelor, evaluarea solicitărilor din mecanismele motorului; elaborarea de modele pentru echilibrarea motorului; elaborarea de modele de calcul ş</w:t>
      </w:r>
      <w:r w:rsidRPr="00CE6860">
        <w:rPr>
          <w:sz w:val="24"/>
          <w:szCs w:val="24"/>
        </w:rPr>
        <w:t>i dimensionare a pieselor motorului;</w:t>
      </w:r>
    </w:p>
    <w:p w:rsidR="0002155C" w:rsidRPr="00CE6860" w:rsidRDefault="0002155C" w:rsidP="0002155C">
      <w:pPr>
        <w:pStyle w:val="Listparagraf"/>
        <w:numPr>
          <w:ilvl w:val="0"/>
          <w:numId w:val="2"/>
        </w:numPr>
        <w:jc w:val="both"/>
        <w:rPr>
          <w:sz w:val="24"/>
          <w:szCs w:val="24"/>
        </w:rPr>
      </w:pPr>
      <w:r w:rsidRPr="00CE6860">
        <w:rPr>
          <w:rFonts w:ascii="Calibri" w:hAnsi="Calibri" w:cs="Calibri"/>
          <w:sz w:val="24"/>
          <w:szCs w:val="24"/>
        </w:rPr>
        <w:t>cercetări privind ungerea, uzura, fiabilitatea motoarelor.</w:t>
      </w:r>
    </w:p>
    <w:p w:rsidR="0002155C" w:rsidRPr="00CE6860" w:rsidRDefault="0002155C" w:rsidP="0002155C">
      <w:pPr>
        <w:pStyle w:val="Listparagraf"/>
        <w:ind w:left="1068"/>
        <w:jc w:val="both"/>
        <w:rPr>
          <w:sz w:val="24"/>
          <w:szCs w:val="24"/>
        </w:rPr>
      </w:pPr>
    </w:p>
    <w:p w:rsidR="0002155C" w:rsidRDefault="0002155C" w:rsidP="0002155C">
      <w:pPr>
        <w:pStyle w:val="Listparagraf"/>
        <w:numPr>
          <w:ilvl w:val="0"/>
          <w:numId w:val="3"/>
        </w:numPr>
        <w:jc w:val="both"/>
        <w:rPr>
          <w:sz w:val="24"/>
          <w:szCs w:val="24"/>
        </w:rPr>
      </w:pPr>
      <w:r w:rsidRPr="00CE6860">
        <w:rPr>
          <w:sz w:val="24"/>
          <w:szCs w:val="24"/>
        </w:rPr>
        <w:t>domeniul autovehiculelor</w:t>
      </w:r>
    </w:p>
    <w:p w:rsidR="0002155C" w:rsidRPr="00CE6860" w:rsidRDefault="0002155C" w:rsidP="0002155C">
      <w:pPr>
        <w:pStyle w:val="Listparagraf"/>
        <w:numPr>
          <w:ilvl w:val="0"/>
          <w:numId w:val="4"/>
        </w:numPr>
        <w:jc w:val="both"/>
        <w:rPr>
          <w:rFonts w:ascii="Calibri" w:hAnsi="Calibri" w:cs="Calibri"/>
          <w:sz w:val="24"/>
          <w:szCs w:val="24"/>
        </w:rPr>
      </w:pPr>
      <w:r w:rsidRPr="00CE6860">
        <w:rPr>
          <w:rFonts w:ascii="Calibri" w:hAnsi="Calibri" w:cs="Calibri"/>
          <w:sz w:val="24"/>
          <w:szCs w:val="24"/>
        </w:rPr>
        <w:t>dinamicitatea şi economicitatea autovehiculelor;</w:t>
      </w:r>
    </w:p>
    <w:p w:rsidR="0002155C" w:rsidRPr="00CE6860" w:rsidRDefault="0002155C" w:rsidP="0002155C">
      <w:pPr>
        <w:pStyle w:val="Listparagraf"/>
        <w:numPr>
          <w:ilvl w:val="0"/>
          <w:numId w:val="4"/>
        </w:numPr>
        <w:jc w:val="both"/>
        <w:rPr>
          <w:rFonts w:ascii="Calibri" w:hAnsi="Calibri" w:cs="Calibri"/>
          <w:sz w:val="24"/>
          <w:szCs w:val="24"/>
        </w:rPr>
      </w:pPr>
      <w:r w:rsidRPr="00CE6860">
        <w:rPr>
          <w:rFonts w:ascii="Calibri" w:hAnsi="Calibri" w:cs="Calibri"/>
          <w:sz w:val="24"/>
          <w:szCs w:val="24"/>
        </w:rPr>
        <w:t>solicitări dinamice în transmisiile mecanice ale autovehiculelor;</w:t>
      </w:r>
    </w:p>
    <w:p w:rsidR="0002155C" w:rsidRPr="00CE6860" w:rsidRDefault="0002155C" w:rsidP="0002155C">
      <w:pPr>
        <w:pStyle w:val="Listparagraf"/>
        <w:numPr>
          <w:ilvl w:val="0"/>
          <w:numId w:val="4"/>
        </w:numPr>
        <w:jc w:val="both"/>
        <w:rPr>
          <w:sz w:val="24"/>
          <w:szCs w:val="24"/>
        </w:rPr>
      </w:pPr>
      <w:r w:rsidRPr="00CE6860">
        <w:rPr>
          <w:rFonts w:ascii="Calibri" w:hAnsi="Calibri" w:cs="Calibri"/>
          <w:sz w:val="24"/>
          <w:szCs w:val="24"/>
        </w:rPr>
        <w:t>maniabilitatea şi stabilitatea autove</w:t>
      </w:r>
      <w:r w:rsidRPr="00CE6860">
        <w:rPr>
          <w:sz w:val="24"/>
          <w:szCs w:val="24"/>
        </w:rPr>
        <w:t>hiculelor;</w:t>
      </w:r>
    </w:p>
    <w:p w:rsidR="0002155C" w:rsidRPr="00CE6860" w:rsidRDefault="0002155C" w:rsidP="0002155C">
      <w:pPr>
        <w:pStyle w:val="Listparagraf"/>
        <w:numPr>
          <w:ilvl w:val="0"/>
          <w:numId w:val="4"/>
        </w:numPr>
        <w:jc w:val="both"/>
        <w:rPr>
          <w:rFonts w:ascii="Calibri" w:hAnsi="Calibri" w:cs="Calibri"/>
          <w:sz w:val="24"/>
          <w:szCs w:val="24"/>
        </w:rPr>
      </w:pPr>
      <w:r w:rsidRPr="00CE6860">
        <w:rPr>
          <w:rFonts w:ascii="Calibri" w:hAnsi="Calibri" w:cs="Calibri"/>
          <w:sz w:val="24"/>
          <w:szCs w:val="24"/>
        </w:rPr>
        <w:t>fiabilitatea autovehiculelor, implicaţii tehnologice şi de asigurare a calităţii;</w:t>
      </w:r>
    </w:p>
    <w:p w:rsidR="0002155C" w:rsidRPr="00CE6860" w:rsidRDefault="0002155C" w:rsidP="0002155C">
      <w:pPr>
        <w:pStyle w:val="Listparagraf"/>
        <w:numPr>
          <w:ilvl w:val="0"/>
          <w:numId w:val="4"/>
        </w:numPr>
        <w:jc w:val="both"/>
        <w:rPr>
          <w:rFonts w:ascii="Calibri" w:hAnsi="Calibri" w:cs="Calibri"/>
          <w:sz w:val="24"/>
          <w:szCs w:val="24"/>
        </w:rPr>
      </w:pPr>
      <w:r w:rsidRPr="00CE6860">
        <w:rPr>
          <w:rFonts w:ascii="Calibri" w:hAnsi="Calibri" w:cs="Calibri"/>
          <w:sz w:val="24"/>
          <w:szCs w:val="24"/>
        </w:rPr>
        <w:t>confortabilitatea şi interacţiunea om-maşină;</w:t>
      </w:r>
    </w:p>
    <w:p w:rsidR="0002155C" w:rsidRPr="00CE6860" w:rsidRDefault="0002155C" w:rsidP="0002155C">
      <w:pPr>
        <w:pStyle w:val="Listparagraf"/>
        <w:numPr>
          <w:ilvl w:val="0"/>
          <w:numId w:val="4"/>
        </w:numPr>
        <w:jc w:val="both"/>
        <w:rPr>
          <w:sz w:val="24"/>
          <w:szCs w:val="24"/>
        </w:rPr>
      </w:pPr>
      <w:r w:rsidRPr="00CE6860">
        <w:rPr>
          <w:rFonts w:ascii="Calibri" w:hAnsi="Calibri" w:cs="Calibri"/>
          <w:sz w:val="24"/>
          <w:szCs w:val="24"/>
        </w:rPr>
        <w:t>trafic şi siguranţa circulaţiei.</w:t>
      </w:r>
    </w:p>
    <w:p w:rsidR="0002155C" w:rsidRPr="00CE6860" w:rsidRDefault="0002155C" w:rsidP="0002155C">
      <w:pPr>
        <w:pStyle w:val="Listparagraf"/>
        <w:ind w:left="1068"/>
        <w:jc w:val="both"/>
        <w:rPr>
          <w:sz w:val="24"/>
          <w:szCs w:val="24"/>
        </w:rPr>
      </w:pPr>
    </w:p>
    <w:p w:rsidR="0002155C" w:rsidRDefault="0002155C" w:rsidP="0002155C">
      <w:pPr>
        <w:pStyle w:val="Listparagraf"/>
        <w:numPr>
          <w:ilvl w:val="0"/>
          <w:numId w:val="3"/>
        </w:numPr>
        <w:jc w:val="both"/>
        <w:rPr>
          <w:sz w:val="24"/>
          <w:szCs w:val="24"/>
        </w:rPr>
      </w:pPr>
      <w:r>
        <w:rPr>
          <w:sz w:val="24"/>
          <w:szCs w:val="24"/>
        </w:rPr>
        <w:t>traficul și siguranța circulației</w:t>
      </w:r>
    </w:p>
    <w:p w:rsidR="0002155C" w:rsidRDefault="0002155C" w:rsidP="0002155C">
      <w:pPr>
        <w:pStyle w:val="Listparagraf"/>
        <w:ind w:left="360"/>
        <w:jc w:val="both"/>
        <w:rPr>
          <w:sz w:val="24"/>
          <w:szCs w:val="24"/>
        </w:rPr>
      </w:pPr>
    </w:p>
    <w:p w:rsidR="0002155C" w:rsidRDefault="0002155C" w:rsidP="0002155C">
      <w:pPr>
        <w:pStyle w:val="Listparagraf"/>
        <w:numPr>
          <w:ilvl w:val="0"/>
          <w:numId w:val="6"/>
        </w:numPr>
        <w:jc w:val="both"/>
        <w:rPr>
          <w:sz w:val="24"/>
          <w:szCs w:val="24"/>
        </w:rPr>
      </w:pPr>
      <w:r w:rsidRPr="00CE6860">
        <w:rPr>
          <w:sz w:val="24"/>
          <w:szCs w:val="24"/>
        </w:rPr>
        <w:t>poluare, propulsie neconvenţională, materiale şi tehnologii complexe de fabricaţie, organizarea traficului şi siguranţa circulaţiei</w:t>
      </w:r>
    </w:p>
    <w:p w:rsidR="0002155C" w:rsidRDefault="0002155C" w:rsidP="0002155C">
      <w:pPr>
        <w:pStyle w:val="Listparagraf"/>
        <w:ind w:left="1068"/>
        <w:jc w:val="both"/>
        <w:rPr>
          <w:sz w:val="24"/>
          <w:szCs w:val="24"/>
        </w:rPr>
      </w:pPr>
    </w:p>
    <w:p w:rsidR="0002155C" w:rsidRPr="00CE6860" w:rsidRDefault="0002155C" w:rsidP="0002155C">
      <w:pPr>
        <w:pStyle w:val="Listparagraf"/>
        <w:numPr>
          <w:ilvl w:val="0"/>
          <w:numId w:val="5"/>
        </w:numPr>
        <w:jc w:val="both"/>
        <w:rPr>
          <w:sz w:val="24"/>
          <w:szCs w:val="24"/>
        </w:rPr>
      </w:pPr>
      <w:r w:rsidRPr="00CE6860">
        <w:rPr>
          <w:rFonts w:ascii="Calibri" w:hAnsi="Calibri" w:cs="Calibri"/>
          <w:sz w:val="24"/>
          <w:szCs w:val="24"/>
        </w:rPr>
        <w:t>cercetări energetice şi ecologice fundamentale</w:t>
      </w:r>
    </w:p>
    <w:p w:rsidR="0002155C" w:rsidRPr="00CE6860" w:rsidRDefault="0002155C" w:rsidP="0002155C">
      <w:pPr>
        <w:pStyle w:val="Listparagraf"/>
        <w:numPr>
          <w:ilvl w:val="0"/>
          <w:numId w:val="7"/>
        </w:numPr>
        <w:jc w:val="both"/>
        <w:rPr>
          <w:sz w:val="24"/>
          <w:szCs w:val="24"/>
        </w:rPr>
      </w:pPr>
      <w:r w:rsidRPr="00CE6860">
        <w:rPr>
          <w:sz w:val="24"/>
          <w:szCs w:val="24"/>
        </w:rPr>
        <w:t>poluarea chimică şi sonoră, perfecţionarea motoarelor convenţionale</w:t>
      </w:r>
    </w:p>
    <w:p w:rsidR="0002155C" w:rsidRDefault="0002155C" w:rsidP="0002155C">
      <w:pPr>
        <w:jc w:val="both"/>
        <w:rPr>
          <w:sz w:val="24"/>
          <w:szCs w:val="24"/>
        </w:rPr>
      </w:pPr>
      <w:r w:rsidRPr="0054633C">
        <w:rPr>
          <w:sz w:val="24"/>
          <w:szCs w:val="24"/>
        </w:rPr>
        <w:t xml:space="preserve">În cadrul </w:t>
      </w:r>
      <w:r>
        <w:rPr>
          <w:sz w:val="24"/>
          <w:szCs w:val="24"/>
        </w:rPr>
        <w:t>Departamentului de Autovehicule și Transporturi funcționează următoarele grupuri de cercetare:</w:t>
      </w:r>
    </w:p>
    <w:p w:rsidR="0002155C" w:rsidRDefault="0002155C" w:rsidP="0002155C">
      <w:pPr>
        <w:pStyle w:val="Listparagraf"/>
        <w:numPr>
          <w:ilvl w:val="0"/>
          <w:numId w:val="9"/>
        </w:numPr>
        <w:jc w:val="both"/>
        <w:rPr>
          <w:sz w:val="24"/>
          <w:szCs w:val="24"/>
        </w:rPr>
      </w:pPr>
      <w:r w:rsidRPr="0054633C">
        <w:rPr>
          <w:rFonts w:ascii="Calibri" w:hAnsi="Calibri" w:cs="Calibri"/>
          <w:sz w:val="24"/>
          <w:szCs w:val="24"/>
        </w:rPr>
        <w:t>Siguranţ</w:t>
      </w:r>
      <w:r w:rsidRPr="0054633C">
        <w:rPr>
          <w:sz w:val="24"/>
          <w:szCs w:val="24"/>
        </w:rPr>
        <w:t>ă Rutieră, Transport şi Interacţiunea cu Mediul</w:t>
      </w:r>
      <w:r>
        <w:rPr>
          <w:sz w:val="24"/>
          <w:szCs w:val="24"/>
        </w:rPr>
        <w:t>. Teme de cercetare:</w:t>
      </w:r>
    </w:p>
    <w:p w:rsidR="0002155C" w:rsidRPr="0054633C" w:rsidRDefault="0002155C" w:rsidP="0002155C">
      <w:pPr>
        <w:pStyle w:val="Listparagraf"/>
        <w:ind w:left="360"/>
        <w:jc w:val="both"/>
        <w:rPr>
          <w:sz w:val="24"/>
          <w:szCs w:val="24"/>
        </w:rPr>
      </w:pPr>
    </w:p>
    <w:p w:rsidR="0002155C" w:rsidRPr="0054633C" w:rsidRDefault="0002155C" w:rsidP="0002155C">
      <w:pPr>
        <w:pStyle w:val="Listparagraf"/>
        <w:numPr>
          <w:ilvl w:val="0"/>
          <w:numId w:val="8"/>
        </w:numPr>
        <w:jc w:val="both"/>
        <w:rPr>
          <w:sz w:val="24"/>
          <w:szCs w:val="24"/>
        </w:rPr>
      </w:pPr>
      <w:r w:rsidRPr="0054633C">
        <w:rPr>
          <w:sz w:val="24"/>
          <w:szCs w:val="24"/>
        </w:rPr>
        <w:t>Dinamica autovehiculelor</w:t>
      </w:r>
    </w:p>
    <w:p w:rsidR="0002155C" w:rsidRPr="0054633C" w:rsidRDefault="0002155C" w:rsidP="0002155C">
      <w:pPr>
        <w:pStyle w:val="Listparagraf"/>
        <w:numPr>
          <w:ilvl w:val="0"/>
          <w:numId w:val="8"/>
        </w:numPr>
        <w:jc w:val="both"/>
        <w:rPr>
          <w:sz w:val="24"/>
          <w:szCs w:val="24"/>
        </w:rPr>
      </w:pPr>
      <w:r w:rsidRPr="0054633C">
        <w:rPr>
          <w:sz w:val="24"/>
          <w:szCs w:val="24"/>
        </w:rPr>
        <w:t>Trafic rutier</w:t>
      </w:r>
    </w:p>
    <w:p w:rsidR="0002155C" w:rsidRDefault="0002155C" w:rsidP="0002155C">
      <w:pPr>
        <w:pStyle w:val="Listparagraf"/>
        <w:numPr>
          <w:ilvl w:val="0"/>
          <w:numId w:val="8"/>
        </w:numPr>
        <w:jc w:val="both"/>
        <w:rPr>
          <w:sz w:val="24"/>
          <w:szCs w:val="24"/>
        </w:rPr>
      </w:pPr>
      <w:r w:rsidRPr="0054633C">
        <w:rPr>
          <w:sz w:val="24"/>
          <w:szCs w:val="24"/>
        </w:rPr>
        <w:t>Reconstrucţia accidentelor de circulaţie</w:t>
      </w:r>
    </w:p>
    <w:p w:rsidR="0002155C" w:rsidRPr="0054633C" w:rsidRDefault="0002155C" w:rsidP="0002155C">
      <w:pPr>
        <w:pStyle w:val="Listparagraf"/>
        <w:jc w:val="both"/>
        <w:rPr>
          <w:sz w:val="24"/>
          <w:szCs w:val="24"/>
        </w:rPr>
      </w:pPr>
    </w:p>
    <w:p w:rsidR="0002155C" w:rsidRDefault="0002155C" w:rsidP="0002155C">
      <w:pPr>
        <w:pStyle w:val="Listparagraf"/>
        <w:numPr>
          <w:ilvl w:val="0"/>
          <w:numId w:val="9"/>
        </w:numPr>
        <w:jc w:val="both"/>
        <w:rPr>
          <w:sz w:val="24"/>
          <w:szCs w:val="24"/>
        </w:rPr>
      </w:pPr>
      <w:r w:rsidRPr="0054633C">
        <w:rPr>
          <w:rFonts w:ascii="Calibri" w:hAnsi="Calibri" w:cs="Calibri"/>
          <w:sz w:val="24"/>
          <w:szCs w:val="24"/>
        </w:rPr>
        <w:t>Produse Avansate pentru Automobile</w:t>
      </w:r>
      <w:r>
        <w:rPr>
          <w:rFonts w:ascii="Calibri" w:hAnsi="Calibri" w:cs="Calibri"/>
          <w:sz w:val="24"/>
          <w:szCs w:val="24"/>
        </w:rPr>
        <w:t xml:space="preserve">. </w:t>
      </w:r>
      <w:r>
        <w:rPr>
          <w:sz w:val="24"/>
          <w:szCs w:val="24"/>
        </w:rPr>
        <w:t>Teme de cercetare:</w:t>
      </w:r>
    </w:p>
    <w:p w:rsidR="0002155C" w:rsidRPr="0054633C" w:rsidRDefault="0002155C" w:rsidP="0002155C">
      <w:pPr>
        <w:pStyle w:val="Listparagraf"/>
        <w:ind w:left="360"/>
        <w:jc w:val="both"/>
        <w:rPr>
          <w:rFonts w:ascii="Calibri" w:hAnsi="Calibri" w:cs="Calibri"/>
          <w:sz w:val="24"/>
          <w:szCs w:val="24"/>
        </w:rPr>
      </w:pPr>
    </w:p>
    <w:p w:rsidR="0002155C" w:rsidRDefault="0002155C" w:rsidP="0002155C">
      <w:pPr>
        <w:pStyle w:val="Listparagraf"/>
        <w:numPr>
          <w:ilvl w:val="0"/>
          <w:numId w:val="10"/>
        </w:numPr>
        <w:jc w:val="both"/>
        <w:rPr>
          <w:sz w:val="24"/>
          <w:szCs w:val="24"/>
        </w:rPr>
      </w:pPr>
      <w:r w:rsidRPr="0054633C">
        <w:rPr>
          <w:sz w:val="24"/>
          <w:szCs w:val="24"/>
        </w:rPr>
        <w:t xml:space="preserve">Motoare şi combustibili </w:t>
      </w:r>
    </w:p>
    <w:p w:rsidR="0002155C" w:rsidRPr="0054633C" w:rsidRDefault="0002155C" w:rsidP="0002155C">
      <w:pPr>
        <w:pStyle w:val="Listparagraf"/>
        <w:jc w:val="both"/>
        <w:rPr>
          <w:sz w:val="24"/>
          <w:szCs w:val="24"/>
        </w:rPr>
      </w:pPr>
    </w:p>
    <w:p w:rsidR="0002155C" w:rsidRDefault="0002155C" w:rsidP="0002155C">
      <w:pPr>
        <w:pStyle w:val="Listparagraf"/>
        <w:numPr>
          <w:ilvl w:val="0"/>
          <w:numId w:val="9"/>
        </w:numPr>
        <w:jc w:val="both"/>
        <w:rPr>
          <w:sz w:val="24"/>
          <w:szCs w:val="24"/>
        </w:rPr>
      </w:pPr>
      <w:r w:rsidRPr="0054633C">
        <w:rPr>
          <w:rFonts w:ascii="Calibri" w:hAnsi="Calibri" w:cs="Calibri"/>
          <w:sz w:val="24"/>
          <w:szCs w:val="24"/>
        </w:rPr>
        <w:t>Realitate Virtuală şi Robotică</w:t>
      </w:r>
      <w:r>
        <w:rPr>
          <w:rFonts w:ascii="Calibri" w:hAnsi="Calibri" w:cs="Calibri"/>
          <w:sz w:val="24"/>
          <w:szCs w:val="24"/>
        </w:rPr>
        <w:t xml:space="preserve">. </w:t>
      </w:r>
      <w:r>
        <w:rPr>
          <w:sz w:val="24"/>
          <w:szCs w:val="24"/>
        </w:rPr>
        <w:t>Teme de cercetare:</w:t>
      </w:r>
    </w:p>
    <w:p w:rsidR="0002155C" w:rsidRPr="0054633C" w:rsidRDefault="0002155C" w:rsidP="0002155C">
      <w:pPr>
        <w:pStyle w:val="Listparagraf"/>
        <w:ind w:left="360"/>
        <w:jc w:val="both"/>
        <w:rPr>
          <w:rFonts w:ascii="Calibri" w:hAnsi="Calibri" w:cs="Calibri"/>
          <w:sz w:val="24"/>
          <w:szCs w:val="24"/>
        </w:rPr>
      </w:pPr>
    </w:p>
    <w:p w:rsidR="0002155C" w:rsidRDefault="0002155C" w:rsidP="0002155C">
      <w:pPr>
        <w:pStyle w:val="Listparagraf"/>
        <w:numPr>
          <w:ilvl w:val="0"/>
          <w:numId w:val="11"/>
        </w:numPr>
        <w:jc w:val="both"/>
        <w:rPr>
          <w:sz w:val="24"/>
          <w:szCs w:val="24"/>
        </w:rPr>
      </w:pPr>
      <w:r w:rsidRPr="00594668">
        <w:rPr>
          <w:sz w:val="24"/>
          <w:szCs w:val="24"/>
        </w:rPr>
        <w:t>Realitate virtuală şi robotică</w:t>
      </w:r>
    </w:p>
    <w:p w:rsidR="0002155C" w:rsidRPr="00B62D9E" w:rsidRDefault="0002155C" w:rsidP="0002155C">
      <w:pPr>
        <w:jc w:val="both"/>
        <w:rPr>
          <w:sz w:val="24"/>
          <w:szCs w:val="24"/>
        </w:rPr>
      </w:pPr>
      <w:r w:rsidRPr="00255CA9">
        <w:rPr>
          <w:sz w:val="24"/>
          <w:szCs w:val="24"/>
        </w:rPr>
        <w:t xml:space="preserve">Un eveniment științific </w:t>
      </w:r>
      <w:r>
        <w:rPr>
          <w:sz w:val="24"/>
          <w:szCs w:val="24"/>
        </w:rPr>
        <w:t xml:space="preserve">de tradiție, inițiat și găzduit de către Universitatea Transilvania din Brașov, este </w:t>
      </w:r>
      <w:r w:rsidRPr="00255CA9">
        <w:rPr>
          <w:b/>
          <w:sz w:val="24"/>
          <w:szCs w:val="24"/>
        </w:rPr>
        <w:t>Congresul Internațional al Inginerilor de Automobile și Transporturi</w:t>
      </w:r>
      <w:r>
        <w:rPr>
          <w:b/>
          <w:sz w:val="24"/>
          <w:szCs w:val="24"/>
        </w:rPr>
        <w:t xml:space="preserve"> (CONAT). </w:t>
      </w:r>
      <w:r w:rsidRPr="00B62D9E">
        <w:rPr>
          <w:sz w:val="24"/>
          <w:szCs w:val="24"/>
        </w:rPr>
        <w:t xml:space="preserve">A 12-a ediție a evenimentului se va desfășura în luna octombrie 2016, </w:t>
      </w:r>
      <w:r>
        <w:rPr>
          <w:sz w:val="24"/>
          <w:szCs w:val="24"/>
        </w:rPr>
        <w:t xml:space="preserve">alte două organizații puternice – Societatea Inginerilor de Automobile din România (SIAR) și SAE International –aflându-se în calitate de organizatori </w:t>
      </w:r>
      <w:r w:rsidRPr="00B62D9E">
        <w:rPr>
          <w:sz w:val="24"/>
          <w:szCs w:val="24"/>
        </w:rPr>
        <w:t xml:space="preserve">alături de Universitatea Transilvania </w:t>
      </w:r>
      <w:r>
        <w:rPr>
          <w:sz w:val="24"/>
          <w:szCs w:val="24"/>
        </w:rPr>
        <w:t>din Brașov.  Organizarea cu regularitate a acestui eveniment de anvergură internațională reprezintă o confirmare a valorii activității de educație și cercetare desfășurate la Universitatea Transilvania.</w:t>
      </w:r>
    </w:p>
    <w:p w:rsidR="0002155C" w:rsidRPr="00E76CF7" w:rsidRDefault="0002155C" w:rsidP="0002155C">
      <w:pPr>
        <w:pStyle w:val="Titlu2"/>
      </w:pPr>
      <w:r w:rsidRPr="00E76CF7">
        <w:t>Activitatea de cercetare-dezvoltare desfășurată în cadrul companiilor</w:t>
      </w:r>
    </w:p>
    <w:p w:rsidR="0002155C" w:rsidRPr="00E76CF7" w:rsidRDefault="0002155C" w:rsidP="0002155C">
      <w:pPr>
        <w:rPr>
          <w:sz w:val="26"/>
          <w:szCs w:val="26"/>
        </w:rPr>
      </w:pPr>
    </w:p>
    <w:p w:rsidR="0002155C" w:rsidRDefault="0002155C" w:rsidP="0002155C">
      <w:pPr>
        <w:jc w:val="both"/>
        <w:rPr>
          <w:color w:val="000000"/>
          <w:sz w:val="24"/>
          <w:szCs w:val="24"/>
        </w:rPr>
      </w:pPr>
      <w:r>
        <w:rPr>
          <w:sz w:val="24"/>
          <w:szCs w:val="24"/>
        </w:rPr>
        <w:t xml:space="preserve">Așa cum s-a menționat anterior, marile companii multinaționale prezente în Regiunea Centru și-au creat centre de cercetare-dezvoltare, valorificând astfel potențialul autohton de cercetare și inovare. Astfel de centre găsim la Brașov ( </w:t>
      </w:r>
      <w:r w:rsidRPr="005F448A">
        <w:rPr>
          <w:b/>
          <w:sz w:val="24"/>
          <w:szCs w:val="24"/>
        </w:rPr>
        <w:t xml:space="preserve">Centrul de Inginerie și Dezvoltare al companiei Autoliv </w:t>
      </w:r>
      <w:r w:rsidRPr="005F448A">
        <w:rPr>
          <w:sz w:val="24"/>
          <w:szCs w:val="24"/>
        </w:rPr>
        <w:t>și</w:t>
      </w:r>
      <w:r w:rsidRPr="005F448A">
        <w:rPr>
          <w:b/>
          <w:sz w:val="24"/>
          <w:szCs w:val="24"/>
        </w:rPr>
        <w:t xml:space="preserve"> Centrul de Cercetare al firmei Siemens</w:t>
      </w:r>
      <w:r>
        <w:rPr>
          <w:sz w:val="24"/>
          <w:szCs w:val="24"/>
        </w:rPr>
        <w:t>) și la Sibiu (</w:t>
      </w:r>
      <w:r w:rsidRPr="005F448A">
        <w:rPr>
          <w:b/>
          <w:sz w:val="24"/>
          <w:szCs w:val="24"/>
        </w:rPr>
        <w:t xml:space="preserve">Centrul de cercetare-dezvoltare al concernului Continental </w:t>
      </w:r>
      <w:r w:rsidRPr="005F448A">
        <w:rPr>
          <w:sz w:val="24"/>
          <w:szCs w:val="24"/>
        </w:rPr>
        <w:t>și</w:t>
      </w:r>
      <w:r w:rsidRPr="005F448A">
        <w:rPr>
          <w:b/>
          <w:sz w:val="24"/>
          <w:szCs w:val="24"/>
        </w:rPr>
        <w:t xml:space="preserve"> Centrul de cercetare-dezvoltare </w:t>
      </w:r>
      <w:r w:rsidRPr="005F448A">
        <w:rPr>
          <w:b/>
          <w:color w:val="000000"/>
          <w:sz w:val="24"/>
          <w:szCs w:val="24"/>
        </w:rPr>
        <w:t>Kromberg &amp;Schubert</w:t>
      </w:r>
      <w:r>
        <w:rPr>
          <w:color w:val="000000"/>
          <w:sz w:val="24"/>
          <w:szCs w:val="24"/>
        </w:rPr>
        <w:t xml:space="preserve">). Una dintre companiile locale care desfășoară o importantă activitate de C-D este firma </w:t>
      </w:r>
      <w:r w:rsidRPr="005F448A">
        <w:rPr>
          <w:b/>
          <w:color w:val="000000"/>
          <w:sz w:val="24"/>
          <w:szCs w:val="24"/>
        </w:rPr>
        <w:t>Compa din Sibiu</w:t>
      </w:r>
      <w:r>
        <w:rPr>
          <w:color w:val="000000"/>
          <w:sz w:val="24"/>
          <w:szCs w:val="24"/>
        </w:rPr>
        <w:t xml:space="preserve">, aceasta investind în cercetare doar în anul 2014 aproape 7,5 milioane lei . </w:t>
      </w:r>
    </w:p>
    <w:p w:rsidR="0002155C" w:rsidRPr="005F448A" w:rsidRDefault="0002155C" w:rsidP="0002155C">
      <w:pPr>
        <w:shd w:val="clear" w:color="auto" w:fill="FFFFFF"/>
        <w:spacing w:after="0"/>
        <w:ind w:right="-18"/>
        <w:jc w:val="both"/>
        <w:textAlignment w:val="baseline"/>
        <w:rPr>
          <w:rFonts w:eastAsia="Times New Roman" w:cs="Arial"/>
          <w:sz w:val="24"/>
          <w:szCs w:val="24"/>
        </w:rPr>
      </w:pPr>
      <w:r>
        <w:rPr>
          <w:color w:val="000000"/>
          <w:sz w:val="24"/>
          <w:szCs w:val="24"/>
        </w:rPr>
        <w:t xml:space="preserve">Un avantaj important al cercetării derulate în cadrul firmelor este acela că domeniile de cercetare-dezvoltare se află în legătură directă cu cele productive. Astfel, în cadrul Centrului de cercetare-dezvoltare al concernului Continental din Sibiu sunt dezvoltate și testate sistemele inteligente de frânare, sistemele de asistare la condus sau pedala de accelerație care limitează viteza în cazul detectării unui obstacol. </w:t>
      </w:r>
      <w:r w:rsidRPr="00FF5FB0">
        <w:rPr>
          <w:rFonts w:cs="Arial"/>
          <w:sz w:val="24"/>
          <w:szCs w:val="24"/>
        </w:rPr>
        <w:t>Centrul de Cercetare-Dezvoltare din Sibiu</w:t>
      </w:r>
      <w:r w:rsidRPr="00FF5FB0">
        <w:rPr>
          <w:sz w:val="24"/>
          <w:szCs w:val="24"/>
        </w:rPr>
        <w:t xml:space="preserve"> </w:t>
      </w:r>
      <w:r>
        <w:rPr>
          <w:sz w:val="24"/>
          <w:szCs w:val="24"/>
        </w:rPr>
        <w:t xml:space="preserve">al firmei </w:t>
      </w:r>
      <w:r w:rsidRPr="00A05790">
        <w:rPr>
          <w:color w:val="000000"/>
          <w:sz w:val="24"/>
          <w:szCs w:val="24"/>
        </w:rPr>
        <w:t>Kromberg &amp;Schubert</w:t>
      </w:r>
      <w:r w:rsidRPr="00FF5FB0">
        <w:rPr>
          <w:rFonts w:cs="Arial"/>
          <w:sz w:val="24"/>
          <w:szCs w:val="24"/>
        </w:rPr>
        <w:t xml:space="preserve"> are ca domeniu de activitate proiectarea de sisteme de cablare auto, module mecatronice </w:t>
      </w:r>
      <w:r>
        <w:rPr>
          <w:rFonts w:cs="Arial"/>
          <w:sz w:val="24"/>
          <w:szCs w:val="24"/>
        </w:rPr>
        <w:t>ș</w:t>
      </w:r>
      <w:r w:rsidRPr="00FF5FB0">
        <w:rPr>
          <w:rFonts w:cs="Arial"/>
          <w:sz w:val="24"/>
          <w:szCs w:val="24"/>
        </w:rPr>
        <w:t>i module electronice</w:t>
      </w:r>
      <w:r>
        <w:rPr>
          <w:rFonts w:cs="Arial"/>
          <w:sz w:val="24"/>
          <w:szCs w:val="24"/>
        </w:rPr>
        <w:t xml:space="preserve">. Compa Sibiu a dezvoltat și implementat în producție printre altele </w:t>
      </w:r>
      <w:r>
        <w:rPr>
          <w:rFonts w:eastAsia="Times New Roman" w:cs="Arial"/>
          <w:sz w:val="24"/>
          <w:szCs w:val="24"/>
        </w:rPr>
        <w:t>robotizarea celulelor de producț</w:t>
      </w:r>
      <w:r w:rsidRPr="005F448A">
        <w:rPr>
          <w:rFonts w:eastAsia="Times New Roman" w:cs="Arial"/>
          <w:sz w:val="24"/>
          <w:szCs w:val="24"/>
        </w:rPr>
        <w:t xml:space="preserve">ie pentru prelucrarea blank-urilor corp injector, celula pentru prototiparea componentelor </w:t>
      </w:r>
      <w:r w:rsidRPr="005F448A">
        <w:rPr>
          <w:rFonts w:eastAsia="Times New Roman" w:cs="Arial"/>
          <w:sz w:val="24"/>
          <w:szCs w:val="24"/>
        </w:rPr>
        <w:lastRenderedPageBreak/>
        <w:t>turbosuflanta, extinderea prelucr</w:t>
      </w:r>
      <w:r>
        <w:rPr>
          <w:rFonts w:eastAsia="Times New Roman" w:cs="Arial"/>
          <w:sz w:val="24"/>
          <w:szCs w:val="24"/>
        </w:rPr>
        <w:t>ă</w:t>
      </w:r>
      <w:r w:rsidRPr="005F448A">
        <w:rPr>
          <w:rFonts w:eastAsia="Times New Roman" w:cs="Arial"/>
          <w:sz w:val="24"/>
          <w:szCs w:val="24"/>
        </w:rPr>
        <w:t xml:space="preserve">rii prin electroeroziune a componentelor pentru </w:t>
      </w:r>
      <w:r>
        <w:rPr>
          <w:rFonts w:eastAsia="Times New Roman" w:cs="Arial"/>
          <w:sz w:val="24"/>
          <w:szCs w:val="24"/>
        </w:rPr>
        <w:t>ștanț</w:t>
      </w:r>
      <w:r w:rsidRPr="005F448A">
        <w:rPr>
          <w:rFonts w:eastAsia="Times New Roman" w:cs="Arial"/>
          <w:sz w:val="24"/>
          <w:szCs w:val="24"/>
        </w:rPr>
        <w:t>e, matri</w:t>
      </w:r>
      <w:r>
        <w:rPr>
          <w:rFonts w:eastAsia="Times New Roman" w:cs="Arial"/>
          <w:sz w:val="24"/>
          <w:szCs w:val="24"/>
        </w:rPr>
        <w:t>ț</w:t>
      </w:r>
      <w:r w:rsidRPr="005F448A">
        <w:rPr>
          <w:rFonts w:eastAsia="Times New Roman" w:cs="Arial"/>
          <w:sz w:val="24"/>
          <w:szCs w:val="24"/>
        </w:rPr>
        <w:t xml:space="preserve">e, dispozitive </w:t>
      </w:r>
      <w:r>
        <w:rPr>
          <w:rFonts w:eastAsia="Times New Roman" w:cs="Arial"/>
          <w:sz w:val="24"/>
          <w:szCs w:val="24"/>
        </w:rPr>
        <w:t>ș</w:t>
      </w:r>
      <w:r w:rsidRPr="005F448A">
        <w:rPr>
          <w:rFonts w:eastAsia="Times New Roman" w:cs="Arial"/>
          <w:sz w:val="24"/>
          <w:szCs w:val="24"/>
        </w:rPr>
        <w:t>i a prelucr</w:t>
      </w:r>
      <w:r>
        <w:rPr>
          <w:rFonts w:eastAsia="Times New Roman" w:cs="Arial"/>
          <w:sz w:val="24"/>
          <w:szCs w:val="24"/>
        </w:rPr>
        <w:t>ă</w:t>
      </w:r>
      <w:r w:rsidRPr="005F448A">
        <w:rPr>
          <w:rFonts w:eastAsia="Times New Roman" w:cs="Arial"/>
          <w:sz w:val="24"/>
          <w:szCs w:val="24"/>
        </w:rPr>
        <w:t xml:space="preserve">rii </w:t>
      </w:r>
      <w:r>
        <w:rPr>
          <w:rFonts w:eastAsia="Times New Roman" w:cs="Arial"/>
          <w:sz w:val="24"/>
          <w:szCs w:val="24"/>
        </w:rPr>
        <w:t>î</w:t>
      </w:r>
      <w:r w:rsidRPr="005F448A">
        <w:rPr>
          <w:rFonts w:eastAsia="Times New Roman" w:cs="Arial"/>
          <w:sz w:val="24"/>
          <w:szCs w:val="24"/>
        </w:rPr>
        <w:t>n 5 axe, extinderea tratam</w:t>
      </w:r>
      <w:r>
        <w:rPr>
          <w:rFonts w:eastAsia="Times New Roman" w:cs="Arial"/>
          <w:sz w:val="24"/>
          <w:szCs w:val="24"/>
        </w:rPr>
        <w:t>entului de revenire cu atmosferă</w:t>
      </w:r>
      <w:r w:rsidRPr="005F448A">
        <w:rPr>
          <w:rFonts w:eastAsia="Times New Roman" w:cs="Arial"/>
          <w:sz w:val="24"/>
          <w:szCs w:val="24"/>
        </w:rPr>
        <w:t xml:space="preserve"> controlat</w:t>
      </w:r>
      <w:r>
        <w:rPr>
          <w:rFonts w:eastAsia="Times New Roman" w:cs="Arial"/>
          <w:sz w:val="24"/>
          <w:szCs w:val="24"/>
        </w:rPr>
        <w:t>ă</w:t>
      </w:r>
      <w:r w:rsidRPr="005F448A">
        <w:rPr>
          <w:rFonts w:eastAsia="Times New Roman" w:cs="Arial"/>
          <w:sz w:val="24"/>
          <w:szCs w:val="24"/>
        </w:rPr>
        <w:t xml:space="preserve"> tip ENDO, </w:t>
      </w:r>
      <w:r>
        <w:rPr>
          <w:rFonts w:eastAsia="Times New Roman" w:cs="Arial"/>
          <w:sz w:val="24"/>
          <w:szCs w:val="24"/>
        </w:rPr>
        <w:t>î</w:t>
      </w:r>
      <w:r w:rsidRPr="005F448A">
        <w:rPr>
          <w:rFonts w:eastAsia="Times New Roman" w:cs="Arial"/>
          <w:sz w:val="24"/>
          <w:szCs w:val="24"/>
        </w:rPr>
        <w:t>mbun</w:t>
      </w:r>
      <w:r>
        <w:rPr>
          <w:rFonts w:eastAsia="Times New Roman" w:cs="Arial"/>
          <w:sz w:val="24"/>
          <w:szCs w:val="24"/>
        </w:rPr>
        <w:t>ă</w:t>
      </w:r>
      <w:r w:rsidRPr="005F448A">
        <w:rPr>
          <w:rFonts w:eastAsia="Times New Roman" w:cs="Arial"/>
          <w:sz w:val="24"/>
          <w:szCs w:val="24"/>
        </w:rPr>
        <w:t>t</w:t>
      </w:r>
      <w:r>
        <w:rPr>
          <w:rFonts w:eastAsia="Times New Roman" w:cs="Arial"/>
          <w:sz w:val="24"/>
          <w:szCs w:val="24"/>
        </w:rPr>
        <w:t>ăț</w:t>
      </w:r>
      <w:r w:rsidRPr="005F448A">
        <w:rPr>
          <w:rFonts w:eastAsia="Times New Roman" w:cs="Arial"/>
          <w:sz w:val="24"/>
          <w:szCs w:val="24"/>
        </w:rPr>
        <w:t>irea procesului de fosfatare</w:t>
      </w:r>
    </w:p>
    <w:p w:rsidR="0002155C" w:rsidRDefault="0002155C" w:rsidP="0002155C">
      <w:pPr>
        <w:pStyle w:val="Titlu1"/>
        <w:spacing w:before="120"/>
        <w:rPr>
          <w:rStyle w:val="Robust"/>
          <w:rFonts w:cs="Arial"/>
          <w:b/>
          <w:sz w:val="26"/>
          <w:szCs w:val="26"/>
          <w:shd w:val="clear" w:color="auto" w:fill="FFFFFF"/>
        </w:rPr>
      </w:pPr>
    </w:p>
    <w:p w:rsidR="0002155C" w:rsidRDefault="0002155C" w:rsidP="0002155C">
      <w:pPr>
        <w:pStyle w:val="Titlu1"/>
        <w:spacing w:before="120"/>
        <w:rPr>
          <w:rStyle w:val="Robust"/>
          <w:rFonts w:cs="Arial"/>
          <w:b/>
          <w:sz w:val="26"/>
          <w:szCs w:val="26"/>
          <w:shd w:val="clear" w:color="auto" w:fill="FFFFFF"/>
        </w:rPr>
      </w:pPr>
    </w:p>
    <w:p w:rsidR="0002155C" w:rsidRPr="00B96F4A" w:rsidRDefault="0002155C" w:rsidP="0002155C"/>
    <w:p w:rsidR="0002155C" w:rsidRDefault="0002155C" w:rsidP="0002155C">
      <w:pPr>
        <w:pStyle w:val="Titlu1"/>
        <w:spacing w:before="0"/>
        <w:rPr>
          <w:rStyle w:val="Robust"/>
          <w:rFonts w:cs="Arial"/>
          <w:b/>
          <w:sz w:val="26"/>
          <w:szCs w:val="26"/>
          <w:shd w:val="clear" w:color="auto" w:fill="FFFFFF"/>
        </w:rPr>
      </w:pPr>
      <w:r w:rsidRPr="00AE006C">
        <w:rPr>
          <w:rStyle w:val="Robust"/>
          <w:rFonts w:cs="Arial"/>
          <w:sz w:val="26"/>
          <w:szCs w:val="26"/>
          <w:shd w:val="clear" w:color="auto" w:fill="FFFFFF"/>
        </w:rPr>
        <w:t>Mecatronica – domeniu emergent cu perspective rapide de dezvoltare în Regiunea Centru</w:t>
      </w:r>
    </w:p>
    <w:p w:rsidR="0002155C" w:rsidRPr="00C34B53" w:rsidRDefault="0002155C" w:rsidP="0002155C"/>
    <w:p w:rsidR="0002155C" w:rsidRPr="00C34B53" w:rsidRDefault="0002155C" w:rsidP="0002155C">
      <w:pPr>
        <w:jc w:val="both"/>
        <w:rPr>
          <w:rStyle w:val="apple-converted-space"/>
          <w:rFonts w:cs="Arial"/>
          <w:sz w:val="24"/>
          <w:szCs w:val="24"/>
          <w:shd w:val="clear" w:color="auto" w:fill="FFFFFF"/>
        </w:rPr>
      </w:pPr>
      <w:r w:rsidRPr="00C34B53">
        <w:rPr>
          <w:rStyle w:val="Robust"/>
          <w:rFonts w:cs="Arial"/>
          <w:sz w:val="24"/>
          <w:szCs w:val="24"/>
          <w:shd w:val="clear" w:color="auto" w:fill="FFFFFF"/>
        </w:rPr>
        <w:t>Mecatronica</w:t>
      </w:r>
      <w:r w:rsidRPr="00C34B53">
        <w:rPr>
          <w:rStyle w:val="apple-converted-space"/>
          <w:rFonts w:cs="Arial"/>
          <w:b/>
          <w:sz w:val="24"/>
          <w:szCs w:val="24"/>
          <w:shd w:val="clear" w:color="auto" w:fill="FFFFFF"/>
        </w:rPr>
        <w:t> </w:t>
      </w:r>
      <w:r w:rsidRPr="00C34B53">
        <w:rPr>
          <w:sz w:val="24"/>
          <w:szCs w:val="24"/>
          <w:shd w:val="clear" w:color="auto" w:fill="FFFFFF"/>
        </w:rPr>
        <w:t>este un domeniu transdisciplinar al ingineriei care se bazează pe disciplinele clasice: ingineria mecanică, ingineria electrică şi ştiinţa calculatoarelor.</w:t>
      </w:r>
      <w:r w:rsidRPr="00C34B53">
        <w:rPr>
          <w:sz w:val="24"/>
          <w:szCs w:val="24"/>
        </w:rPr>
        <w:br/>
      </w:r>
      <w:r w:rsidRPr="00C34B53">
        <w:rPr>
          <w:sz w:val="24"/>
          <w:szCs w:val="24"/>
          <w:shd w:val="clear" w:color="auto" w:fill="FFFFFF"/>
        </w:rPr>
        <w:t xml:space="preserve">Conceptul de mecatronică s-a născut în Japonia la începutul deceniului al optulea al secolului trecut. Termenul în sine a fost brevetat de către concernul Yaskawa Electric Co. şi a fost utilizat pentru a descrie fuziunea tehnologică: </w:t>
      </w:r>
      <w:r w:rsidRPr="00C34B53">
        <w:rPr>
          <w:rStyle w:val="Robust"/>
          <w:rFonts w:cs="Arial"/>
          <w:sz w:val="24"/>
          <w:szCs w:val="24"/>
          <w:shd w:val="clear" w:color="auto" w:fill="FFFFFF"/>
        </w:rPr>
        <w:t>mecanică – electronică – informatică</w:t>
      </w:r>
      <w:r w:rsidRPr="00C34B53">
        <w:rPr>
          <w:sz w:val="24"/>
          <w:szCs w:val="24"/>
          <w:shd w:val="clear" w:color="auto" w:fill="FFFFFF"/>
        </w:rPr>
        <w:t>. Tot ceea ce numim astăzi produs de înaltă tehnicitate, este produs mecatronic. Exemplele de produse mecatronice includ automobilul modern (automobilul mecatronic) la care putem aminti managementul motorului, sistemele de siguranţă active şi pasive, suspensia activă etc., maşinile-unelte cu comandă numerică, tehnica de calcul, tehnica de telecomunicaţii, aparatura de cercetare, roboţii, aparatura biomedicală, aparatura electrocasnică ş.a.m.d.</w:t>
      </w:r>
      <w:r w:rsidRPr="00C34B53">
        <w:rPr>
          <w:sz w:val="24"/>
          <w:szCs w:val="24"/>
        </w:rPr>
        <w:br/>
      </w:r>
      <w:r w:rsidRPr="00C34B53">
        <w:rPr>
          <w:sz w:val="24"/>
          <w:szCs w:val="24"/>
          <w:shd w:val="clear" w:color="auto" w:fill="FFFFFF"/>
        </w:rPr>
        <w:t>Sistemele mecatronice sunt caracterizate de faptul că stochează, procesează şi analizează semnalele obţinute şi execută sarcini adecvate. Scopul este de a extinde şi de a completa sistemele mecanice cu senzori şi microprocesoare pentru a crea produse fiabile şi inteligente. Metodele de a integra aceste componente reies din teoria sistemelor, control şi tehnologia informaţiilor.</w:t>
      </w:r>
      <w:r w:rsidRPr="00C34B53">
        <w:rPr>
          <w:rStyle w:val="apple-converted-space"/>
          <w:rFonts w:cs="Arial"/>
          <w:sz w:val="24"/>
          <w:szCs w:val="24"/>
          <w:shd w:val="clear" w:color="auto" w:fill="FFFFFF"/>
        </w:rPr>
        <w:t> </w:t>
      </w:r>
      <w:r w:rsidRPr="00C34B53">
        <w:rPr>
          <w:rStyle w:val="Referinnotdesubsol"/>
          <w:rFonts w:cs="Arial"/>
          <w:sz w:val="24"/>
          <w:szCs w:val="24"/>
          <w:shd w:val="clear" w:color="auto" w:fill="FFFFFF"/>
        </w:rPr>
        <w:footnoteReference w:id="5"/>
      </w:r>
    </w:p>
    <w:p w:rsidR="0002155C" w:rsidRPr="00C34B53" w:rsidRDefault="0002155C" w:rsidP="0002155C">
      <w:pPr>
        <w:jc w:val="both"/>
        <w:rPr>
          <w:rStyle w:val="apple-converted-space"/>
          <w:rFonts w:cs="Arial"/>
          <w:sz w:val="24"/>
          <w:szCs w:val="24"/>
          <w:shd w:val="clear" w:color="auto" w:fill="FFFFFF"/>
        </w:rPr>
      </w:pPr>
      <w:r w:rsidRPr="00B96F4A">
        <w:rPr>
          <w:rStyle w:val="apple-converted-space"/>
          <w:rFonts w:cs="Arial"/>
          <w:b/>
          <w:sz w:val="24"/>
          <w:szCs w:val="24"/>
          <w:shd w:val="clear" w:color="auto" w:fill="FFFFFF"/>
        </w:rPr>
        <w:t xml:space="preserve">Universitatea Transilvania din Brașov pregătește începând din anul 1991 ingineri în domeniul mecatronicii, </w:t>
      </w:r>
      <w:r w:rsidRPr="00C34B53">
        <w:rPr>
          <w:rStyle w:val="apple-converted-space"/>
          <w:rFonts w:cs="Arial"/>
          <w:sz w:val="24"/>
          <w:szCs w:val="24"/>
          <w:shd w:val="clear" w:color="auto" w:fill="FFFFFF"/>
        </w:rPr>
        <w:t>iar în prezent oferă programe de studii atât la nivel de licență cât și de masterat în specializarea ,,Sisteme mecatronice pentru industrie și medicină”. P</w:t>
      </w:r>
      <w:r w:rsidRPr="00C34B53">
        <w:rPr>
          <w:sz w:val="24"/>
          <w:szCs w:val="24"/>
        </w:rPr>
        <w:t xml:space="preserve">rogramul de master asigură aprofundarea şi obţinerea de competenţe complementare în domenii ale studiilor de licenţă cum ar fi: Mecatronică şi Robotică, Mecanică fină şi Nanotehnologii, Optometrie, Inginerie medicală. De asemenea, în cadrul Institutului de Cercetare, Dezvoltare, Inovare: produse High-Tech pentru Dezvoltare Durabilă PRO-DD al Universității Transilvania a fost creat Centrul de cercetare științifică în domeniul Sistemelor mecatronice avansate. </w:t>
      </w:r>
    </w:p>
    <w:p w:rsidR="0002155C" w:rsidRPr="00C34B53" w:rsidRDefault="0002155C" w:rsidP="0002155C">
      <w:pPr>
        <w:jc w:val="both"/>
        <w:rPr>
          <w:sz w:val="24"/>
          <w:szCs w:val="24"/>
        </w:rPr>
      </w:pPr>
    </w:p>
    <w:p w:rsidR="0002155C" w:rsidRPr="00DD7E1C" w:rsidRDefault="0002155C" w:rsidP="0002155C">
      <w:r>
        <w:lastRenderedPageBreak/>
        <w:br/>
      </w:r>
    </w:p>
    <w:p w:rsidR="00EA5F90" w:rsidRPr="00C34B53" w:rsidRDefault="00EA5F90" w:rsidP="00EA5F90">
      <w:pPr>
        <w:jc w:val="both"/>
        <w:rPr>
          <w:sz w:val="24"/>
          <w:szCs w:val="24"/>
        </w:rPr>
      </w:pPr>
    </w:p>
    <w:p w:rsidR="00EA5F90" w:rsidRPr="00DD7E1C" w:rsidRDefault="00EA5F90" w:rsidP="00EA5F90">
      <w:r>
        <w:br/>
      </w:r>
    </w:p>
    <w:p w:rsidR="00EA5F90" w:rsidRDefault="00EA5F90"/>
    <w:p w:rsidR="000A6A0D" w:rsidRPr="005A6ED6" w:rsidRDefault="000A6A0D" w:rsidP="000A6A0D">
      <w:pPr>
        <w:jc w:val="center"/>
        <w:rPr>
          <w:b/>
          <w:sz w:val="28"/>
          <w:szCs w:val="28"/>
        </w:rPr>
      </w:pPr>
      <w:r w:rsidRPr="005A6ED6">
        <w:rPr>
          <w:b/>
          <w:sz w:val="28"/>
          <w:szCs w:val="28"/>
        </w:rPr>
        <w:t>Industria aeronautică</w:t>
      </w:r>
      <w:r>
        <w:rPr>
          <w:b/>
          <w:sz w:val="28"/>
          <w:szCs w:val="28"/>
        </w:rPr>
        <w:t xml:space="preserve"> - domeniu de vârf al economiei regionale</w:t>
      </w:r>
    </w:p>
    <w:p w:rsidR="000A6A0D" w:rsidRPr="004B4302" w:rsidRDefault="000A6A0D" w:rsidP="000A6A0D">
      <w:pPr>
        <w:spacing w:after="0" w:line="240" w:lineRule="auto"/>
        <w:jc w:val="both"/>
        <w:rPr>
          <w:rFonts w:ascii="Arial Narrow" w:hAnsi="Arial Narrow"/>
          <w:sz w:val="24"/>
          <w:szCs w:val="24"/>
        </w:rPr>
      </w:pPr>
      <w:r w:rsidRPr="004B4302">
        <w:rPr>
          <w:rFonts w:ascii="Arial Narrow" w:hAnsi="Arial Narrow"/>
          <w:sz w:val="24"/>
          <w:szCs w:val="24"/>
        </w:rPr>
        <w:t>Fabricarea avioanelor are o traditie destul de consistenta in Regiunea Centru, Intreprinderea Aviatica Roaman (IAR) de la Brasov fiind prima fabrica româneasca de avioane. Infiintata in 1925, IAR Brasov a produs avioane de scoala si militare, sub licenta sau de conceptie proprie, pana in 1945, cand fabrica a fost reprofilata pe productia de tractoare. Anul 1968 marcheaza revenirea la productia de aeronave sub denumirea de I.C.A. mai apoi fiind denumită I.A.R. Ghimbav.</w:t>
      </w:r>
    </w:p>
    <w:p w:rsidR="000A6A0D" w:rsidRDefault="000A6A0D" w:rsidP="000A6A0D">
      <w:pPr>
        <w:spacing w:after="0" w:line="240" w:lineRule="auto"/>
        <w:jc w:val="both"/>
        <w:rPr>
          <w:rFonts w:ascii="Arial Narrow" w:hAnsi="Arial Narrow"/>
          <w:sz w:val="24"/>
          <w:szCs w:val="24"/>
        </w:rPr>
      </w:pPr>
    </w:p>
    <w:p w:rsidR="000A6A0D" w:rsidRPr="004B4302" w:rsidRDefault="000A6A0D" w:rsidP="000A6A0D">
      <w:pPr>
        <w:spacing w:after="0" w:line="240" w:lineRule="auto"/>
        <w:jc w:val="both"/>
        <w:rPr>
          <w:rFonts w:ascii="Arial Narrow" w:hAnsi="Arial Narrow"/>
          <w:sz w:val="24"/>
          <w:szCs w:val="24"/>
        </w:rPr>
      </w:pPr>
      <w:r w:rsidRPr="004B4302">
        <w:rPr>
          <w:rFonts w:ascii="Arial Narrow" w:hAnsi="Arial Narrow"/>
          <w:sz w:val="24"/>
          <w:szCs w:val="24"/>
        </w:rPr>
        <w:t>La uzinele I.A.R. din Brașov au fost construite multe tipuri de avioane cu motoarele respective, de concepție proprie sau în licență, de toate categoriile: scoală și antrenament, sport și turism aerian, precum și avioane militare de vânătoare, de asalt, de bombardament în picaj, de observație , de recunoaștere. Prima comandă pentru nevoile aviației militare au constituit-o 30 de avioane Morane-Saulnier M.S.35, serie care a fost terminată în toamna anului 1928. Următoarea comandă a fost pentru 70 de aparate de tip Potez XXV de recunoaștere și bombardament. Cele două tipuri de aparate au fost construite în baza unor licențe de fabricație obținute de la uzinele franceze respective. Primul avion purtând denumirea I.A.R. a ieșit pe porțile uzinei în anul 1930. Era prototipul unui a</w:t>
      </w:r>
      <w:r>
        <w:rPr>
          <w:rFonts w:ascii="Arial Narrow" w:hAnsi="Arial Narrow"/>
          <w:sz w:val="24"/>
          <w:szCs w:val="24"/>
        </w:rPr>
        <w:t>vion de vânătoare I.A.R. C.V.11</w:t>
      </w:r>
      <w:r w:rsidRPr="004B4302">
        <w:rPr>
          <w:rFonts w:ascii="Arial Narrow" w:hAnsi="Arial Narrow"/>
          <w:sz w:val="24"/>
          <w:szCs w:val="24"/>
        </w:rPr>
        <w:t>, realizat după proiectul inginerului Elie Carafoli în colaborare cu inginerul francez Lucien Virnoux . Formula constructivă adoptată, precum și calitățile sale de zbor îl plasau printre cele mai bune avioane din lume din categoria respectivă. Dintre cele 21 de tipuri de avioane construite la I.A.R. Brașov până la încheierea celui de al doilea război mondial 15 tipuri au fost proiectate în cadrul uzinei. Dintre acestea s-au remarcat în mod deosebit , prin performantele lor următoarele: I.A.R. 16 cu care în 1935 s-a stabilit recordul național la înălțime (11.631 m), I.A.R. 39 , avion de cercetare; I.A.R. 80 , avion de vânătoare; I.A.R. 81, avion de vânătoare-bombardament, precum și proiectul I.A.R. 47, avion de recunoaștere. În afară de avioane și motoare de avion la I.A.R. s-au produs instalații și accesorii pentru armamentul de bord. Acestea sunt:  lansatorul de bombe Barbieri, realizat în 1931 pentru avioanele Potez XXV; lansatorul era superior celor procurate din străinătate. - turele de mitralieră Grosu pentru avioanele Potez XXV și Potez 54.</w:t>
      </w:r>
    </w:p>
    <w:p w:rsidR="000A6A0D" w:rsidRDefault="000A6A0D" w:rsidP="000A6A0D">
      <w:pPr>
        <w:spacing w:after="0" w:line="240" w:lineRule="auto"/>
        <w:jc w:val="both"/>
        <w:rPr>
          <w:rFonts w:ascii="Arial Narrow" w:hAnsi="Arial Narrow"/>
          <w:sz w:val="24"/>
          <w:szCs w:val="24"/>
        </w:rPr>
      </w:pPr>
    </w:p>
    <w:p w:rsidR="000A6A0D" w:rsidRPr="004B4302" w:rsidRDefault="000A6A0D" w:rsidP="000A6A0D">
      <w:pPr>
        <w:spacing w:after="0" w:line="240" w:lineRule="auto"/>
        <w:jc w:val="both"/>
        <w:rPr>
          <w:rFonts w:ascii="Arial Narrow" w:hAnsi="Arial Narrow"/>
          <w:sz w:val="24"/>
          <w:szCs w:val="24"/>
        </w:rPr>
      </w:pPr>
      <w:r w:rsidRPr="004B4302">
        <w:rPr>
          <w:rFonts w:ascii="Arial Narrow" w:hAnsi="Arial Narrow"/>
          <w:sz w:val="24"/>
          <w:szCs w:val="24"/>
        </w:rPr>
        <w:t xml:space="preserve">Începând cu anul 1970, activitatea întreprinderii s-a orientat spre producția de elicoptere militare și civile (IAR 316 Alouette III, IAR 330L Puma), domeniu în care s-a dezvoltat o strânsă cooperare tehnică cu firme franceze și spre producția de avioane ușoare și de agrement. În prezent, principale produse ale companiei cu capital majoritar de stat </w:t>
      </w:r>
      <w:r w:rsidRPr="004B4302">
        <w:rPr>
          <w:rFonts w:ascii="Arial Narrow" w:hAnsi="Arial Narrow"/>
          <w:b/>
          <w:i/>
          <w:sz w:val="24"/>
          <w:szCs w:val="24"/>
        </w:rPr>
        <w:t>IAR Brașov</w:t>
      </w:r>
      <w:r w:rsidRPr="004B4302">
        <w:rPr>
          <w:rFonts w:ascii="Arial Narrow" w:hAnsi="Arial Narrow"/>
          <w:sz w:val="24"/>
          <w:szCs w:val="24"/>
        </w:rPr>
        <w:t xml:space="preserve"> sunt elicopterele militare și civile.</w:t>
      </w:r>
    </w:p>
    <w:p w:rsidR="000A6A0D" w:rsidRDefault="000A6A0D" w:rsidP="000A6A0D">
      <w:pPr>
        <w:spacing w:after="0" w:line="240" w:lineRule="auto"/>
        <w:jc w:val="both"/>
        <w:rPr>
          <w:rFonts w:ascii="Arial Narrow" w:hAnsi="Arial Narrow"/>
          <w:sz w:val="24"/>
          <w:szCs w:val="24"/>
        </w:rPr>
      </w:pPr>
    </w:p>
    <w:p w:rsidR="000A6A0D" w:rsidRPr="00426E1A" w:rsidRDefault="000A6A0D" w:rsidP="000A6A0D">
      <w:pPr>
        <w:spacing w:after="0" w:line="240" w:lineRule="auto"/>
        <w:jc w:val="both"/>
        <w:rPr>
          <w:rFonts w:ascii="Arial Narrow" w:hAnsi="Arial Narrow"/>
          <w:b/>
          <w:sz w:val="20"/>
          <w:szCs w:val="20"/>
        </w:rPr>
      </w:pPr>
      <w:r w:rsidRPr="00426E1A">
        <w:rPr>
          <w:rFonts w:ascii="Arial Narrow" w:hAnsi="Arial Narrow"/>
          <w:b/>
          <w:sz w:val="20"/>
          <w:szCs w:val="20"/>
        </w:rPr>
        <w:t xml:space="preserve">Tabel: Evolutia principalilor indicatori economici ai SC I.A.R. SA </w:t>
      </w:r>
    </w:p>
    <w:tbl>
      <w:tblPr>
        <w:tblStyle w:val="Antet"/>
        <w:tblW w:w="8074" w:type="dxa"/>
        <w:jc w:val="center"/>
        <w:tblLook w:val="04A0"/>
      </w:tblPr>
      <w:tblGrid>
        <w:gridCol w:w="960"/>
        <w:gridCol w:w="1498"/>
        <w:gridCol w:w="1498"/>
        <w:gridCol w:w="1498"/>
        <w:gridCol w:w="1220"/>
        <w:gridCol w:w="1400"/>
      </w:tblGrid>
      <w:tr w:rsidR="000A6A0D" w:rsidRPr="001F625A" w:rsidTr="00064502">
        <w:trPr>
          <w:trHeight w:val="6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4B4302">
              <w:rPr>
                <w:rFonts w:ascii="Arial Narrow" w:eastAsia="Times New Roman" w:hAnsi="Arial Narrow" w:cs="Times New Roman"/>
                <w:color w:val="000000"/>
              </w:rPr>
              <w:t>An</w:t>
            </w:r>
          </w:p>
        </w:tc>
        <w:tc>
          <w:tcPr>
            <w:tcW w:w="1498" w:type="dxa"/>
            <w:hideMark/>
          </w:tcPr>
          <w:p w:rsidR="000A6A0D" w:rsidRPr="001F625A" w:rsidRDefault="000A6A0D" w:rsidP="00064502">
            <w:pPr>
              <w:jc w:val="center"/>
              <w:rPr>
                <w:rFonts w:ascii="Arial Narrow" w:eastAsia="Times New Roman" w:hAnsi="Arial Narrow" w:cs="Times New Roman"/>
                <w:color w:val="000000"/>
              </w:rPr>
            </w:pPr>
            <w:r w:rsidRPr="004B4302">
              <w:rPr>
                <w:rFonts w:ascii="Arial Narrow" w:eastAsia="Times New Roman" w:hAnsi="Arial Narrow" w:cs="Times New Roman"/>
                <w:color w:val="000000"/>
              </w:rPr>
              <w:t>A</w:t>
            </w:r>
            <w:r w:rsidRPr="001F625A">
              <w:rPr>
                <w:rFonts w:ascii="Arial Narrow" w:eastAsia="Times New Roman" w:hAnsi="Arial Narrow" w:cs="Times New Roman"/>
                <w:color w:val="000000"/>
              </w:rPr>
              <w:t>ctive</w:t>
            </w:r>
            <w:r w:rsidRPr="004B4302">
              <w:rPr>
                <w:rFonts w:ascii="Arial Narrow" w:eastAsia="Times New Roman" w:hAnsi="Arial Narrow" w:cs="Times New Roman"/>
                <w:color w:val="000000"/>
              </w:rPr>
              <w:t xml:space="preserve"> (lei)</w:t>
            </w:r>
          </w:p>
        </w:tc>
        <w:tc>
          <w:tcPr>
            <w:tcW w:w="1498" w:type="dxa"/>
            <w:hideMark/>
          </w:tcPr>
          <w:p w:rsidR="000A6A0D" w:rsidRPr="001F625A" w:rsidRDefault="000A6A0D" w:rsidP="00064502">
            <w:pPr>
              <w:jc w:val="center"/>
              <w:rPr>
                <w:rFonts w:ascii="Arial Narrow" w:eastAsia="Times New Roman" w:hAnsi="Arial Narrow" w:cs="Times New Roman"/>
                <w:color w:val="000000"/>
              </w:rPr>
            </w:pPr>
            <w:r w:rsidRPr="004B4302">
              <w:rPr>
                <w:rFonts w:ascii="Arial Narrow" w:eastAsia="Times New Roman" w:hAnsi="Arial Narrow" w:cs="Times New Roman"/>
                <w:color w:val="000000"/>
              </w:rPr>
              <w:t>C</w:t>
            </w:r>
            <w:r w:rsidRPr="001F625A">
              <w:rPr>
                <w:rFonts w:ascii="Arial Narrow" w:eastAsia="Times New Roman" w:hAnsi="Arial Narrow" w:cs="Times New Roman"/>
                <w:color w:val="000000"/>
              </w:rPr>
              <w:t>apitaluri</w:t>
            </w:r>
            <w:r w:rsidRPr="004B4302">
              <w:rPr>
                <w:rFonts w:ascii="Arial Narrow" w:eastAsia="Times New Roman" w:hAnsi="Arial Narrow" w:cs="Times New Roman"/>
                <w:color w:val="000000"/>
              </w:rPr>
              <w:t xml:space="preserve"> (lei)</w:t>
            </w:r>
          </w:p>
        </w:tc>
        <w:tc>
          <w:tcPr>
            <w:tcW w:w="1498" w:type="dxa"/>
            <w:hideMark/>
          </w:tcPr>
          <w:p w:rsidR="000A6A0D" w:rsidRPr="001F625A" w:rsidRDefault="000A6A0D" w:rsidP="00064502">
            <w:pPr>
              <w:jc w:val="center"/>
              <w:rPr>
                <w:rFonts w:ascii="Arial Narrow" w:eastAsia="Times New Roman" w:hAnsi="Arial Narrow" w:cs="Times New Roman"/>
                <w:color w:val="000000"/>
              </w:rPr>
            </w:pPr>
            <w:r w:rsidRPr="004B4302">
              <w:rPr>
                <w:rFonts w:ascii="Arial Narrow" w:eastAsia="Times New Roman" w:hAnsi="Arial Narrow" w:cs="Times New Roman"/>
                <w:color w:val="000000"/>
              </w:rPr>
              <w:t>C</w:t>
            </w:r>
            <w:r w:rsidRPr="001F625A">
              <w:rPr>
                <w:rFonts w:ascii="Arial Narrow" w:eastAsia="Times New Roman" w:hAnsi="Arial Narrow" w:cs="Times New Roman"/>
                <w:color w:val="000000"/>
              </w:rPr>
              <w:t>ifra de afaceri</w:t>
            </w:r>
            <w:r w:rsidRPr="004B4302">
              <w:rPr>
                <w:rFonts w:ascii="Arial Narrow" w:eastAsia="Times New Roman" w:hAnsi="Arial Narrow" w:cs="Times New Roman"/>
                <w:color w:val="000000"/>
              </w:rPr>
              <w:t xml:space="preserve"> (lei)</w:t>
            </w:r>
          </w:p>
        </w:tc>
        <w:tc>
          <w:tcPr>
            <w:tcW w:w="1220" w:type="dxa"/>
            <w:hideMark/>
          </w:tcPr>
          <w:p w:rsidR="000A6A0D" w:rsidRPr="001F625A" w:rsidRDefault="000A6A0D" w:rsidP="00064502">
            <w:pPr>
              <w:jc w:val="center"/>
              <w:rPr>
                <w:rFonts w:ascii="Arial Narrow" w:eastAsia="Times New Roman" w:hAnsi="Arial Narrow" w:cs="Times New Roman"/>
                <w:color w:val="000000"/>
              </w:rPr>
            </w:pPr>
            <w:r w:rsidRPr="004B4302">
              <w:rPr>
                <w:rFonts w:ascii="Arial Narrow" w:eastAsia="Times New Roman" w:hAnsi="Arial Narrow" w:cs="Times New Roman"/>
                <w:color w:val="000000"/>
              </w:rPr>
              <w:t>N</w:t>
            </w:r>
            <w:r w:rsidRPr="001F625A">
              <w:rPr>
                <w:rFonts w:ascii="Arial Narrow" w:eastAsia="Times New Roman" w:hAnsi="Arial Narrow" w:cs="Times New Roman"/>
                <w:color w:val="000000"/>
              </w:rPr>
              <w:t>r. mediu de salariati</w:t>
            </w:r>
          </w:p>
        </w:tc>
        <w:tc>
          <w:tcPr>
            <w:tcW w:w="1400" w:type="dxa"/>
            <w:hideMark/>
          </w:tcPr>
          <w:p w:rsidR="000A6A0D" w:rsidRPr="001F625A" w:rsidRDefault="000A6A0D" w:rsidP="00064502">
            <w:pPr>
              <w:jc w:val="center"/>
              <w:rPr>
                <w:rFonts w:ascii="Arial Narrow" w:eastAsia="Times New Roman" w:hAnsi="Arial Narrow" w:cs="Times New Roman"/>
                <w:color w:val="000000"/>
              </w:rPr>
            </w:pPr>
            <w:r w:rsidRPr="004B4302">
              <w:rPr>
                <w:rFonts w:ascii="Arial Narrow" w:eastAsia="Times New Roman" w:hAnsi="Arial Narrow" w:cs="Times New Roman"/>
                <w:color w:val="000000"/>
              </w:rPr>
              <w:t>P</w:t>
            </w:r>
            <w:r w:rsidRPr="001F625A">
              <w:rPr>
                <w:rFonts w:ascii="Arial Narrow" w:eastAsia="Times New Roman" w:hAnsi="Arial Narrow" w:cs="Times New Roman"/>
                <w:color w:val="000000"/>
              </w:rPr>
              <w:t>rofit</w:t>
            </w:r>
            <w:r w:rsidRPr="004B4302">
              <w:rPr>
                <w:rFonts w:ascii="Arial Narrow" w:eastAsia="Times New Roman" w:hAnsi="Arial Narrow" w:cs="Times New Roman"/>
                <w:color w:val="000000"/>
              </w:rPr>
              <w:t xml:space="preserve"> (lei)</w:t>
            </w:r>
          </w:p>
        </w:tc>
      </w:tr>
      <w:tr w:rsidR="000A6A0D" w:rsidRPr="001F625A" w:rsidTr="00064502">
        <w:trPr>
          <w:trHeight w:val="3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2010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126.705.535,0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71.578.575,0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59.415.257,0</w:t>
            </w:r>
          </w:p>
        </w:tc>
        <w:tc>
          <w:tcPr>
            <w:tcW w:w="122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400,0</w:t>
            </w:r>
          </w:p>
        </w:tc>
        <w:tc>
          <w:tcPr>
            <w:tcW w:w="140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4.529.607,0</w:t>
            </w:r>
          </w:p>
        </w:tc>
      </w:tr>
      <w:tr w:rsidR="000A6A0D" w:rsidRPr="001F625A" w:rsidTr="00064502">
        <w:trPr>
          <w:trHeight w:val="3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2011</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128.105.294,0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70.399.345,0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62.378.408,0</w:t>
            </w:r>
          </w:p>
        </w:tc>
        <w:tc>
          <w:tcPr>
            <w:tcW w:w="122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323,0</w:t>
            </w:r>
          </w:p>
        </w:tc>
        <w:tc>
          <w:tcPr>
            <w:tcW w:w="140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2.897.416,0</w:t>
            </w:r>
          </w:p>
        </w:tc>
      </w:tr>
      <w:tr w:rsidR="000A6A0D" w:rsidRPr="001F625A" w:rsidTr="00064502">
        <w:trPr>
          <w:trHeight w:val="3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2012</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128.089.218,0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68.950.409,0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41.618.965,0</w:t>
            </w:r>
          </w:p>
        </w:tc>
        <w:tc>
          <w:tcPr>
            <w:tcW w:w="122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313,0</w:t>
            </w:r>
          </w:p>
        </w:tc>
        <w:tc>
          <w:tcPr>
            <w:tcW w:w="140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1.158.725,0</w:t>
            </w:r>
          </w:p>
        </w:tc>
      </w:tr>
      <w:tr w:rsidR="000A6A0D" w:rsidRPr="001F625A" w:rsidTr="00064502">
        <w:trPr>
          <w:trHeight w:val="3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2013</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125.196.768,0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69.634.922,0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35.398.491,0</w:t>
            </w:r>
          </w:p>
        </w:tc>
        <w:tc>
          <w:tcPr>
            <w:tcW w:w="122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313,0</w:t>
            </w:r>
          </w:p>
        </w:tc>
        <w:tc>
          <w:tcPr>
            <w:tcW w:w="140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1.669.429,0</w:t>
            </w:r>
          </w:p>
        </w:tc>
      </w:tr>
      <w:tr w:rsidR="000A6A0D" w:rsidRPr="001F625A" w:rsidTr="00064502">
        <w:trPr>
          <w:trHeight w:val="3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lastRenderedPageBreak/>
              <w:t>2014</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156.558.439,0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73.928.233,0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101.683.693,0</w:t>
            </w:r>
          </w:p>
        </w:tc>
        <w:tc>
          <w:tcPr>
            <w:tcW w:w="122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315,0</w:t>
            </w:r>
          </w:p>
        </w:tc>
        <w:tc>
          <w:tcPr>
            <w:tcW w:w="140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5.713.001,0</w:t>
            </w:r>
          </w:p>
        </w:tc>
      </w:tr>
      <w:tr w:rsidR="000A6A0D" w:rsidRPr="001F625A" w:rsidTr="00064502">
        <w:trPr>
          <w:trHeight w:val="300"/>
          <w:jc w:val="center"/>
        </w:trPr>
        <w:tc>
          <w:tcPr>
            <w:tcW w:w="96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2015</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199.198.648,0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105.872.490,0</w:t>
            </w:r>
          </w:p>
        </w:tc>
        <w:tc>
          <w:tcPr>
            <w:tcW w:w="1498"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130.892.204,0</w:t>
            </w:r>
          </w:p>
        </w:tc>
        <w:tc>
          <w:tcPr>
            <w:tcW w:w="122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314,0</w:t>
            </w:r>
          </w:p>
        </w:tc>
        <w:tc>
          <w:tcPr>
            <w:tcW w:w="1400" w:type="dxa"/>
            <w:noWrap/>
            <w:hideMark/>
          </w:tcPr>
          <w:p w:rsidR="000A6A0D" w:rsidRPr="001F625A" w:rsidRDefault="000A6A0D" w:rsidP="00064502">
            <w:pPr>
              <w:jc w:val="center"/>
              <w:rPr>
                <w:rFonts w:ascii="Arial Narrow" w:eastAsia="Times New Roman" w:hAnsi="Arial Narrow" w:cs="Times New Roman"/>
                <w:color w:val="000000"/>
              </w:rPr>
            </w:pPr>
            <w:r w:rsidRPr="001F625A">
              <w:rPr>
                <w:rFonts w:ascii="Arial Narrow" w:eastAsia="Times New Roman" w:hAnsi="Arial Narrow" w:cs="Times New Roman"/>
                <w:color w:val="000000"/>
              </w:rPr>
              <w:t>11.961.550,0</w:t>
            </w:r>
          </w:p>
        </w:tc>
      </w:tr>
    </w:tbl>
    <w:p w:rsidR="000A6A0D" w:rsidRPr="00426E1A" w:rsidRDefault="000A6A0D" w:rsidP="000A6A0D">
      <w:pPr>
        <w:spacing w:after="0" w:line="240" w:lineRule="auto"/>
        <w:jc w:val="both"/>
        <w:rPr>
          <w:rFonts w:ascii="Arial Narrow" w:hAnsi="Arial Narrow"/>
          <w:b/>
          <w:sz w:val="20"/>
          <w:szCs w:val="20"/>
        </w:rPr>
      </w:pPr>
      <w:r w:rsidRPr="00426E1A">
        <w:rPr>
          <w:rFonts w:ascii="Arial Narrow" w:hAnsi="Arial Narrow"/>
          <w:b/>
          <w:sz w:val="20"/>
          <w:szCs w:val="20"/>
        </w:rPr>
        <w:t xml:space="preserve">Sursa datelor: Ministerul Finantelor Publice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Evolutia din ultimii 6 ani a companiei IAR SA arata revenirea dupa o perioada de scadere (2011 - 2013), in 2014 si in 2015, atat cifra de afaceri cat si profitul inregistrandcresteri masive. Consolidarea economica a companiei a venit si pe fondul unei scaderi cu aproape 25% a numarului de angajati – de la 400 in 2010 la 313 in 2012 – ceea ce demonstreaza un efort de restructurare consistent.</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La acest moment, activitatea IAR Brasov se concentreaza pe servicii de intretinere si upgrade pentru modelele de elicoptere IAR 316 B Alouette III si IAR 330 L Puma, precum si pe fabricarea si furnizarea de structuri pentru aparate de zbor, panori de control si retele si circuite electrice, activitati de design, calcul de stress, testari si calificare / certificare, instalare si integrare de sisteme, design-ul si fabricarea de sisteme de ghidaj.</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Revenirea IAR Brasov in domeniul productiei de aparate de zbor, in anii 70, precum si rezilienta de care a data dovada in anii 90, chiar in conditiile in care platforma industriala de la Brasov a traversat si reconfigurari dramatice, a contribuit decisiv la coagularea concentrarii industriale actuale din zona in domeniul aeronautic. In lipsa unui istoric de activitate, zona Brasov-Ghimbav nu ar fi exista pe harta economica a industriei europene de profil ceea ce ar fi ingreunat orice dezvoltare ulterioara, mai ales ca decizia de localizare a uneiinvestitii se bazeza nu numai pe calitatea infrastructurii de acces la locatia vizata ci si pe preexistenta unor facilitati care sa acomodeze noile capacitati de productie, accesul la un nucleu de specialisti prin care sa se poata realiza transferul de cunoastere si sa amorseze cresterea si dezvoltarea, precum si disponibilitatea unei infrastructuri educationale care sa asigure minimum necesar de imput de resursa umana, in convergenta cu planurile de dezvoltare ale companiilor.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Bineinteles,existenta tuturor acestor prerechizite nu garanteaza localizarea investitiilor. Un exemplu la indemana este decizia consortiuluiNovae Aerospace – Sonaca de a investii peste 17 milioane de euro intr-o capacitate de productiecomponete de aeronave la Turda (Cluj), sub numele AeroFormingTransilvanya, in conditiile in care Sonaca nu era prezenta cu investitii in Romania insaNovae Aerospace, prin Novae Aerospace Romania SRL, opereaza o capacitate de productie pe platforma industriala de la Ghimbav, ajungand din 2011 si pana in prezent la o cifra de afaceri de peste 4.8 milioane lei si 50 de angajaticare sunt implicati in fabricarea de piese si subansamble pentru Airbus, DassaultAviation si Airbus Defence andSpace.  </w:t>
      </w:r>
    </w:p>
    <w:p w:rsidR="000A6A0D" w:rsidRDefault="000A6A0D" w:rsidP="000A6A0D">
      <w:pPr>
        <w:spacing w:after="0" w:line="240" w:lineRule="auto"/>
        <w:jc w:val="both"/>
        <w:rPr>
          <w:rFonts w:ascii="Arial Narrow" w:hAnsi="Arial Narrow"/>
          <w:sz w:val="24"/>
          <w:szCs w:val="24"/>
        </w:rPr>
      </w:pPr>
    </w:p>
    <w:p w:rsidR="000A6A0D" w:rsidRPr="004571F8" w:rsidRDefault="000A6A0D" w:rsidP="000A6A0D">
      <w:pPr>
        <w:spacing w:after="0" w:line="240" w:lineRule="auto"/>
        <w:jc w:val="both"/>
        <w:rPr>
          <w:rFonts w:ascii="Arial Narrow" w:hAnsi="Arial Narrow"/>
          <w:b/>
          <w:sz w:val="24"/>
          <w:szCs w:val="24"/>
        </w:rPr>
      </w:pPr>
      <w:r w:rsidRPr="004571F8">
        <w:rPr>
          <w:rFonts w:ascii="Arial Narrow" w:hAnsi="Arial Narrow"/>
          <w:b/>
          <w:sz w:val="24"/>
          <w:szCs w:val="24"/>
        </w:rPr>
        <w:t>Industria aerospatiala regionala</w:t>
      </w:r>
    </w:p>
    <w:p w:rsidR="000A6A0D" w:rsidRDefault="000A6A0D" w:rsidP="000A6A0D">
      <w:pPr>
        <w:spacing w:after="0" w:line="240" w:lineRule="auto"/>
        <w:jc w:val="both"/>
        <w:rPr>
          <w:rFonts w:ascii="Arial Narrow" w:hAnsi="Arial Narrow"/>
          <w:sz w:val="24"/>
          <w:szCs w:val="24"/>
        </w:rPr>
      </w:pPr>
    </w:p>
    <w:p w:rsidR="000A6A0D" w:rsidRPr="004F72F0"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In analiza regionala a acestui sector industrial am pornit de identificarea companiilor active care raporteazasituatiile financiare pe </w:t>
      </w:r>
      <w:r w:rsidRPr="004571F8">
        <w:rPr>
          <w:rFonts w:ascii="Arial Narrow" w:hAnsi="Arial Narrow"/>
          <w:b/>
          <w:sz w:val="24"/>
          <w:szCs w:val="24"/>
        </w:rPr>
        <w:t>CAEN 3030</w:t>
      </w:r>
      <w:r>
        <w:rPr>
          <w:rFonts w:ascii="Arial Narrow" w:hAnsi="Arial Narrow"/>
          <w:sz w:val="24"/>
          <w:szCs w:val="24"/>
        </w:rPr>
        <w:t xml:space="preserve"> Fabricarea de aeronave si nave spatiale si </w:t>
      </w:r>
      <w:r w:rsidRPr="004571F8">
        <w:rPr>
          <w:rFonts w:ascii="Arial Narrow" w:hAnsi="Arial Narrow"/>
          <w:b/>
          <w:sz w:val="24"/>
          <w:szCs w:val="24"/>
        </w:rPr>
        <w:t>CAEN 3316</w:t>
      </w:r>
      <w:r w:rsidRPr="004571F8">
        <w:rPr>
          <w:rFonts w:ascii="Arial Narrow" w:hAnsi="Arial Narrow"/>
          <w:sz w:val="24"/>
          <w:szCs w:val="24"/>
        </w:rPr>
        <w:t xml:space="preserve"> Repararea şi întreţinerea aeronavelor şi navelor spaţiale</w:t>
      </w:r>
      <w:r>
        <w:rPr>
          <w:rFonts w:ascii="Arial Narrow" w:hAnsi="Arial Narrow"/>
          <w:sz w:val="24"/>
          <w:szCs w:val="24"/>
        </w:rPr>
        <w:t xml:space="preserve">. Utilizand baza de date pusa la dispozitie de Oficiul National al Registrului Comertului, am identificat 8 firme care raporteaza activitate pe cele doua coduri CAEN. Dintre acestea, 2 firme au fost identificate ca fiind in faliment sau fara activitate, conform Ministerului de Finante: SC Constructii Aeronautice SA (CUI 16827706) a intrat in insolventa in anul 2014, ultimul an cu activitate raportata fiind 2013; SC ICA-RO SRL (CUI </w:t>
      </w:r>
      <w:r w:rsidRPr="006D7CD7">
        <w:rPr>
          <w:rFonts w:ascii="Arial Narrow" w:hAnsi="Arial Narrow"/>
          <w:sz w:val="24"/>
          <w:szCs w:val="24"/>
        </w:rPr>
        <w:t>15168984</w:t>
      </w:r>
      <w:r>
        <w:rPr>
          <w:rFonts w:ascii="Arial Narrow" w:hAnsi="Arial Narrow"/>
          <w:sz w:val="24"/>
          <w:szCs w:val="24"/>
        </w:rPr>
        <w:t xml:space="preserve">) nu mai are activitate din anul 2012. Dupa eliminarea acestor companii au mai ramas pentru a fi examinate urmatorii operatori economici: </w:t>
      </w:r>
      <w:r w:rsidRPr="004F72F0">
        <w:rPr>
          <w:rFonts w:ascii="Arial Narrow" w:hAnsi="Arial Narrow"/>
          <w:b/>
          <w:sz w:val="24"/>
          <w:szCs w:val="24"/>
        </w:rPr>
        <w:t>SC IAR SA</w:t>
      </w:r>
      <w:r>
        <w:rPr>
          <w:rFonts w:ascii="Arial Narrow" w:hAnsi="Arial Narrow"/>
          <w:sz w:val="24"/>
          <w:szCs w:val="24"/>
        </w:rPr>
        <w:t xml:space="preserve"> (CUI </w:t>
      </w:r>
      <w:r w:rsidRPr="006D07E1">
        <w:rPr>
          <w:rFonts w:ascii="Arial Narrow" w:hAnsi="Arial Narrow"/>
          <w:sz w:val="24"/>
          <w:szCs w:val="24"/>
        </w:rPr>
        <w:t>1132930</w:t>
      </w:r>
      <w:r>
        <w:rPr>
          <w:rFonts w:ascii="Arial Narrow" w:hAnsi="Arial Narrow"/>
          <w:sz w:val="24"/>
          <w:szCs w:val="24"/>
        </w:rPr>
        <w:t xml:space="preserve">), </w:t>
      </w:r>
      <w:r w:rsidRPr="004F72F0">
        <w:rPr>
          <w:rFonts w:ascii="Arial Narrow" w:hAnsi="Arial Narrow"/>
          <w:b/>
          <w:sz w:val="24"/>
          <w:szCs w:val="24"/>
        </w:rPr>
        <w:t>SC Airbus Helicopters Romania SA</w:t>
      </w:r>
      <w:r>
        <w:rPr>
          <w:rFonts w:ascii="Arial Narrow" w:hAnsi="Arial Narrow"/>
          <w:sz w:val="24"/>
          <w:szCs w:val="24"/>
        </w:rPr>
        <w:t xml:space="preserve"> (CUI </w:t>
      </w:r>
      <w:r w:rsidRPr="006D07E1">
        <w:rPr>
          <w:rFonts w:ascii="Arial Narrow" w:hAnsi="Arial Narrow"/>
          <w:sz w:val="24"/>
          <w:szCs w:val="24"/>
        </w:rPr>
        <w:t>14403216</w:t>
      </w:r>
      <w:r>
        <w:rPr>
          <w:rFonts w:ascii="Arial Narrow" w:hAnsi="Arial Narrow"/>
          <w:sz w:val="24"/>
          <w:szCs w:val="24"/>
        </w:rPr>
        <w:t xml:space="preserve">), </w:t>
      </w:r>
      <w:r w:rsidRPr="004F72F0">
        <w:rPr>
          <w:rFonts w:ascii="Arial Narrow" w:hAnsi="Arial Narrow"/>
          <w:b/>
          <w:sz w:val="24"/>
          <w:szCs w:val="24"/>
        </w:rPr>
        <w:t>SC Aernnova European Components SRL</w:t>
      </w:r>
      <w:r>
        <w:rPr>
          <w:rFonts w:ascii="Arial Narrow" w:hAnsi="Arial Narrow"/>
          <w:sz w:val="24"/>
          <w:szCs w:val="24"/>
        </w:rPr>
        <w:t xml:space="preserve"> (CUI </w:t>
      </w:r>
      <w:r w:rsidRPr="006D07E1">
        <w:rPr>
          <w:rFonts w:ascii="Arial Narrow" w:hAnsi="Arial Narrow"/>
          <w:sz w:val="24"/>
          <w:szCs w:val="24"/>
        </w:rPr>
        <w:t>25658690</w:t>
      </w:r>
      <w:r>
        <w:rPr>
          <w:rFonts w:ascii="Arial Narrow" w:hAnsi="Arial Narrow"/>
          <w:sz w:val="24"/>
          <w:szCs w:val="24"/>
        </w:rPr>
        <w:t xml:space="preserve">), </w:t>
      </w:r>
      <w:r w:rsidRPr="004F72F0">
        <w:rPr>
          <w:rFonts w:ascii="Arial Narrow" w:hAnsi="Arial Narrow"/>
          <w:b/>
          <w:sz w:val="24"/>
          <w:szCs w:val="24"/>
        </w:rPr>
        <w:t>SC Premium Aerotec SRL</w:t>
      </w:r>
      <w:r>
        <w:rPr>
          <w:rFonts w:ascii="Arial Narrow" w:hAnsi="Arial Narrow"/>
          <w:sz w:val="24"/>
          <w:szCs w:val="24"/>
        </w:rPr>
        <w:t xml:space="preserve"> (CUI</w:t>
      </w:r>
      <w:r w:rsidRPr="006D07E1">
        <w:rPr>
          <w:rFonts w:ascii="Arial Narrow" w:hAnsi="Arial Narrow"/>
          <w:sz w:val="24"/>
          <w:szCs w:val="24"/>
        </w:rPr>
        <w:t>25932794</w:t>
      </w:r>
      <w:r>
        <w:rPr>
          <w:rFonts w:ascii="Arial Narrow" w:hAnsi="Arial Narrow"/>
          <w:sz w:val="24"/>
          <w:szCs w:val="24"/>
        </w:rPr>
        <w:t xml:space="preserve">), </w:t>
      </w:r>
      <w:r w:rsidRPr="004F72F0">
        <w:rPr>
          <w:rFonts w:ascii="Arial Narrow" w:hAnsi="Arial Narrow"/>
          <w:b/>
          <w:sz w:val="24"/>
          <w:szCs w:val="24"/>
        </w:rPr>
        <w:t>SC AeroMeca SRL</w:t>
      </w:r>
      <w:r>
        <w:rPr>
          <w:rFonts w:ascii="Arial Narrow" w:hAnsi="Arial Narrow"/>
          <w:sz w:val="24"/>
          <w:szCs w:val="24"/>
        </w:rPr>
        <w:t xml:space="preserve"> (CUI </w:t>
      </w:r>
      <w:r w:rsidRPr="006D07E1">
        <w:rPr>
          <w:rFonts w:ascii="Arial Narrow" w:hAnsi="Arial Narrow"/>
          <w:sz w:val="24"/>
          <w:szCs w:val="24"/>
        </w:rPr>
        <w:t>31312690</w:t>
      </w:r>
      <w:r>
        <w:rPr>
          <w:rFonts w:ascii="Arial Narrow" w:hAnsi="Arial Narrow"/>
          <w:sz w:val="24"/>
          <w:szCs w:val="24"/>
        </w:rPr>
        <w:t xml:space="preserve">) si </w:t>
      </w:r>
      <w:r w:rsidRPr="004F72F0">
        <w:rPr>
          <w:rFonts w:ascii="Arial Narrow" w:hAnsi="Arial Narrow"/>
          <w:b/>
          <w:sz w:val="24"/>
          <w:szCs w:val="24"/>
        </w:rPr>
        <w:t>SC Airbus Helicopters Industries SRL</w:t>
      </w:r>
      <w:r>
        <w:rPr>
          <w:rFonts w:ascii="Arial Narrow" w:hAnsi="Arial Narrow"/>
          <w:sz w:val="24"/>
          <w:szCs w:val="24"/>
        </w:rPr>
        <w:t xml:space="preserve"> (CUI </w:t>
      </w:r>
      <w:r w:rsidRPr="006D07E1">
        <w:rPr>
          <w:rFonts w:ascii="Arial Narrow" w:hAnsi="Arial Narrow"/>
          <w:sz w:val="24"/>
          <w:szCs w:val="24"/>
        </w:rPr>
        <w:t>33022129</w:t>
      </w:r>
      <w:r>
        <w:rPr>
          <w:rFonts w:ascii="Arial Narrow" w:hAnsi="Arial Narrow"/>
          <w:sz w:val="24"/>
          <w:szCs w:val="24"/>
        </w:rPr>
        <w:t xml:space="preserve">). Pe langa acestea, au fost identificatiinca 6 operatori economici care activeaza in industria aerospatialafara a raporta pe cele doua coduri CAEN specifice, activitatea lor fiind orientata fie spre productie identificata </w:t>
      </w:r>
      <w:r>
        <w:rPr>
          <w:rFonts w:ascii="Arial Narrow" w:hAnsi="Arial Narrow"/>
          <w:sz w:val="24"/>
          <w:szCs w:val="24"/>
        </w:rPr>
        <w:lastRenderedPageBreak/>
        <w:t xml:space="preserve">generic la nivel de cod CAEN, fie spre servicii de cercetare sau testari (conform informatiilor furnizate de site-urile de prezentare): </w:t>
      </w:r>
      <w:r w:rsidRPr="004F72F0">
        <w:rPr>
          <w:rFonts w:ascii="Arial Narrow" w:hAnsi="Arial Narrow"/>
          <w:b/>
          <w:sz w:val="24"/>
          <w:szCs w:val="24"/>
        </w:rPr>
        <w:t>SC Nuarb SRL</w:t>
      </w:r>
      <w:r>
        <w:rPr>
          <w:rFonts w:ascii="Arial Narrow" w:hAnsi="Arial Narrow"/>
          <w:sz w:val="24"/>
          <w:szCs w:val="24"/>
        </w:rPr>
        <w:t xml:space="preserve"> (CUI </w:t>
      </w:r>
      <w:r w:rsidRPr="003D6492">
        <w:rPr>
          <w:rFonts w:ascii="Arial Narrow" w:hAnsi="Arial Narrow"/>
          <w:sz w:val="24"/>
          <w:szCs w:val="24"/>
        </w:rPr>
        <w:t>25797515</w:t>
      </w:r>
      <w:r>
        <w:rPr>
          <w:rFonts w:ascii="Arial Narrow" w:hAnsi="Arial Narrow"/>
          <w:sz w:val="24"/>
          <w:szCs w:val="24"/>
        </w:rPr>
        <w:t xml:space="preserve">), ofera servicii de design, analiza de stres si instruire, CAEN 7112 </w:t>
      </w:r>
      <w:r w:rsidRPr="003D6492">
        <w:rPr>
          <w:rFonts w:ascii="Arial Narrow" w:hAnsi="Arial Narrow"/>
          <w:sz w:val="24"/>
          <w:szCs w:val="24"/>
        </w:rPr>
        <w:t>Activitati de inginerie si consultanta tehnica legate de acestea</w:t>
      </w:r>
      <w:r>
        <w:rPr>
          <w:rFonts w:ascii="Arial Narrow" w:hAnsi="Arial Narrow"/>
          <w:sz w:val="24"/>
          <w:szCs w:val="24"/>
        </w:rPr>
        <w:t xml:space="preserve">; </w:t>
      </w:r>
      <w:r w:rsidRPr="004F72F0">
        <w:rPr>
          <w:rFonts w:ascii="Arial Narrow" w:hAnsi="Arial Narrow"/>
          <w:b/>
          <w:sz w:val="24"/>
          <w:szCs w:val="24"/>
        </w:rPr>
        <w:t>SC Novae Aerospace Romania SRL</w:t>
      </w:r>
      <w:r>
        <w:rPr>
          <w:rFonts w:ascii="Arial Narrow" w:hAnsi="Arial Narrow"/>
          <w:sz w:val="24"/>
          <w:szCs w:val="24"/>
        </w:rPr>
        <w:t xml:space="preserve"> (CUI </w:t>
      </w:r>
      <w:r w:rsidRPr="003D6492">
        <w:rPr>
          <w:rFonts w:ascii="Arial Narrow" w:hAnsi="Arial Narrow"/>
          <w:sz w:val="24"/>
          <w:szCs w:val="24"/>
        </w:rPr>
        <w:t>29416265</w:t>
      </w:r>
      <w:r>
        <w:rPr>
          <w:rFonts w:ascii="Arial Narrow" w:hAnsi="Arial Narrow"/>
          <w:sz w:val="24"/>
          <w:szCs w:val="24"/>
        </w:rPr>
        <w:t>)realizeaza</w:t>
      </w:r>
      <w:r w:rsidRPr="004F72F0">
        <w:rPr>
          <w:rFonts w:ascii="Arial Narrow" w:hAnsi="Arial Narrow"/>
          <w:sz w:val="24"/>
          <w:szCs w:val="24"/>
        </w:rPr>
        <w:t>piese si subansamble pentru Airbus, DassaultAviat</w:t>
      </w:r>
      <w:r>
        <w:rPr>
          <w:rFonts w:ascii="Arial Narrow" w:hAnsi="Arial Narrow"/>
          <w:sz w:val="24"/>
          <w:szCs w:val="24"/>
        </w:rPr>
        <w:t xml:space="preserve">ion si Airbus Defence andSpace, sub CAEN 2511 </w:t>
      </w:r>
      <w:r w:rsidRPr="004F72F0">
        <w:rPr>
          <w:rFonts w:ascii="Arial Narrow" w:hAnsi="Arial Narrow"/>
          <w:sz w:val="24"/>
          <w:szCs w:val="24"/>
        </w:rPr>
        <w:t>Fabricarea de constructii metalice si parti componente ale structurilor metalice</w:t>
      </w:r>
      <w:r>
        <w:rPr>
          <w:rFonts w:ascii="Arial Narrow" w:hAnsi="Arial Narrow"/>
          <w:sz w:val="24"/>
          <w:szCs w:val="24"/>
        </w:rPr>
        <w:t xml:space="preserve">; </w:t>
      </w:r>
      <w:r w:rsidRPr="004F72F0">
        <w:rPr>
          <w:rFonts w:ascii="Arial Narrow" w:hAnsi="Arial Narrow"/>
          <w:b/>
          <w:sz w:val="24"/>
          <w:szCs w:val="24"/>
        </w:rPr>
        <w:t>SC Aero Part Expert SRL</w:t>
      </w:r>
      <w:r>
        <w:rPr>
          <w:rFonts w:ascii="Arial Narrow" w:hAnsi="Arial Narrow"/>
          <w:sz w:val="24"/>
          <w:szCs w:val="24"/>
        </w:rPr>
        <w:t xml:space="preserve"> (CUI </w:t>
      </w:r>
      <w:r w:rsidRPr="004F72F0">
        <w:rPr>
          <w:rFonts w:ascii="Arial Narrow" w:hAnsi="Arial Narrow"/>
          <w:sz w:val="24"/>
          <w:szCs w:val="24"/>
        </w:rPr>
        <w:t>16119335</w:t>
      </w:r>
      <w:r>
        <w:rPr>
          <w:rFonts w:ascii="Arial Narrow" w:hAnsi="Arial Narrow"/>
          <w:sz w:val="24"/>
          <w:szCs w:val="24"/>
        </w:rPr>
        <w:t xml:space="preserve">) proiecteaza si executa piese si dispozitive sub CAEN 2562 </w:t>
      </w:r>
      <w:r w:rsidRPr="004F72F0">
        <w:rPr>
          <w:rFonts w:ascii="Arial Narrow" w:hAnsi="Arial Narrow"/>
          <w:sz w:val="24"/>
          <w:szCs w:val="24"/>
        </w:rPr>
        <w:t>Operatiuni de mecanica generala</w:t>
      </w:r>
      <w:r>
        <w:rPr>
          <w:rFonts w:ascii="Arial Narrow" w:hAnsi="Arial Narrow"/>
          <w:sz w:val="24"/>
          <w:szCs w:val="24"/>
        </w:rPr>
        <w:t xml:space="preserve">; </w:t>
      </w:r>
      <w:r w:rsidRPr="004F72F0">
        <w:rPr>
          <w:rFonts w:ascii="Arial Narrow" w:hAnsi="Arial Narrow"/>
          <w:b/>
          <w:sz w:val="24"/>
          <w:szCs w:val="24"/>
        </w:rPr>
        <w:t>SC Aeroq NDT SRL</w:t>
      </w:r>
      <w:r>
        <w:rPr>
          <w:rFonts w:ascii="Arial Narrow" w:hAnsi="Arial Narrow"/>
          <w:sz w:val="24"/>
          <w:szCs w:val="24"/>
        </w:rPr>
        <w:t xml:space="preserve"> (CUI </w:t>
      </w:r>
      <w:r w:rsidRPr="004F72F0">
        <w:rPr>
          <w:rFonts w:ascii="Arial Narrow" w:hAnsi="Arial Narrow"/>
          <w:sz w:val="24"/>
          <w:szCs w:val="24"/>
        </w:rPr>
        <w:t>18352018</w:t>
      </w:r>
      <w:r>
        <w:rPr>
          <w:rFonts w:ascii="Arial Narrow" w:hAnsi="Arial Narrow"/>
          <w:sz w:val="24"/>
          <w:szCs w:val="24"/>
        </w:rPr>
        <w:t>) realizeazaa</w:t>
      </w:r>
      <w:r w:rsidRPr="004F72F0">
        <w:rPr>
          <w:rFonts w:ascii="Arial Narrow" w:hAnsi="Arial Narrow"/>
          <w:sz w:val="24"/>
          <w:szCs w:val="24"/>
        </w:rPr>
        <w:t>ctivitati de testare si analize tehnice, in principal, in domeniul aeronautic</w:t>
      </w:r>
      <w:r>
        <w:rPr>
          <w:rFonts w:ascii="Arial Narrow" w:hAnsi="Arial Narrow"/>
          <w:sz w:val="24"/>
          <w:szCs w:val="24"/>
        </w:rPr>
        <w:t xml:space="preserve">, CAEN 7120; </w:t>
      </w:r>
      <w:r w:rsidRPr="009531B4">
        <w:rPr>
          <w:rFonts w:ascii="Arial Narrow" w:hAnsi="Arial Narrow"/>
          <w:b/>
          <w:sz w:val="24"/>
          <w:szCs w:val="24"/>
        </w:rPr>
        <w:t>SC Compozite SRL</w:t>
      </w:r>
      <w:r>
        <w:rPr>
          <w:rFonts w:ascii="Arial Narrow" w:hAnsi="Arial Narrow"/>
          <w:sz w:val="24"/>
          <w:szCs w:val="24"/>
        </w:rPr>
        <w:t xml:space="preserve"> (CUI </w:t>
      </w:r>
      <w:r w:rsidRPr="00B269EB">
        <w:rPr>
          <w:rFonts w:ascii="Arial Narrow" w:hAnsi="Arial Narrow"/>
          <w:sz w:val="24"/>
          <w:szCs w:val="24"/>
        </w:rPr>
        <w:t>3051785</w:t>
      </w:r>
      <w:r>
        <w:rPr>
          <w:rFonts w:ascii="Arial Narrow" w:hAnsi="Arial Narrow"/>
          <w:sz w:val="24"/>
          <w:szCs w:val="24"/>
        </w:rPr>
        <w:t xml:space="preserve">), </w:t>
      </w:r>
      <w:r w:rsidRPr="00B269EB">
        <w:rPr>
          <w:rFonts w:ascii="Arial Narrow" w:hAnsi="Arial Narrow"/>
          <w:sz w:val="24"/>
          <w:szCs w:val="24"/>
        </w:rPr>
        <w:t>producator de carcase de rasini si pentru industria aeronautica, are in portofoliu drone, componente aeronave si elici</w:t>
      </w:r>
      <w:r>
        <w:rPr>
          <w:rFonts w:ascii="Arial Narrow" w:hAnsi="Arial Narrow"/>
          <w:sz w:val="24"/>
          <w:szCs w:val="24"/>
        </w:rPr>
        <w:t xml:space="preserve"> sub CAEN 2399 </w:t>
      </w:r>
      <w:r w:rsidRPr="009531B4">
        <w:rPr>
          <w:rFonts w:ascii="Arial Narrow" w:hAnsi="Arial Narrow"/>
          <w:sz w:val="24"/>
          <w:szCs w:val="24"/>
        </w:rPr>
        <w:t xml:space="preserve">Fabricarea altor </w:t>
      </w:r>
      <w:r>
        <w:rPr>
          <w:rFonts w:ascii="Arial Narrow" w:hAnsi="Arial Narrow"/>
          <w:sz w:val="24"/>
          <w:szCs w:val="24"/>
        </w:rPr>
        <w:t>produse din minerale nemetalice</w:t>
      </w:r>
      <w:r w:rsidRPr="009531B4">
        <w:rPr>
          <w:rFonts w:ascii="Arial Narrow" w:hAnsi="Arial Narrow"/>
          <w:sz w:val="24"/>
          <w:szCs w:val="24"/>
        </w:rPr>
        <w:t>n.c.a.</w:t>
      </w:r>
      <w:r>
        <w:rPr>
          <w:rFonts w:ascii="Arial Narrow" w:hAnsi="Arial Narrow"/>
          <w:sz w:val="24"/>
          <w:szCs w:val="24"/>
        </w:rPr>
        <w:t xml:space="preserve">; </w:t>
      </w:r>
      <w:r w:rsidRPr="009531B4">
        <w:rPr>
          <w:rFonts w:ascii="Arial Narrow" w:hAnsi="Arial Narrow"/>
          <w:b/>
          <w:sz w:val="24"/>
          <w:szCs w:val="24"/>
        </w:rPr>
        <w:t>SC B.W.B. Surface Technology SRL</w:t>
      </w:r>
      <w:r>
        <w:rPr>
          <w:rFonts w:ascii="Arial Narrow" w:hAnsi="Arial Narrow"/>
          <w:sz w:val="24"/>
          <w:szCs w:val="24"/>
        </w:rPr>
        <w:t xml:space="preserve"> (CUI </w:t>
      </w:r>
      <w:r w:rsidRPr="009531B4">
        <w:rPr>
          <w:rFonts w:ascii="Arial Narrow" w:hAnsi="Arial Narrow"/>
          <w:sz w:val="24"/>
          <w:szCs w:val="24"/>
        </w:rPr>
        <w:t>27415883</w:t>
      </w:r>
      <w:r>
        <w:rPr>
          <w:rFonts w:ascii="Arial Narrow" w:hAnsi="Arial Narrow"/>
          <w:sz w:val="24"/>
          <w:szCs w:val="24"/>
        </w:rPr>
        <w:t>) relizeaza f</w:t>
      </w:r>
      <w:r w:rsidRPr="009531B4">
        <w:rPr>
          <w:rFonts w:ascii="Arial Narrow" w:hAnsi="Arial Narrow"/>
          <w:sz w:val="24"/>
          <w:szCs w:val="24"/>
        </w:rPr>
        <w:t>inisarea suprafetelor din aluminiu pentru industria aerospatiala</w:t>
      </w:r>
      <w:r>
        <w:rPr>
          <w:rFonts w:ascii="Arial Narrow" w:hAnsi="Arial Narrow"/>
          <w:sz w:val="24"/>
          <w:szCs w:val="24"/>
        </w:rPr>
        <w:t xml:space="preserve">, vopsitorie si detectie fisuri, sub CAEN 2561 </w:t>
      </w:r>
      <w:r w:rsidRPr="009531B4">
        <w:rPr>
          <w:rFonts w:ascii="Arial Narrow" w:hAnsi="Arial Narrow"/>
          <w:sz w:val="24"/>
          <w:szCs w:val="24"/>
        </w:rPr>
        <w:t>Tratarea si acoperirea metalelor</w:t>
      </w:r>
      <w:r>
        <w:rPr>
          <w:rFonts w:ascii="Arial Narrow" w:hAnsi="Arial Narrow"/>
          <w:sz w:val="24"/>
          <w:szCs w:val="24"/>
        </w:rPr>
        <w:t xml:space="preserve">. Toate aceste firme sunt localizate in judetulBrasovinsa am identificat alte doua firme, localizate in Sibiu, care activeaza in aceeasi industrie: </w:t>
      </w:r>
      <w:r w:rsidRPr="008D60EE">
        <w:rPr>
          <w:rFonts w:ascii="Arial Narrow" w:hAnsi="Arial Narrow"/>
          <w:b/>
        </w:rPr>
        <w:t>SC Anjou Aeronautique SRL</w:t>
      </w:r>
      <w:r>
        <w:rPr>
          <w:rFonts w:ascii="Arial Narrow" w:hAnsi="Arial Narrow"/>
          <w:sz w:val="24"/>
          <w:szCs w:val="24"/>
        </w:rPr>
        <w:t xml:space="preserve"> (CUI </w:t>
      </w:r>
      <w:r w:rsidRPr="008D60EE">
        <w:rPr>
          <w:rFonts w:ascii="Arial Narrow" w:hAnsi="Arial Narrow"/>
          <w:sz w:val="24"/>
          <w:szCs w:val="24"/>
        </w:rPr>
        <w:t>18065495</w:t>
      </w:r>
      <w:r>
        <w:rPr>
          <w:rFonts w:ascii="Arial Narrow" w:hAnsi="Arial Narrow"/>
          <w:sz w:val="24"/>
          <w:szCs w:val="24"/>
        </w:rPr>
        <w:t xml:space="preserve">), producator de elemente de siguranta (centuri) pentru industria aeronautica sub CAEN 4641 </w:t>
      </w:r>
      <w:r w:rsidRPr="008D60EE">
        <w:rPr>
          <w:rFonts w:ascii="Arial Narrow" w:hAnsi="Arial Narrow"/>
          <w:sz w:val="24"/>
          <w:szCs w:val="24"/>
        </w:rPr>
        <w:t>comert cu ridicata al produselor textile</w:t>
      </w:r>
      <w:r>
        <w:rPr>
          <w:rFonts w:ascii="Arial Narrow" w:hAnsi="Arial Narrow"/>
          <w:sz w:val="24"/>
          <w:szCs w:val="24"/>
        </w:rPr>
        <w:t xml:space="preserve">; </w:t>
      </w:r>
      <w:r w:rsidRPr="002F6281">
        <w:rPr>
          <w:rFonts w:ascii="Arial Narrow" w:hAnsi="Arial Narrow"/>
          <w:b/>
          <w:sz w:val="24"/>
          <w:szCs w:val="24"/>
        </w:rPr>
        <w:t>SC AeronamicEastern Europe SRL</w:t>
      </w:r>
      <w:r>
        <w:rPr>
          <w:rFonts w:ascii="Arial Narrow" w:hAnsi="Arial Narrow"/>
          <w:sz w:val="24"/>
          <w:szCs w:val="24"/>
        </w:rPr>
        <w:t xml:space="preserve"> (CUI </w:t>
      </w:r>
      <w:r w:rsidRPr="008D60EE">
        <w:rPr>
          <w:rFonts w:ascii="Arial Narrow" w:hAnsi="Arial Narrow"/>
          <w:sz w:val="24"/>
          <w:szCs w:val="24"/>
        </w:rPr>
        <w:t>23996481</w:t>
      </w:r>
      <w:r>
        <w:rPr>
          <w:rFonts w:ascii="Arial Narrow" w:hAnsi="Arial Narrow"/>
          <w:sz w:val="24"/>
          <w:szCs w:val="24"/>
        </w:rPr>
        <w:t xml:space="preserve">), producator de componente OEM pentru industria aeronautica, pe </w:t>
      </w:r>
      <w:r w:rsidRPr="002F6281">
        <w:rPr>
          <w:rFonts w:ascii="Arial Narrow" w:hAnsi="Arial Narrow"/>
          <w:sz w:val="24"/>
          <w:szCs w:val="24"/>
        </w:rPr>
        <w:t>CAEN 3030</w:t>
      </w:r>
      <w:r>
        <w:rPr>
          <w:rFonts w:ascii="Arial Narrow" w:hAnsi="Arial Narrow"/>
          <w:sz w:val="24"/>
          <w:szCs w:val="24"/>
        </w:rPr>
        <w:t xml:space="preserve"> Fabricarea de aeronave si nave spatiale</w:t>
      </w:r>
    </w:p>
    <w:p w:rsidR="000A6A0D" w:rsidRDefault="000A6A0D" w:rsidP="000A6A0D">
      <w:pPr>
        <w:spacing w:after="0" w:line="240" w:lineRule="auto"/>
        <w:jc w:val="both"/>
        <w:rPr>
          <w:rFonts w:ascii="Arial Narrow" w:hAnsi="Arial Narrow"/>
          <w:sz w:val="24"/>
          <w:szCs w:val="24"/>
        </w:rPr>
      </w:pPr>
    </w:p>
    <w:p w:rsidR="000A6A0D" w:rsidRPr="007330C6" w:rsidRDefault="000A6A0D" w:rsidP="000A6A0D">
      <w:pPr>
        <w:spacing w:after="0" w:line="240" w:lineRule="auto"/>
        <w:jc w:val="both"/>
        <w:rPr>
          <w:rFonts w:ascii="Arial Narrow" w:hAnsi="Arial Narrow"/>
          <w:b/>
          <w:sz w:val="20"/>
          <w:szCs w:val="20"/>
        </w:rPr>
      </w:pPr>
      <w:r w:rsidRPr="007330C6">
        <w:rPr>
          <w:rFonts w:ascii="Arial Narrow" w:hAnsi="Arial Narrow"/>
          <w:b/>
          <w:sz w:val="20"/>
          <w:szCs w:val="20"/>
        </w:rPr>
        <w:t>Tabel: evolutia consolidata a principalilor indicatori economici pentru cele 1</w:t>
      </w:r>
      <w:r>
        <w:rPr>
          <w:rFonts w:ascii="Arial Narrow" w:hAnsi="Arial Narrow"/>
          <w:b/>
          <w:sz w:val="20"/>
          <w:szCs w:val="20"/>
        </w:rPr>
        <w:t>4</w:t>
      </w:r>
      <w:r w:rsidRPr="007330C6">
        <w:rPr>
          <w:rFonts w:ascii="Arial Narrow" w:hAnsi="Arial Narrow"/>
          <w:b/>
          <w:sz w:val="20"/>
          <w:szCs w:val="20"/>
        </w:rPr>
        <w:t xml:space="preserve"> companii identificate  </w:t>
      </w:r>
    </w:p>
    <w:tbl>
      <w:tblPr>
        <w:tblStyle w:val="Antet"/>
        <w:tblW w:w="7720" w:type="dxa"/>
        <w:jc w:val="center"/>
        <w:tblLook w:val="04A0"/>
      </w:tblPr>
      <w:tblGrid>
        <w:gridCol w:w="960"/>
        <w:gridCol w:w="1380"/>
        <w:gridCol w:w="1360"/>
        <w:gridCol w:w="1400"/>
        <w:gridCol w:w="1220"/>
        <w:gridCol w:w="1400"/>
      </w:tblGrid>
      <w:tr w:rsidR="000A6A0D" w:rsidRPr="00426E1A" w:rsidTr="00064502">
        <w:trPr>
          <w:trHeight w:val="12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Pr>
                <w:rFonts w:ascii="Calibri" w:eastAsia="Times New Roman" w:hAnsi="Calibri" w:cs="Times New Roman"/>
                <w:color w:val="000000"/>
              </w:rPr>
              <w:t>An</w:t>
            </w:r>
          </w:p>
        </w:tc>
        <w:tc>
          <w:tcPr>
            <w:tcW w:w="1380" w:type="dxa"/>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active (mil. lei)</w:t>
            </w:r>
          </w:p>
        </w:tc>
        <w:tc>
          <w:tcPr>
            <w:tcW w:w="1360" w:type="dxa"/>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capitaluri (mil lei)</w:t>
            </w:r>
          </w:p>
        </w:tc>
        <w:tc>
          <w:tcPr>
            <w:tcW w:w="1400" w:type="dxa"/>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cifra de afaceri (mil. lei)</w:t>
            </w:r>
          </w:p>
        </w:tc>
        <w:tc>
          <w:tcPr>
            <w:tcW w:w="1220" w:type="dxa"/>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nr. mediu de salariati</w:t>
            </w:r>
          </w:p>
        </w:tc>
        <w:tc>
          <w:tcPr>
            <w:tcW w:w="1400" w:type="dxa"/>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profit (mil. lei)</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2010</w:t>
            </w:r>
          </w:p>
        </w:tc>
        <w:tc>
          <w:tcPr>
            <w:tcW w:w="1380" w:type="dxa"/>
            <w:noWrap/>
            <w:vAlign w:val="bottom"/>
            <w:hideMark/>
          </w:tcPr>
          <w:p w:rsidR="000A6A0D" w:rsidRDefault="000A6A0D" w:rsidP="00064502">
            <w:pPr>
              <w:jc w:val="right"/>
              <w:rPr>
                <w:rFonts w:ascii="Calibri" w:hAnsi="Calibri"/>
                <w:color w:val="000000"/>
              </w:rPr>
            </w:pPr>
            <w:r>
              <w:rPr>
                <w:rFonts w:ascii="Calibri" w:hAnsi="Calibri"/>
                <w:color w:val="000000"/>
              </w:rPr>
              <w:t>280,6</w:t>
            </w:r>
          </w:p>
        </w:tc>
        <w:tc>
          <w:tcPr>
            <w:tcW w:w="1360" w:type="dxa"/>
            <w:noWrap/>
            <w:vAlign w:val="bottom"/>
            <w:hideMark/>
          </w:tcPr>
          <w:p w:rsidR="000A6A0D" w:rsidRDefault="000A6A0D" w:rsidP="00064502">
            <w:pPr>
              <w:jc w:val="right"/>
              <w:rPr>
                <w:rFonts w:ascii="Calibri" w:hAnsi="Calibri"/>
                <w:color w:val="000000"/>
              </w:rPr>
            </w:pPr>
            <w:r>
              <w:rPr>
                <w:rFonts w:ascii="Calibri" w:hAnsi="Calibri"/>
                <w:color w:val="000000"/>
              </w:rPr>
              <w:t>125,9</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189,3</w:t>
            </w:r>
          </w:p>
        </w:tc>
        <w:tc>
          <w:tcPr>
            <w:tcW w:w="1220" w:type="dxa"/>
            <w:noWrap/>
            <w:vAlign w:val="bottom"/>
            <w:hideMark/>
          </w:tcPr>
          <w:p w:rsidR="000A6A0D" w:rsidRDefault="000A6A0D" w:rsidP="00064502">
            <w:pPr>
              <w:jc w:val="right"/>
              <w:rPr>
                <w:rFonts w:ascii="Calibri" w:hAnsi="Calibri"/>
                <w:color w:val="000000"/>
              </w:rPr>
            </w:pPr>
            <w:r>
              <w:rPr>
                <w:rFonts w:ascii="Calibri" w:hAnsi="Calibri"/>
                <w:color w:val="000000"/>
              </w:rPr>
              <w:t>639,0</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0,1</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2011</w:t>
            </w:r>
          </w:p>
        </w:tc>
        <w:tc>
          <w:tcPr>
            <w:tcW w:w="1380" w:type="dxa"/>
            <w:noWrap/>
            <w:vAlign w:val="bottom"/>
            <w:hideMark/>
          </w:tcPr>
          <w:p w:rsidR="000A6A0D" w:rsidRDefault="000A6A0D" w:rsidP="00064502">
            <w:pPr>
              <w:jc w:val="right"/>
              <w:rPr>
                <w:rFonts w:ascii="Calibri" w:hAnsi="Calibri"/>
                <w:color w:val="000000"/>
              </w:rPr>
            </w:pPr>
            <w:r>
              <w:rPr>
                <w:rFonts w:ascii="Calibri" w:hAnsi="Calibri"/>
                <w:color w:val="000000"/>
              </w:rPr>
              <w:t>466,1</w:t>
            </w:r>
          </w:p>
        </w:tc>
        <w:tc>
          <w:tcPr>
            <w:tcW w:w="1360" w:type="dxa"/>
            <w:noWrap/>
            <w:vAlign w:val="bottom"/>
            <w:hideMark/>
          </w:tcPr>
          <w:p w:rsidR="000A6A0D" w:rsidRDefault="000A6A0D" w:rsidP="00064502">
            <w:pPr>
              <w:jc w:val="right"/>
              <w:rPr>
                <w:rFonts w:ascii="Calibri" w:hAnsi="Calibri"/>
                <w:color w:val="000000"/>
              </w:rPr>
            </w:pPr>
            <w:r>
              <w:rPr>
                <w:rFonts w:ascii="Calibri" w:hAnsi="Calibri"/>
                <w:color w:val="000000"/>
              </w:rPr>
              <w:t>126,2</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252,0</w:t>
            </w:r>
          </w:p>
        </w:tc>
        <w:tc>
          <w:tcPr>
            <w:tcW w:w="1220" w:type="dxa"/>
            <w:noWrap/>
            <w:vAlign w:val="bottom"/>
            <w:hideMark/>
          </w:tcPr>
          <w:p w:rsidR="000A6A0D" w:rsidRDefault="000A6A0D" w:rsidP="00064502">
            <w:pPr>
              <w:jc w:val="right"/>
              <w:rPr>
                <w:rFonts w:ascii="Calibri" w:hAnsi="Calibri"/>
                <w:color w:val="000000"/>
              </w:rPr>
            </w:pPr>
            <w:r>
              <w:rPr>
                <w:rFonts w:ascii="Calibri" w:hAnsi="Calibri"/>
                <w:color w:val="000000"/>
              </w:rPr>
              <w:t>790,0</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2,6</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2012</w:t>
            </w:r>
          </w:p>
        </w:tc>
        <w:tc>
          <w:tcPr>
            <w:tcW w:w="1380" w:type="dxa"/>
            <w:noWrap/>
            <w:vAlign w:val="bottom"/>
            <w:hideMark/>
          </w:tcPr>
          <w:p w:rsidR="000A6A0D" w:rsidRDefault="000A6A0D" w:rsidP="00064502">
            <w:pPr>
              <w:jc w:val="right"/>
              <w:rPr>
                <w:rFonts w:ascii="Calibri" w:hAnsi="Calibri"/>
                <w:color w:val="000000"/>
              </w:rPr>
            </w:pPr>
            <w:r>
              <w:rPr>
                <w:rFonts w:ascii="Calibri" w:hAnsi="Calibri"/>
                <w:color w:val="000000"/>
              </w:rPr>
              <w:t>527,6</w:t>
            </w:r>
          </w:p>
        </w:tc>
        <w:tc>
          <w:tcPr>
            <w:tcW w:w="1360" w:type="dxa"/>
            <w:noWrap/>
            <w:vAlign w:val="bottom"/>
            <w:hideMark/>
          </w:tcPr>
          <w:p w:rsidR="000A6A0D" w:rsidRDefault="000A6A0D" w:rsidP="00064502">
            <w:pPr>
              <w:jc w:val="right"/>
              <w:rPr>
                <w:rFonts w:ascii="Calibri" w:hAnsi="Calibri"/>
                <w:color w:val="000000"/>
              </w:rPr>
            </w:pPr>
            <w:r>
              <w:rPr>
                <w:rFonts w:ascii="Calibri" w:hAnsi="Calibri"/>
                <w:color w:val="000000"/>
              </w:rPr>
              <w:t>149,7</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357,1</w:t>
            </w:r>
          </w:p>
        </w:tc>
        <w:tc>
          <w:tcPr>
            <w:tcW w:w="1220" w:type="dxa"/>
            <w:noWrap/>
            <w:vAlign w:val="bottom"/>
            <w:hideMark/>
          </w:tcPr>
          <w:p w:rsidR="000A6A0D" w:rsidRDefault="000A6A0D" w:rsidP="00064502">
            <w:pPr>
              <w:jc w:val="right"/>
              <w:rPr>
                <w:rFonts w:ascii="Calibri" w:hAnsi="Calibri"/>
                <w:color w:val="000000"/>
              </w:rPr>
            </w:pPr>
            <w:r>
              <w:rPr>
                <w:rFonts w:ascii="Calibri" w:hAnsi="Calibri"/>
                <w:color w:val="000000"/>
              </w:rPr>
              <w:t>1.127,0</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28,7</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2013</w:t>
            </w:r>
          </w:p>
        </w:tc>
        <w:tc>
          <w:tcPr>
            <w:tcW w:w="1380" w:type="dxa"/>
            <w:noWrap/>
            <w:vAlign w:val="bottom"/>
            <w:hideMark/>
          </w:tcPr>
          <w:p w:rsidR="000A6A0D" w:rsidRDefault="000A6A0D" w:rsidP="00064502">
            <w:pPr>
              <w:jc w:val="right"/>
              <w:rPr>
                <w:rFonts w:ascii="Calibri" w:hAnsi="Calibri"/>
                <w:color w:val="000000"/>
              </w:rPr>
            </w:pPr>
            <w:r>
              <w:rPr>
                <w:rFonts w:ascii="Calibri" w:hAnsi="Calibri"/>
                <w:color w:val="000000"/>
              </w:rPr>
              <w:t>575,7</w:t>
            </w:r>
          </w:p>
        </w:tc>
        <w:tc>
          <w:tcPr>
            <w:tcW w:w="1360" w:type="dxa"/>
            <w:noWrap/>
            <w:vAlign w:val="bottom"/>
            <w:hideMark/>
          </w:tcPr>
          <w:p w:rsidR="000A6A0D" w:rsidRDefault="000A6A0D" w:rsidP="00064502">
            <w:pPr>
              <w:jc w:val="right"/>
              <w:rPr>
                <w:rFonts w:ascii="Calibri" w:hAnsi="Calibri"/>
                <w:color w:val="000000"/>
              </w:rPr>
            </w:pPr>
            <w:r>
              <w:rPr>
                <w:rFonts w:ascii="Calibri" w:hAnsi="Calibri"/>
                <w:color w:val="000000"/>
              </w:rPr>
              <w:t>107,6</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441,2</w:t>
            </w:r>
          </w:p>
        </w:tc>
        <w:tc>
          <w:tcPr>
            <w:tcW w:w="1220" w:type="dxa"/>
            <w:noWrap/>
            <w:vAlign w:val="bottom"/>
            <w:hideMark/>
          </w:tcPr>
          <w:p w:rsidR="000A6A0D" w:rsidRDefault="000A6A0D" w:rsidP="00064502">
            <w:pPr>
              <w:jc w:val="right"/>
              <w:rPr>
                <w:rFonts w:ascii="Calibri" w:hAnsi="Calibri"/>
                <w:color w:val="000000"/>
              </w:rPr>
            </w:pPr>
            <w:r>
              <w:rPr>
                <w:rFonts w:ascii="Calibri" w:hAnsi="Calibri"/>
                <w:color w:val="000000"/>
              </w:rPr>
              <w:t>1.314,0</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50,2</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2014</w:t>
            </w:r>
          </w:p>
        </w:tc>
        <w:tc>
          <w:tcPr>
            <w:tcW w:w="1380" w:type="dxa"/>
            <w:noWrap/>
            <w:vAlign w:val="bottom"/>
            <w:hideMark/>
          </w:tcPr>
          <w:p w:rsidR="000A6A0D" w:rsidRDefault="000A6A0D" w:rsidP="00064502">
            <w:pPr>
              <w:jc w:val="right"/>
              <w:rPr>
                <w:rFonts w:ascii="Calibri" w:hAnsi="Calibri"/>
                <w:color w:val="000000"/>
              </w:rPr>
            </w:pPr>
            <w:r>
              <w:rPr>
                <w:rFonts w:ascii="Calibri" w:hAnsi="Calibri"/>
                <w:color w:val="000000"/>
              </w:rPr>
              <w:t>571,9</w:t>
            </w:r>
          </w:p>
        </w:tc>
        <w:tc>
          <w:tcPr>
            <w:tcW w:w="1360" w:type="dxa"/>
            <w:noWrap/>
            <w:vAlign w:val="bottom"/>
            <w:hideMark/>
          </w:tcPr>
          <w:p w:rsidR="000A6A0D" w:rsidRDefault="000A6A0D" w:rsidP="00064502">
            <w:pPr>
              <w:jc w:val="right"/>
              <w:rPr>
                <w:rFonts w:ascii="Calibri" w:hAnsi="Calibri"/>
                <w:color w:val="000000"/>
              </w:rPr>
            </w:pPr>
            <w:r>
              <w:rPr>
                <w:rFonts w:ascii="Calibri" w:hAnsi="Calibri"/>
                <w:color w:val="000000"/>
              </w:rPr>
              <w:t>252,4</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494,2</w:t>
            </w:r>
          </w:p>
        </w:tc>
        <w:tc>
          <w:tcPr>
            <w:tcW w:w="1220" w:type="dxa"/>
            <w:noWrap/>
            <w:vAlign w:val="bottom"/>
            <w:hideMark/>
          </w:tcPr>
          <w:p w:rsidR="000A6A0D" w:rsidRDefault="000A6A0D" w:rsidP="00064502">
            <w:pPr>
              <w:jc w:val="right"/>
              <w:rPr>
                <w:rFonts w:ascii="Calibri" w:hAnsi="Calibri"/>
                <w:color w:val="000000"/>
              </w:rPr>
            </w:pPr>
            <w:r>
              <w:rPr>
                <w:rFonts w:ascii="Calibri" w:hAnsi="Calibri"/>
                <w:color w:val="000000"/>
              </w:rPr>
              <w:t>1.417,0</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54,6</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2015</w:t>
            </w:r>
          </w:p>
        </w:tc>
        <w:tc>
          <w:tcPr>
            <w:tcW w:w="1380" w:type="dxa"/>
            <w:noWrap/>
            <w:vAlign w:val="bottom"/>
            <w:hideMark/>
          </w:tcPr>
          <w:p w:rsidR="000A6A0D" w:rsidRDefault="000A6A0D" w:rsidP="00064502">
            <w:pPr>
              <w:jc w:val="right"/>
              <w:rPr>
                <w:rFonts w:ascii="Calibri" w:hAnsi="Calibri"/>
                <w:color w:val="000000"/>
              </w:rPr>
            </w:pPr>
            <w:r>
              <w:rPr>
                <w:rFonts w:ascii="Calibri" w:hAnsi="Calibri"/>
                <w:color w:val="000000"/>
              </w:rPr>
              <w:t>692,9</w:t>
            </w:r>
          </w:p>
        </w:tc>
        <w:tc>
          <w:tcPr>
            <w:tcW w:w="1360" w:type="dxa"/>
            <w:noWrap/>
            <w:vAlign w:val="bottom"/>
            <w:hideMark/>
          </w:tcPr>
          <w:p w:rsidR="000A6A0D" w:rsidRDefault="000A6A0D" w:rsidP="00064502">
            <w:pPr>
              <w:jc w:val="right"/>
              <w:rPr>
                <w:rFonts w:ascii="Calibri" w:hAnsi="Calibri"/>
                <w:color w:val="000000"/>
              </w:rPr>
            </w:pPr>
            <w:r>
              <w:rPr>
                <w:rFonts w:ascii="Calibri" w:hAnsi="Calibri"/>
                <w:color w:val="000000"/>
              </w:rPr>
              <w:t>332,5</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512,4</w:t>
            </w:r>
          </w:p>
        </w:tc>
        <w:tc>
          <w:tcPr>
            <w:tcW w:w="1220" w:type="dxa"/>
            <w:noWrap/>
            <w:vAlign w:val="bottom"/>
            <w:hideMark/>
          </w:tcPr>
          <w:p w:rsidR="000A6A0D" w:rsidRDefault="000A6A0D" w:rsidP="00064502">
            <w:pPr>
              <w:jc w:val="right"/>
              <w:rPr>
                <w:rFonts w:ascii="Calibri" w:hAnsi="Calibri"/>
                <w:color w:val="000000"/>
              </w:rPr>
            </w:pPr>
            <w:r>
              <w:rPr>
                <w:rFonts w:ascii="Calibri" w:hAnsi="Calibri"/>
                <w:color w:val="000000"/>
              </w:rPr>
              <w:t>1.491,0</w:t>
            </w:r>
          </w:p>
        </w:tc>
        <w:tc>
          <w:tcPr>
            <w:tcW w:w="1400" w:type="dxa"/>
            <w:noWrap/>
            <w:vAlign w:val="bottom"/>
            <w:hideMark/>
          </w:tcPr>
          <w:p w:rsidR="000A6A0D" w:rsidRDefault="000A6A0D" w:rsidP="00064502">
            <w:pPr>
              <w:jc w:val="right"/>
              <w:rPr>
                <w:rFonts w:ascii="Calibri" w:hAnsi="Calibri"/>
                <w:color w:val="000000"/>
              </w:rPr>
            </w:pPr>
            <w:r>
              <w:rPr>
                <w:rFonts w:ascii="Calibri" w:hAnsi="Calibri"/>
                <w:color w:val="000000"/>
              </w:rPr>
              <w:t>72,0</w:t>
            </w:r>
          </w:p>
        </w:tc>
      </w:tr>
      <w:tr w:rsidR="000A6A0D" w:rsidRPr="00426E1A" w:rsidTr="00064502">
        <w:trPr>
          <w:trHeight w:val="300"/>
          <w:jc w:val="center"/>
        </w:trPr>
        <w:tc>
          <w:tcPr>
            <w:tcW w:w="960" w:type="dxa"/>
            <w:noWrap/>
            <w:hideMark/>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variatie</w:t>
            </w:r>
          </w:p>
        </w:tc>
        <w:tc>
          <w:tcPr>
            <w:tcW w:w="1380" w:type="dxa"/>
            <w:noWrap/>
            <w:vAlign w:val="bottom"/>
            <w:hideMark/>
          </w:tcPr>
          <w:p w:rsidR="000A6A0D" w:rsidRPr="0003283F" w:rsidRDefault="000A6A0D" w:rsidP="00064502">
            <w:pPr>
              <w:jc w:val="right"/>
              <w:rPr>
                <w:rFonts w:ascii="Calibri" w:hAnsi="Calibri"/>
                <w:b/>
                <w:color w:val="000000"/>
              </w:rPr>
            </w:pPr>
            <w:r w:rsidRPr="0003283F">
              <w:rPr>
                <w:rFonts w:ascii="Calibri" w:hAnsi="Calibri"/>
                <w:b/>
                <w:color w:val="000000"/>
              </w:rPr>
              <w:t>247,0%</w:t>
            </w:r>
          </w:p>
        </w:tc>
        <w:tc>
          <w:tcPr>
            <w:tcW w:w="1360" w:type="dxa"/>
            <w:noWrap/>
            <w:vAlign w:val="bottom"/>
            <w:hideMark/>
          </w:tcPr>
          <w:p w:rsidR="000A6A0D" w:rsidRPr="0003283F" w:rsidRDefault="000A6A0D" w:rsidP="00064502">
            <w:pPr>
              <w:jc w:val="right"/>
              <w:rPr>
                <w:rFonts w:ascii="Calibri" w:hAnsi="Calibri"/>
                <w:b/>
                <w:color w:val="000000"/>
              </w:rPr>
            </w:pPr>
            <w:r w:rsidRPr="0003283F">
              <w:rPr>
                <w:rFonts w:ascii="Calibri" w:hAnsi="Calibri"/>
                <w:b/>
                <w:color w:val="000000"/>
              </w:rPr>
              <w:t>264,2%</w:t>
            </w:r>
          </w:p>
        </w:tc>
        <w:tc>
          <w:tcPr>
            <w:tcW w:w="1400" w:type="dxa"/>
            <w:noWrap/>
            <w:vAlign w:val="bottom"/>
            <w:hideMark/>
          </w:tcPr>
          <w:p w:rsidR="000A6A0D" w:rsidRPr="0003283F" w:rsidRDefault="000A6A0D" w:rsidP="00064502">
            <w:pPr>
              <w:jc w:val="right"/>
              <w:rPr>
                <w:rFonts w:ascii="Calibri" w:hAnsi="Calibri"/>
                <w:b/>
                <w:color w:val="000000"/>
              </w:rPr>
            </w:pPr>
            <w:r w:rsidRPr="0003283F">
              <w:rPr>
                <w:rFonts w:ascii="Calibri" w:hAnsi="Calibri"/>
                <w:b/>
                <w:color w:val="000000"/>
              </w:rPr>
              <w:t>270,7%</w:t>
            </w:r>
          </w:p>
        </w:tc>
        <w:tc>
          <w:tcPr>
            <w:tcW w:w="1220" w:type="dxa"/>
            <w:noWrap/>
            <w:vAlign w:val="bottom"/>
            <w:hideMark/>
          </w:tcPr>
          <w:p w:rsidR="000A6A0D" w:rsidRPr="0003283F" w:rsidRDefault="000A6A0D" w:rsidP="00064502">
            <w:pPr>
              <w:jc w:val="right"/>
              <w:rPr>
                <w:rFonts w:ascii="Calibri" w:hAnsi="Calibri"/>
                <w:b/>
                <w:color w:val="000000"/>
              </w:rPr>
            </w:pPr>
            <w:r w:rsidRPr="0003283F">
              <w:rPr>
                <w:rFonts w:ascii="Calibri" w:hAnsi="Calibri"/>
                <w:b/>
                <w:color w:val="000000"/>
              </w:rPr>
              <w:t>233,3%</w:t>
            </w:r>
          </w:p>
        </w:tc>
        <w:tc>
          <w:tcPr>
            <w:tcW w:w="1400" w:type="dxa"/>
            <w:noWrap/>
            <w:vAlign w:val="bottom"/>
            <w:hideMark/>
          </w:tcPr>
          <w:p w:rsidR="000A6A0D" w:rsidRPr="0003283F" w:rsidRDefault="000A6A0D" w:rsidP="00064502">
            <w:pPr>
              <w:jc w:val="right"/>
              <w:rPr>
                <w:rFonts w:ascii="Calibri" w:hAnsi="Calibri"/>
                <w:b/>
                <w:color w:val="000000"/>
              </w:rPr>
            </w:pPr>
            <w:r w:rsidRPr="0003283F">
              <w:rPr>
                <w:rFonts w:ascii="Calibri" w:hAnsi="Calibri"/>
                <w:b/>
                <w:color w:val="000000"/>
              </w:rPr>
              <w:t>53729,2%</w:t>
            </w:r>
          </w:p>
        </w:tc>
      </w:tr>
    </w:tbl>
    <w:p w:rsidR="000A6A0D" w:rsidRPr="00426E1A" w:rsidRDefault="000A6A0D" w:rsidP="000A6A0D">
      <w:pPr>
        <w:spacing w:after="0" w:line="240" w:lineRule="auto"/>
        <w:jc w:val="both"/>
        <w:rPr>
          <w:rFonts w:ascii="Arial Narrow" w:hAnsi="Arial Narrow"/>
          <w:b/>
          <w:sz w:val="20"/>
          <w:szCs w:val="20"/>
        </w:rPr>
      </w:pPr>
      <w:r w:rsidRPr="00426E1A">
        <w:rPr>
          <w:rFonts w:ascii="Arial Narrow" w:hAnsi="Arial Narrow"/>
          <w:b/>
          <w:sz w:val="20"/>
          <w:szCs w:val="20"/>
        </w:rPr>
        <w:t xml:space="preserve">Sursa datelor: Ministerul Finantelor Publice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Pentru a avea o viziune de ansamblu asupra performantelor industriei aeronautice regionale am consolidat principalii indicatori economici ai firmelor identificate – active, capitaluri, cifra de afaceri, numar de angajati, profit net – pentru anii 2010 – 2015, tinand cont inclusiv de valorile negative, in anumite situatii, ale profitului si capitalurilor. De asemenea, trebuie mentionat faptul ca </w:t>
      </w:r>
      <w:r w:rsidRPr="004F72F0">
        <w:rPr>
          <w:rFonts w:ascii="Arial Narrow" w:hAnsi="Arial Narrow"/>
          <w:b/>
          <w:sz w:val="24"/>
          <w:szCs w:val="24"/>
        </w:rPr>
        <w:t>SC Airbus Helicopters Industries SRL</w:t>
      </w:r>
      <w:r w:rsidRPr="00EF337A">
        <w:rPr>
          <w:rFonts w:ascii="Arial Narrow" w:hAnsi="Arial Narrow"/>
          <w:sz w:val="24"/>
          <w:szCs w:val="24"/>
        </w:rPr>
        <w:t xml:space="preserve">este inca in perioada de investitii, </w:t>
      </w:r>
      <w:r>
        <w:rPr>
          <w:rFonts w:ascii="Arial Narrow" w:hAnsi="Arial Narrow"/>
          <w:sz w:val="24"/>
          <w:szCs w:val="24"/>
        </w:rPr>
        <w:t>nefiind demarata activitatea la noua capacitate de productie si, ca atare, in anul 2015 a raportat pierderi semnificative (peste 10 milioane lei), care au fost incluse in profitul consolidat al conglomeratului industrial regional asamblat din ratiuniteoretice.</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Cresterea activelor si capitalurilor in perioada examinata este semnificativa – crestere cu 147 % a activelor si crestere cu 164,2% a capitalurilor –ceea ce, in lipsa unei evolutii similare a cifrei de afaceri, ar fi fost un semnal privind existenta unor probleme. In conditiile in care, insa, cifra de afaceri consolidata a crescut in perioada 2010 – 2015 cu 170.7%, de la 189.3 milioane lei la 512.4 milioane lei, evolutia similara a activelor si capitalurilor este explicabila.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lastRenderedPageBreak/>
        <w:t xml:space="preserve">Numarul mediu anual de salariatiangajati in fimele examinate a crescut si el, de la 639 in 2010 la 1491 in 2015. Rata de crestere a numarului de salariati este sub rata de crestere a cifrei de afaceri, ceea ce, in mod normal, are un impact pozitiv asupra eficientei companiilor.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Cea mai spectaculoasa evolutie a avut-o profitul. De la 0,1 milioane lei in 2010, profitul net consolidat al operatorilor economici studiati a crescut la 72 milioane lei, variatia fiind de 53729.2 % in 6 ani. Se pot observa 3 salturi semnificativa a valorii profitului consolidat, respectiv 2011 – 2012, candcresterea este de la 2.6 milioane lei la 28.7 milioane lei, 2012 – 2013 cu o crestere de la 28.7 milioane lei la 50.2 milioane lei si 2014 – 2015, candcresterea a fost de la 54.6 milioane lei la 72 milioane lei.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noProof/>
        </w:rPr>
        <w:drawing>
          <wp:inline distT="0" distB="0" distL="0" distR="0">
            <wp:extent cx="5760720" cy="3391145"/>
            <wp:effectExtent l="0" t="0" r="11430" b="19050"/>
            <wp:docPr id="60"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Pornind de la datele de mai sus putem calcula rata profitului net consolidat al entitatii economice agregate dupa formula = (profit net consolidat / cifra de afaceri) x 100. Pentru exercitiul financiar 2015 rata este de 14.05%, peste media tarilor dezvoltate, care este intre 1.5 si 6.5%. De fapt, am putea caracteriza situatiaentitatii ca fiind oarecum volatila, avand in vedere faptul ca pragul de volatilitate este prevazut la o marja a profitului net de peste 15%. Cu toate acestea situatia constatata are o explicatie care exclude volatilitatea farainsa a exclude temperarea evolutiilor viitoare, respectiv faptul ca in Romania rentabilitatea capitalului este mai ridicata decat in tarile dezvoltate din Uniunea Europeana, in conditiile in care raportul de alocare a rentelor munca / capital este 40 / 60 in Romania si 60 / 40 in tarile dezvoltate. Diferenta este si mai accentuata in cazul ratei profitului cumulat, in calcululcareia nu am mai consolidat profiturile negative, rata rezultata fiind 17.57%. </w:t>
      </w:r>
    </w:p>
    <w:p w:rsidR="000A6A0D" w:rsidRDefault="000A6A0D" w:rsidP="000A6A0D">
      <w:pPr>
        <w:spacing w:after="0" w:line="240" w:lineRule="auto"/>
        <w:jc w:val="both"/>
        <w:rPr>
          <w:rFonts w:ascii="Arial Narrow" w:hAnsi="Arial Narrow"/>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Un alt element important in analiza unui sector economic este productivitatea. Calculata ca raport intre numarul de angajati si cifra de afaceri generata, productivitatea furnizeaza imaginea gradului de utilizare a capitalului uman. De asemenea, examinarea sectoriala a productivitatii permite situarea industriei respective in contextul general si poate furniza suport pentru decizii de dezvoltare la nivel de politici. </w:t>
      </w:r>
    </w:p>
    <w:p w:rsidR="000A6A0D" w:rsidRDefault="000A6A0D" w:rsidP="000A6A0D">
      <w:pPr>
        <w:spacing w:after="0" w:line="240" w:lineRule="auto"/>
        <w:jc w:val="both"/>
        <w:rPr>
          <w:rFonts w:ascii="Arial Narrow" w:hAnsi="Arial Narrow"/>
          <w:sz w:val="24"/>
          <w:szCs w:val="24"/>
        </w:rPr>
      </w:pPr>
    </w:p>
    <w:p w:rsidR="000A6A0D" w:rsidRPr="00AD600E" w:rsidRDefault="000A6A0D" w:rsidP="000A6A0D">
      <w:pPr>
        <w:spacing w:after="0" w:line="240" w:lineRule="auto"/>
        <w:ind w:left="708" w:firstLine="708"/>
        <w:rPr>
          <w:rFonts w:ascii="Arial Narrow" w:hAnsi="Arial Narrow"/>
          <w:b/>
          <w:sz w:val="20"/>
          <w:szCs w:val="20"/>
        </w:rPr>
      </w:pPr>
      <w:r w:rsidRPr="00AD600E">
        <w:rPr>
          <w:rFonts w:ascii="Arial Narrow" w:hAnsi="Arial Narrow"/>
          <w:b/>
          <w:sz w:val="20"/>
          <w:szCs w:val="20"/>
        </w:rPr>
        <w:t>Tabel: evolutiaproductivitatii</w:t>
      </w:r>
    </w:p>
    <w:tbl>
      <w:tblPr>
        <w:tblStyle w:val="Antet"/>
        <w:tblW w:w="6557" w:type="dxa"/>
        <w:jc w:val="center"/>
        <w:tblLook w:val="04A0"/>
      </w:tblPr>
      <w:tblGrid>
        <w:gridCol w:w="937"/>
        <w:gridCol w:w="1600"/>
        <w:gridCol w:w="1340"/>
        <w:gridCol w:w="1320"/>
        <w:gridCol w:w="1360"/>
      </w:tblGrid>
      <w:tr w:rsidR="000A6A0D" w:rsidRPr="002F745E" w:rsidTr="00064502">
        <w:trPr>
          <w:trHeight w:val="1200"/>
          <w:jc w:val="center"/>
        </w:trPr>
        <w:tc>
          <w:tcPr>
            <w:tcW w:w="937" w:type="dxa"/>
          </w:tcPr>
          <w:p w:rsidR="000A6A0D" w:rsidRPr="00426E1A" w:rsidRDefault="000A6A0D" w:rsidP="00064502">
            <w:pPr>
              <w:jc w:val="center"/>
              <w:rPr>
                <w:rFonts w:ascii="Calibri" w:eastAsia="Times New Roman" w:hAnsi="Calibri" w:cs="Times New Roman"/>
                <w:color w:val="000000"/>
              </w:rPr>
            </w:pPr>
            <w:r>
              <w:rPr>
                <w:rFonts w:ascii="Calibri" w:eastAsia="Times New Roman" w:hAnsi="Calibri" w:cs="Times New Roman"/>
                <w:color w:val="000000"/>
              </w:rPr>
              <w:lastRenderedPageBreak/>
              <w:t>An</w:t>
            </w:r>
          </w:p>
        </w:tc>
        <w:tc>
          <w:tcPr>
            <w:tcW w:w="1600" w:type="dxa"/>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productivitate companii studiate</w:t>
            </w:r>
            <w:r>
              <w:rPr>
                <w:rFonts w:ascii="Calibri" w:eastAsia="Times New Roman" w:hAnsi="Calibri" w:cs="Times New Roman"/>
                <w:color w:val="000000"/>
              </w:rPr>
              <w:t xml:space="preserve"> (lei)</w:t>
            </w:r>
          </w:p>
        </w:tc>
        <w:tc>
          <w:tcPr>
            <w:tcW w:w="1340" w:type="dxa"/>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UE 28</w:t>
            </w:r>
            <w:r w:rsidRPr="002F745E">
              <w:rPr>
                <w:rFonts w:ascii="Calibri" w:eastAsia="Times New Roman" w:hAnsi="Calibri" w:cs="Times New Roman"/>
                <w:color w:val="000000"/>
              </w:rPr>
              <w:br/>
              <w:t>(eur*ex. rate*nr ore anual)</w:t>
            </w:r>
            <w:r>
              <w:rPr>
                <w:rFonts w:ascii="Calibri" w:eastAsia="Times New Roman" w:hAnsi="Calibri" w:cs="Times New Roman"/>
                <w:color w:val="000000"/>
              </w:rPr>
              <w:t xml:space="preserve"> (lei)</w:t>
            </w:r>
          </w:p>
        </w:tc>
        <w:tc>
          <w:tcPr>
            <w:tcW w:w="1320" w:type="dxa"/>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UE 18 (eur*ex. rate*nr ore anual)</w:t>
            </w:r>
            <w:r>
              <w:rPr>
                <w:rFonts w:ascii="Calibri" w:eastAsia="Times New Roman" w:hAnsi="Calibri" w:cs="Times New Roman"/>
                <w:color w:val="000000"/>
              </w:rPr>
              <w:t xml:space="preserve"> (lei)</w:t>
            </w:r>
          </w:p>
        </w:tc>
        <w:tc>
          <w:tcPr>
            <w:tcW w:w="1360" w:type="dxa"/>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Romania</w:t>
            </w:r>
            <w:r>
              <w:rPr>
                <w:rFonts w:ascii="Calibri" w:eastAsia="Times New Roman" w:hAnsi="Calibri" w:cs="Times New Roman"/>
                <w:color w:val="000000"/>
              </w:rPr>
              <w:t xml:space="preserve"> (lei)</w:t>
            </w:r>
          </w:p>
        </w:tc>
      </w:tr>
      <w:tr w:rsidR="000A6A0D" w:rsidRPr="002F745E" w:rsidTr="00064502">
        <w:trPr>
          <w:trHeight w:val="300"/>
          <w:jc w:val="center"/>
        </w:trPr>
        <w:tc>
          <w:tcPr>
            <w:tcW w:w="937" w:type="dxa"/>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2010</w:t>
            </w:r>
          </w:p>
        </w:tc>
        <w:tc>
          <w:tcPr>
            <w:tcW w:w="1600" w:type="dxa"/>
            <w:noWrap/>
            <w:hideMark/>
          </w:tcPr>
          <w:p w:rsidR="000A6A0D" w:rsidRPr="004E1451" w:rsidRDefault="000A6A0D" w:rsidP="00064502">
            <w:pPr>
              <w:jc w:val="center"/>
            </w:pPr>
            <w:r w:rsidRPr="004E1451">
              <w:t>296.302,6</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262.504,0</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303.468,0</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46.640,0</w:t>
            </w:r>
          </w:p>
        </w:tc>
      </w:tr>
      <w:tr w:rsidR="000A6A0D" w:rsidRPr="002F745E" w:rsidTr="00064502">
        <w:trPr>
          <w:trHeight w:val="300"/>
          <w:jc w:val="center"/>
        </w:trPr>
        <w:tc>
          <w:tcPr>
            <w:tcW w:w="937" w:type="dxa"/>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2011</w:t>
            </w:r>
          </w:p>
        </w:tc>
        <w:tc>
          <w:tcPr>
            <w:tcW w:w="1600" w:type="dxa"/>
            <w:noWrap/>
            <w:hideMark/>
          </w:tcPr>
          <w:p w:rsidR="000A6A0D" w:rsidRPr="004E1451" w:rsidRDefault="000A6A0D" w:rsidP="00064502">
            <w:pPr>
              <w:jc w:val="center"/>
            </w:pPr>
            <w:r w:rsidRPr="004E1451">
              <w:t>318.992,7</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265.848,0</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306.812,0</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47.520,0</w:t>
            </w:r>
          </w:p>
        </w:tc>
      </w:tr>
      <w:tr w:rsidR="000A6A0D" w:rsidRPr="002F745E" w:rsidTr="00064502">
        <w:trPr>
          <w:trHeight w:val="300"/>
          <w:jc w:val="center"/>
        </w:trPr>
        <w:tc>
          <w:tcPr>
            <w:tcW w:w="937" w:type="dxa"/>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2012</w:t>
            </w:r>
          </w:p>
        </w:tc>
        <w:tc>
          <w:tcPr>
            <w:tcW w:w="1600" w:type="dxa"/>
            <w:noWrap/>
            <w:hideMark/>
          </w:tcPr>
          <w:p w:rsidR="000A6A0D" w:rsidRPr="004E1451" w:rsidRDefault="000A6A0D" w:rsidP="00064502">
            <w:pPr>
              <w:jc w:val="center"/>
            </w:pPr>
            <w:r w:rsidRPr="004E1451">
              <w:t>316.815,3</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266.684,0</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309.320,0</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47.520,0</w:t>
            </w:r>
          </w:p>
        </w:tc>
      </w:tr>
      <w:tr w:rsidR="000A6A0D" w:rsidRPr="002F745E" w:rsidTr="00064502">
        <w:trPr>
          <w:trHeight w:val="300"/>
          <w:jc w:val="center"/>
        </w:trPr>
        <w:tc>
          <w:tcPr>
            <w:tcW w:w="937" w:type="dxa"/>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2013</w:t>
            </w:r>
          </w:p>
        </w:tc>
        <w:tc>
          <w:tcPr>
            <w:tcW w:w="1600" w:type="dxa"/>
            <w:noWrap/>
            <w:hideMark/>
          </w:tcPr>
          <w:p w:rsidR="000A6A0D" w:rsidRPr="004E1451" w:rsidRDefault="000A6A0D" w:rsidP="00064502">
            <w:pPr>
              <w:jc w:val="center"/>
            </w:pPr>
            <w:r w:rsidRPr="004E1451">
              <w:t>335.777,4</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268.356,0</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311.828,0</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49.280,0</w:t>
            </w:r>
          </w:p>
        </w:tc>
      </w:tr>
      <w:tr w:rsidR="000A6A0D" w:rsidRPr="002F745E" w:rsidTr="00064502">
        <w:trPr>
          <w:trHeight w:val="300"/>
          <w:jc w:val="center"/>
        </w:trPr>
        <w:tc>
          <w:tcPr>
            <w:tcW w:w="937" w:type="dxa"/>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2014</w:t>
            </w:r>
          </w:p>
        </w:tc>
        <w:tc>
          <w:tcPr>
            <w:tcW w:w="1600" w:type="dxa"/>
            <w:noWrap/>
            <w:hideMark/>
          </w:tcPr>
          <w:p w:rsidR="000A6A0D" w:rsidRPr="004E1451" w:rsidRDefault="000A6A0D" w:rsidP="00064502">
            <w:pPr>
              <w:jc w:val="center"/>
            </w:pPr>
            <w:r w:rsidRPr="004E1451">
              <w:t>348.757,7</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271.954,1</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314.999,8</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55.128,5</w:t>
            </w:r>
          </w:p>
        </w:tc>
      </w:tr>
      <w:tr w:rsidR="000A6A0D" w:rsidRPr="002F745E" w:rsidTr="00064502">
        <w:trPr>
          <w:trHeight w:val="300"/>
          <w:jc w:val="center"/>
        </w:trPr>
        <w:tc>
          <w:tcPr>
            <w:tcW w:w="937" w:type="dxa"/>
          </w:tcPr>
          <w:p w:rsidR="000A6A0D" w:rsidRPr="00426E1A" w:rsidRDefault="000A6A0D" w:rsidP="00064502">
            <w:pPr>
              <w:jc w:val="center"/>
              <w:rPr>
                <w:rFonts w:ascii="Calibri" w:eastAsia="Times New Roman" w:hAnsi="Calibri" w:cs="Times New Roman"/>
                <w:color w:val="000000"/>
              </w:rPr>
            </w:pPr>
            <w:r w:rsidRPr="00426E1A">
              <w:rPr>
                <w:rFonts w:ascii="Calibri" w:eastAsia="Times New Roman" w:hAnsi="Calibri" w:cs="Times New Roman"/>
                <w:color w:val="000000"/>
              </w:rPr>
              <w:t>2015</w:t>
            </w:r>
          </w:p>
        </w:tc>
        <w:tc>
          <w:tcPr>
            <w:tcW w:w="1600" w:type="dxa"/>
            <w:noWrap/>
            <w:hideMark/>
          </w:tcPr>
          <w:p w:rsidR="000A6A0D" w:rsidRPr="004E1451" w:rsidRDefault="000A6A0D" w:rsidP="00064502">
            <w:pPr>
              <w:jc w:val="center"/>
            </w:pPr>
            <w:r w:rsidRPr="004E1451">
              <w:t>343.692,1</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274.316,7</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316.517,1</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57.460,5</w:t>
            </w:r>
          </w:p>
        </w:tc>
      </w:tr>
      <w:tr w:rsidR="000A6A0D" w:rsidRPr="002F745E" w:rsidTr="00064502">
        <w:trPr>
          <w:trHeight w:val="300"/>
          <w:jc w:val="center"/>
        </w:trPr>
        <w:tc>
          <w:tcPr>
            <w:tcW w:w="937" w:type="dxa"/>
          </w:tcPr>
          <w:p w:rsidR="000A6A0D" w:rsidRPr="002F745E" w:rsidRDefault="000A6A0D" w:rsidP="00064502">
            <w:pPr>
              <w:jc w:val="center"/>
              <w:rPr>
                <w:rFonts w:ascii="Calibri" w:eastAsia="Times New Roman" w:hAnsi="Calibri" w:cs="Times New Roman"/>
                <w:color w:val="000000"/>
              </w:rPr>
            </w:pPr>
            <w:r>
              <w:rPr>
                <w:rFonts w:ascii="Calibri" w:eastAsia="Times New Roman" w:hAnsi="Calibri" w:cs="Times New Roman"/>
                <w:color w:val="000000"/>
              </w:rPr>
              <w:t>Variatie</w:t>
            </w:r>
          </w:p>
        </w:tc>
        <w:tc>
          <w:tcPr>
            <w:tcW w:w="1600" w:type="dxa"/>
            <w:noWrap/>
            <w:hideMark/>
          </w:tcPr>
          <w:p w:rsidR="000A6A0D" w:rsidRDefault="000A6A0D" w:rsidP="00064502">
            <w:pPr>
              <w:jc w:val="center"/>
            </w:pPr>
            <w:r w:rsidRPr="004E1451">
              <w:t>116,0%</w:t>
            </w:r>
          </w:p>
        </w:tc>
        <w:tc>
          <w:tcPr>
            <w:tcW w:w="134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104,5%</w:t>
            </w:r>
          </w:p>
        </w:tc>
        <w:tc>
          <w:tcPr>
            <w:tcW w:w="132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104,3%</w:t>
            </w:r>
          </w:p>
        </w:tc>
        <w:tc>
          <w:tcPr>
            <w:tcW w:w="1360" w:type="dxa"/>
            <w:noWrap/>
            <w:hideMark/>
          </w:tcPr>
          <w:p w:rsidR="000A6A0D" w:rsidRPr="002F745E" w:rsidRDefault="000A6A0D" w:rsidP="00064502">
            <w:pPr>
              <w:jc w:val="center"/>
              <w:rPr>
                <w:rFonts w:ascii="Calibri" w:eastAsia="Times New Roman" w:hAnsi="Calibri" w:cs="Times New Roman"/>
                <w:color w:val="000000"/>
              </w:rPr>
            </w:pPr>
            <w:r w:rsidRPr="002F745E">
              <w:rPr>
                <w:rFonts w:ascii="Calibri" w:eastAsia="Times New Roman" w:hAnsi="Calibri" w:cs="Times New Roman"/>
                <w:color w:val="000000"/>
              </w:rPr>
              <w:t>123,2%</w:t>
            </w:r>
          </w:p>
        </w:tc>
      </w:tr>
    </w:tbl>
    <w:p w:rsidR="000A6A0D" w:rsidRPr="00AD600E" w:rsidRDefault="000A6A0D" w:rsidP="000A6A0D">
      <w:pPr>
        <w:spacing w:after="0" w:line="240" w:lineRule="auto"/>
        <w:ind w:left="708" w:firstLine="708"/>
        <w:rPr>
          <w:rFonts w:ascii="Arial Narrow" w:hAnsi="Arial Narrow"/>
          <w:b/>
          <w:sz w:val="20"/>
          <w:szCs w:val="20"/>
        </w:rPr>
      </w:pPr>
      <w:r w:rsidRPr="00AD600E">
        <w:rPr>
          <w:rFonts w:ascii="Arial Narrow" w:hAnsi="Arial Narrow"/>
          <w:b/>
          <w:sz w:val="20"/>
          <w:szCs w:val="20"/>
        </w:rPr>
        <w:t>Sursa date: Eurostat</w:t>
      </w:r>
      <w:r>
        <w:rPr>
          <w:rFonts w:ascii="Arial Narrow" w:hAnsi="Arial Narrow"/>
          <w:b/>
          <w:sz w:val="20"/>
          <w:szCs w:val="20"/>
        </w:rPr>
        <w:t xml:space="preserve"> si Ministerul de Finante</w:t>
      </w:r>
    </w:p>
    <w:p w:rsidR="000A6A0D" w:rsidRPr="00AD600E" w:rsidRDefault="000A6A0D" w:rsidP="000A6A0D">
      <w:pPr>
        <w:spacing w:after="0" w:line="240" w:lineRule="auto"/>
        <w:jc w:val="both"/>
        <w:rPr>
          <w:rFonts w:ascii="Arial Narrow" w:eastAsia="Times New Roman" w:hAnsi="Arial Narrow" w:cs="Times New Roman"/>
          <w:color w:val="000000"/>
          <w:sz w:val="24"/>
          <w:szCs w:val="24"/>
        </w:rPr>
      </w:pPr>
    </w:p>
    <w:p w:rsidR="000A6A0D" w:rsidRDefault="00BD7229" w:rsidP="000A6A0D">
      <w:pPr>
        <w:spacing w:after="0" w:line="240" w:lineRule="auto"/>
        <w:jc w:val="both"/>
        <w:rPr>
          <w:rFonts w:ascii="Arial Narrow" w:eastAsia="Times New Roman" w:hAnsi="Arial Narrow" w:cs="Times New Roman"/>
          <w:color w:val="000000"/>
          <w:sz w:val="24"/>
          <w:szCs w:val="24"/>
        </w:rPr>
      </w:pPr>
      <w:r w:rsidRPr="00BD7229">
        <w:rPr>
          <w:rFonts w:ascii="Arial Narrow" w:eastAsia="Times New Roman" w:hAnsi="Arial Narrow" w:cs="Times New Roman"/>
          <w:noProof/>
          <w:color w:val="000000"/>
          <w:sz w:val="24"/>
          <w:szCs w:val="24"/>
          <w:lang w:val="ro-RO" w:eastAsia="ro-RO"/>
        </w:rPr>
        <w:pict>
          <v:group id="Grup 43" o:spid="_x0000_s1110" style="position:absolute;left:0;text-align:left;margin-left:70.5pt;margin-top:346.5pt;width:139.5pt;height:378.75pt;z-index:-251602944;mso-position-horizontal-relative:page;mso-position-vertical-relative:page" coordsize="24758,101498" wrapcoords="348 0 348 1369 -116 2053 -116 21600 21716 21600 21716 2053 21135 1369 21135 0 3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">
            <v:rect id="AutoShape 14" o:spid="_x0000_s1111" style="position:absolute;top:9914;width:24758;height:9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v:textbox>
            </v:rect>
            <v:rect id="Rectangle 45" o:spid="_x0000_s1112"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v:textbox>
            </v:rect>
            <v:rect id="Rectangle 46" o:spid="_x0000_s111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v:textbox>
            </v:rect>
            <w10:wrap type="through" anchorx="page" anchory="page"/>
          </v:group>
        </w:pict>
      </w:r>
      <w:r w:rsidR="000A6A0D">
        <w:rPr>
          <w:rFonts w:ascii="Arial Narrow" w:eastAsia="Times New Roman" w:hAnsi="Arial Narrow" w:cs="Times New Roman"/>
          <w:color w:val="000000"/>
          <w:sz w:val="24"/>
          <w:szCs w:val="24"/>
        </w:rPr>
        <w:t xml:space="preserve">Din datele de mai sus se poate observa faptul ca productivitatea sectoriala regionala este sensibil mai mare mai mare decat productivitatea medie UE 28 (intre 112.88% si 128.24%) si, de asemenea, mai mare decatproductivitatea UE 18 (intre 97.64% si 110.72%). Diferenta este dramatica fata de competitivitatea medie din Romania, variind intre 598.14% si 681.37%.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Aceasta pozitionare nu este surprinzatoare. Depasirea nivelului mediu de productivitate UE 28 si UE 18 este explicabila in momentul examinarii termenilor de comparatie. Astfel industria aeronautica este o industrie cu valoare adaugata mare si puternic tehnologizata, care utlizeazaforta de munca inalt calificata si, ca atare, va depasiintotdeauna productivitatea medie a sectoarelor economice care activeaza pe un teritoriu dat. In lipsa altor date putem doar estima in mod rezonabil ca productivitatea medie a sectorului aeronautic european este considerabil mai mare decat productivitatea medie UE 28 sau UE 18 iar in aceste conditii raportul ar fi inversat.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Pe de alta parte, surprinzatoare este diferenta fata de productivitatea medie in Romania, sectorul studiat inregistrand rate de productivitate de 6 pana la aproape 7 ori mai mari. Acest ecart poate fi doar partial justificat prin sporul de tehnologizare asociat industriei aeronautice, care reduce utilizarea factorului munca. O contributie consistenta la diferenta de productivitate o au sectoarele in care persista probleme structurale gen industria cu capital de stat si agricultura.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De remarcat insa este si evolutia indicatorului productivitate in intervalul studiat. Daca cresterea agregata a productivitatii in perioada 2010 – 2015 este de 16 % pentru companiile studiate, cu aproximativ 12 pp peste rata de crestere agregata UE 28 si UE 18 (4.5%, si respectiv, 4.3%), fata de rata de crestere a productivitatii medii in Romania acest indicator este cu 7 pp mai mic (16% fata de 23.2%).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Perspectivele de dezvoltare ale industriei aeronautice regionale sunt certe. Pe langatendintele indicate de evolutiile din ultimii 6 ani, unde se poate observa cresterea continua a acestei industrii, i</w:t>
      </w:r>
      <w:r w:rsidRPr="00D50C98">
        <w:rPr>
          <w:rFonts w:ascii="Arial Narrow" w:eastAsia="Times New Roman" w:hAnsi="Arial Narrow" w:cs="Times New Roman"/>
          <w:color w:val="000000"/>
          <w:sz w:val="24"/>
          <w:szCs w:val="24"/>
        </w:rPr>
        <w:t xml:space="preserve">n vara anului 2014, între reprezentanții statului român și concernul european Airbus Helicopters a fost încheiat un  memorandum de înţelegere în baza căruia IAR Brașov va lua parte la producţia de elicoptere Super Puma MK1 produse de Airbus Helicopters. În cadrul acestui proiect firma românească trebuie să </w:t>
      </w:r>
      <w:r w:rsidRPr="00D50C98">
        <w:rPr>
          <w:rFonts w:ascii="Arial Narrow" w:eastAsia="Times New Roman" w:hAnsi="Arial Narrow" w:cs="Times New Roman"/>
          <w:color w:val="000000"/>
          <w:sz w:val="24"/>
          <w:szCs w:val="24"/>
        </w:rPr>
        <w:lastRenderedPageBreak/>
        <w:t>realizeze investiții de cca 11 milioane euro în următorii 3 ani</w:t>
      </w:r>
      <w:r>
        <w:rPr>
          <w:rFonts w:ascii="Arial Narrow" w:eastAsia="Times New Roman" w:hAnsi="Arial Narrow" w:cs="Times New Roman"/>
          <w:color w:val="000000"/>
          <w:sz w:val="24"/>
          <w:szCs w:val="24"/>
        </w:rPr>
        <w:t xml:space="preserve"> si</w:t>
      </w:r>
      <w:r w:rsidRPr="00D50C98">
        <w:rPr>
          <w:rFonts w:ascii="Arial Narrow" w:eastAsia="Times New Roman" w:hAnsi="Arial Narrow" w:cs="Times New Roman"/>
          <w:color w:val="000000"/>
          <w:sz w:val="24"/>
          <w:szCs w:val="24"/>
        </w:rPr>
        <w:t xml:space="preserve"> se are în vedere începerea dezvoltării pregătirii de fabricaţie a modelului C1e, şcolarizarea personalului şi construirea clădirilor, astfel încât în 2017 să iasă de pe linia de fabricaţie primul elicopter civil de tip C1e, urmată în 2018 de ieşirea de pe linia de fabricaţie a primului elicopter de tip militar, plus forma alungită a acestuia.</w:t>
      </w:r>
      <w:r>
        <w:rPr>
          <w:rFonts w:ascii="Arial Narrow" w:eastAsia="Times New Roman" w:hAnsi="Arial Narrow" w:cs="Times New Roman"/>
          <w:color w:val="000000"/>
          <w:sz w:val="24"/>
          <w:szCs w:val="24"/>
        </w:rPr>
        <w:t xml:space="preserve"> De altfel, pentru acest proiect a fost infiintata o noua companie, </w:t>
      </w:r>
      <w:r w:rsidRPr="00EB74D5">
        <w:rPr>
          <w:rFonts w:ascii="Arial Narrow" w:eastAsia="Times New Roman" w:hAnsi="Arial Narrow" w:cs="Times New Roman"/>
          <w:color w:val="000000"/>
          <w:sz w:val="24"/>
          <w:szCs w:val="24"/>
        </w:rPr>
        <w:t>SC Airbus Helicopter Industries SRL</w:t>
      </w:r>
      <w:r>
        <w:rPr>
          <w:rFonts w:ascii="Arial Narrow" w:eastAsia="Times New Roman" w:hAnsi="Arial Narrow" w:cs="Times New Roman"/>
          <w:color w:val="000000"/>
          <w:sz w:val="24"/>
          <w:szCs w:val="24"/>
        </w:rPr>
        <w:t xml:space="preserve">, care a primit si un ajutor de stat consistent din partea Ministerului de Finante prin </w:t>
      </w:r>
      <w:r w:rsidRPr="007B07B8">
        <w:rPr>
          <w:rFonts w:ascii="Arial Narrow" w:eastAsia="Times New Roman" w:hAnsi="Arial Narrow" w:cs="Times New Roman"/>
          <w:color w:val="000000"/>
          <w:sz w:val="24"/>
          <w:szCs w:val="24"/>
        </w:rPr>
        <w:t>H.G. nr.807/2014 pentru instituirea unei scheme de ajutor de stat având ca obiectiv stimularea investițiilor cu impact major în economie</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hAnsi="Arial Narrow"/>
          <w:sz w:val="24"/>
          <w:szCs w:val="24"/>
        </w:rPr>
      </w:pPr>
      <w:r>
        <w:rPr>
          <w:rFonts w:ascii="Arial Narrow" w:hAnsi="Arial Narrow"/>
          <w:sz w:val="24"/>
          <w:szCs w:val="24"/>
        </w:rPr>
        <w:t xml:space="preserve">In privinta capitalurilor, evolutia industriei aeronautice regionale este disociata de evolutia generala a economiei nationale. In perioada 2010 – 2015, valoarea activelor din bilanturile companiilor active in Romania a avut o valoare oscilanta, conform graficului de mai jos, ceea ce poate fi un semn ca investitiile au incetinit si, pe de alta parte, valoarea activelor se diminueaza la o rata mai mare, datorita amortizarilor, decat valoarea investitiilor noi, indiferent de resurse. Astfel, in timp ce, la finalul perioadei examinate, valoarea activelor la nivel national a crescut cu doar 11% fata de 2010, scazand cu 25 de pp fata de 2015, in sectorul aeronautic regional cresterea agregata a fost de 247% iar evolutia 2015 fata de 2014 inregistreaza o crestere cu 44 pp.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Pr="0003283F" w:rsidRDefault="000A6A0D" w:rsidP="000A6A0D">
      <w:pPr>
        <w:pStyle w:val="Legend"/>
        <w:keepNext/>
        <w:jc w:val="both"/>
        <w:rPr>
          <w:rFonts w:ascii="Arial Narrow" w:hAnsi="Arial Narrow"/>
          <w:color w:val="auto"/>
          <w:sz w:val="22"/>
          <w:szCs w:val="22"/>
        </w:rPr>
      </w:pPr>
      <w:r w:rsidRPr="0003283F">
        <w:rPr>
          <w:rFonts w:ascii="Arial Narrow" w:hAnsi="Arial Narrow"/>
          <w:color w:val="auto"/>
          <w:sz w:val="22"/>
          <w:szCs w:val="22"/>
        </w:rPr>
        <w:t>Evolutia activelor in bilanturi</w:t>
      </w: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noProof/>
          <w:color w:val="000000"/>
          <w:sz w:val="24"/>
          <w:szCs w:val="24"/>
        </w:rPr>
        <w:drawing>
          <wp:inline distT="0" distB="0" distL="0" distR="0">
            <wp:extent cx="5486400" cy="2438400"/>
            <wp:effectExtent l="0" t="0" r="19050" b="19050"/>
            <wp:docPr id="61"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6A0D" w:rsidRPr="0003283F" w:rsidRDefault="000A6A0D" w:rsidP="000A6A0D">
      <w:pPr>
        <w:spacing w:after="0" w:line="240" w:lineRule="auto"/>
        <w:jc w:val="both"/>
        <w:rPr>
          <w:rFonts w:ascii="Arial Narrow" w:eastAsia="Times New Roman" w:hAnsi="Arial Narrow" w:cs="Times New Roman"/>
          <w:b/>
          <w:color w:val="000000"/>
          <w:sz w:val="20"/>
          <w:szCs w:val="20"/>
        </w:rPr>
      </w:pPr>
      <w:r w:rsidRPr="0003283F">
        <w:rPr>
          <w:rFonts w:ascii="Arial Narrow" w:eastAsia="Times New Roman" w:hAnsi="Arial Narrow" w:cs="Times New Roman"/>
          <w:b/>
          <w:color w:val="000000"/>
          <w:sz w:val="20"/>
          <w:szCs w:val="20"/>
        </w:rPr>
        <w:t>Sursa</w:t>
      </w:r>
      <w:r>
        <w:rPr>
          <w:rFonts w:ascii="Arial Narrow" w:eastAsia="Times New Roman" w:hAnsi="Arial Narrow" w:cs="Times New Roman"/>
          <w:b/>
          <w:color w:val="000000"/>
          <w:sz w:val="20"/>
          <w:szCs w:val="20"/>
        </w:rPr>
        <w:t>:</w:t>
      </w:r>
      <w:r w:rsidRPr="0003283F">
        <w:rPr>
          <w:rFonts w:ascii="Arial Narrow" w:eastAsia="Times New Roman" w:hAnsi="Arial Narrow" w:cs="Times New Roman"/>
          <w:b/>
          <w:color w:val="000000"/>
          <w:sz w:val="20"/>
          <w:szCs w:val="20"/>
        </w:rPr>
        <w:t xml:space="preserve"> Ziarul Financiar si Ministerul Finantelor Publice</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Un alt element de analiza relevant este situarea acestui sector regional in context national, respectiv compararea datelor industriei aeronautice regionale cu performantele industriei aeronautice nationale.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In Romania exista doar doua locatii care se califica la nivel TIER I in lantul valoric, respectiv viitoarea capacitate de productie a elicopterelor de la Ghimbav si Avioane Craiova SA, fabricant de aeronave de lupta subsonice.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Prezentarea industriei aeronautice romanesti realizata de Guvernul Romaniei si publicata pe site-ul </w:t>
      </w:r>
      <w:hyperlink r:id="rId16" w:history="1">
        <w:r w:rsidRPr="00355E82">
          <w:rPr>
            <w:rStyle w:val="Hyperlink"/>
            <w:rFonts w:ascii="Arial Narrow" w:eastAsia="Times New Roman" w:hAnsi="Arial Narrow" w:cs="Times New Roman"/>
            <w:sz w:val="24"/>
            <w:szCs w:val="24"/>
          </w:rPr>
          <w:t>http://investromania.gov.ro/</w:t>
        </w:r>
      </w:hyperlink>
      <w:r>
        <w:rPr>
          <w:rFonts w:ascii="Arial Narrow" w:eastAsia="Times New Roman" w:hAnsi="Arial Narrow" w:cs="Times New Roman"/>
          <w:color w:val="000000"/>
          <w:sz w:val="24"/>
          <w:szCs w:val="24"/>
        </w:rPr>
        <w:t>oferaurmatoarele date valabile la 2014:</w:t>
      </w:r>
    </w:p>
    <w:p w:rsidR="000A6A0D" w:rsidRDefault="000A6A0D" w:rsidP="000A6A0D">
      <w:pPr>
        <w:pStyle w:val="Listparagraf"/>
        <w:numPr>
          <w:ilvl w:val="0"/>
          <w:numId w:val="15"/>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31 de companii active</w:t>
      </w:r>
    </w:p>
    <w:p w:rsidR="000A6A0D" w:rsidRDefault="000A6A0D" w:rsidP="000A6A0D">
      <w:pPr>
        <w:pStyle w:val="Listparagraf"/>
        <w:numPr>
          <w:ilvl w:val="0"/>
          <w:numId w:val="15"/>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400 milioane euro cifra de afaceri</w:t>
      </w:r>
    </w:p>
    <w:p w:rsidR="000A6A0D" w:rsidRDefault="000A6A0D" w:rsidP="000A6A0D">
      <w:pPr>
        <w:pStyle w:val="Listparagraf"/>
        <w:numPr>
          <w:ilvl w:val="0"/>
          <w:numId w:val="15"/>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6426 de angajati</w:t>
      </w:r>
    </w:p>
    <w:p w:rsidR="000A6A0D" w:rsidRDefault="000A6A0D" w:rsidP="000A6A0D">
      <w:pPr>
        <w:pStyle w:val="Listparagraf"/>
        <w:numPr>
          <w:ilvl w:val="0"/>
          <w:numId w:val="15"/>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peste 60,2 de milioane euro profit brut</w:t>
      </w:r>
    </w:p>
    <w:p w:rsidR="000A6A0D" w:rsidRDefault="000A6A0D" w:rsidP="000A6A0D">
      <w:pPr>
        <w:pStyle w:val="Listparagraf"/>
        <w:numPr>
          <w:ilvl w:val="0"/>
          <w:numId w:val="15"/>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rata profitului in 2014 – 12%</w:t>
      </w:r>
    </w:p>
    <w:p w:rsidR="000A6A0D" w:rsidRDefault="000A6A0D" w:rsidP="000A6A0D">
      <w:pPr>
        <w:pStyle w:val="Listparagraf"/>
        <w:numPr>
          <w:ilvl w:val="0"/>
          <w:numId w:val="15"/>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productivitate 2014 – 56.800 euro / angajat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Pr="00035E10" w:rsidRDefault="000A6A0D" w:rsidP="000A6A0D">
      <w:pPr>
        <w:spacing w:after="0" w:line="240" w:lineRule="auto"/>
        <w:jc w:val="both"/>
        <w:rPr>
          <w:rFonts w:ascii="Arial Narrow" w:eastAsia="Times New Roman" w:hAnsi="Arial Narrow" w:cs="Times New Roman"/>
          <w:b/>
          <w:color w:val="000000"/>
          <w:sz w:val="24"/>
          <w:szCs w:val="24"/>
        </w:rPr>
      </w:pPr>
      <w:r w:rsidRPr="00035E10">
        <w:rPr>
          <w:rFonts w:ascii="Arial Narrow" w:eastAsia="Times New Roman" w:hAnsi="Arial Narrow" w:cs="Times New Roman"/>
          <w:b/>
          <w:color w:val="000000"/>
          <w:sz w:val="24"/>
          <w:szCs w:val="24"/>
        </w:rPr>
        <w:t>Prezentare comparativa - 2014</w:t>
      </w:r>
    </w:p>
    <w:tbl>
      <w:tblPr>
        <w:tblStyle w:val="AntetCaracter"/>
        <w:tblW w:w="0" w:type="auto"/>
        <w:tblLook w:val="04A0"/>
      </w:tblPr>
      <w:tblGrid>
        <w:gridCol w:w="3096"/>
        <w:gridCol w:w="3096"/>
        <w:gridCol w:w="3096"/>
      </w:tblGrid>
      <w:tr w:rsidR="000A6A0D" w:rsidTr="00064502">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National</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Regiunea Centru</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Regional/national</w:t>
            </w:r>
          </w:p>
        </w:tc>
      </w:tr>
      <w:tr w:rsidR="000A6A0D" w:rsidTr="00064502">
        <w:tc>
          <w:tcPr>
            <w:tcW w:w="3096" w:type="dxa"/>
          </w:tcPr>
          <w:p w:rsidR="000A6A0D" w:rsidRPr="008A317A" w:rsidRDefault="000A6A0D" w:rsidP="00064502">
            <w:pPr>
              <w:jc w:val="both"/>
              <w:rPr>
                <w:rFonts w:ascii="Arial Narrow" w:eastAsia="Times New Roman" w:hAnsi="Arial Narrow" w:cs="Times New Roman"/>
                <w:b/>
                <w:color w:val="000000"/>
              </w:rPr>
            </w:pPr>
            <w:r w:rsidRPr="008A317A">
              <w:rPr>
                <w:rFonts w:ascii="Arial Narrow" w:eastAsia="Times New Roman" w:hAnsi="Arial Narrow" w:cs="Times New Roman"/>
                <w:b/>
                <w:color w:val="000000"/>
              </w:rPr>
              <w:t>31 de companii active</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14 companii active</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Pondere regionala 45.16%</w:t>
            </w:r>
          </w:p>
        </w:tc>
      </w:tr>
      <w:tr w:rsidR="000A6A0D" w:rsidTr="00064502">
        <w:tc>
          <w:tcPr>
            <w:tcW w:w="3096" w:type="dxa"/>
          </w:tcPr>
          <w:p w:rsidR="000A6A0D" w:rsidRPr="008A317A" w:rsidRDefault="000A6A0D" w:rsidP="00064502">
            <w:pPr>
              <w:jc w:val="both"/>
              <w:rPr>
                <w:rFonts w:ascii="Arial Narrow" w:eastAsia="Times New Roman" w:hAnsi="Arial Narrow" w:cs="Times New Roman"/>
                <w:b/>
                <w:color w:val="000000"/>
              </w:rPr>
            </w:pPr>
            <w:r w:rsidRPr="008A317A">
              <w:rPr>
                <w:rFonts w:ascii="Arial Narrow" w:eastAsia="Times New Roman" w:hAnsi="Arial Narrow" w:cs="Times New Roman"/>
                <w:b/>
                <w:color w:val="000000"/>
              </w:rPr>
              <w:t>400 milioane euro cifra de afaceri</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112,32 milioane euro cifra de afaceri</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Pondere regionala 28.08%</w:t>
            </w:r>
          </w:p>
        </w:tc>
      </w:tr>
      <w:tr w:rsidR="000A6A0D" w:rsidTr="00064502">
        <w:tc>
          <w:tcPr>
            <w:tcW w:w="3096" w:type="dxa"/>
          </w:tcPr>
          <w:p w:rsidR="000A6A0D" w:rsidRPr="008A317A" w:rsidRDefault="000A6A0D" w:rsidP="00064502">
            <w:pPr>
              <w:jc w:val="both"/>
              <w:rPr>
                <w:rFonts w:ascii="Arial Narrow" w:eastAsia="Times New Roman" w:hAnsi="Arial Narrow" w:cs="Times New Roman"/>
                <w:b/>
                <w:color w:val="000000"/>
              </w:rPr>
            </w:pPr>
            <w:r w:rsidRPr="008A317A">
              <w:rPr>
                <w:rFonts w:ascii="Arial Narrow" w:eastAsia="Times New Roman" w:hAnsi="Arial Narrow" w:cs="Times New Roman"/>
                <w:b/>
                <w:color w:val="000000"/>
              </w:rPr>
              <w:t>6426 de angajati</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1417 angajati</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Pondere regionala 22,05%</w:t>
            </w:r>
          </w:p>
        </w:tc>
      </w:tr>
      <w:tr w:rsidR="000A6A0D" w:rsidTr="00064502">
        <w:tc>
          <w:tcPr>
            <w:tcW w:w="3096" w:type="dxa"/>
          </w:tcPr>
          <w:p w:rsidR="000A6A0D" w:rsidRPr="008A317A" w:rsidRDefault="000A6A0D" w:rsidP="00064502">
            <w:pPr>
              <w:jc w:val="both"/>
              <w:rPr>
                <w:rFonts w:ascii="Arial Narrow" w:eastAsia="Times New Roman" w:hAnsi="Arial Narrow" w:cs="Times New Roman"/>
                <w:b/>
                <w:color w:val="000000"/>
              </w:rPr>
            </w:pPr>
            <w:r w:rsidRPr="008A317A">
              <w:rPr>
                <w:rFonts w:ascii="Arial Narrow" w:eastAsia="Times New Roman" w:hAnsi="Arial Narrow" w:cs="Times New Roman"/>
                <w:b/>
                <w:color w:val="000000"/>
              </w:rPr>
              <w:t>60,2 de milioane euro profit brut</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17,4 milioane euro profit brut</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Pondere regionala 28.9%</w:t>
            </w:r>
          </w:p>
        </w:tc>
      </w:tr>
      <w:tr w:rsidR="000A6A0D" w:rsidTr="00064502">
        <w:tc>
          <w:tcPr>
            <w:tcW w:w="3096" w:type="dxa"/>
          </w:tcPr>
          <w:p w:rsidR="000A6A0D" w:rsidRPr="008A317A" w:rsidRDefault="000A6A0D" w:rsidP="00064502">
            <w:pPr>
              <w:jc w:val="both"/>
              <w:rPr>
                <w:rFonts w:ascii="Arial Narrow" w:eastAsia="Times New Roman" w:hAnsi="Arial Narrow" w:cs="Times New Roman"/>
                <w:b/>
                <w:color w:val="000000"/>
              </w:rPr>
            </w:pPr>
            <w:r w:rsidRPr="008A317A">
              <w:rPr>
                <w:rFonts w:ascii="Arial Narrow" w:eastAsia="Times New Roman" w:hAnsi="Arial Narrow" w:cs="Times New Roman"/>
                <w:b/>
                <w:color w:val="000000"/>
              </w:rPr>
              <w:t>rata profitului in 2014 – 12%</w:t>
            </w:r>
          </w:p>
          <w:p w:rsidR="000A6A0D" w:rsidRPr="008A317A" w:rsidRDefault="000A6A0D" w:rsidP="00064502">
            <w:pPr>
              <w:jc w:val="both"/>
              <w:rPr>
                <w:rFonts w:ascii="Arial Narrow" w:eastAsia="Times New Roman" w:hAnsi="Arial Narrow" w:cs="Times New Roman"/>
                <w:b/>
                <w:color w:val="000000"/>
              </w:rPr>
            </w:pP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rata profitului in 2014 – 17.57%</w:t>
            </w:r>
          </w:p>
          <w:p w:rsidR="000A6A0D" w:rsidRPr="008A317A" w:rsidRDefault="000A6A0D" w:rsidP="00064502">
            <w:pPr>
              <w:jc w:val="both"/>
              <w:rPr>
                <w:rFonts w:ascii="Arial Narrow" w:eastAsia="Times New Roman" w:hAnsi="Arial Narrow" w:cs="Times New Roman"/>
                <w:color w:val="000000"/>
              </w:rPr>
            </w:pP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146.42% din media nationala (</w:t>
            </w:r>
            <w:r w:rsidRPr="008A317A">
              <w:rPr>
                <w:rFonts w:ascii="Arial Narrow" w:eastAsia="Times New Roman" w:hAnsi="Arial Narrow" w:cs="Times New Roman"/>
                <w:i/>
                <w:color w:val="000000"/>
              </w:rPr>
              <w:t>calculul s-a realizat la profit net cumulat</w:t>
            </w:r>
            <w:r w:rsidRPr="008A317A">
              <w:rPr>
                <w:rFonts w:ascii="Arial Narrow" w:eastAsia="Times New Roman" w:hAnsi="Arial Narrow" w:cs="Times New Roman"/>
                <w:color w:val="000000"/>
              </w:rPr>
              <w:t>)</w:t>
            </w:r>
          </w:p>
        </w:tc>
      </w:tr>
      <w:tr w:rsidR="000A6A0D" w:rsidTr="00064502">
        <w:tc>
          <w:tcPr>
            <w:tcW w:w="3096" w:type="dxa"/>
          </w:tcPr>
          <w:p w:rsidR="000A6A0D" w:rsidRPr="008A317A" w:rsidRDefault="000A6A0D" w:rsidP="00064502">
            <w:pPr>
              <w:jc w:val="both"/>
              <w:rPr>
                <w:rFonts w:ascii="Arial Narrow" w:eastAsia="Times New Roman" w:hAnsi="Arial Narrow" w:cs="Times New Roman"/>
                <w:b/>
                <w:color w:val="000000"/>
              </w:rPr>
            </w:pPr>
            <w:r w:rsidRPr="008A317A">
              <w:rPr>
                <w:rFonts w:ascii="Arial Narrow" w:eastAsia="Times New Roman" w:hAnsi="Arial Narrow" w:cs="Times New Roman"/>
                <w:b/>
                <w:color w:val="000000"/>
              </w:rPr>
              <w:t>productivitate 2014 – 56.800 euro / angajat</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productivitate 2014 – 79.263 euro / angajat</w:t>
            </w:r>
          </w:p>
        </w:tc>
        <w:tc>
          <w:tcPr>
            <w:tcW w:w="3096" w:type="dxa"/>
          </w:tcPr>
          <w:p w:rsidR="000A6A0D" w:rsidRPr="008A317A" w:rsidRDefault="000A6A0D" w:rsidP="00064502">
            <w:pPr>
              <w:jc w:val="both"/>
              <w:rPr>
                <w:rFonts w:ascii="Arial Narrow" w:eastAsia="Times New Roman" w:hAnsi="Arial Narrow" w:cs="Times New Roman"/>
                <w:color w:val="000000"/>
              </w:rPr>
            </w:pPr>
            <w:r w:rsidRPr="008A317A">
              <w:rPr>
                <w:rFonts w:ascii="Arial Narrow" w:eastAsia="Times New Roman" w:hAnsi="Arial Narrow" w:cs="Times New Roman"/>
                <w:color w:val="000000"/>
              </w:rPr>
              <w:t>139.55% din media nationala</w:t>
            </w:r>
          </w:p>
        </w:tc>
      </w:tr>
    </w:tbl>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Se poate observa din prezentarea de mai sus atat ponderea semnificativa a Regiunii Centru in industria aeronautica nationala cat si performatele superioare obtinute de acest sector industrial in Regiune, mai ales in termeni de rata a profitului si productivitate.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Un alt tip de analiza a unui sector industrial pe un teritoriu dat este examinarea lantului valoric, respectiv identificarea operatorilor economici si contributia lor in etapele definite de dezvoltare a unui produs finit, gata de livrare catre consumatorul final.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Conform companiei de consultanta Frost&amp;Sullivan, lantul valoric in industria aeronautica cuprinde 4 mari categorii de operatori economici.</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Pr="00E65458" w:rsidRDefault="000A6A0D" w:rsidP="000A6A0D">
      <w:pPr>
        <w:spacing w:after="0" w:line="240" w:lineRule="auto"/>
        <w:jc w:val="both"/>
        <w:rPr>
          <w:rFonts w:ascii="Arial Narrow" w:eastAsia="Times New Roman" w:hAnsi="Arial Narrow" w:cs="Times New Roman"/>
          <w:b/>
          <w:color w:val="000000"/>
          <w:sz w:val="20"/>
          <w:szCs w:val="20"/>
          <w:u w:val="single"/>
        </w:rPr>
      </w:pPr>
      <w:r w:rsidRPr="00E65458">
        <w:rPr>
          <w:rFonts w:ascii="Arial Narrow" w:eastAsia="Times New Roman" w:hAnsi="Arial Narrow" w:cs="Times New Roman"/>
          <w:b/>
          <w:color w:val="000000"/>
          <w:sz w:val="20"/>
          <w:szCs w:val="20"/>
          <w:u w:val="single"/>
        </w:rPr>
        <w:t>Fig.: Lanțul valoric al industriei aeronautice</w:t>
      </w:r>
    </w:p>
    <w:p w:rsidR="000A6A0D" w:rsidRPr="004244E9" w:rsidRDefault="000A6A0D" w:rsidP="000A6A0D">
      <w:pPr>
        <w:spacing w:after="0" w:line="240" w:lineRule="auto"/>
        <w:jc w:val="both"/>
        <w:rPr>
          <w:rFonts w:ascii="Arial Narrow" w:eastAsia="Times New Roman" w:hAnsi="Arial Narrow" w:cs="Times New Roman"/>
          <w:b/>
          <w:color w:val="000000"/>
          <w:sz w:val="24"/>
          <w:szCs w:val="24"/>
          <w:u w:val="single"/>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noProof/>
          <w:color w:val="000000"/>
          <w:sz w:val="24"/>
          <w:szCs w:val="24"/>
        </w:rPr>
        <w:lastRenderedPageBreak/>
        <w:drawing>
          <wp:inline distT="0" distB="0" distL="0" distR="0">
            <wp:extent cx="5486400" cy="4524375"/>
            <wp:effectExtent l="38100" t="0" r="38100" b="0"/>
            <wp:docPr id="62" name="Nomogramă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Pr="00E65458" w:rsidRDefault="000A6A0D" w:rsidP="000A6A0D">
      <w:pPr>
        <w:spacing w:after="0" w:line="240" w:lineRule="auto"/>
        <w:jc w:val="both"/>
        <w:rPr>
          <w:rFonts w:ascii="Arial Narrow" w:eastAsia="Times New Roman" w:hAnsi="Arial Narrow" w:cs="Times New Roman"/>
          <w:b/>
          <w:color w:val="000000"/>
          <w:sz w:val="20"/>
          <w:szCs w:val="20"/>
        </w:rPr>
      </w:pPr>
      <w:r w:rsidRPr="00E65458">
        <w:rPr>
          <w:rFonts w:ascii="Arial Narrow" w:eastAsia="Times New Roman" w:hAnsi="Arial Narrow" w:cs="Times New Roman"/>
          <w:b/>
          <w:color w:val="000000"/>
          <w:sz w:val="20"/>
          <w:szCs w:val="20"/>
        </w:rPr>
        <w:t>Tabel: distributia in lantul valoric a operatorilor economici identificati</w:t>
      </w:r>
    </w:p>
    <w:tbl>
      <w:tblPr>
        <w:tblStyle w:val="AntetCaract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322"/>
        <w:gridCol w:w="2322"/>
        <w:gridCol w:w="2322"/>
        <w:gridCol w:w="2322"/>
      </w:tblGrid>
      <w:tr w:rsidR="000A6A0D" w:rsidTr="00064502">
        <w:tc>
          <w:tcPr>
            <w:tcW w:w="2322" w:type="dxa"/>
          </w:tcPr>
          <w:p w:rsidR="000A6A0D" w:rsidRDefault="000A6A0D" w:rsidP="00064502">
            <w:pPr>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Tier IV</w:t>
            </w:r>
          </w:p>
        </w:tc>
        <w:tc>
          <w:tcPr>
            <w:tcW w:w="2322" w:type="dxa"/>
          </w:tcPr>
          <w:p w:rsidR="000A6A0D" w:rsidRDefault="000A6A0D" w:rsidP="00064502">
            <w:pPr>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Tier III</w:t>
            </w:r>
          </w:p>
        </w:tc>
        <w:tc>
          <w:tcPr>
            <w:tcW w:w="2322" w:type="dxa"/>
          </w:tcPr>
          <w:p w:rsidR="000A6A0D" w:rsidRDefault="000A6A0D" w:rsidP="00064502">
            <w:pPr>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Tier II</w:t>
            </w:r>
          </w:p>
        </w:tc>
        <w:tc>
          <w:tcPr>
            <w:tcW w:w="2322" w:type="dxa"/>
          </w:tcPr>
          <w:p w:rsidR="000A6A0D" w:rsidRDefault="000A6A0D" w:rsidP="00064502">
            <w:pPr>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Tier I</w:t>
            </w:r>
          </w:p>
        </w:tc>
      </w:tr>
      <w:tr w:rsidR="000A6A0D" w:rsidTr="00064502">
        <w:tc>
          <w:tcPr>
            <w:tcW w:w="2322" w:type="dxa"/>
          </w:tcPr>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IAR SA</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Airbus Elicopter Romania SA</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Premium Aerotec SRL</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Novae Aerospace Romania SRL</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Aero Part Expert SRL</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Aeroq NDT SRL</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Compozite SRL</w:t>
            </w:r>
          </w:p>
          <w:p w:rsidR="000A6A0D" w:rsidRPr="008608CD" w:rsidRDefault="000A6A0D" w:rsidP="000A6A0D">
            <w:pPr>
              <w:pStyle w:val="Listparagraf"/>
              <w:numPr>
                <w:ilvl w:val="0"/>
                <w:numId w:val="13"/>
              </w:numPr>
              <w:rPr>
                <w:rFonts w:ascii="Arial Narrow" w:eastAsia="Times New Roman" w:hAnsi="Arial Narrow" w:cs="Times New Roman"/>
                <w:b/>
                <w:color w:val="000000"/>
                <w:sz w:val="24"/>
                <w:szCs w:val="24"/>
              </w:rPr>
            </w:pPr>
            <w:r w:rsidRPr="008608CD">
              <w:rPr>
                <w:rFonts w:ascii="Arial Narrow" w:eastAsia="Times New Roman" w:hAnsi="Arial Narrow" w:cs="Times New Roman"/>
                <w:b/>
                <w:color w:val="000000"/>
                <w:sz w:val="24"/>
                <w:szCs w:val="24"/>
              </w:rPr>
              <w:t>SC B.W.B Surface Technology SRL</w:t>
            </w:r>
          </w:p>
          <w:p w:rsidR="000A6A0D" w:rsidRPr="00D76973" w:rsidRDefault="000A6A0D" w:rsidP="000A6A0D">
            <w:pPr>
              <w:pStyle w:val="Listparagraf"/>
              <w:numPr>
                <w:ilvl w:val="0"/>
                <w:numId w:val="13"/>
              </w:numPr>
              <w:rPr>
                <w:rFonts w:ascii="Arial Narrow" w:eastAsia="Times New Roman" w:hAnsi="Arial Narrow" w:cs="Times New Roman"/>
                <w:color w:val="000000"/>
                <w:sz w:val="24"/>
                <w:szCs w:val="24"/>
              </w:rPr>
            </w:pPr>
            <w:r w:rsidRPr="008608CD">
              <w:rPr>
                <w:rFonts w:ascii="Arial Narrow" w:eastAsia="Times New Roman" w:hAnsi="Arial Narrow" w:cs="Times New Roman"/>
                <w:b/>
                <w:color w:val="000000"/>
                <w:sz w:val="24"/>
                <w:szCs w:val="24"/>
              </w:rPr>
              <w:lastRenderedPageBreak/>
              <w:t>SC AeroMeca SRL</w:t>
            </w:r>
          </w:p>
          <w:p w:rsidR="000A6A0D" w:rsidRPr="00D76973" w:rsidRDefault="000A6A0D" w:rsidP="000A6A0D">
            <w:pPr>
              <w:pStyle w:val="Listparagraf"/>
              <w:numPr>
                <w:ilvl w:val="0"/>
                <w:numId w:val="13"/>
              </w:numPr>
              <w:rPr>
                <w:rFonts w:ascii="Arial Narrow" w:eastAsia="Times New Roman" w:hAnsi="Arial Narrow" w:cs="Times New Roman"/>
                <w:b/>
                <w:color w:val="000000"/>
                <w:sz w:val="24"/>
                <w:szCs w:val="24"/>
              </w:rPr>
            </w:pPr>
            <w:r w:rsidRPr="00D76973">
              <w:rPr>
                <w:rFonts w:ascii="Arial Narrow" w:eastAsia="Times New Roman" w:hAnsi="Arial Narrow" w:cs="Times New Roman"/>
                <w:b/>
                <w:color w:val="000000"/>
                <w:sz w:val="24"/>
                <w:szCs w:val="24"/>
              </w:rPr>
              <w:t>SC Anjou Aeronautique SRL</w:t>
            </w:r>
          </w:p>
        </w:tc>
        <w:tc>
          <w:tcPr>
            <w:tcW w:w="2322" w:type="dxa"/>
          </w:tcPr>
          <w:p w:rsidR="000A6A0D"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lastRenderedPageBreak/>
              <w:t>SC IAR SA</w:t>
            </w:r>
          </w:p>
          <w:p w:rsidR="000A6A0D"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Aernnova European Components SRL</w:t>
            </w:r>
          </w:p>
          <w:p w:rsidR="000A6A0D"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Premium Aerotec SRL</w:t>
            </w:r>
          </w:p>
          <w:p w:rsidR="000A6A0D"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Nuarb SRL</w:t>
            </w:r>
          </w:p>
          <w:p w:rsidR="000A6A0D"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Novae Aerospace Romania SRL</w:t>
            </w:r>
          </w:p>
          <w:p w:rsidR="000A6A0D" w:rsidRPr="008D4904" w:rsidRDefault="000A6A0D" w:rsidP="000A6A0D">
            <w:pPr>
              <w:pStyle w:val="Listparagraf"/>
              <w:numPr>
                <w:ilvl w:val="0"/>
                <w:numId w:val="13"/>
              </w:numPr>
              <w:rPr>
                <w:rFonts w:ascii="Arial Narrow" w:eastAsia="Times New Roman" w:hAnsi="Arial Narrow" w:cs="Times New Roman"/>
                <w:color w:val="000000"/>
                <w:sz w:val="24"/>
                <w:szCs w:val="24"/>
              </w:rPr>
            </w:pPr>
            <w:r w:rsidRPr="00D76973">
              <w:rPr>
                <w:rFonts w:ascii="Arial Narrow" w:eastAsia="Times New Roman" w:hAnsi="Arial Narrow" w:cs="Times New Roman"/>
                <w:color w:val="000000"/>
                <w:sz w:val="24"/>
                <w:szCs w:val="24"/>
              </w:rPr>
              <w:t>SC AeronamicEastern Europe SRL</w:t>
            </w:r>
          </w:p>
        </w:tc>
        <w:tc>
          <w:tcPr>
            <w:tcW w:w="2322" w:type="dxa"/>
          </w:tcPr>
          <w:p w:rsidR="000A6A0D"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IAR SA</w:t>
            </w:r>
          </w:p>
          <w:p w:rsidR="000A6A0D" w:rsidRPr="004244E9" w:rsidRDefault="000A6A0D" w:rsidP="000A6A0D">
            <w:pPr>
              <w:pStyle w:val="Listparagraf"/>
              <w:numPr>
                <w:ilvl w:val="0"/>
                <w:numId w:val="13"/>
              </w:numP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Aernnova European Components SRL</w:t>
            </w:r>
          </w:p>
        </w:tc>
        <w:tc>
          <w:tcPr>
            <w:tcW w:w="2322" w:type="dxa"/>
          </w:tcPr>
          <w:p w:rsidR="000A6A0D" w:rsidRPr="004244E9" w:rsidRDefault="000A6A0D" w:rsidP="000A6A0D">
            <w:pPr>
              <w:pStyle w:val="Listparagraf"/>
              <w:numPr>
                <w:ilvl w:val="0"/>
                <w:numId w:val="13"/>
              </w:numPr>
              <w:rPr>
                <w:rFonts w:ascii="Arial Narrow" w:eastAsia="Times New Roman" w:hAnsi="Arial Narrow" w:cs="Times New Roman"/>
                <w:color w:val="000000"/>
                <w:sz w:val="24"/>
                <w:szCs w:val="24"/>
              </w:rPr>
            </w:pPr>
            <w:r w:rsidRPr="004244E9">
              <w:rPr>
                <w:rFonts w:ascii="Arial Narrow" w:eastAsia="Times New Roman" w:hAnsi="Arial Narrow" w:cs="Times New Roman"/>
                <w:color w:val="000000"/>
                <w:sz w:val="24"/>
                <w:szCs w:val="24"/>
              </w:rPr>
              <w:t>SC Airbus Helicopter Industrie SRL</w:t>
            </w:r>
            <w:r>
              <w:rPr>
                <w:rFonts w:ascii="Arial Narrow" w:eastAsia="Times New Roman" w:hAnsi="Arial Narrow" w:cs="Times New Roman"/>
                <w:color w:val="000000"/>
                <w:sz w:val="24"/>
                <w:szCs w:val="24"/>
              </w:rPr>
              <w:t xml:space="preserve"> (proiect de productie elicoptere din 2017)</w:t>
            </w:r>
          </w:p>
        </w:tc>
      </w:tr>
    </w:tbl>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Alocarea operatorilor economici in lantul valoric s-a realizat tinand cont de clasificarea propusa de Frost&amp;Sullivan si utilizandinformatiile publicate de companii referitor la serviciile si produsele furnizate prin operatiunile din Romania. Se poate observa faptul ca majoritatea operatorilor economici apartin de Tier IV si Tier III, respectiv jumatatea inferioara a lantului valoric. In jumatatea superioara se regasesc efectiv doar 2 companii (IAR si Aernnova European Components pentru Tier II) iar palierul Tier I nu este ocupat in mod efectiv la aceasta data, proiectul de productie elicoptere Airbus fiind in faza de constructie. Pe de alta parte, este de remarcat prezenta in Regiune cu baze de productie a unor companii care, la nivel international, apartin, mai degraba, de jumatatea superioara a lantului valoric (Tier II si I), respectiv </w:t>
      </w:r>
      <w:r w:rsidRPr="00746795">
        <w:rPr>
          <w:rFonts w:ascii="Arial Narrow" w:eastAsia="Times New Roman" w:hAnsi="Arial Narrow" w:cs="Times New Roman"/>
          <w:color w:val="000000"/>
          <w:sz w:val="24"/>
          <w:szCs w:val="24"/>
        </w:rPr>
        <w:t>Premium Aerotec</w:t>
      </w:r>
      <w:r>
        <w:rPr>
          <w:rFonts w:ascii="Arial Narrow" w:eastAsia="Times New Roman" w:hAnsi="Arial Narrow" w:cs="Times New Roman"/>
          <w:color w:val="000000"/>
          <w:sz w:val="24"/>
          <w:szCs w:val="24"/>
        </w:rPr>
        <w:t xml:space="preserve">, </w:t>
      </w:r>
      <w:r w:rsidRPr="00746795">
        <w:rPr>
          <w:rFonts w:ascii="Arial Narrow" w:eastAsia="Times New Roman" w:hAnsi="Arial Narrow" w:cs="Times New Roman"/>
          <w:color w:val="000000"/>
          <w:sz w:val="24"/>
          <w:szCs w:val="24"/>
        </w:rPr>
        <w:t>Novae Aerospace</w:t>
      </w:r>
      <w:r>
        <w:rPr>
          <w:rFonts w:ascii="Arial Narrow" w:eastAsia="Times New Roman" w:hAnsi="Arial Narrow" w:cs="Times New Roman"/>
          <w:color w:val="000000"/>
          <w:sz w:val="24"/>
          <w:szCs w:val="24"/>
        </w:rPr>
        <w:t xml:space="preserve">, Aernnova European Components (Tier II) si Airbus (Tier I). Alaturi de acestea, la Brasov sunt prezente si alte companii, precum Hutchinson prin SC </w:t>
      </w:r>
      <w:r w:rsidRPr="00746795">
        <w:rPr>
          <w:rFonts w:ascii="Arial Narrow" w:eastAsia="Times New Roman" w:hAnsi="Arial Narrow" w:cs="Times New Roman"/>
          <w:color w:val="000000"/>
          <w:sz w:val="24"/>
          <w:szCs w:val="24"/>
        </w:rPr>
        <w:t>HUTCHINSON S.R.L</w:t>
      </w:r>
      <w:r>
        <w:rPr>
          <w:rFonts w:ascii="Arial Narrow" w:eastAsia="Times New Roman" w:hAnsi="Arial Narrow" w:cs="Times New Roman"/>
          <w:color w:val="000000"/>
          <w:sz w:val="24"/>
          <w:szCs w:val="24"/>
        </w:rPr>
        <w:t xml:space="preserve"> sau Benchmark Electronics, care, la nivel mondial, sunt funizorisi ai industriei aerospatialeinsa in Romania produc doar pentru industria automotive. Exista posibilitatea ca prezenta acestor companii in Regiune sa se consolideze iar capacitatile de productie existente sa fie dezvoltate spre etape superioare ale lantului valoric, insa aceasta depinde si de capacitatea regionala de raspuns la cerintele lor.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Identificarea unui domeniu de specializare inteligenta presupune si realizarea unei pozitionari a teritoriului examinat in contextul international. In contextul in care datele statistice referitoare la sectorul industrial aeronautic european sunt mai dificil de agregat, am considerat ca pozitionarea in lantul valoric european poate fi realizata cu suficienta acuratete prin examinarea amprentei Central si Est Europene a principalilor jucatori din industria de profil. De asemenea, avand in vedere necesitatea examinariipotentialului de specializare in contextul politicilor Uniunii Europene, am considerat necesar sa ne rezumam la statele membre UE precum si la tarile candidate din regiune, fiind astfel examinate Romania, Ungaria, Polonia, Slovacia, Cehia, Austria, Grecia, Bulgaria, Slovenia, Letonia, Estonia, Lituania, Croatia (State Membre) si Albania, Muntenegru, Serbia si Turcia (Tari Candidate).</w:t>
      </w:r>
    </w:p>
    <w:p w:rsidR="000A6A0D" w:rsidRDefault="000A6A0D" w:rsidP="000A6A0D">
      <w:pPr>
        <w:spacing w:after="0" w:line="240" w:lineRule="auto"/>
        <w:jc w:val="both"/>
        <w:rPr>
          <w:rFonts w:ascii="Arial Narrow" w:eastAsia="Times New Roman" w:hAnsi="Arial Narrow" w:cs="Times New Roman"/>
          <w:color w:val="000000"/>
          <w:sz w:val="24"/>
          <w:szCs w:val="24"/>
        </w:rPr>
      </w:pPr>
    </w:p>
    <w:tbl>
      <w:tblPr>
        <w:tblStyle w:val="AntetCaracter"/>
        <w:tblW w:w="0" w:type="auto"/>
        <w:tblLook w:val="04A0"/>
      </w:tblPr>
      <w:tblGrid>
        <w:gridCol w:w="1138"/>
        <w:gridCol w:w="871"/>
        <w:gridCol w:w="838"/>
        <w:gridCol w:w="757"/>
        <w:gridCol w:w="790"/>
        <w:gridCol w:w="757"/>
        <w:gridCol w:w="805"/>
        <w:gridCol w:w="881"/>
        <w:gridCol w:w="809"/>
        <w:gridCol w:w="814"/>
        <w:gridCol w:w="828"/>
      </w:tblGrid>
      <w:tr w:rsidR="000A6A0D" w:rsidRPr="00864724" w:rsidTr="00064502">
        <w:trPr>
          <w:cantSplit/>
          <w:trHeight w:val="1411"/>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4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furnizori agreati Airbus</w:t>
            </w:r>
          </w:p>
        </w:tc>
        <w:tc>
          <w:tcPr>
            <w:tcW w:w="130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Facilitati Airbus Helicopters</w:t>
            </w:r>
          </w:p>
        </w:tc>
        <w:tc>
          <w:tcPr>
            <w:tcW w:w="96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Premium Aerotec</w:t>
            </w:r>
          </w:p>
        </w:tc>
        <w:tc>
          <w:tcPr>
            <w:tcW w:w="110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Novae Aerospace</w:t>
            </w:r>
          </w:p>
        </w:tc>
        <w:tc>
          <w:tcPr>
            <w:tcW w:w="96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Aernova</w:t>
            </w:r>
          </w:p>
        </w:tc>
        <w:tc>
          <w:tcPr>
            <w:tcW w:w="116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BWB Surface Technology</w:t>
            </w:r>
          </w:p>
        </w:tc>
        <w:tc>
          <w:tcPr>
            <w:tcW w:w="148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Anjou Aeronautique</w:t>
            </w:r>
          </w:p>
        </w:tc>
        <w:tc>
          <w:tcPr>
            <w:tcW w:w="118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Aeronamic</w:t>
            </w:r>
          </w:p>
        </w:tc>
        <w:tc>
          <w:tcPr>
            <w:tcW w:w="120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Hutchinson</w:t>
            </w:r>
          </w:p>
        </w:tc>
        <w:tc>
          <w:tcPr>
            <w:tcW w:w="1260" w:type="dxa"/>
            <w:textDirection w:val="btLr"/>
            <w:hideMark/>
          </w:tcPr>
          <w:p w:rsidR="000A6A0D" w:rsidRPr="00864724" w:rsidRDefault="000A6A0D" w:rsidP="00064502">
            <w:pPr>
              <w:ind w:left="113" w:right="113"/>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Benchmark Electronics</w:t>
            </w: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Romania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14</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2</w:t>
            </w: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Ungaria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4</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Polonia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17</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3</w:t>
            </w: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Slovacia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Cehia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18</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2</w:t>
            </w: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Austria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23</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Slovenia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Grecia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lastRenderedPageBreak/>
              <w:t>Bulgaria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Croatia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Letonia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Estonia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Lituania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Serbia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Muntenegru</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Albania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r w:rsidR="000A6A0D" w:rsidRPr="00864724" w:rsidTr="00064502">
        <w:trPr>
          <w:trHeight w:val="300"/>
        </w:trPr>
        <w:tc>
          <w:tcPr>
            <w:tcW w:w="128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Turcia</w:t>
            </w:r>
          </w:p>
        </w:tc>
        <w:tc>
          <w:tcPr>
            <w:tcW w:w="144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19</w:t>
            </w:r>
          </w:p>
        </w:tc>
        <w:tc>
          <w:tcPr>
            <w:tcW w:w="1300" w:type="dxa"/>
            <w:hideMark/>
          </w:tcPr>
          <w:p w:rsidR="000A6A0D" w:rsidRPr="00864724" w:rsidRDefault="000A6A0D" w:rsidP="00064502">
            <w:pPr>
              <w:jc w:val="both"/>
              <w:rPr>
                <w:rFonts w:ascii="Arial Narrow" w:eastAsia="Times New Roman" w:hAnsi="Arial Narrow" w:cs="Times New Roman"/>
                <w:color w:val="000000"/>
                <w:sz w:val="20"/>
                <w:szCs w:val="20"/>
              </w:rPr>
            </w:pPr>
            <w:r w:rsidRPr="00864724">
              <w:rPr>
                <w:rFonts w:ascii="Arial Narrow" w:eastAsia="Times New Roman" w:hAnsi="Arial Narrow" w:cs="Times New Roman"/>
                <w:color w:val="000000"/>
                <w:sz w:val="20"/>
                <w:szCs w:val="20"/>
              </w:rPr>
              <w:t>1</w:t>
            </w: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9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6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4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18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00" w:type="dxa"/>
            <w:hideMark/>
          </w:tcPr>
          <w:p w:rsidR="000A6A0D" w:rsidRPr="00864724" w:rsidRDefault="000A6A0D" w:rsidP="00064502">
            <w:pPr>
              <w:jc w:val="both"/>
              <w:rPr>
                <w:rFonts w:ascii="Arial Narrow" w:eastAsia="Times New Roman" w:hAnsi="Arial Narrow" w:cs="Times New Roman"/>
                <w:color w:val="000000"/>
                <w:sz w:val="20"/>
                <w:szCs w:val="20"/>
              </w:rPr>
            </w:pPr>
          </w:p>
        </w:tc>
        <w:tc>
          <w:tcPr>
            <w:tcW w:w="1260" w:type="dxa"/>
            <w:hideMark/>
          </w:tcPr>
          <w:p w:rsidR="000A6A0D" w:rsidRPr="00864724" w:rsidRDefault="000A6A0D" w:rsidP="00064502">
            <w:pPr>
              <w:jc w:val="both"/>
              <w:rPr>
                <w:rFonts w:ascii="Arial Narrow" w:eastAsia="Times New Roman" w:hAnsi="Arial Narrow" w:cs="Times New Roman"/>
                <w:color w:val="000000"/>
                <w:sz w:val="20"/>
                <w:szCs w:val="20"/>
              </w:rPr>
            </w:pPr>
          </w:p>
        </w:tc>
      </w:tr>
    </w:tbl>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Din tabelul de mai sus rezulta o pozitionare avansata a Romaniei in Europa Centrala si de Est in ceea ce priveste participarea la industria aeronautica europeana. Din 17 state membre si candidate UE doar 7 state au pe teritoriul lor operatori economici inclusi pe lista din iunie 2016 a furnizorilor acceptati Airbus, Romania fiind pe locul 4, cu 14 furnizori. Dintre acestia 4 sunt pe teritoriul Regiuni Centru, respectiv </w:t>
      </w:r>
      <w:r w:rsidRPr="00CE79F2">
        <w:rPr>
          <w:rFonts w:ascii="Arial Narrow" w:eastAsia="Times New Roman" w:hAnsi="Arial Narrow" w:cs="Times New Roman"/>
          <w:color w:val="000000"/>
          <w:sz w:val="24"/>
          <w:szCs w:val="24"/>
        </w:rPr>
        <w:t>SC B.W.B Surface Technology SRL</w:t>
      </w:r>
      <w:r>
        <w:rPr>
          <w:rFonts w:ascii="Arial Narrow" w:eastAsia="Times New Roman" w:hAnsi="Arial Narrow" w:cs="Times New Roman"/>
          <w:color w:val="000000"/>
          <w:sz w:val="24"/>
          <w:szCs w:val="24"/>
        </w:rPr>
        <w:t xml:space="preserve">, </w:t>
      </w:r>
      <w:r w:rsidRPr="008608CD">
        <w:rPr>
          <w:rFonts w:ascii="Arial Narrow" w:eastAsia="Times New Roman" w:hAnsi="Arial Narrow" w:cs="Times New Roman"/>
          <w:color w:val="000000"/>
          <w:sz w:val="24"/>
          <w:szCs w:val="24"/>
        </w:rPr>
        <w:t>SC Novae Aerospace Romania SRL</w:t>
      </w:r>
      <w:r>
        <w:rPr>
          <w:rFonts w:ascii="Arial Narrow" w:eastAsia="Times New Roman" w:hAnsi="Arial Narrow" w:cs="Times New Roman"/>
          <w:color w:val="000000"/>
          <w:sz w:val="24"/>
          <w:szCs w:val="24"/>
        </w:rPr>
        <w:t xml:space="preserve">, SC Premium Aerotec SRL si </w:t>
      </w:r>
      <w:r w:rsidRPr="00CE79F2">
        <w:rPr>
          <w:rFonts w:ascii="Arial Narrow" w:eastAsia="Times New Roman" w:hAnsi="Arial Narrow" w:cs="Times New Roman"/>
          <w:color w:val="000000"/>
          <w:sz w:val="24"/>
          <w:szCs w:val="24"/>
        </w:rPr>
        <w:t>SC Hutchinson S.R.L</w:t>
      </w:r>
      <w:r>
        <w:rPr>
          <w:rFonts w:ascii="Arial Narrow" w:eastAsia="Times New Roman" w:hAnsi="Arial Narrow" w:cs="Times New Roman"/>
          <w:color w:val="000000"/>
          <w:sz w:val="24"/>
          <w:szCs w:val="24"/>
        </w:rPr>
        <w:t xml:space="preserve">, la care se adauga si SC Aernnova European Components SRL, care apare pe lista furnizorilor autorizati Airbus, insa doar cu capacitatile de productie din Spania. De asemenea, un caz aparte este </w:t>
      </w:r>
      <w:r w:rsidRPr="00CE79F2">
        <w:rPr>
          <w:rFonts w:ascii="Arial Narrow" w:eastAsia="Times New Roman" w:hAnsi="Arial Narrow" w:cs="Times New Roman"/>
          <w:color w:val="000000"/>
          <w:sz w:val="24"/>
          <w:szCs w:val="24"/>
        </w:rPr>
        <w:t>SC Hutchinson S.R.L</w:t>
      </w:r>
      <w:r>
        <w:rPr>
          <w:rFonts w:ascii="Arial Narrow" w:eastAsia="Times New Roman" w:hAnsi="Arial Narrow" w:cs="Times New Roman"/>
          <w:color w:val="000000"/>
          <w:sz w:val="24"/>
          <w:szCs w:val="24"/>
        </w:rPr>
        <w:t xml:space="preserve">, pentru care nu avem informatii privind demararea productiei de componente de aeronave in Regiunea Centru insa compania a anuntat planuri de dezvoltare in Romania pe aceasta directieinca din 2013, odata cu anuntarea proiectului de constructie elicoptere Airbus Helicopters (in acest moment </w:t>
      </w:r>
      <w:r w:rsidRPr="00CE79F2">
        <w:rPr>
          <w:rFonts w:ascii="Arial Narrow" w:eastAsia="Times New Roman" w:hAnsi="Arial Narrow" w:cs="Times New Roman"/>
          <w:color w:val="000000"/>
          <w:sz w:val="24"/>
          <w:szCs w:val="24"/>
        </w:rPr>
        <w:t>Hutchinson S.R.L</w:t>
      </w:r>
      <w:r>
        <w:rPr>
          <w:rFonts w:ascii="Arial Narrow" w:eastAsia="Times New Roman" w:hAnsi="Arial Narrow" w:cs="Times New Roman"/>
          <w:color w:val="000000"/>
          <w:sz w:val="24"/>
          <w:szCs w:val="24"/>
        </w:rPr>
        <w:t xml:space="preserve">opereaza la Brasov o capacitate de productie in domeniul dispozitivelor de antivibrare, cu 996 de angajati in 2015, avand o cifra de afaceri </w:t>
      </w:r>
      <w:r w:rsidRPr="00231B98">
        <w:rPr>
          <w:rFonts w:ascii="Arial Narrow" w:eastAsia="Times New Roman" w:hAnsi="Arial Narrow" w:cs="Times New Roman"/>
          <w:color w:val="000000"/>
          <w:sz w:val="24"/>
          <w:szCs w:val="24"/>
        </w:rPr>
        <w:t>382</w:t>
      </w:r>
      <w:r>
        <w:rPr>
          <w:rFonts w:ascii="Arial Narrow" w:eastAsia="Times New Roman" w:hAnsi="Arial Narrow" w:cs="Times New Roman"/>
          <w:color w:val="000000"/>
          <w:sz w:val="24"/>
          <w:szCs w:val="24"/>
        </w:rPr>
        <w:t>.</w:t>
      </w:r>
      <w:r w:rsidRPr="00231B98">
        <w:rPr>
          <w:rFonts w:ascii="Arial Narrow" w:eastAsia="Times New Roman" w:hAnsi="Arial Narrow" w:cs="Times New Roman"/>
          <w:color w:val="000000"/>
          <w:sz w:val="24"/>
          <w:szCs w:val="24"/>
        </w:rPr>
        <w:t>048</w:t>
      </w:r>
      <w:r>
        <w:rPr>
          <w:rFonts w:ascii="Arial Narrow" w:eastAsia="Times New Roman" w:hAnsi="Arial Narrow" w:cs="Times New Roman"/>
          <w:color w:val="000000"/>
          <w:sz w:val="24"/>
          <w:szCs w:val="24"/>
        </w:rPr>
        <w:t>.</w:t>
      </w:r>
      <w:r w:rsidRPr="00231B98">
        <w:rPr>
          <w:rFonts w:ascii="Arial Narrow" w:eastAsia="Times New Roman" w:hAnsi="Arial Narrow" w:cs="Times New Roman"/>
          <w:color w:val="000000"/>
          <w:sz w:val="24"/>
          <w:szCs w:val="24"/>
        </w:rPr>
        <w:t>533</w:t>
      </w:r>
      <w:r>
        <w:rPr>
          <w:rFonts w:ascii="Arial Narrow" w:eastAsia="Times New Roman" w:hAnsi="Arial Narrow" w:cs="Times New Roman"/>
          <w:color w:val="000000"/>
          <w:sz w:val="24"/>
          <w:szCs w:val="24"/>
        </w:rPr>
        <w:t xml:space="preserve"> lei, cu un profit net de </w:t>
      </w:r>
      <w:r w:rsidRPr="00231B98">
        <w:rPr>
          <w:rFonts w:ascii="Arial Narrow" w:eastAsia="Times New Roman" w:hAnsi="Arial Narrow" w:cs="Times New Roman"/>
          <w:color w:val="000000"/>
          <w:sz w:val="24"/>
          <w:szCs w:val="24"/>
        </w:rPr>
        <w:t>43</w:t>
      </w:r>
      <w:r>
        <w:rPr>
          <w:rFonts w:ascii="Arial Narrow" w:eastAsia="Times New Roman" w:hAnsi="Arial Narrow" w:cs="Times New Roman"/>
          <w:color w:val="000000"/>
          <w:sz w:val="24"/>
          <w:szCs w:val="24"/>
        </w:rPr>
        <w:t>.</w:t>
      </w:r>
      <w:r w:rsidRPr="00231B98">
        <w:rPr>
          <w:rFonts w:ascii="Arial Narrow" w:eastAsia="Times New Roman" w:hAnsi="Arial Narrow" w:cs="Times New Roman"/>
          <w:color w:val="000000"/>
          <w:sz w:val="24"/>
          <w:szCs w:val="24"/>
        </w:rPr>
        <w:t>503</w:t>
      </w:r>
      <w:r>
        <w:rPr>
          <w:rFonts w:ascii="Arial Narrow" w:eastAsia="Times New Roman" w:hAnsi="Arial Narrow" w:cs="Times New Roman"/>
          <w:color w:val="000000"/>
          <w:sz w:val="24"/>
          <w:szCs w:val="24"/>
        </w:rPr>
        <w:t>.</w:t>
      </w:r>
      <w:r w:rsidRPr="00231B98">
        <w:rPr>
          <w:rFonts w:ascii="Arial Narrow" w:eastAsia="Times New Roman" w:hAnsi="Arial Narrow" w:cs="Times New Roman"/>
          <w:color w:val="000000"/>
          <w:sz w:val="24"/>
          <w:szCs w:val="24"/>
        </w:rPr>
        <w:t>572</w:t>
      </w:r>
      <w:r>
        <w:rPr>
          <w:rFonts w:ascii="Arial Narrow" w:eastAsia="Times New Roman" w:hAnsi="Arial Narrow" w:cs="Times New Roman"/>
          <w:color w:val="000000"/>
          <w:sz w:val="24"/>
          <w:szCs w:val="24"/>
        </w:rPr>
        <w:t xml:space="preserve"> lei).</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Un alt jucator european major in industria aeronautica este Airbus Helicopters, care opereaza doua sit-uri industriale in Romania, ambele in Regiunea Centru, la care se adaugainca 4 locatii in zona examinata, cate una in Polonia, Cehia, Grecia si Turcia.</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Pentru celelalte firme examinate, situatia este urmatoarea</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D6FF0">
        <w:rPr>
          <w:rFonts w:ascii="Arial Narrow" w:eastAsia="Times New Roman" w:hAnsi="Arial Narrow" w:cs="Times New Roman"/>
          <w:color w:val="000000"/>
          <w:sz w:val="24"/>
          <w:szCs w:val="24"/>
        </w:rPr>
        <w:t>Premium Aerotec</w:t>
      </w:r>
      <w:r>
        <w:rPr>
          <w:rFonts w:ascii="Arial Narrow" w:eastAsia="Times New Roman" w:hAnsi="Arial Narrow" w:cs="Times New Roman"/>
          <w:color w:val="000000"/>
          <w:sz w:val="24"/>
          <w:szCs w:val="24"/>
        </w:rPr>
        <w:t xml:space="preserve"> – opereaza in Europa 5 capacitati de productie din care 1 in Romania (Brasov) si 4 in Germania</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D6FF0">
        <w:rPr>
          <w:rFonts w:ascii="Arial Narrow" w:eastAsia="Times New Roman" w:hAnsi="Arial Narrow" w:cs="Times New Roman"/>
          <w:color w:val="000000"/>
          <w:sz w:val="24"/>
          <w:szCs w:val="24"/>
        </w:rPr>
        <w:t>Novae Aerospace</w:t>
      </w:r>
      <w:r>
        <w:rPr>
          <w:rFonts w:ascii="Arial Narrow" w:eastAsia="Times New Roman" w:hAnsi="Arial Narrow" w:cs="Times New Roman"/>
          <w:color w:val="000000"/>
          <w:sz w:val="24"/>
          <w:szCs w:val="24"/>
        </w:rPr>
        <w:t xml:space="preserve"> – opereaza in Europa 3 capacitati de productie din care 1 in Romania (Brasov) si 2 in Franta, la care se adaugainca doua capacitati in Maroc si Emiratele Arabe Unite</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D6FF0">
        <w:rPr>
          <w:rFonts w:ascii="Arial Narrow" w:eastAsia="Times New Roman" w:hAnsi="Arial Narrow" w:cs="Times New Roman"/>
          <w:color w:val="000000"/>
          <w:sz w:val="24"/>
          <w:szCs w:val="24"/>
        </w:rPr>
        <w:t>Aernova</w:t>
      </w:r>
      <w:r>
        <w:rPr>
          <w:rFonts w:ascii="Arial Narrow" w:eastAsia="Times New Roman" w:hAnsi="Arial Narrow" w:cs="Times New Roman"/>
          <w:color w:val="000000"/>
          <w:sz w:val="24"/>
          <w:szCs w:val="24"/>
        </w:rPr>
        <w:t>opereaza 4 locatii in Europa, din care 1 in Romania (Brasov), la care se adaugainca 5 locatii de productie in afara Europei</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D6FF0">
        <w:rPr>
          <w:rFonts w:ascii="Arial Narrow" w:eastAsia="Times New Roman" w:hAnsi="Arial Narrow" w:cs="Times New Roman"/>
          <w:color w:val="000000"/>
          <w:sz w:val="24"/>
          <w:szCs w:val="24"/>
        </w:rPr>
        <w:t>BWB Surface Technology</w:t>
      </w:r>
      <w:r>
        <w:rPr>
          <w:rFonts w:ascii="Arial Narrow" w:eastAsia="Times New Roman" w:hAnsi="Arial Narrow" w:cs="Times New Roman"/>
          <w:color w:val="000000"/>
          <w:sz w:val="24"/>
          <w:szCs w:val="24"/>
        </w:rPr>
        <w:t xml:space="preserve"> – detine 12 locatii de productie din care 1 in Romania (Brasov), 9 in Elvetia, 1 in Germania si 1 in Olanda</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D6FF0">
        <w:rPr>
          <w:rFonts w:ascii="Arial Narrow" w:eastAsia="Times New Roman" w:hAnsi="Arial Narrow" w:cs="Times New Roman"/>
          <w:color w:val="000000"/>
          <w:sz w:val="24"/>
          <w:szCs w:val="24"/>
        </w:rPr>
        <w:t>Anjou Aeronautique</w:t>
      </w:r>
      <w:r>
        <w:rPr>
          <w:rFonts w:ascii="Arial Narrow" w:eastAsia="Times New Roman" w:hAnsi="Arial Narrow" w:cs="Times New Roman"/>
          <w:color w:val="000000"/>
          <w:sz w:val="24"/>
          <w:szCs w:val="24"/>
        </w:rPr>
        <w:t>opereaza doar in Romania (Sibiu)</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D6FF0">
        <w:rPr>
          <w:rFonts w:ascii="Arial Narrow" w:eastAsia="Times New Roman" w:hAnsi="Arial Narrow" w:cs="Times New Roman"/>
          <w:color w:val="000000"/>
          <w:sz w:val="24"/>
          <w:szCs w:val="24"/>
        </w:rPr>
        <w:t>Aeronamic</w:t>
      </w:r>
      <w:r>
        <w:rPr>
          <w:rFonts w:ascii="Arial Narrow" w:eastAsia="Times New Roman" w:hAnsi="Arial Narrow" w:cs="Times New Roman"/>
          <w:color w:val="000000"/>
          <w:sz w:val="24"/>
          <w:szCs w:val="24"/>
        </w:rPr>
        <w:t xml:space="preserve"> are capaictati localizate in Olanda si Romania (Sibiu)</w:t>
      </w:r>
    </w:p>
    <w:p w:rsidR="000A6A0D"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CE79F2">
        <w:rPr>
          <w:rFonts w:ascii="Arial Narrow" w:eastAsia="Times New Roman" w:hAnsi="Arial Narrow" w:cs="Times New Roman"/>
          <w:color w:val="000000"/>
          <w:sz w:val="24"/>
          <w:szCs w:val="24"/>
        </w:rPr>
        <w:t>Hutchinson</w:t>
      </w:r>
      <w:r>
        <w:rPr>
          <w:rFonts w:ascii="Arial Narrow" w:eastAsia="Times New Roman" w:hAnsi="Arial Narrow" w:cs="Times New Roman"/>
          <w:color w:val="000000"/>
          <w:sz w:val="24"/>
          <w:szCs w:val="24"/>
        </w:rPr>
        <w:t xml:space="preserve"> – opereaza 96 de capacitati de productie la nivel global, dintre care 1 in Romania (Brasov), 3 in Polonia si 2 in Cehia</w:t>
      </w:r>
    </w:p>
    <w:p w:rsidR="000A6A0D" w:rsidRPr="00D61CA5" w:rsidRDefault="000A6A0D" w:rsidP="000A6A0D">
      <w:pPr>
        <w:pStyle w:val="Listparagraf"/>
        <w:numPr>
          <w:ilvl w:val="0"/>
          <w:numId w:val="16"/>
        </w:numPr>
        <w:spacing w:after="0" w:line="240" w:lineRule="auto"/>
        <w:jc w:val="both"/>
        <w:rPr>
          <w:rFonts w:ascii="Arial Narrow" w:eastAsia="Times New Roman" w:hAnsi="Arial Narrow" w:cs="Times New Roman"/>
          <w:color w:val="000000"/>
          <w:sz w:val="24"/>
          <w:szCs w:val="24"/>
        </w:rPr>
      </w:pPr>
      <w:r w:rsidRPr="0035481B">
        <w:rPr>
          <w:rFonts w:ascii="Arial Narrow" w:eastAsia="Times New Roman" w:hAnsi="Arial Narrow" w:cs="Times New Roman"/>
          <w:color w:val="000000"/>
          <w:sz w:val="24"/>
          <w:szCs w:val="24"/>
        </w:rPr>
        <w:t>Benchmark Electronics</w:t>
      </w:r>
      <w:r>
        <w:rPr>
          <w:rFonts w:ascii="Arial Narrow" w:eastAsia="Times New Roman" w:hAnsi="Arial Narrow" w:cs="Times New Roman"/>
          <w:color w:val="000000"/>
          <w:sz w:val="24"/>
          <w:szCs w:val="24"/>
        </w:rPr>
        <w:t xml:space="preserve"> – opereaza 19 de capacitati de productie la nivel global, dintre care 1 in Romania (Brasov) si 1 in Olanda. Operatiunile din Romania se desfasoara pe CAEN 2620 </w:t>
      </w:r>
      <w:r w:rsidRPr="00D61CA5">
        <w:rPr>
          <w:rFonts w:ascii="Arial Narrow" w:eastAsia="Times New Roman" w:hAnsi="Arial Narrow" w:cs="Times New Roman"/>
          <w:color w:val="000000"/>
          <w:sz w:val="24"/>
          <w:szCs w:val="24"/>
        </w:rPr>
        <w:t>Fabricarea calculatoarelor si a echipamentelor periferice</w:t>
      </w:r>
      <w:r>
        <w:rPr>
          <w:rFonts w:ascii="Arial Narrow" w:eastAsia="Times New Roman" w:hAnsi="Arial Narrow" w:cs="Times New Roman"/>
          <w:color w:val="000000"/>
          <w:sz w:val="24"/>
          <w:szCs w:val="24"/>
        </w:rPr>
        <w:t xml:space="preserve"> si deserveste sectoarele de controale </w:t>
      </w:r>
      <w:r>
        <w:rPr>
          <w:rFonts w:ascii="Arial Narrow" w:eastAsia="Times New Roman" w:hAnsi="Arial Narrow" w:cs="Times New Roman"/>
          <w:color w:val="000000"/>
          <w:sz w:val="24"/>
          <w:szCs w:val="24"/>
        </w:rPr>
        <w:lastRenderedPageBreak/>
        <w:t xml:space="preserve">industriale, masuratori si teste, </w:t>
      </w:r>
      <w:r w:rsidRPr="00D61CA5">
        <w:rPr>
          <w:rFonts w:ascii="Arial Narrow" w:eastAsia="Times New Roman" w:hAnsi="Arial Narrow" w:cs="Times New Roman"/>
          <w:color w:val="000000"/>
          <w:sz w:val="24"/>
          <w:szCs w:val="24"/>
        </w:rPr>
        <w:t>Data &amp; Power Management</w:t>
      </w:r>
      <w:r>
        <w:rPr>
          <w:rFonts w:ascii="Arial Narrow" w:eastAsia="Times New Roman" w:hAnsi="Arial Narrow" w:cs="Times New Roman"/>
          <w:color w:val="000000"/>
          <w:sz w:val="24"/>
          <w:szCs w:val="24"/>
        </w:rPr>
        <w:t xml:space="preserve"> si industria medicala si au o anvergura substantiala: in 2015 – </w:t>
      </w:r>
      <w:r w:rsidRPr="00D61CA5">
        <w:rPr>
          <w:rFonts w:ascii="Arial Narrow" w:eastAsia="Times New Roman" w:hAnsi="Arial Narrow" w:cs="Times New Roman"/>
          <w:color w:val="000000"/>
          <w:sz w:val="24"/>
          <w:szCs w:val="24"/>
        </w:rPr>
        <w:t>322</w:t>
      </w:r>
      <w:r>
        <w:rPr>
          <w:rFonts w:ascii="Arial Narrow" w:eastAsia="Times New Roman" w:hAnsi="Arial Narrow" w:cs="Times New Roman"/>
          <w:color w:val="000000"/>
          <w:sz w:val="24"/>
          <w:szCs w:val="24"/>
        </w:rPr>
        <w:t>.</w:t>
      </w:r>
      <w:r w:rsidRPr="00D61CA5">
        <w:rPr>
          <w:rFonts w:ascii="Arial Narrow" w:eastAsia="Times New Roman" w:hAnsi="Arial Narrow" w:cs="Times New Roman"/>
          <w:color w:val="000000"/>
          <w:sz w:val="24"/>
          <w:szCs w:val="24"/>
        </w:rPr>
        <w:t>418</w:t>
      </w:r>
      <w:r>
        <w:rPr>
          <w:rFonts w:ascii="Arial Narrow" w:eastAsia="Times New Roman" w:hAnsi="Arial Narrow" w:cs="Times New Roman"/>
          <w:color w:val="000000"/>
          <w:sz w:val="24"/>
          <w:szCs w:val="24"/>
        </w:rPr>
        <w:t>.</w:t>
      </w:r>
      <w:r w:rsidRPr="00D61CA5">
        <w:rPr>
          <w:rFonts w:ascii="Arial Narrow" w:eastAsia="Times New Roman" w:hAnsi="Arial Narrow" w:cs="Times New Roman"/>
          <w:color w:val="000000"/>
          <w:sz w:val="24"/>
          <w:szCs w:val="24"/>
        </w:rPr>
        <w:t>806</w:t>
      </w:r>
      <w:r>
        <w:rPr>
          <w:rFonts w:ascii="Arial Narrow" w:eastAsia="Times New Roman" w:hAnsi="Arial Narrow" w:cs="Times New Roman"/>
          <w:color w:val="000000"/>
          <w:sz w:val="24"/>
          <w:szCs w:val="24"/>
        </w:rPr>
        <w:t xml:space="preserve"> lei cifra de afaceri, </w:t>
      </w:r>
      <w:r w:rsidRPr="00D61CA5">
        <w:rPr>
          <w:rFonts w:ascii="Arial Narrow" w:eastAsia="Times New Roman" w:hAnsi="Arial Narrow" w:cs="Times New Roman"/>
          <w:color w:val="000000"/>
          <w:sz w:val="24"/>
          <w:szCs w:val="24"/>
        </w:rPr>
        <w:t>28</w:t>
      </w:r>
      <w:r>
        <w:rPr>
          <w:rFonts w:ascii="Arial Narrow" w:eastAsia="Times New Roman" w:hAnsi="Arial Narrow" w:cs="Times New Roman"/>
          <w:color w:val="000000"/>
          <w:sz w:val="24"/>
          <w:szCs w:val="24"/>
        </w:rPr>
        <w:t>.</w:t>
      </w:r>
      <w:r w:rsidRPr="00D61CA5">
        <w:rPr>
          <w:rFonts w:ascii="Arial Narrow" w:eastAsia="Times New Roman" w:hAnsi="Arial Narrow" w:cs="Times New Roman"/>
          <w:color w:val="000000"/>
          <w:sz w:val="24"/>
          <w:szCs w:val="24"/>
        </w:rPr>
        <w:t>277</w:t>
      </w:r>
      <w:r>
        <w:rPr>
          <w:rFonts w:ascii="Arial Narrow" w:eastAsia="Times New Roman" w:hAnsi="Arial Narrow" w:cs="Times New Roman"/>
          <w:color w:val="000000"/>
          <w:sz w:val="24"/>
          <w:szCs w:val="24"/>
        </w:rPr>
        <w:t>.</w:t>
      </w:r>
      <w:r w:rsidRPr="00D61CA5">
        <w:rPr>
          <w:rFonts w:ascii="Arial Narrow" w:eastAsia="Times New Roman" w:hAnsi="Arial Narrow" w:cs="Times New Roman"/>
          <w:color w:val="000000"/>
          <w:sz w:val="24"/>
          <w:szCs w:val="24"/>
        </w:rPr>
        <w:t>186</w:t>
      </w:r>
      <w:r>
        <w:rPr>
          <w:rFonts w:ascii="Arial Narrow" w:eastAsia="Times New Roman" w:hAnsi="Arial Narrow" w:cs="Times New Roman"/>
          <w:color w:val="000000"/>
          <w:sz w:val="24"/>
          <w:szCs w:val="24"/>
        </w:rPr>
        <w:t xml:space="preserve"> profit net si 737 angajati</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Pr="00A274AA" w:rsidRDefault="000A6A0D" w:rsidP="000A6A0D">
      <w:pPr>
        <w:spacing w:after="0" w:line="240" w:lineRule="auto"/>
        <w:jc w:val="both"/>
        <w:rPr>
          <w:rFonts w:ascii="Arial Narrow" w:eastAsia="Times New Roman" w:hAnsi="Arial Narrow" w:cs="Times New Roman"/>
          <w:b/>
          <w:color w:val="000000"/>
          <w:sz w:val="24"/>
          <w:szCs w:val="24"/>
        </w:rPr>
      </w:pPr>
      <w:r w:rsidRPr="00A274AA">
        <w:rPr>
          <w:rFonts w:ascii="Arial Narrow" w:eastAsia="Times New Roman" w:hAnsi="Arial Narrow" w:cs="Times New Roman"/>
          <w:b/>
          <w:color w:val="000000"/>
          <w:sz w:val="24"/>
          <w:szCs w:val="24"/>
        </w:rPr>
        <w:t>Ajutoare de stat si politici publice</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Dezvoltarea concentrarii economice de la Brasov in sectorul aeronautic a fost posibila si datorita acordarii de ajutoare de stat. Pentru firmele examinate am identificat 4 proiecte care au primit finantare publica sub forma de ajutoare de stat, din care unul din fonduri structurale si 3 din fonduri nationale.</w:t>
      </w:r>
    </w:p>
    <w:p w:rsidR="000A6A0D" w:rsidRDefault="000A6A0D" w:rsidP="000A6A0D">
      <w:pPr>
        <w:spacing w:after="0" w:line="240" w:lineRule="auto"/>
        <w:jc w:val="both"/>
        <w:rPr>
          <w:rFonts w:ascii="Arial Narrow" w:eastAsia="Times New Roman" w:hAnsi="Arial Narrow" w:cs="Times New Roman"/>
          <w:color w:val="000000"/>
          <w:sz w:val="24"/>
          <w:szCs w:val="24"/>
        </w:rPr>
      </w:pPr>
    </w:p>
    <w:tbl>
      <w:tblPr>
        <w:tblStyle w:val="Antet"/>
        <w:tblW w:w="0" w:type="auto"/>
        <w:tblLook w:val="04A0"/>
      </w:tblPr>
      <w:tblGrid>
        <w:gridCol w:w="1548"/>
        <w:gridCol w:w="1112"/>
        <w:gridCol w:w="1417"/>
        <w:gridCol w:w="1418"/>
        <w:gridCol w:w="2245"/>
        <w:gridCol w:w="1548"/>
      </w:tblGrid>
      <w:tr w:rsidR="000A6A0D" w:rsidTr="00064502">
        <w:tc>
          <w:tcPr>
            <w:tcW w:w="1548" w:type="dxa"/>
          </w:tcPr>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Beneficiar</w:t>
            </w:r>
          </w:p>
        </w:tc>
        <w:tc>
          <w:tcPr>
            <w:tcW w:w="1112" w:type="dxa"/>
          </w:tcPr>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Anul acordării</w:t>
            </w:r>
          </w:p>
        </w:tc>
        <w:tc>
          <w:tcPr>
            <w:tcW w:w="1417" w:type="dxa"/>
          </w:tcPr>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Valoare proiect</w:t>
            </w:r>
          </w:p>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(mil. euro)</w:t>
            </w:r>
          </w:p>
        </w:tc>
        <w:tc>
          <w:tcPr>
            <w:tcW w:w="1418" w:type="dxa"/>
          </w:tcPr>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Valoare ajutor de stat</w:t>
            </w:r>
          </w:p>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(mil. euro)</w:t>
            </w:r>
          </w:p>
        </w:tc>
        <w:tc>
          <w:tcPr>
            <w:tcW w:w="2245" w:type="dxa"/>
          </w:tcPr>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Temei legal</w:t>
            </w:r>
          </w:p>
        </w:tc>
        <w:tc>
          <w:tcPr>
            <w:tcW w:w="1548" w:type="dxa"/>
          </w:tcPr>
          <w:p w:rsidR="000A6A0D" w:rsidRPr="007B07B8"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Entitatea care a acordat</w:t>
            </w:r>
          </w:p>
        </w:tc>
      </w:tr>
      <w:tr w:rsidR="000A6A0D" w:rsidTr="00064502">
        <w:tc>
          <w:tcPr>
            <w:tcW w:w="1548" w:type="dxa"/>
          </w:tcPr>
          <w:p w:rsidR="000A6A0D" w:rsidRPr="008608CD" w:rsidRDefault="000A6A0D" w:rsidP="00064502">
            <w:pPr>
              <w:jc w:val="center"/>
              <w:rPr>
                <w:rFonts w:ascii="Arial Narrow" w:eastAsia="Times New Roman" w:hAnsi="Arial Narrow" w:cs="Times New Roman"/>
                <w:color w:val="000000"/>
                <w:sz w:val="24"/>
                <w:szCs w:val="24"/>
              </w:rPr>
            </w:pPr>
            <w:r w:rsidRPr="008608CD">
              <w:rPr>
                <w:rFonts w:ascii="Arial Narrow" w:eastAsia="Times New Roman" w:hAnsi="Arial Narrow" w:cs="Times New Roman"/>
                <w:color w:val="000000"/>
                <w:sz w:val="24"/>
                <w:szCs w:val="24"/>
              </w:rPr>
              <w:t>SC Premium Aerotec SRL</w:t>
            </w:r>
          </w:p>
        </w:tc>
        <w:tc>
          <w:tcPr>
            <w:tcW w:w="1112"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2009</w:t>
            </w:r>
          </w:p>
        </w:tc>
        <w:tc>
          <w:tcPr>
            <w:tcW w:w="1417"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46,56</w:t>
            </w:r>
          </w:p>
        </w:tc>
        <w:tc>
          <w:tcPr>
            <w:tcW w:w="141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15,781</w:t>
            </w:r>
          </w:p>
        </w:tc>
        <w:tc>
          <w:tcPr>
            <w:tcW w:w="2245"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HG 1680/2008 </w:t>
            </w:r>
            <w:r w:rsidRPr="00871E8E">
              <w:rPr>
                <w:rFonts w:ascii="Arial Narrow" w:eastAsia="Times New Roman" w:hAnsi="Arial Narrow" w:cs="Times New Roman"/>
                <w:color w:val="000000"/>
                <w:sz w:val="24"/>
                <w:szCs w:val="24"/>
              </w:rPr>
              <w:t>pentru instituirea unei scheme de ajutor de stat privind asigurarea dezvoltării economice durabile</w:t>
            </w:r>
          </w:p>
        </w:tc>
        <w:tc>
          <w:tcPr>
            <w:tcW w:w="154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Ministerul Finantelor Publice</w:t>
            </w:r>
          </w:p>
        </w:tc>
      </w:tr>
      <w:tr w:rsidR="000A6A0D" w:rsidTr="00064502">
        <w:tc>
          <w:tcPr>
            <w:tcW w:w="1548" w:type="dxa"/>
          </w:tcPr>
          <w:p w:rsidR="000A6A0D" w:rsidRPr="008608CD" w:rsidRDefault="000A6A0D" w:rsidP="00064502">
            <w:pPr>
              <w:jc w:val="center"/>
              <w:rPr>
                <w:rFonts w:ascii="Arial Narrow" w:eastAsia="Times New Roman" w:hAnsi="Arial Narrow" w:cs="Times New Roman"/>
                <w:color w:val="000000"/>
                <w:sz w:val="24"/>
                <w:szCs w:val="24"/>
              </w:rPr>
            </w:pPr>
            <w:r w:rsidRPr="008608CD">
              <w:rPr>
                <w:rFonts w:ascii="Arial Narrow" w:eastAsia="Times New Roman" w:hAnsi="Arial Narrow" w:cs="Times New Roman"/>
                <w:color w:val="000000"/>
                <w:sz w:val="24"/>
                <w:szCs w:val="24"/>
              </w:rPr>
              <w:t>SC Premium Aerotec SRL</w:t>
            </w:r>
          </w:p>
        </w:tc>
        <w:tc>
          <w:tcPr>
            <w:tcW w:w="1112"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2013</w:t>
            </w:r>
          </w:p>
        </w:tc>
        <w:tc>
          <w:tcPr>
            <w:tcW w:w="1417"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14,63</w:t>
            </w:r>
          </w:p>
        </w:tc>
        <w:tc>
          <w:tcPr>
            <w:tcW w:w="141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4,577</w:t>
            </w:r>
          </w:p>
        </w:tc>
        <w:tc>
          <w:tcPr>
            <w:tcW w:w="2245"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HG 1680/2008 </w:t>
            </w:r>
            <w:r w:rsidRPr="00871E8E">
              <w:rPr>
                <w:rFonts w:ascii="Arial Narrow" w:eastAsia="Times New Roman" w:hAnsi="Arial Narrow" w:cs="Times New Roman"/>
                <w:color w:val="000000"/>
                <w:sz w:val="24"/>
                <w:szCs w:val="24"/>
              </w:rPr>
              <w:t>pentru instituirea unei scheme de ajutor de stat privind asigurarea dezvoltării economice durabile</w:t>
            </w:r>
          </w:p>
        </w:tc>
        <w:tc>
          <w:tcPr>
            <w:tcW w:w="154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Ministerul Finantelor Publice</w:t>
            </w:r>
          </w:p>
        </w:tc>
      </w:tr>
      <w:tr w:rsidR="000A6A0D" w:rsidTr="00064502">
        <w:tc>
          <w:tcPr>
            <w:tcW w:w="1548" w:type="dxa"/>
          </w:tcPr>
          <w:p w:rsidR="000A6A0D" w:rsidRPr="008608CD" w:rsidRDefault="000A6A0D" w:rsidP="00064502">
            <w:pPr>
              <w:jc w:val="center"/>
              <w:rPr>
                <w:rFonts w:ascii="Arial Narrow" w:eastAsia="Times New Roman" w:hAnsi="Arial Narrow" w:cs="Times New Roman"/>
                <w:color w:val="000000"/>
                <w:sz w:val="24"/>
                <w:szCs w:val="24"/>
              </w:rPr>
            </w:pPr>
            <w:r w:rsidRPr="008608CD">
              <w:rPr>
                <w:rFonts w:ascii="Arial Narrow" w:eastAsia="Times New Roman" w:hAnsi="Arial Narrow" w:cs="Times New Roman"/>
                <w:color w:val="000000"/>
                <w:sz w:val="24"/>
                <w:szCs w:val="24"/>
              </w:rPr>
              <w:t>SC Airbus Helicopter Industries SRL</w:t>
            </w:r>
          </w:p>
        </w:tc>
        <w:tc>
          <w:tcPr>
            <w:tcW w:w="1112"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2015</w:t>
            </w:r>
          </w:p>
        </w:tc>
        <w:tc>
          <w:tcPr>
            <w:tcW w:w="1417"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15,79</w:t>
            </w:r>
          </w:p>
        </w:tc>
        <w:tc>
          <w:tcPr>
            <w:tcW w:w="141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5,321</w:t>
            </w:r>
          </w:p>
        </w:tc>
        <w:tc>
          <w:tcPr>
            <w:tcW w:w="2245" w:type="dxa"/>
          </w:tcPr>
          <w:p w:rsidR="000A6A0D" w:rsidRDefault="000A6A0D" w:rsidP="00064502">
            <w:pPr>
              <w:jc w:val="center"/>
              <w:rPr>
                <w:rFonts w:ascii="Arial Narrow" w:eastAsia="Times New Roman" w:hAnsi="Arial Narrow" w:cs="Times New Roman"/>
                <w:color w:val="000000"/>
                <w:sz w:val="24"/>
                <w:szCs w:val="24"/>
              </w:rPr>
            </w:pPr>
            <w:r w:rsidRPr="007B07B8">
              <w:rPr>
                <w:rFonts w:ascii="Arial Narrow" w:eastAsia="Times New Roman" w:hAnsi="Arial Narrow" w:cs="Times New Roman"/>
                <w:color w:val="000000"/>
                <w:sz w:val="24"/>
                <w:szCs w:val="24"/>
              </w:rPr>
              <w:t>H.G. nr.807/2014 pentru instituirea unei scheme de ajutor de stat având ca obiectiv stimularea investițiilor cu impact major în economie</w:t>
            </w:r>
          </w:p>
        </w:tc>
        <w:tc>
          <w:tcPr>
            <w:tcW w:w="154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Ministerul Finantelor Publice</w:t>
            </w:r>
          </w:p>
        </w:tc>
      </w:tr>
      <w:tr w:rsidR="000A6A0D" w:rsidTr="00064502">
        <w:tc>
          <w:tcPr>
            <w:tcW w:w="1548" w:type="dxa"/>
          </w:tcPr>
          <w:p w:rsidR="000A6A0D" w:rsidRPr="008608CD" w:rsidRDefault="000A6A0D" w:rsidP="00064502">
            <w:pPr>
              <w:jc w:val="center"/>
              <w:rPr>
                <w:rFonts w:ascii="Arial Narrow" w:eastAsia="Times New Roman" w:hAnsi="Arial Narrow" w:cs="Times New Roman"/>
                <w:color w:val="000000"/>
                <w:sz w:val="24"/>
                <w:szCs w:val="24"/>
              </w:rPr>
            </w:pPr>
            <w:r w:rsidRPr="008608CD">
              <w:rPr>
                <w:rFonts w:ascii="Arial Narrow" w:eastAsia="Times New Roman" w:hAnsi="Arial Narrow" w:cs="Times New Roman"/>
                <w:color w:val="000000"/>
                <w:sz w:val="24"/>
                <w:szCs w:val="24"/>
              </w:rPr>
              <w:t>SC Aero Part Expert SRL</w:t>
            </w:r>
          </w:p>
        </w:tc>
        <w:tc>
          <w:tcPr>
            <w:tcW w:w="1112"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2015</w:t>
            </w:r>
          </w:p>
        </w:tc>
        <w:tc>
          <w:tcPr>
            <w:tcW w:w="1417"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0,913</w:t>
            </w:r>
          </w:p>
        </w:tc>
        <w:tc>
          <w:tcPr>
            <w:tcW w:w="141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0,508</w:t>
            </w:r>
          </w:p>
        </w:tc>
        <w:tc>
          <w:tcPr>
            <w:tcW w:w="2245"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OMFE 1056 / 2014</w:t>
            </w:r>
          </w:p>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POSCCE 2007 – 2013, Axa 1, Op. 1.1.1</w:t>
            </w:r>
          </w:p>
        </w:tc>
        <w:tc>
          <w:tcPr>
            <w:tcW w:w="1548" w:type="dxa"/>
          </w:tcPr>
          <w:p w:rsidR="000A6A0D" w:rsidRDefault="000A6A0D" w:rsidP="00064502">
            <w:pPr>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Ministerul Fondurilor Europene</w:t>
            </w:r>
          </w:p>
        </w:tc>
      </w:tr>
    </w:tbl>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Acordarea acestor ajutoare de stat nu poate fi, insa, pusa in relatie cu existenta si aplicarea unor politici publice specifice acestei industrii. Pe de alta parte, </w:t>
      </w:r>
      <w:r w:rsidRPr="007F4DD4">
        <w:rPr>
          <w:rFonts w:ascii="Arial Narrow" w:eastAsia="Times New Roman" w:hAnsi="Arial Narrow" w:cs="Times New Roman"/>
          <w:color w:val="000000"/>
          <w:sz w:val="24"/>
          <w:szCs w:val="24"/>
        </w:rPr>
        <w:t>Departamentul pentru InvestitiiStraine si Parteneriat Public Privat</w:t>
      </w:r>
      <w:r>
        <w:rPr>
          <w:rFonts w:ascii="Arial Narrow" w:eastAsia="Times New Roman" w:hAnsi="Arial Narrow" w:cs="Times New Roman"/>
          <w:color w:val="000000"/>
          <w:sz w:val="24"/>
          <w:szCs w:val="24"/>
        </w:rPr>
        <w:t xml:space="preserve"> din cadrul Guvernului Romaniei, prin portalul </w:t>
      </w:r>
      <w:hyperlink r:id="rId21" w:history="1">
        <w:r w:rsidRPr="0069556C">
          <w:rPr>
            <w:rStyle w:val="Hyperlink"/>
            <w:rFonts w:ascii="Arial Narrow" w:eastAsia="Times New Roman" w:hAnsi="Arial Narrow" w:cs="Times New Roman"/>
            <w:sz w:val="24"/>
            <w:szCs w:val="24"/>
          </w:rPr>
          <w:t>www.investromania.gov.ro</w:t>
        </w:r>
      </w:hyperlink>
      <w:r>
        <w:rPr>
          <w:rFonts w:ascii="Arial Narrow" w:eastAsia="Times New Roman" w:hAnsi="Arial Narrow" w:cs="Times New Roman"/>
          <w:color w:val="000000"/>
          <w:sz w:val="24"/>
          <w:szCs w:val="24"/>
        </w:rPr>
        <w:t xml:space="preserve">, identifica industria aerospatiala ca fiind unul din sectoarele strategice de dezvoltare, alaturi de IT&amp;C, Automotive, Agricultura, Industria Bio si Industria Creativa. Avand in vedere ca portalul este dezvoltat ca un instrument de promovare a destinatiei de investitii Romania pentru potentialii investitori straini, este normal sa consideram faptul ca industria aerospatiala ar putea beneficia de o atentie sporita la nivel de politici publice in viitor.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64502" w:rsidRDefault="00064502" w:rsidP="000A6A0D">
      <w:pPr>
        <w:spacing w:after="0" w:line="240" w:lineRule="auto"/>
        <w:jc w:val="both"/>
        <w:rPr>
          <w:rFonts w:ascii="Arial Narrow" w:eastAsia="Times New Roman" w:hAnsi="Arial Narrow" w:cs="Times New Roman"/>
          <w:color w:val="000000"/>
          <w:sz w:val="24"/>
          <w:szCs w:val="24"/>
        </w:rPr>
      </w:pPr>
    </w:p>
    <w:p w:rsidR="00064502" w:rsidRDefault="00064502" w:rsidP="000A6A0D">
      <w:pPr>
        <w:spacing w:after="0" w:line="240" w:lineRule="auto"/>
        <w:jc w:val="both"/>
        <w:rPr>
          <w:rFonts w:ascii="Arial Narrow" w:eastAsia="Times New Roman" w:hAnsi="Arial Narrow" w:cs="Times New Roman"/>
          <w:color w:val="000000"/>
          <w:sz w:val="24"/>
          <w:szCs w:val="24"/>
        </w:rPr>
      </w:pPr>
    </w:p>
    <w:p w:rsidR="00064502" w:rsidRDefault="00064502" w:rsidP="000A6A0D">
      <w:pPr>
        <w:spacing w:after="0" w:line="240" w:lineRule="auto"/>
        <w:jc w:val="both"/>
        <w:rPr>
          <w:rFonts w:ascii="Arial Narrow" w:eastAsia="Times New Roman" w:hAnsi="Arial Narrow" w:cs="Times New Roman"/>
          <w:color w:val="000000"/>
          <w:sz w:val="24"/>
          <w:szCs w:val="24"/>
        </w:rPr>
      </w:pPr>
    </w:p>
    <w:p w:rsidR="00064502" w:rsidRDefault="00064502" w:rsidP="000A6A0D">
      <w:pPr>
        <w:spacing w:after="0" w:line="240" w:lineRule="auto"/>
        <w:jc w:val="both"/>
        <w:rPr>
          <w:rFonts w:ascii="Arial Narrow" w:eastAsia="Times New Roman" w:hAnsi="Arial Narrow" w:cs="Times New Roman"/>
          <w:color w:val="000000"/>
          <w:sz w:val="24"/>
          <w:szCs w:val="24"/>
        </w:rPr>
      </w:pPr>
    </w:p>
    <w:p w:rsidR="000A6A0D" w:rsidRPr="00A274AA" w:rsidRDefault="000A6A0D" w:rsidP="000A6A0D">
      <w:pPr>
        <w:spacing w:after="0" w:line="240" w:lineRule="auto"/>
        <w:jc w:val="both"/>
        <w:rPr>
          <w:rFonts w:ascii="Arial Narrow" w:eastAsia="Times New Roman" w:hAnsi="Arial Narrow" w:cs="Times New Roman"/>
          <w:b/>
          <w:color w:val="000000"/>
          <w:sz w:val="24"/>
          <w:szCs w:val="24"/>
        </w:rPr>
      </w:pPr>
      <w:r w:rsidRPr="00A274AA">
        <w:rPr>
          <w:rFonts w:ascii="Arial Narrow" w:eastAsia="Times New Roman" w:hAnsi="Arial Narrow" w:cs="Times New Roman"/>
          <w:b/>
          <w:color w:val="000000"/>
          <w:sz w:val="24"/>
          <w:szCs w:val="24"/>
        </w:rPr>
        <w:t xml:space="preserve">Cercetare – </w:t>
      </w:r>
      <w:r>
        <w:rPr>
          <w:rFonts w:ascii="Arial Narrow" w:eastAsia="Times New Roman" w:hAnsi="Arial Narrow" w:cs="Times New Roman"/>
          <w:b/>
          <w:color w:val="000000"/>
          <w:sz w:val="24"/>
          <w:szCs w:val="24"/>
        </w:rPr>
        <w:t>d</w:t>
      </w:r>
      <w:r w:rsidRPr="00A274AA">
        <w:rPr>
          <w:rFonts w:ascii="Arial Narrow" w:eastAsia="Times New Roman" w:hAnsi="Arial Narrow" w:cs="Times New Roman"/>
          <w:b/>
          <w:color w:val="000000"/>
          <w:sz w:val="24"/>
          <w:szCs w:val="24"/>
        </w:rPr>
        <w:t>ezvoltare si transfer tehnologic</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Institutele de cercetare de profil sunt, in general, localizate in afara regiunii Centru, insa acest aspect nu elimina posibilitatea companiilor de a participa la activitatea de cercetare. La nivel national, activitatea de cercetare si dezvoltare a generat, in anul 2014, 7,5% din totalul veniturilor inregistrate in acest sector industrial</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SC IAR SA a participat la un proiect de cercetare national, cod </w:t>
      </w:r>
      <w:r w:rsidRPr="00E97541">
        <w:rPr>
          <w:rFonts w:ascii="Arial Narrow" w:eastAsia="Times New Roman" w:hAnsi="Arial Narrow" w:cs="Times New Roman"/>
          <w:color w:val="000000"/>
          <w:sz w:val="24"/>
          <w:szCs w:val="24"/>
        </w:rPr>
        <w:t>PN-II-PC-2008-8061</w:t>
      </w:r>
      <w:r>
        <w:rPr>
          <w:rFonts w:ascii="Arial Narrow" w:eastAsia="Times New Roman" w:hAnsi="Arial Narrow" w:cs="Times New Roman"/>
          <w:color w:val="000000"/>
          <w:sz w:val="24"/>
          <w:szCs w:val="24"/>
        </w:rPr>
        <w:t>, avand ca tema securizarea si fiabilizarea st</w:t>
      </w:r>
      <w:r w:rsidRPr="00E97541">
        <w:rPr>
          <w:rFonts w:ascii="Arial Narrow" w:eastAsia="Times New Roman" w:hAnsi="Arial Narrow" w:cs="Times New Roman"/>
          <w:color w:val="000000"/>
          <w:sz w:val="24"/>
          <w:szCs w:val="24"/>
        </w:rPr>
        <w:t>ructurilor aeronautice reparabile prin ut</w:t>
      </w:r>
      <w:r>
        <w:rPr>
          <w:rFonts w:ascii="Arial Narrow" w:eastAsia="Times New Roman" w:hAnsi="Arial Narrow" w:cs="Times New Roman"/>
          <w:color w:val="000000"/>
          <w:sz w:val="24"/>
          <w:szCs w:val="24"/>
        </w:rPr>
        <w:t>ilizarea mat</w:t>
      </w:r>
      <w:r w:rsidRPr="00E97541">
        <w:rPr>
          <w:rFonts w:ascii="Arial Narrow" w:eastAsia="Times New Roman" w:hAnsi="Arial Narrow" w:cs="Times New Roman"/>
          <w:color w:val="000000"/>
          <w:sz w:val="24"/>
          <w:szCs w:val="24"/>
        </w:rPr>
        <w:t>erialelor co</w:t>
      </w:r>
      <w:r>
        <w:rPr>
          <w:rFonts w:ascii="Arial Narrow" w:eastAsia="Times New Roman" w:hAnsi="Arial Narrow" w:cs="Times New Roman"/>
          <w:color w:val="000000"/>
          <w:sz w:val="24"/>
          <w:szCs w:val="24"/>
        </w:rPr>
        <w:t>mpozite inteligent</w:t>
      </w:r>
      <w:r w:rsidRPr="00E97541">
        <w:rPr>
          <w:rFonts w:ascii="Arial Narrow" w:eastAsia="Times New Roman" w:hAnsi="Arial Narrow" w:cs="Times New Roman"/>
          <w:color w:val="000000"/>
          <w:sz w:val="24"/>
          <w:szCs w:val="24"/>
        </w:rPr>
        <w:t>e</w:t>
      </w:r>
      <w:r>
        <w:rPr>
          <w:rFonts w:ascii="Arial Narrow" w:eastAsia="Times New Roman" w:hAnsi="Arial Narrow" w:cs="Times New Roman"/>
          <w:color w:val="000000"/>
          <w:sz w:val="24"/>
          <w:szCs w:val="24"/>
        </w:rPr>
        <w: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AgentiaSpatiala Romana identifica in comunitatea industriala cu care coopereaza in cercetare urmatoarele companii localizate in Regiunea Centru:</w:t>
      </w:r>
    </w:p>
    <w:p w:rsidR="000A6A0D" w:rsidRDefault="000A6A0D" w:rsidP="000A6A0D">
      <w:pPr>
        <w:pStyle w:val="Listparagraf"/>
        <w:numPr>
          <w:ilvl w:val="0"/>
          <w:numId w:val="14"/>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Compozite SRL</w:t>
      </w:r>
    </w:p>
    <w:p w:rsidR="000A6A0D" w:rsidRDefault="000A6A0D" w:rsidP="000A6A0D">
      <w:pPr>
        <w:pStyle w:val="Listparagraf"/>
        <w:numPr>
          <w:ilvl w:val="0"/>
          <w:numId w:val="14"/>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SC Eurocopter Romania SA – actual </w:t>
      </w:r>
      <w:r w:rsidRPr="00A274AA">
        <w:rPr>
          <w:rFonts w:ascii="Arial Narrow" w:eastAsia="Times New Roman" w:hAnsi="Arial Narrow" w:cs="Times New Roman"/>
          <w:color w:val="000000"/>
          <w:sz w:val="24"/>
          <w:szCs w:val="24"/>
        </w:rPr>
        <w:t>SC Airbus Helicopters Romania SA</w:t>
      </w:r>
    </w:p>
    <w:p w:rsidR="000A6A0D" w:rsidRDefault="000A6A0D" w:rsidP="000A6A0D">
      <w:pPr>
        <w:pStyle w:val="Listparagraf"/>
        <w:numPr>
          <w:ilvl w:val="0"/>
          <w:numId w:val="14"/>
        </w:num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SC Roseal SA – companie din Odorheiu Secuiesc (Harghita) specializata in sisteme de etanseizare, membru sau membru fondator la</w:t>
      </w:r>
      <w:r w:rsidRPr="0023322E">
        <w:rPr>
          <w:rFonts w:ascii="Arial Narrow" w:eastAsia="Times New Roman" w:hAnsi="Arial Narrow" w:cs="Times New Roman"/>
          <w:color w:val="000000"/>
          <w:sz w:val="24"/>
          <w:szCs w:val="24"/>
        </w:rPr>
        <w:t xml:space="preserve"> Asociaţia Română pentru Promovarea Lichidelor Magnetice, ROMATOM, Asociaţia Cercetătorilor, Proiectanţilor, Producătorilor şi Exportatorilor de Pompe de Vehiculare din România (APPR) şi Societatea Română de Materiale Carbonice.</w:t>
      </w:r>
    </w:p>
    <w:p w:rsidR="000A6A0D" w:rsidRDefault="000A6A0D" w:rsidP="000A6A0D">
      <w:pPr>
        <w:pStyle w:val="Listparagraf"/>
        <w:numPr>
          <w:ilvl w:val="0"/>
          <w:numId w:val="14"/>
        </w:numPr>
        <w:spacing w:after="0" w:line="240" w:lineRule="auto"/>
        <w:jc w:val="both"/>
        <w:rPr>
          <w:rFonts w:ascii="Arial Narrow" w:eastAsia="Times New Roman" w:hAnsi="Arial Narrow" w:cs="Times New Roman"/>
          <w:color w:val="000000"/>
          <w:sz w:val="24"/>
          <w:szCs w:val="24"/>
        </w:rPr>
      </w:pPr>
      <w:r w:rsidRPr="0023322E">
        <w:rPr>
          <w:rFonts w:ascii="Arial Narrow" w:eastAsia="Times New Roman" w:hAnsi="Arial Narrow" w:cs="Times New Roman"/>
          <w:color w:val="000000"/>
          <w:sz w:val="24"/>
          <w:szCs w:val="24"/>
        </w:rPr>
        <w:t>T.P.I. PositioningSolutions S.R.L.</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sidRPr="00F506D1">
        <w:rPr>
          <w:rFonts w:ascii="Arial Narrow" w:eastAsia="Times New Roman" w:hAnsi="Arial Narrow" w:cs="Times New Roman"/>
          <w:color w:val="000000"/>
          <w:sz w:val="24"/>
          <w:szCs w:val="24"/>
        </w:rPr>
        <w:t>Siemens Industry Software</w:t>
      </w:r>
      <w:r>
        <w:rPr>
          <w:rFonts w:ascii="Arial Narrow" w:eastAsia="Times New Roman" w:hAnsi="Arial Narrow" w:cs="Times New Roman"/>
          <w:color w:val="000000"/>
          <w:sz w:val="24"/>
          <w:szCs w:val="24"/>
        </w:rPr>
        <w:t xml:space="preserve"> SRL din Brasov a contribuit la dezvoltareaplatformeiutilizata de NASA pentruconstruirearobotului Curiosity care se aflaacumpeMarte. NASAautilizat software-uldezvoltat de inginerii IT din Brasov pentruproiectarea, simulareasiasamblareavirtuala a robotului, precumsipentru teste.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sidRPr="008E50DA">
        <w:rPr>
          <w:rFonts w:ascii="Arial Narrow" w:eastAsia="Times New Roman" w:hAnsi="Arial Narrow" w:cs="Times New Roman"/>
          <w:noProof/>
          <w:color w:val="000000"/>
          <w:sz w:val="24"/>
          <w:szCs w:val="24"/>
        </w:rPr>
        <w:drawing>
          <wp:anchor distT="0" distB="0" distL="114300" distR="114300" simplePos="0" relativeHeight="251715584" behindDoc="0" locked="0" layoutInCell="1" allowOverlap="1">
            <wp:simplePos x="0" y="0"/>
            <wp:positionH relativeFrom="column">
              <wp:posOffset>266700</wp:posOffset>
            </wp:positionH>
            <wp:positionV relativeFrom="paragraph">
              <wp:posOffset>1750695</wp:posOffset>
            </wp:positionV>
            <wp:extent cx="2355215" cy="600710"/>
            <wp:effectExtent l="0" t="0" r="6985" b="889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5215" cy="600710"/>
                    </a:xfrm>
                    <a:prstGeom prst="rect">
                      <a:avLst/>
                    </a:prstGeom>
                  </pic:spPr>
                </pic:pic>
              </a:graphicData>
            </a:graphic>
          </wp:anchor>
        </w:drawing>
      </w:r>
      <w:r w:rsidRPr="008E50DA">
        <w:rPr>
          <w:rFonts w:ascii="Arial Narrow" w:eastAsia="Times New Roman" w:hAnsi="Arial Narrow" w:cs="Times New Roman"/>
          <w:noProof/>
          <w:color w:val="000000"/>
          <w:sz w:val="24"/>
          <w:szCs w:val="24"/>
        </w:rPr>
        <w:drawing>
          <wp:anchor distT="0" distB="0" distL="114300" distR="114300" simplePos="0" relativeHeight="251714560" behindDoc="0" locked="0" layoutInCell="1" allowOverlap="1">
            <wp:simplePos x="0" y="0"/>
            <wp:positionH relativeFrom="column">
              <wp:posOffset>3481950</wp:posOffset>
            </wp:positionH>
            <wp:positionV relativeFrom="paragraph">
              <wp:posOffset>71755</wp:posOffset>
            </wp:positionV>
            <wp:extent cx="923471" cy="790575"/>
            <wp:effectExtent l="0" t="0" r="0" b="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1033" cy="788488"/>
                    </a:xfrm>
                    <a:prstGeom prst="rect">
                      <a:avLst/>
                    </a:prstGeom>
                  </pic:spPr>
                </pic:pic>
              </a:graphicData>
            </a:graphic>
          </wp:anchor>
        </w:drawing>
      </w:r>
      <w:r w:rsidRPr="008E50DA">
        <w:rPr>
          <w:rFonts w:ascii="Arial Narrow" w:eastAsia="Times New Roman" w:hAnsi="Arial Narrow" w:cs="Times New Roman"/>
          <w:noProof/>
          <w:color w:val="000000"/>
          <w:sz w:val="24"/>
          <w:szCs w:val="24"/>
        </w:rPr>
        <w:drawing>
          <wp:inline distT="0" distB="0" distL="0" distR="0">
            <wp:extent cx="4264105" cy="2400300"/>
            <wp:effectExtent l="0" t="0" r="3175"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0655" cy="2403987"/>
                    </a:xfrm>
                    <a:prstGeom prst="rect">
                      <a:avLst/>
                    </a:prstGeom>
                  </pic:spPr>
                </pic:pic>
              </a:graphicData>
            </a:graphic>
          </wp:inline>
        </w:drawing>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sidRPr="00F506D1">
        <w:rPr>
          <w:rFonts w:ascii="Arial Narrow" w:eastAsia="Times New Roman" w:hAnsi="Arial Narrow" w:cs="Times New Roman"/>
          <w:color w:val="000000"/>
          <w:sz w:val="24"/>
          <w:szCs w:val="24"/>
        </w:rPr>
        <w:t>SC Nuarb SRL</w:t>
      </w:r>
      <w:r>
        <w:rPr>
          <w:rFonts w:ascii="Arial Narrow" w:eastAsia="Times New Roman" w:hAnsi="Arial Narrow" w:cs="Times New Roman"/>
          <w:color w:val="000000"/>
          <w:sz w:val="24"/>
          <w:szCs w:val="24"/>
        </w:rPr>
        <w:t xml:space="preserve"> a dezvoltat scaune de pilotaj cu protectie la prabusire pentru elicoptere, precum si o solutie de optimizare a structurii suport pentru motoare de aeronave in scopul reducerii greutatii. Compania anunta ca desfasoara 4 programe de cercetare – dezvoltare concentrate pe reducerea de greutate la aparate de zbor si este implicata in proiecte de cercetare – dezvoltare pentru avioane de mici dimensiuni precum Air Simphony si Elias (impreuna cu </w:t>
      </w:r>
      <w:r w:rsidRPr="00EC37C0">
        <w:rPr>
          <w:rFonts w:ascii="Arial Narrow" w:eastAsia="Times New Roman" w:hAnsi="Arial Narrow" w:cs="Times New Roman"/>
          <w:color w:val="000000"/>
          <w:sz w:val="24"/>
          <w:szCs w:val="24"/>
        </w:rPr>
        <w:t>AcentissGmbh&amp; PC AERO Gmbh</w:t>
      </w:r>
      <w:r>
        <w:rPr>
          <w:rFonts w:ascii="Arial Narrow" w:eastAsia="Times New Roman" w:hAnsi="Arial Narrow" w:cs="Times New Roman"/>
          <w:color w:val="000000"/>
          <w:sz w:val="24"/>
          <w:szCs w:val="24"/>
        </w:rPr>
        <w: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noProof/>
        </w:rPr>
        <w:lastRenderedPageBreak/>
        <w:drawing>
          <wp:inline distT="0" distB="0" distL="0" distR="0">
            <wp:extent cx="1172991" cy="1828800"/>
            <wp:effectExtent l="0" t="0" r="8255" b="0"/>
            <wp:docPr id="89" name="Imagine 5" descr="http://www.nuarb.ro/wp-content/upload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arb.ro/wp-content/uploads/image01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991" cy="1828800"/>
                    </a:xfrm>
                    <a:prstGeom prst="rect">
                      <a:avLst/>
                    </a:prstGeom>
                    <a:noFill/>
                    <a:ln>
                      <a:noFill/>
                    </a:ln>
                  </pic:spPr>
                </pic:pic>
              </a:graphicData>
            </a:graphic>
          </wp:inline>
        </w:drawing>
      </w:r>
      <w:r>
        <w:rPr>
          <w:noProof/>
        </w:rPr>
        <w:drawing>
          <wp:inline distT="0" distB="0" distL="0" distR="0">
            <wp:extent cx="2255060" cy="1689895"/>
            <wp:effectExtent l="0" t="0" r="0" b="5715"/>
            <wp:docPr id="90" name="Imagine 6" descr="http://www.nuarb.ro/wp-content/upload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uarb.ro/wp-content/uploads/image022.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4599" cy="1697043"/>
                    </a:xfrm>
                    <a:prstGeom prst="rect">
                      <a:avLst/>
                    </a:prstGeom>
                    <a:noFill/>
                    <a:ln>
                      <a:noFill/>
                    </a:ln>
                  </pic:spPr>
                </pic:pic>
              </a:graphicData>
            </a:graphic>
          </wp:inline>
        </w:drawing>
      </w:r>
      <w:r>
        <w:rPr>
          <w:noProof/>
        </w:rPr>
        <w:drawing>
          <wp:inline distT="0" distB="0" distL="0" distR="0">
            <wp:extent cx="2038350" cy="1304544"/>
            <wp:effectExtent l="0" t="0" r="0" b="0"/>
            <wp:docPr id="91" name="Imagine 7" descr="http://www.nuarb.ro/wp-content/uploads/RD-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arb.ro/wp-content/uploads/RD-image35.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304544"/>
                    </a:xfrm>
                    <a:prstGeom prst="rect">
                      <a:avLst/>
                    </a:prstGeom>
                    <a:noFill/>
                    <a:ln>
                      <a:noFill/>
                    </a:ln>
                  </pic:spPr>
                </pic:pic>
              </a:graphicData>
            </a:graphic>
          </wp:inline>
        </w:drawing>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In martie 2016, Universitatea Tehnica din Brasova semnat un contract de cercetare cu SC IAR SA avand ca tema "</w:t>
      </w:r>
      <w:r w:rsidRPr="008E50DA">
        <w:rPr>
          <w:rFonts w:ascii="Arial Narrow" w:eastAsia="Times New Roman" w:hAnsi="Arial Narrow" w:cs="Times New Roman"/>
          <w:color w:val="000000"/>
          <w:sz w:val="24"/>
          <w:szCs w:val="24"/>
        </w:rPr>
        <w:t>Remagnetizarea componentelor magnetice din subansamblele MAGNETOV p/n 701739 din Alternator 15011/20021 si ANSAMBLU MAGNET p/n SF 2701 ANSME din Indicator Tahimetric SF2701KTD, aferente echipamentelor montate pe elicopterele IAR 330</w:t>
      </w:r>
      <w:r>
        <w:rPr>
          <w:rFonts w:ascii="Arial Narrow" w:eastAsia="Times New Roman" w:hAnsi="Arial Narrow" w:cs="Times New Roman"/>
          <w:color w:val="000000"/>
          <w:sz w:val="24"/>
          <w:szCs w:val="24"/>
        </w:rPr>
        <w: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Proiectele si parteneriatele enumerate mai sus arata existenta unei implicari reale in cercetare – dezvoltare atat din partea operatorilor economici activ in industria aerospatiala cat si din partea mediului universitar regional. Aceste proiecte atesta si capacitatea de transfer tehnologic existenta in acest sector, mai ales in conditiile in care componenta de industrie este suficient de puternica iar perspectivele de dezvoltare sunt reale.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De altfel, transferul de tehnologie a fost initiat prin licentierea IAR ca producator al elicopterelor PUMA in anii 70 si a continuat, inclusiv prin investitiile realizate de companiile multinationale care, ulterior stabilirii prezentei lor in regiune, au inceput sa se activeze ca surse de inovare si transfer tehnologic inclusiv prin participarea in hub-ul de cercetare si dezvoltare </w:t>
      </w:r>
      <w:r>
        <w:rPr>
          <w:rFonts w:ascii="Arial Narrow" w:eastAsia="Times New Roman" w:hAnsi="Arial Narrow" w:cs="Times New Roman"/>
          <w:b/>
          <w:color w:val="000000"/>
          <w:sz w:val="24"/>
          <w:szCs w:val="24"/>
        </w:rPr>
        <w:t>Research for I</w:t>
      </w:r>
      <w:r w:rsidRPr="0019320A">
        <w:rPr>
          <w:rFonts w:ascii="Arial Narrow" w:eastAsia="Times New Roman" w:hAnsi="Arial Narrow" w:cs="Times New Roman"/>
          <w:b/>
          <w:color w:val="000000"/>
          <w:sz w:val="24"/>
          <w:szCs w:val="24"/>
        </w:rPr>
        <w:t>ndustry</w:t>
      </w:r>
      <w:r>
        <w:rPr>
          <w:rFonts w:ascii="Arial Narrow" w:eastAsia="Times New Roman" w:hAnsi="Arial Narrow" w:cs="Times New Roman"/>
          <w:color w:val="000000"/>
          <w:sz w:val="24"/>
          <w:szCs w:val="24"/>
        </w:rPr>
        <w:t xml:space="preserve">, dezvoltat de </w:t>
      </w:r>
      <w:r w:rsidRPr="0019320A">
        <w:rPr>
          <w:rFonts w:ascii="Arial Narrow" w:eastAsia="Times New Roman" w:hAnsi="Arial Narrow" w:cs="Times New Roman"/>
          <w:b/>
          <w:color w:val="000000"/>
          <w:sz w:val="24"/>
          <w:szCs w:val="24"/>
        </w:rPr>
        <w:t>Institutul Roman de Stiinta si Tehnologie</w:t>
      </w:r>
      <w:r>
        <w:rPr>
          <w:rFonts w:ascii="Arial Narrow" w:eastAsia="Times New Roman" w:hAnsi="Arial Narrow" w:cs="Times New Roman"/>
          <w:color w:val="000000"/>
          <w:sz w:val="24"/>
          <w:szCs w:val="24"/>
        </w:rPr>
        <w:t xml:space="preserve"> din Cluj Napoca (vezi cazul Nuarb, Aernnova, Premium Aerotec, care s-au alaturat firmelor romanesti Compozite si IAR). De asemenea, Nuarb a initiat constituirea cluster-ului Transylvania Aerospace, aflat inca in faza incipienta dar care se poate pozitiona ca o platforma suplimentara de transfer tehnologic si suport pentru dezvoltare acestui sector industrial. Din cluster fac parte, in acest moment, trei intreprinderi mari, o microintreprindere si o organizatieeducationala, reunind 1200 de angajati si o cifra de afaceri de 450.000.000 lei, la o rata a exporturilor de 80%.</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Pr="00F804CB" w:rsidRDefault="000A6A0D" w:rsidP="000A6A0D">
      <w:pPr>
        <w:spacing w:after="0" w:line="240" w:lineRule="auto"/>
        <w:jc w:val="both"/>
        <w:rPr>
          <w:rFonts w:ascii="Arial Narrow" w:eastAsia="Times New Roman" w:hAnsi="Arial Narrow" w:cs="Times New Roman"/>
          <w:b/>
          <w:color w:val="000000"/>
          <w:sz w:val="24"/>
          <w:szCs w:val="24"/>
        </w:rPr>
      </w:pPr>
      <w:r w:rsidRPr="00F804CB">
        <w:rPr>
          <w:rFonts w:ascii="Arial Narrow" w:eastAsia="Times New Roman" w:hAnsi="Arial Narrow" w:cs="Times New Roman"/>
          <w:b/>
          <w:color w:val="000000"/>
          <w:sz w:val="24"/>
          <w:szCs w:val="24"/>
        </w:rPr>
        <w:t>Invatamant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Impactul prezentei si, mai ales, a dezvoltarii industriei aeronautice in Regiunea Centru este vizibil nu numai la nivelul cercetarii si transferului tehnologic ci si in ofertele si programele organizatiilor cu profil educational, de la scoli profesionale la universitati.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Invatamantul profesional din Brasov este adaptat, la nivel de oferta educationala, specificului acestui sector industrial. Specializari precum Lacatusconstructiistructuri aeronave, Sculer matriter, Operator masini cu comanda numerica sunt disponibile in unitati de invatamant precum </w:t>
      </w:r>
      <w:r w:rsidRPr="002C5474">
        <w:rPr>
          <w:rFonts w:ascii="Arial Narrow" w:eastAsia="Times New Roman" w:hAnsi="Arial Narrow" w:cs="Times New Roman"/>
          <w:color w:val="000000"/>
          <w:sz w:val="24"/>
          <w:szCs w:val="24"/>
        </w:rPr>
        <w:t>Colegiul Tehnic 'Transilvania' Brașov</w:t>
      </w:r>
      <w:r>
        <w:rPr>
          <w:rFonts w:ascii="Arial Narrow" w:eastAsia="Times New Roman" w:hAnsi="Arial Narrow" w:cs="Times New Roman"/>
          <w:color w:val="000000"/>
          <w:sz w:val="24"/>
          <w:szCs w:val="24"/>
        </w:rPr>
        <w:t xml:space="preserve">, </w:t>
      </w:r>
      <w:r w:rsidRPr="002C5474">
        <w:rPr>
          <w:rFonts w:ascii="Arial Narrow" w:eastAsia="Times New Roman" w:hAnsi="Arial Narrow" w:cs="Times New Roman"/>
          <w:color w:val="000000"/>
          <w:sz w:val="24"/>
          <w:szCs w:val="24"/>
        </w:rPr>
        <w:t>Școala Profesională Germană 'Kronstadt' Brașov</w:t>
      </w:r>
      <w:r>
        <w:rPr>
          <w:rFonts w:ascii="Arial Narrow" w:eastAsia="Times New Roman" w:hAnsi="Arial Narrow" w:cs="Times New Roman"/>
          <w:color w:val="000000"/>
          <w:sz w:val="24"/>
          <w:szCs w:val="24"/>
        </w:rPr>
        <w:t xml:space="preserve">, </w:t>
      </w:r>
      <w:r w:rsidRPr="002C5474">
        <w:rPr>
          <w:rFonts w:ascii="Arial Narrow" w:eastAsia="Times New Roman" w:hAnsi="Arial Narrow" w:cs="Times New Roman"/>
          <w:color w:val="000000"/>
          <w:sz w:val="24"/>
          <w:szCs w:val="24"/>
        </w:rPr>
        <w:t>Colegiul Tehnic 'Mircea Cristea' Brașov</w:t>
      </w:r>
      <w:r>
        <w:rPr>
          <w:rFonts w:ascii="Arial Narrow" w:eastAsia="Times New Roman" w:hAnsi="Arial Narrow" w:cs="Times New Roman"/>
          <w:color w:val="000000"/>
          <w:sz w:val="24"/>
          <w:szCs w:val="24"/>
        </w:rPr>
        <w:t xml:space="preserve">, </w:t>
      </w:r>
      <w:r w:rsidRPr="002C5474">
        <w:rPr>
          <w:rFonts w:ascii="Arial Narrow" w:eastAsia="Times New Roman" w:hAnsi="Arial Narrow" w:cs="Times New Roman"/>
          <w:color w:val="000000"/>
          <w:sz w:val="24"/>
          <w:szCs w:val="24"/>
        </w:rPr>
        <w:t>Colegiul Tehnic 'Simion Mehedinți' Codlea</w:t>
      </w:r>
      <w:r>
        <w:rPr>
          <w:rFonts w:ascii="Arial Narrow" w:eastAsia="Times New Roman" w:hAnsi="Arial Narrow" w:cs="Times New Roman"/>
          <w:color w:val="000000"/>
          <w:sz w:val="24"/>
          <w:szCs w:val="24"/>
        </w:rPr>
        <w:t xml:space="preserve">, </w:t>
      </w:r>
      <w:r w:rsidRPr="002C5474">
        <w:rPr>
          <w:rFonts w:ascii="Arial Narrow" w:eastAsia="Times New Roman" w:hAnsi="Arial Narrow" w:cs="Times New Roman"/>
          <w:color w:val="000000"/>
          <w:sz w:val="24"/>
          <w:szCs w:val="24"/>
        </w:rPr>
        <w:t>Colegiul 'Aurel Vijoli' Făgăraș</w:t>
      </w:r>
      <w:r>
        <w:rPr>
          <w:rFonts w:ascii="Arial Narrow" w:eastAsia="Times New Roman" w:hAnsi="Arial Narrow" w:cs="Times New Roman"/>
          <w:color w:val="000000"/>
          <w:sz w:val="24"/>
          <w:szCs w:val="24"/>
        </w:rPr>
        <w:t xml:space="preserve">, </w:t>
      </w:r>
      <w:r w:rsidRPr="002C5474">
        <w:rPr>
          <w:rFonts w:ascii="Arial Narrow" w:eastAsia="Times New Roman" w:hAnsi="Arial Narrow" w:cs="Times New Roman"/>
          <w:color w:val="000000"/>
          <w:sz w:val="24"/>
          <w:szCs w:val="24"/>
        </w:rPr>
        <w:t>Liceul Tehnologic 'Malaxa' Zărnești</w:t>
      </w:r>
      <w:r>
        <w:rPr>
          <w:rFonts w:ascii="Arial Narrow" w:eastAsia="Times New Roman" w:hAnsi="Arial Narrow" w:cs="Times New Roman"/>
          <w:color w:val="000000"/>
          <w:sz w:val="24"/>
          <w:szCs w:val="24"/>
        </w:rPr>
        <w: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Filiera tehnologica, la nivel preuniversitar, este completata de specializarile gestionate de liceele cu profil industrial, care oferapregatire in domeniile Tehnician aviatie, la </w:t>
      </w:r>
      <w:r w:rsidRPr="006B61E1">
        <w:rPr>
          <w:rFonts w:ascii="Arial Narrow" w:eastAsia="Times New Roman" w:hAnsi="Arial Narrow" w:cs="Times New Roman"/>
          <w:color w:val="000000"/>
          <w:sz w:val="24"/>
          <w:szCs w:val="24"/>
        </w:rPr>
        <w:t>Colegiul Tehnic 'Transilvania' Brașov</w:t>
      </w:r>
      <w:r>
        <w:rPr>
          <w:rFonts w:ascii="Arial Narrow" w:eastAsia="Times New Roman" w:hAnsi="Arial Narrow" w:cs="Times New Roman"/>
          <w:color w:val="000000"/>
          <w:sz w:val="24"/>
          <w:szCs w:val="24"/>
        </w:rPr>
        <w:t>.</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Universitatea Transilvania Brasov are un program de studii de licenta, acreditata din 2002, pe specializarea Constructiiaerospatiale. In anul universitar 2015 – 2016 au fost admisi pentru anul I de studiu 38 de studenti, iar in sesiunea de admitere 2016 sunt scoase la concurs 59 de locuri.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La aceste specializari se adauga si altele, care completeaza oferta educationala cu relevanta pentru sectorul industrial studiat, respectiv inginerie mecanica, ingineria transporturilor, mecatronica si robotica, inginerie industriala si ingineria materialelor, electronica si telecomunicatii, informatica. </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Existenta si persistenta industriei aeronautice la Brasov a determinat si dezvoltarea invatamantului militar de profil, prin Academia Fortelor Aeriene „Henri Coanda”, specializarile fiind insa orientate spre utilizarea aeronavelor si servicii suport (piloti, radiolocatie, meteorolog aeronautic si controlor trafic aerian).</w:t>
      </w:r>
    </w:p>
    <w:p w:rsidR="000A6A0D" w:rsidRDefault="000A6A0D" w:rsidP="000A6A0D">
      <w:pPr>
        <w:spacing w:after="0" w:line="240" w:lineRule="auto"/>
        <w:jc w:val="both"/>
        <w:rPr>
          <w:rFonts w:ascii="Arial Narrow" w:eastAsia="Times New Roman" w:hAnsi="Arial Narrow" w:cs="Times New Roman"/>
          <w:color w:val="000000"/>
          <w:sz w:val="24"/>
          <w:szCs w:val="24"/>
        </w:rPr>
      </w:pPr>
    </w:p>
    <w:p w:rsidR="000A6A0D" w:rsidRDefault="000A6A0D" w:rsidP="000A6A0D">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Este de remarcat faptul ca oferta educationala la nivel de specializari, pe toate palierele, de la profesional la universitar, are capacitatea de a acoperi necesarul pentru intregullant valoric al sectorului, de la Tier IV la Tier I. In conditiile in care jumatatea superioara a lantului valoric sectorial este mai putin dezvoltata, dar exista proiecte in curs care ii asigura dezvoltarea in viitor, se poate presupune ca oferta educationala va sustinecresterea sectorului cel putin pe Tier II si deschiderea spre Tier I, care va necesita, insa, o perioada lunga de consolidare. </w:t>
      </w:r>
    </w:p>
    <w:p w:rsidR="000A6A0D" w:rsidRPr="00AD600E" w:rsidRDefault="000A6A0D" w:rsidP="000A6A0D">
      <w:pPr>
        <w:spacing w:after="0" w:line="240" w:lineRule="auto"/>
        <w:jc w:val="both"/>
        <w:rPr>
          <w:rFonts w:ascii="Arial Narrow" w:eastAsia="Times New Roman" w:hAnsi="Arial Narrow" w:cs="Times New Roman"/>
          <w:color w:val="000000"/>
          <w:sz w:val="24"/>
          <w:szCs w:val="24"/>
        </w:rPr>
      </w:pPr>
      <w:bookmarkStart w:id="0" w:name="_GoBack"/>
      <w:bookmarkEnd w:id="0"/>
    </w:p>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0A6A0D" w:rsidRDefault="000A6A0D"/>
    <w:p w:rsidR="00EA5F90" w:rsidRDefault="00EA5F90"/>
    <w:p w:rsidR="00EA5F90" w:rsidRDefault="00EA5F90"/>
    <w:p w:rsidR="00EA5F90" w:rsidRDefault="00EA5F90"/>
    <w:p w:rsidR="00064502" w:rsidRPr="00B15424" w:rsidRDefault="00064502" w:rsidP="00064502">
      <w:pPr>
        <w:ind w:firstLine="720"/>
        <w:jc w:val="center"/>
        <w:rPr>
          <w:rFonts w:cs="Calibri"/>
          <w:b/>
          <w:sz w:val="32"/>
          <w:szCs w:val="32"/>
          <w:lang w:val="ro-RO"/>
        </w:rPr>
      </w:pPr>
      <w:r w:rsidRPr="00360616">
        <w:rPr>
          <w:rFonts w:cs="Calibri"/>
          <w:b/>
          <w:sz w:val="32"/>
          <w:szCs w:val="32"/>
          <w:lang w:val="ro-RO"/>
        </w:rPr>
        <w:lastRenderedPageBreak/>
        <w:t xml:space="preserve">Sectorul </w:t>
      </w:r>
      <w:r>
        <w:rPr>
          <w:rFonts w:cs="Calibri"/>
          <w:b/>
          <w:sz w:val="32"/>
          <w:szCs w:val="32"/>
          <w:lang w:val="ro-RO"/>
        </w:rPr>
        <w:t>agro</w:t>
      </w:r>
      <w:r w:rsidRPr="00360616">
        <w:rPr>
          <w:rFonts w:cs="Calibri"/>
          <w:b/>
          <w:sz w:val="32"/>
          <w:szCs w:val="32"/>
          <w:lang w:val="ro-RO"/>
        </w:rPr>
        <w:t>alimentar din Regiunea Centru</w:t>
      </w:r>
    </w:p>
    <w:p w:rsidR="00064502" w:rsidRPr="000A2CC0" w:rsidRDefault="00064502" w:rsidP="00064502">
      <w:pPr>
        <w:jc w:val="both"/>
        <w:rPr>
          <w:rFonts w:cs="Calibri"/>
          <w:sz w:val="24"/>
          <w:szCs w:val="24"/>
          <w:lang w:val="ro-RO"/>
        </w:rPr>
      </w:pPr>
      <w:r w:rsidRPr="000A2CC0">
        <w:rPr>
          <w:rFonts w:cs="Calibri"/>
          <w:sz w:val="24"/>
          <w:szCs w:val="24"/>
          <w:lang w:val="ro-RO"/>
        </w:rPr>
        <w:t xml:space="preserve">Cu toate că agricultura şi industria alimentară şi a băuturilor </w:t>
      </w:r>
      <w:r>
        <w:rPr>
          <w:rFonts w:cs="Calibri"/>
          <w:sz w:val="24"/>
          <w:szCs w:val="24"/>
          <w:lang w:val="ro-RO"/>
        </w:rPr>
        <w:t>sunt</w:t>
      </w:r>
      <w:r w:rsidRPr="000A2CC0">
        <w:rPr>
          <w:rFonts w:cs="Calibri"/>
          <w:sz w:val="24"/>
          <w:szCs w:val="24"/>
          <w:lang w:val="ro-RO"/>
        </w:rPr>
        <w:t xml:space="preserve"> sectoare distincte, atât în </w:t>
      </w:r>
      <w:r w:rsidRPr="000A2CC0">
        <w:rPr>
          <w:rFonts w:ascii="Cambria Math" w:hAnsi="Cambria Math" w:cs="Cambria Math"/>
          <w:sz w:val="24"/>
          <w:szCs w:val="24"/>
          <w:lang w:val="ro-RO"/>
        </w:rPr>
        <w:t>​​</w:t>
      </w:r>
      <w:r w:rsidRPr="000A2CC0">
        <w:rPr>
          <w:rFonts w:ascii="Calibri" w:hAnsi="Calibri" w:cs="Calibri"/>
          <w:sz w:val="24"/>
          <w:szCs w:val="24"/>
          <w:lang w:val="ro-RO"/>
        </w:rPr>
        <w:t>ceea ce privește caracteristicile lor cât și rolul lor în creșterea economică, de</w:t>
      </w:r>
      <w:r>
        <w:rPr>
          <w:rFonts w:ascii="Calibri" w:hAnsi="Calibri" w:cs="Calibri"/>
          <w:sz w:val="24"/>
          <w:szCs w:val="24"/>
          <w:lang w:val="ro-RO"/>
        </w:rPr>
        <w:t xml:space="preserve"> f</w:t>
      </w:r>
      <w:r w:rsidRPr="000A2CC0">
        <w:rPr>
          <w:rFonts w:ascii="Calibri" w:hAnsi="Calibri" w:cs="Calibri"/>
          <w:sz w:val="24"/>
          <w:szCs w:val="24"/>
          <w:lang w:val="ro-RO"/>
        </w:rPr>
        <w:t>apt aceste sectoare sunt în strânsă legătură şi se influenţează reciproc</w:t>
      </w:r>
      <w:r>
        <w:rPr>
          <w:rFonts w:ascii="Calibri" w:hAnsi="Calibri" w:cs="Calibri"/>
          <w:sz w:val="24"/>
          <w:szCs w:val="24"/>
          <w:lang w:val="ro-RO"/>
        </w:rPr>
        <w:t xml:space="preserve"> formând astfel </w:t>
      </w:r>
      <w:r w:rsidRPr="000A2CC0">
        <w:rPr>
          <w:rFonts w:ascii="Calibri" w:hAnsi="Calibri" w:cs="Calibri"/>
          <w:sz w:val="24"/>
          <w:szCs w:val="24"/>
          <w:lang w:val="ro-RO"/>
        </w:rPr>
        <w:t>sector</w:t>
      </w:r>
      <w:r>
        <w:rPr>
          <w:rFonts w:ascii="Calibri" w:hAnsi="Calibri" w:cs="Calibri"/>
          <w:sz w:val="24"/>
          <w:szCs w:val="24"/>
          <w:lang w:val="ro-RO"/>
        </w:rPr>
        <w:t>ul</w:t>
      </w:r>
      <w:r w:rsidRPr="000A2CC0">
        <w:rPr>
          <w:rFonts w:ascii="Calibri" w:hAnsi="Calibri" w:cs="Calibri"/>
          <w:sz w:val="24"/>
          <w:szCs w:val="24"/>
          <w:lang w:val="ro-RO"/>
        </w:rPr>
        <w:t xml:space="preserve"> agroalimentar.</w:t>
      </w:r>
      <w:r>
        <w:rPr>
          <w:rFonts w:ascii="Calibri" w:hAnsi="Calibri" w:cs="Calibri"/>
          <w:sz w:val="24"/>
          <w:szCs w:val="24"/>
          <w:lang w:val="ro-RO"/>
        </w:rPr>
        <w:t xml:space="preserve"> Sectorul</w:t>
      </w:r>
      <w:r w:rsidRPr="0007400B">
        <w:rPr>
          <w:rFonts w:ascii="Calibri" w:hAnsi="Calibri" w:cs="Calibri"/>
          <w:sz w:val="24"/>
          <w:szCs w:val="24"/>
          <w:lang w:val="ro-RO"/>
        </w:rPr>
        <w:t xml:space="preserve"> agroalimentar acoperă toată producția și activitățile</w:t>
      </w:r>
      <w:r>
        <w:rPr>
          <w:rFonts w:ascii="Calibri" w:hAnsi="Calibri" w:cs="Calibri"/>
          <w:sz w:val="24"/>
          <w:szCs w:val="24"/>
          <w:lang w:val="ro-RO"/>
        </w:rPr>
        <w:t xml:space="preserve"> </w:t>
      </w:r>
      <w:r w:rsidRPr="000A2CC0">
        <w:rPr>
          <w:rFonts w:ascii="Calibri" w:hAnsi="Calibri" w:cs="Calibri"/>
          <w:sz w:val="24"/>
          <w:szCs w:val="24"/>
          <w:lang w:val="ro-RO"/>
        </w:rPr>
        <w:t>angajate în agricultură și procesarea alimentelor</w:t>
      </w:r>
      <w:r>
        <w:rPr>
          <w:rFonts w:ascii="Calibri" w:hAnsi="Calibri" w:cs="Calibri"/>
          <w:sz w:val="24"/>
          <w:szCs w:val="24"/>
          <w:lang w:val="ro-RO"/>
        </w:rPr>
        <w:t xml:space="preserve"> cât şi</w:t>
      </w:r>
      <w:r w:rsidRPr="000A2CC0">
        <w:rPr>
          <w:rFonts w:ascii="Calibri" w:hAnsi="Calibri" w:cs="Calibri"/>
          <w:sz w:val="24"/>
          <w:szCs w:val="24"/>
          <w:lang w:val="ro-RO"/>
        </w:rPr>
        <w:t xml:space="preserve"> </w:t>
      </w:r>
      <w:r w:rsidRPr="0007400B">
        <w:rPr>
          <w:rFonts w:ascii="Calibri" w:hAnsi="Calibri" w:cs="Calibri"/>
          <w:sz w:val="24"/>
          <w:szCs w:val="24"/>
          <w:lang w:val="ro-RO"/>
        </w:rPr>
        <w:t>sistem</w:t>
      </w:r>
      <w:r>
        <w:rPr>
          <w:rFonts w:ascii="Calibri" w:hAnsi="Calibri" w:cs="Calibri"/>
          <w:sz w:val="24"/>
          <w:szCs w:val="24"/>
          <w:lang w:val="ro-RO"/>
        </w:rPr>
        <w:t>ul</w:t>
      </w:r>
      <w:r w:rsidRPr="0007400B">
        <w:rPr>
          <w:rFonts w:ascii="Calibri" w:hAnsi="Calibri" w:cs="Calibri"/>
          <w:sz w:val="24"/>
          <w:szCs w:val="24"/>
          <w:lang w:val="ro-RO"/>
        </w:rPr>
        <w:t xml:space="preserve"> de relații funcționale care leagă producătorii, procesa</w:t>
      </w:r>
      <w:r>
        <w:rPr>
          <w:rFonts w:ascii="Calibri" w:hAnsi="Calibri" w:cs="Calibri"/>
          <w:sz w:val="24"/>
          <w:szCs w:val="24"/>
          <w:lang w:val="ro-RO"/>
        </w:rPr>
        <w:t>torii, transportatorii, depozită</w:t>
      </w:r>
      <w:r w:rsidRPr="0007400B">
        <w:rPr>
          <w:rFonts w:ascii="Calibri" w:hAnsi="Calibri" w:cs="Calibri"/>
          <w:sz w:val="24"/>
          <w:szCs w:val="24"/>
          <w:lang w:val="ro-RO"/>
        </w:rPr>
        <w:t>rii, distribuitorii, comercianții și/sau bursele de mărfuri care tranzacționează același produs sau grup de produse, în vederea utilizării și/sau a consumului acestuia/acestora</w:t>
      </w:r>
      <w:r>
        <w:rPr>
          <w:rFonts w:ascii="Calibri" w:hAnsi="Calibri" w:cs="Calibri"/>
          <w:sz w:val="24"/>
          <w:szCs w:val="24"/>
          <w:lang w:val="ro-RO"/>
        </w:rPr>
        <w:t>.</w:t>
      </w:r>
    </w:p>
    <w:p w:rsidR="00064502" w:rsidRPr="00373496" w:rsidRDefault="00064502" w:rsidP="00064502">
      <w:pPr>
        <w:jc w:val="both"/>
        <w:rPr>
          <w:rFonts w:cs="Calibri"/>
          <w:b/>
          <w:sz w:val="28"/>
          <w:szCs w:val="28"/>
          <w:lang w:val="ro-RO"/>
        </w:rPr>
      </w:pPr>
      <w:r w:rsidRPr="00373496">
        <w:rPr>
          <w:rFonts w:cs="Calibri"/>
          <w:b/>
          <w:sz w:val="28"/>
          <w:szCs w:val="28"/>
          <w:lang w:val="ro-RO"/>
        </w:rPr>
        <w:t>Sectorul agroalimentar</w:t>
      </w:r>
      <w:r>
        <w:rPr>
          <w:rFonts w:cs="Calibri"/>
          <w:b/>
          <w:sz w:val="28"/>
          <w:szCs w:val="28"/>
          <w:lang w:val="ro-RO"/>
        </w:rPr>
        <w:t xml:space="preserve"> </w:t>
      </w:r>
      <w:r w:rsidRPr="00373496">
        <w:rPr>
          <w:rFonts w:cs="Calibri"/>
          <w:b/>
          <w:sz w:val="28"/>
          <w:szCs w:val="28"/>
          <w:lang w:val="ro-RO"/>
        </w:rPr>
        <w:t>- sector cheie al economiei europene și românești</w:t>
      </w:r>
    </w:p>
    <w:p w:rsidR="00064502" w:rsidRDefault="00064502" w:rsidP="00064502">
      <w:pPr>
        <w:jc w:val="both"/>
        <w:rPr>
          <w:rFonts w:cs="Calibri"/>
          <w:sz w:val="24"/>
          <w:szCs w:val="24"/>
          <w:lang w:val="ro-RO"/>
        </w:rPr>
      </w:pPr>
      <w:r w:rsidRPr="00BA626E">
        <w:rPr>
          <w:rFonts w:cs="Calibri"/>
          <w:sz w:val="24"/>
          <w:szCs w:val="24"/>
          <w:lang w:val="ro-RO"/>
        </w:rPr>
        <w:t>In</w:t>
      </w:r>
      <w:r>
        <w:rPr>
          <w:rFonts w:cs="Calibri"/>
          <w:sz w:val="24"/>
          <w:szCs w:val="24"/>
          <w:lang w:val="ro-RO"/>
        </w:rPr>
        <w:t xml:space="preserve"> ultimii 5 ani in</w:t>
      </w:r>
      <w:r w:rsidRPr="00BA626E">
        <w:rPr>
          <w:rFonts w:cs="Calibri"/>
          <w:sz w:val="24"/>
          <w:szCs w:val="24"/>
          <w:lang w:val="ro-RO"/>
        </w:rPr>
        <w:t>dustria</w:t>
      </w:r>
      <w:r>
        <w:rPr>
          <w:rFonts w:cs="Calibri"/>
          <w:sz w:val="24"/>
          <w:szCs w:val="24"/>
          <w:lang w:val="ro-RO"/>
        </w:rPr>
        <w:t xml:space="preserve"> alimentară şi a băuturilor a fost </w:t>
      </w:r>
      <w:r w:rsidRPr="00BA626E">
        <w:rPr>
          <w:rFonts w:cs="Calibri"/>
          <w:sz w:val="24"/>
          <w:szCs w:val="24"/>
          <w:lang w:val="ro-RO"/>
        </w:rPr>
        <w:t>unul din sectoarele industriei cele mai dinamice şi mai importante din Europa.</w:t>
      </w:r>
      <w:r w:rsidRPr="0001671F">
        <w:rPr>
          <w:rFonts w:cs="Calibri"/>
          <w:sz w:val="24"/>
          <w:szCs w:val="24"/>
          <w:lang w:val="ro-RO"/>
        </w:rPr>
        <w:t xml:space="preserve"> </w:t>
      </w:r>
      <w:r>
        <w:rPr>
          <w:rFonts w:cs="Calibri"/>
          <w:sz w:val="24"/>
          <w:szCs w:val="24"/>
          <w:lang w:val="ro-RO"/>
        </w:rPr>
        <w:t xml:space="preserve">În cadrul acesteia activează </w:t>
      </w:r>
      <w:r w:rsidRPr="0001671F">
        <w:rPr>
          <w:rFonts w:cs="Calibri"/>
          <w:sz w:val="24"/>
          <w:szCs w:val="24"/>
          <w:lang w:val="ro-RO"/>
        </w:rPr>
        <w:t xml:space="preserve">aproximativ </w:t>
      </w:r>
      <w:r w:rsidRPr="00B70E0D">
        <w:rPr>
          <w:rFonts w:cs="Calibri"/>
          <w:b/>
          <w:sz w:val="24"/>
          <w:szCs w:val="24"/>
          <w:lang w:val="ro-RO"/>
        </w:rPr>
        <w:t>310 000 de companii</w:t>
      </w:r>
      <w:r w:rsidRPr="0001671F">
        <w:rPr>
          <w:rFonts w:cs="Calibri"/>
          <w:sz w:val="24"/>
          <w:szCs w:val="24"/>
          <w:lang w:val="ro-RO"/>
        </w:rPr>
        <w:t xml:space="preserve"> şi </w:t>
      </w:r>
      <w:r>
        <w:rPr>
          <w:rFonts w:cs="Calibri"/>
          <w:sz w:val="24"/>
          <w:szCs w:val="24"/>
          <w:lang w:val="ro-RO"/>
        </w:rPr>
        <w:t>o forţă de muncă de</w:t>
      </w:r>
      <w:r w:rsidRPr="0001671F">
        <w:rPr>
          <w:rFonts w:cs="Calibri"/>
          <w:sz w:val="24"/>
          <w:szCs w:val="24"/>
          <w:lang w:val="ro-RO"/>
        </w:rPr>
        <w:t xml:space="preserve"> mai mult de </w:t>
      </w:r>
      <w:r w:rsidRPr="00B70E0D">
        <w:rPr>
          <w:rFonts w:cs="Calibri"/>
          <w:b/>
          <w:sz w:val="24"/>
          <w:szCs w:val="24"/>
          <w:lang w:val="ro-RO"/>
        </w:rPr>
        <w:t>4 milioane de persoane</w:t>
      </w:r>
      <w:r w:rsidRPr="0001671F">
        <w:rPr>
          <w:rFonts w:cs="Calibri"/>
          <w:sz w:val="24"/>
          <w:szCs w:val="24"/>
          <w:lang w:val="ro-RO"/>
        </w:rPr>
        <w:t>.</w:t>
      </w:r>
      <w:r>
        <w:rPr>
          <w:rFonts w:cs="Calibri"/>
          <w:sz w:val="24"/>
          <w:szCs w:val="24"/>
          <w:lang w:val="ro-RO"/>
        </w:rPr>
        <w:t xml:space="preserve"> În anul 2015, Uniunea Europeană a reuşit să</w:t>
      </w:r>
      <w:r w:rsidRPr="00D81892">
        <w:rPr>
          <w:rFonts w:cs="Calibri"/>
          <w:sz w:val="24"/>
          <w:szCs w:val="24"/>
          <w:lang w:val="ro-RO"/>
        </w:rPr>
        <w:t xml:space="preserve"> își confirm</w:t>
      </w:r>
      <w:r>
        <w:rPr>
          <w:rFonts w:cs="Calibri"/>
          <w:sz w:val="24"/>
          <w:szCs w:val="24"/>
          <w:lang w:val="ro-RO"/>
        </w:rPr>
        <w:t>e</w:t>
      </w:r>
      <w:r w:rsidRPr="00D81892">
        <w:rPr>
          <w:rFonts w:cs="Calibri"/>
          <w:sz w:val="24"/>
          <w:szCs w:val="24"/>
          <w:lang w:val="ro-RO"/>
        </w:rPr>
        <w:t xml:space="preserve"> </w:t>
      </w:r>
      <w:r w:rsidRPr="00CF644D">
        <w:rPr>
          <w:rFonts w:cs="Calibri"/>
          <w:b/>
          <w:sz w:val="24"/>
          <w:szCs w:val="24"/>
          <w:lang w:val="ro-RO"/>
        </w:rPr>
        <w:t>poziția de lider al</w:t>
      </w:r>
      <w:r>
        <w:rPr>
          <w:rFonts w:cs="Calibri"/>
          <w:b/>
          <w:sz w:val="24"/>
          <w:szCs w:val="24"/>
          <w:lang w:val="ro-RO"/>
        </w:rPr>
        <w:t xml:space="preserve"> exportatorilor de produse agro</w:t>
      </w:r>
      <w:r w:rsidRPr="00CF644D">
        <w:rPr>
          <w:rFonts w:cs="Calibri"/>
          <w:b/>
          <w:sz w:val="24"/>
          <w:szCs w:val="24"/>
          <w:lang w:val="ro-RO"/>
        </w:rPr>
        <w:t>alimentare la nivel mondial</w:t>
      </w:r>
      <w:r>
        <w:rPr>
          <w:rFonts w:cs="Calibri"/>
          <w:sz w:val="24"/>
          <w:szCs w:val="24"/>
          <w:lang w:val="ro-RO"/>
        </w:rPr>
        <w:t xml:space="preserve">. </w:t>
      </w:r>
    </w:p>
    <w:p w:rsidR="00064502" w:rsidRPr="00D81892" w:rsidRDefault="00064502" w:rsidP="00064502">
      <w:pPr>
        <w:jc w:val="both"/>
        <w:rPr>
          <w:rFonts w:cs="Calibri"/>
          <w:sz w:val="24"/>
          <w:szCs w:val="24"/>
          <w:lang w:val="ro-RO"/>
        </w:rPr>
      </w:pPr>
      <w:r>
        <w:rPr>
          <w:rFonts w:cs="Calibri"/>
          <w:sz w:val="24"/>
          <w:szCs w:val="24"/>
          <w:lang w:val="ro-RO"/>
        </w:rPr>
        <w:t xml:space="preserve">Valoarea </w:t>
      </w:r>
      <w:r w:rsidRPr="00E60C6A">
        <w:rPr>
          <w:rFonts w:cs="Calibri"/>
          <w:b/>
          <w:sz w:val="24"/>
          <w:szCs w:val="24"/>
          <w:lang w:val="ro-RO"/>
        </w:rPr>
        <w:t>exporturilor agroalimentare a ajuns la 129 miliarde € în 2015</w:t>
      </w:r>
      <w:r w:rsidRPr="00D81892">
        <w:rPr>
          <w:rFonts w:cs="Calibri"/>
          <w:sz w:val="24"/>
          <w:szCs w:val="24"/>
          <w:lang w:val="ro-RO"/>
        </w:rPr>
        <w:t>, mai mult de 7% din totalul mărfurilor exportate din UE. Creștere a fost de 5,7% față de 2014, iar excedentul comercial net de 16 miliarde €.</w:t>
      </w:r>
    </w:p>
    <w:p w:rsidR="00064502" w:rsidRDefault="00064502" w:rsidP="00064502">
      <w:pPr>
        <w:jc w:val="both"/>
        <w:rPr>
          <w:rFonts w:cs="Calibri"/>
          <w:sz w:val="24"/>
          <w:szCs w:val="24"/>
          <w:lang w:val="ro-RO"/>
        </w:rPr>
      </w:pPr>
      <w:r w:rsidRPr="00D81892">
        <w:rPr>
          <w:rFonts w:cs="Calibri"/>
          <w:sz w:val="24"/>
          <w:szCs w:val="24"/>
          <w:lang w:val="ro-RO"/>
        </w:rPr>
        <w:t xml:space="preserve">Producția totală a sectorului agricol al Uniunii Europene a fost evaluată la 410 miliarde €, în 2015. Agricultura și industria alimentară și a băuturilor ocupă împreună </w:t>
      </w:r>
      <w:r w:rsidRPr="00E60C6A">
        <w:rPr>
          <w:rFonts w:cs="Calibri"/>
          <w:b/>
          <w:sz w:val="24"/>
          <w:szCs w:val="24"/>
          <w:lang w:val="ro-RO"/>
        </w:rPr>
        <w:t>7,5% din ocuparea forța de muncă a UE</w:t>
      </w:r>
      <w:r w:rsidRPr="00D81892">
        <w:rPr>
          <w:rFonts w:cs="Calibri"/>
          <w:sz w:val="24"/>
          <w:szCs w:val="24"/>
          <w:lang w:val="ro-RO"/>
        </w:rPr>
        <w:t xml:space="preserve"> și produc 3,7% din valoarea adăugată totală.</w:t>
      </w:r>
      <w:r w:rsidRPr="0001671F">
        <w:rPr>
          <w:rFonts w:cs="Calibri"/>
          <w:sz w:val="24"/>
          <w:szCs w:val="24"/>
          <w:lang w:val="ro-RO"/>
        </w:rPr>
        <w:t xml:space="preserve"> </w:t>
      </w:r>
    </w:p>
    <w:p w:rsidR="00064502" w:rsidRDefault="00064502" w:rsidP="00064502">
      <w:pPr>
        <w:jc w:val="both"/>
        <w:rPr>
          <w:rFonts w:cs="Calibri"/>
          <w:sz w:val="24"/>
          <w:szCs w:val="24"/>
          <w:lang w:val="ro-RO"/>
        </w:rPr>
      </w:pPr>
      <w:r>
        <w:rPr>
          <w:rFonts w:cs="Calibri"/>
          <w:sz w:val="24"/>
          <w:szCs w:val="24"/>
          <w:lang w:val="ro-RO"/>
        </w:rPr>
        <w:t xml:space="preserve">În drumul spre primul loc la nivel mondial </w:t>
      </w:r>
      <w:r w:rsidRPr="00D81892">
        <w:rPr>
          <w:rFonts w:cs="Calibri"/>
          <w:sz w:val="24"/>
          <w:szCs w:val="24"/>
          <w:lang w:val="ro-RO"/>
        </w:rPr>
        <w:t>industria alimentară europeană</w:t>
      </w:r>
      <w:r>
        <w:rPr>
          <w:rFonts w:cs="Calibri"/>
          <w:sz w:val="24"/>
          <w:szCs w:val="24"/>
          <w:lang w:val="ro-RO"/>
        </w:rPr>
        <w:t xml:space="preserve"> a suferit o serie de modificări şi a trebuit să facă faţă mai multor probleme. Pe de o parte, se remarca</w:t>
      </w:r>
      <w:r w:rsidRPr="00ED3047">
        <w:rPr>
          <w:rFonts w:cs="Calibri"/>
          <w:sz w:val="24"/>
          <w:szCs w:val="24"/>
          <w:lang w:val="ro-RO"/>
        </w:rPr>
        <w:t xml:space="preserve"> nevoia companiilor de a participa pe piaţa internaţională</w:t>
      </w:r>
      <w:r>
        <w:rPr>
          <w:rFonts w:cs="Calibri"/>
          <w:sz w:val="24"/>
          <w:szCs w:val="24"/>
          <w:lang w:val="ro-RO"/>
        </w:rPr>
        <w:t xml:space="preserve"> </w:t>
      </w:r>
      <w:r w:rsidRPr="00ED3047">
        <w:rPr>
          <w:rFonts w:cs="Calibri"/>
          <w:sz w:val="24"/>
          <w:szCs w:val="24"/>
          <w:lang w:val="ro-RO"/>
        </w:rPr>
        <w:t>și în același timp de a contribui la coeziunea teritorială, socială şi economică de la nivel</w:t>
      </w:r>
      <w:r>
        <w:rPr>
          <w:rFonts w:cs="Calibri"/>
          <w:sz w:val="24"/>
          <w:szCs w:val="24"/>
          <w:lang w:val="ro-RO"/>
        </w:rPr>
        <w:t xml:space="preserve"> regional şi european, iar pe de altă parte</w:t>
      </w:r>
      <w:r w:rsidRPr="00ED3047">
        <w:rPr>
          <w:rFonts w:cs="Calibri"/>
          <w:sz w:val="24"/>
          <w:szCs w:val="24"/>
          <w:lang w:val="ro-RO"/>
        </w:rPr>
        <w:t xml:space="preserve"> </w:t>
      </w:r>
      <w:r>
        <w:rPr>
          <w:rFonts w:cs="Calibri"/>
          <w:sz w:val="24"/>
          <w:szCs w:val="24"/>
          <w:lang w:val="ro-RO"/>
        </w:rPr>
        <w:t>d</w:t>
      </w:r>
      <w:r w:rsidRPr="0001671F">
        <w:rPr>
          <w:rFonts w:cs="Calibri"/>
          <w:sz w:val="24"/>
          <w:szCs w:val="24"/>
          <w:lang w:val="ro-RO"/>
        </w:rPr>
        <w:t>emersuri</w:t>
      </w:r>
      <w:r>
        <w:rPr>
          <w:rFonts w:cs="Calibri"/>
          <w:sz w:val="24"/>
          <w:szCs w:val="24"/>
          <w:lang w:val="ro-RO"/>
        </w:rPr>
        <w:t>le</w:t>
      </w:r>
      <w:r w:rsidRPr="0001671F">
        <w:rPr>
          <w:rFonts w:cs="Calibri"/>
          <w:sz w:val="24"/>
          <w:szCs w:val="24"/>
          <w:lang w:val="ro-RO"/>
        </w:rPr>
        <w:t xml:space="preserve"> administrative anevoioase, lipsa finanţării, lacune în materie de C&amp;D şi dificultăţi în obţ</w:t>
      </w:r>
      <w:r>
        <w:rPr>
          <w:rFonts w:cs="Calibri"/>
          <w:sz w:val="24"/>
          <w:szCs w:val="24"/>
          <w:lang w:val="ro-RO"/>
        </w:rPr>
        <w:t>inerea materiilor prime, sunt câ</w:t>
      </w:r>
      <w:r w:rsidRPr="0001671F">
        <w:rPr>
          <w:rFonts w:cs="Calibri"/>
          <w:sz w:val="24"/>
          <w:szCs w:val="24"/>
          <w:lang w:val="ro-RO"/>
        </w:rPr>
        <w:t xml:space="preserve">teva din principalele obstacole care </w:t>
      </w:r>
      <w:r>
        <w:rPr>
          <w:rFonts w:cs="Calibri"/>
          <w:sz w:val="24"/>
          <w:szCs w:val="24"/>
          <w:lang w:val="ro-RO"/>
        </w:rPr>
        <w:t>au fost doar parţial remediate. Iar da</w:t>
      </w:r>
      <w:r w:rsidRPr="0001671F">
        <w:rPr>
          <w:rFonts w:cs="Calibri"/>
          <w:sz w:val="24"/>
          <w:szCs w:val="24"/>
          <w:lang w:val="ro-RO"/>
        </w:rPr>
        <w:t xml:space="preserve">că UE doreşte să </w:t>
      </w:r>
      <w:r>
        <w:rPr>
          <w:rFonts w:cs="Calibri"/>
          <w:sz w:val="24"/>
          <w:szCs w:val="24"/>
          <w:lang w:val="ro-RO"/>
        </w:rPr>
        <w:t>îşi menţină poziţia pe piaţa mondială este obligatoriu să stimuleze</w:t>
      </w:r>
      <w:r w:rsidRPr="00ED3047">
        <w:rPr>
          <w:rFonts w:cs="Calibri"/>
          <w:sz w:val="24"/>
          <w:szCs w:val="24"/>
          <w:lang w:val="ro-RO"/>
        </w:rPr>
        <w:t xml:space="preserve"> industria alimentară</w:t>
      </w:r>
      <w:r>
        <w:rPr>
          <w:rFonts w:cs="Calibri"/>
          <w:sz w:val="24"/>
          <w:szCs w:val="24"/>
          <w:lang w:val="ro-RO"/>
        </w:rPr>
        <w:t xml:space="preserve"> </w:t>
      </w:r>
      <w:r w:rsidRPr="00ED3047">
        <w:rPr>
          <w:rFonts w:cs="Calibri"/>
          <w:sz w:val="24"/>
          <w:szCs w:val="24"/>
          <w:lang w:val="ro-RO"/>
        </w:rPr>
        <w:t xml:space="preserve">și </w:t>
      </w:r>
      <w:r>
        <w:rPr>
          <w:rFonts w:cs="Calibri"/>
          <w:sz w:val="24"/>
          <w:szCs w:val="24"/>
          <w:lang w:val="ro-RO"/>
        </w:rPr>
        <w:t>să investească permanent în inovare pentru ca această industrie</w:t>
      </w:r>
      <w:r w:rsidRPr="00ED3047">
        <w:rPr>
          <w:rFonts w:cs="Calibri"/>
          <w:sz w:val="24"/>
          <w:szCs w:val="24"/>
          <w:lang w:val="ro-RO"/>
        </w:rPr>
        <w:t xml:space="preserve"> </w:t>
      </w:r>
      <w:r>
        <w:rPr>
          <w:rFonts w:cs="Calibri"/>
          <w:sz w:val="24"/>
          <w:szCs w:val="24"/>
          <w:lang w:val="ro-RO"/>
        </w:rPr>
        <w:t xml:space="preserve">să se menţină </w:t>
      </w:r>
      <w:r w:rsidRPr="00ED3047">
        <w:rPr>
          <w:rFonts w:cs="Calibri"/>
          <w:sz w:val="24"/>
          <w:szCs w:val="24"/>
          <w:lang w:val="ro-RO"/>
        </w:rPr>
        <w:t>com</w:t>
      </w:r>
      <w:r>
        <w:rPr>
          <w:rFonts w:cs="Calibri"/>
          <w:sz w:val="24"/>
          <w:szCs w:val="24"/>
          <w:lang w:val="ro-RO"/>
        </w:rPr>
        <w:t>petitivă şi</w:t>
      </w:r>
      <w:r w:rsidRPr="00ED3047">
        <w:rPr>
          <w:rFonts w:cs="Calibri"/>
          <w:sz w:val="24"/>
          <w:szCs w:val="24"/>
          <w:lang w:val="ro-RO"/>
        </w:rPr>
        <w:t xml:space="preserve"> durabilă.</w:t>
      </w:r>
    </w:p>
    <w:p w:rsidR="00064502" w:rsidRDefault="00064502" w:rsidP="00064502">
      <w:pPr>
        <w:jc w:val="both"/>
        <w:rPr>
          <w:rFonts w:cs="Calibri"/>
          <w:sz w:val="24"/>
          <w:szCs w:val="24"/>
          <w:lang w:val="ro-RO"/>
        </w:rPr>
      </w:pPr>
      <w:r>
        <w:rPr>
          <w:rFonts w:cs="Calibri"/>
          <w:sz w:val="24"/>
          <w:szCs w:val="24"/>
          <w:lang w:val="ro-RO"/>
        </w:rPr>
        <w:t xml:space="preserve">Privind lucrurile la nivel naţional, şi aici </w:t>
      </w:r>
      <w:r w:rsidRPr="00B70E0D">
        <w:rPr>
          <w:rFonts w:cs="Calibri"/>
          <w:b/>
          <w:sz w:val="24"/>
          <w:szCs w:val="24"/>
          <w:lang w:val="ro-RO"/>
        </w:rPr>
        <w:t>industria alimentară</w:t>
      </w:r>
      <w:r>
        <w:rPr>
          <w:rFonts w:cs="Calibri"/>
          <w:sz w:val="24"/>
          <w:szCs w:val="24"/>
          <w:lang w:val="ro-RO"/>
        </w:rPr>
        <w:t xml:space="preserve"> a avut o </w:t>
      </w:r>
      <w:r w:rsidRPr="00B70E0D">
        <w:rPr>
          <w:rFonts w:cs="Calibri"/>
          <w:b/>
          <w:sz w:val="24"/>
          <w:szCs w:val="24"/>
          <w:lang w:val="ro-RO"/>
        </w:rPr>
        <w:t>dinamică formidabilă în materie de exporturi</w:t>
      </w:r>
      <w:r w:rsidRPr="004219CA">
        <w:rPr>
          <w:rFonts w:cs="Calibri"/>
          <w:sz w:val="24"/>
          <w:szCs w:val="24"/>
          <w:lang w:val="ro-RO"/>
        </w:rPr>
        <w:t>,</w:t>
      </w:r>
      <w:r w:rsidRPr="008A695F">
        <w:rPr>
          <w:rFonts w:cs="Calibri"/>
          <w:sz w:val="24"/>
          <w:szCs w:val="24"/>
          <w:lang w:val="ro-RO"/>
        </w:rPr>
        <w:t xml:space="preserve"> ceea ce transformă acest sector într-unul strategic, ce ar putea </w:t>
      </w:r>
      <w:r>
        <w:rPr>
          <w:rFonts w:cs="Calibri"/>
          <w:sz w:val="24"/>
          <w:szCs w:val="24"/>
          <w:lang w:val="ro-RO"/>
        </w:rPr>
        <w:t>contribui semnificativ la</w:t>
      </w:r>
      <w:r w:rsidRPr="008A695F">
        <w:rPr>
          <w:rFonts w:cs="Calibri"/>
          <w:sz w:val="24"/>
          <w:szCs w:val="24"/>
          <w:lang w:val="ro-RO"/>
        </w:rPr>
        <w:t xml:space="preserve"> exporturile României</w:t>
      </w:r>
      <w:r>
        <w:rPr>
          <w:rFonts w:cs="Calibri"/>
          <w:sz w:val="24"/>
          <w:szCs w:val="24"/>
          <w:lang w:val="ro-RO"/>
        </w:rPr>
        <w:t>.</w:t>
      </w:r>
      <w:r w:rsidRPr="008A695F">
        <w:t xml:space="preserve"> </w:t>
      </w:r>
      <w:r w:rsidRPr="008A695F">
        <w:rPr>
          <w:rFonts w:cs="Calibri"/>
          <w:sz w:val="24"/>
          <w:szCs w:val="24"/>
          <w:lang w:val="ro-RO"/>
        </w:rPr>
        <w:t xml:space="preserve">De altfel, </w:t>
      </w:r>
      <w:r>
        <w:rPr>
          <w:rFonts w:cs="Calibri"/>
          <w:sz w:val="24"/>
          <w:szCs w:val="24"/>
          <w:lang w:val="ro-RO"/>
        </w:rPr>
        <w:t>potrivit unui studiu</w:t>
      </w:r>
      <w:r>
        <w:rPr>
          <w:rStyle w:val="Referinnotdesubsol"/>
          <w:rFonts w:cs="Calibri"/>
          <w:i/>
          <w:sz w:val="24"/>
          <w:szCs w:val="24"/>
        </w:rPr>
        <w:footnoteReference w:id="6"/>
      </w:r>
      <w:r>
        <w:rPr>
          <w:rFonts w:cs="Calibri"/>
          <w:sz w:val="24"/>
          <w:szCs w:val="24"/>
          <w:lang w:val="ro-RO"/>
        </w:rPr>
        <w:t xml:space="preserve"> din anul 2013 </w:t>
      </w:r>
      <w:r w:rsidRPr="008A695F">
        <w:rPr>
          <w:rFonts w:cs="Calibri"/>
          <w:sz w:val="24"/>
          <w:szCs w:val="24"/>
          <w:lang w:val="ro-RO"/>
        </w:rPr>
        <w:t>indu</w:t>
      </w:r>
      <w:r>
        <w:rPr>
          <w:rFonts w:cs="Calibri"/>
          <w:sz w:val="24"/>
          <w:szCs w:val="24"/>
          <w:lang w:val="ro-RO"/>
        </w:rPr>
        <w:t>stria alimentară era</w:t>
      </w:r>
      <w:r w:rsidRPr="008A695F">
        <w:rPr>
          <w:rFonts w:cs="Calibri"/>
          <w:sz w:val="24"/>
          <w:szCs w:val="24"/>
          <w:lang w:val="ro-RO"/>
        </w:rPr>
        <w:t xml:space="preserve"> </w:t>
      </w:r>
      <w:r w:rsidRPr="00B70E0D">
        <w:rPr>
          <w:rFonts w:cs="Calibri"/>
          <w:b/>
          <w:sz w:val="24"/>
          <w:szCs w:val="24"/>
          <w:lang w:val="ro-RO"/>
        </w:rPr>
        <w:t>liderul industriei prelucrătoare din România</w:t>
      </w:r>
      <w:r w:rsidRPr="008A695F">
        <w:rPr>
          <w:rFonts w:cs="Calibri"/>
          <w:sz w:val="24"/>
          <w:szCs w:val="24"/>
          <w:lang w:val="ro-RO"/>
        </w:rPr>
        <w:t>, acoperi</w:t>
      </w:r>
      <w:r>
        <w:rPr>
          <w:rFonts w:cs="Calibri"/>
          <w:sz w:val="24"/>
          <w:szCs w:val="24"/>
          <w:lang w:val="ro-RO"/>
        </w:rPr>
        <w:t xml:space="preserve">nd circa 25% </w:t>
      </w:r>
      <w:r>
        <w:rPr>
          <w:rFonts w:cs="Calibri"/>
          <w:sz w:val="24"/>
          <w:szCs w:val="24"/>
          <w:lang w:val="ro-RO"/>
        </w:rPr>
        <w:lastRenderedPageBreak/>
        <w:t>din valoarea adău</w:t>
      </w:r>
      <w:r w:rsidRPr="008A695F">
        <w:rPr>
          <w:rFonts w:cs="Calibri"/>
          <w:sz w:val="24"/>
          <w:szCs w:val="24"/>
          <w:lang w:val="ro-RO"/>
        </w:rPr>
        <w:t>gată brută a acestei</w:t>
      </w:r>
      <w:r>
        <w:rPr>
          <w:rFonts w:cs="Calibri"/>
          <w:sz w:val="24"/>
          <w:szCs w:val="24"/>
          <w:lang w:val="ro-RO"/>
        </w:rPr>
        <w:t xml:space="preserve"> industrii. În 2013 industria alimentară a reprezentat 6,2%</w:t>
      </w:r>
      <w:r w:rsidRPr="008A695F">
        <w:rPr>
          <w:rFonts w:cs="Calibri"/>
          <w:sz w:val="24"/>
          <w:szCs w:val="24"/>
          <w:lang w:val="ro-RO"/>
        </w:rPr>
        <w:t xml:space="preserve"> din PIB.</w:t>
      </w:r>
    </w:p>
    <w:p w:rsidR="00064502" w:rsidRDefault="00064502" w:rsidP="00064502">
      <w:pPr>
        <w:jc w:val="both"/>
        <w:rPr>
          <w:rFonts w:cs="Calibri"/>
          <w:sz w:val="24"/>
          <w:szCs w:val="24"/>
          <w:lang w:val="ro-RO"/>
        </w:rPr>
      </w:pPr>
      <w:r>
        <w:rPr>
          <w:rFonts w:cs="Calibri"/>
          <w:sz w:val="24"/>
          <w:szCs w:val="24"/>
          <w:lang w:val="ro-RO"/>
        </w:rPr>
        <w:t>P</w:t>
      </w:r>
      <w:r w:rsidRPr="008A695F">
        <w:rPr>
          <w:rFonts w:cs="Calibri"/>
          <w:sz w:val="24"/>
          <w:szCs w:val="24"/>
          <w:lang w:val="ro-RO"/>
        </w:rPr>
        <w:t>otrivit dat</w:t>
      </w:r>
      <w:r>
        <w:rPr>
          <w:rFonts w:cs="Calibri"/>
          <w:sz w:val="24"/>
          <w:szCs w:val="24"/>
          <w:lang w:val="ro-RO"/>
        </w:rPr>
        <w:t xml:space="preserve">elor Ministerului Agriculturii şi Dezvoltării Rurale (MADR), România a încheiat anul 2013 </w:t>
      </w:r>
      <w:r w:rsidRPr="008A695F">
        <w:rPr>
          <w:rFonts w:cs="Calibri"/>
          <w:sz w:val="24"/>
          <w:szCs w:val="24"/>
          <w:lang w:val="ro-RO"/>
        </w:rPr>
        <w:t>cu un plus de aproape</w:t>
      </w:r>
      <w:r>
        <w:rPr>
          <w:rFonts w:cs="Calibri"/>
          <w:sz w:val="24"/>
          <w:szCs w:val="24"/>
          <w:lang w:val="ro-RO"/>
        </w:rPr>
        <w:t xml:space="preserve"> 325 milioane de euro la balanţa comercială pe sectorul de produse agroalimentare, </w:t>
      </w:r>
      <w:r w:rsidRPr="00E60C6A">
        <w:rPr>
          <w:rFonts w:cs="Calibri"/>
          <w:b/>
          <w:sz w:val="24"/>
          <w:szCs w:val="24"/>
          <w:lang w:val="ro-RO"/>
        </w:rPr>
        <w:t>fiind primul excedent din ultimii 20 de ani</w:t>
      </w:r>
      <w:r>
        <w:rPr>
          <w:rFonts w:cs="Calibri"/>
          <w:sz w:val="24"/>
          <w:szCs w:val="24"/>
          <w:lang w:val="ro-RO"/>
        </w:rPr>
        <w:t>, urmând ca în anul 2014 plusul din balanţa comercială pe sectorul de produse agroalimentare</w:t>
      </w:r>
      <w:r w:rsidRPr="00E80527">
        <w:rPr>
          <w:rFonts w:ascii="Calibri" w:eastAsia="Times New Roman" w:hAnsi="Calibri" w:cs="Times New Roman"/>
          <w:color w:val="000000"/>
          <w:sz w:val="24"/>
          <w:szCs w:val="24"/>
          <w:lang w:val="ro-RO"/>
        </w:rPr>
        <w:t xml:space="preserve"> </w:t>
      </w:r>
      <w:r>
        <w:rPr>
          <w:rFonts w:ascii="Calibri" w:eastAsia="Times New Roman" w:hAnsi="Calibri" w:cs="Times New Roman"/>
          <w:color w:val="000000"/>
          <w:sz w:val="24"/>
          <w:szCs w:val="24"/>
          <w:lang w:val="ro-RO"/>
        </w:rPr>
        <w:t xml:space="preserve">să crească la </w:t>
      </w:r>
      <w:r w:rsidRPr="00E80527">
        <w:rPr>
          <w:rFonts w:ascii="Calibri" w:eastAsia="Times New Roman" w:hAnsi="Calibri" w:cs="Times New Roman"/>
          <w:color w:val="000000"/>
          <w:sz w:val="24"/>
          <w:szCs w:val="24"/>
          <w:lang w:val="ro-RO"/>
        </w:rPr>
        <w:t>4516</w:t>
      </w:r>
      <w:r>
        <w:rPr>
          <w:rFonts w:ascii="Calibri" w:eastAsia="Times New Roman" w:hAnsi="Calibri" w:cs="Times New Roman"/>
          <w:color w:val="000000"/>
          <w:sz w:val="24"/>
          <w:szCs w:val="24"/>
          <w:lang w:val="ro-RO"/>
        </w:rPr>
        <w:t xml:space="preserve"> </w:t>
      </w:r>
      <w:r>
        <w:rPr>
          <w:rFonts w:cs="Calibri"/>
          <w:sz w:val="24"/>
          <w:szCs w:val="24"/>
          <w:lang w:val="ro-RO"/>
        </w:rPr>
        <w:t>milioane de euro.</w:t>
      </w:r>
    </w:p>
    <w:p w:rsidR="00064502" w:rsidRDefault="00064502" w:rsidP="00064502">
      <w:pPr>
        <w:jc w:val="both"/>
        <w:rPr>
          <w:rFonts w:cs="Calibri"/>
          <w:sz w:val="24"/>
          <w:szCs w:val="24"/>
          <w:lang w:val="ro-RO"/>
        </w:rPr>
      </w:pPr>
      <w:r>
        <w:rPr>
          <w:rFonts w:cs="Calibri"/>
          <w:sz w:val="24"/>
          <w:szCs w:val="24"/>
          <w:lang w:val="ro-RO"/>
        </w:rPr>
        <w:t>Uniunea Europeană a fost principalul partener în comerţul agricol al Româ</w:t>
      </w:r>
      <w:r w:rsidRPr="00AA1ED8">
        <w:rPr>
          <w:rFonts w:cs="Calibri"/>
          <w:sz w:val="24"/>
          <w:szCs w:val="24"/>
          <w:lang w:val="ro-RO"/>
        </w:rPr>
        <w:t>ni</w:t>
      </w:r>
      <w:r>
        <w:rPr>
          <w:rFonts w:cs="Calibri"/>
          <w:sz w:val="24"/>
          <w:szCs w:val="24"/>
          <w:lang w:val="ro-RO"/>
        </w:rPr>
        <w:t>ei din anul 2013, livră</w:t>
      </w:r>
      <w:r w:rsidRPr="00AA1ED8">
        <w:rPr>
          <w:rFonts w:cs="Calibri"/>
          <w:sz w:val="24"/>
          <w:szCs w:val="24"/>
          <w:lang w:val="ro-RO"/>
        </w:rPr>
        <w:t>r</w:t>
      </w:r>
      <w:r>
        <w:rPr>
          <w:rFonts w:cs="Calibri"/>
          <w:sz w:val="24"/>
          <w:szCs w:val="24"/>
          <w:lang w:val="ro-RO"/>
        </w:rPr>
        <w:t>ile de produse agroalimentare către această destinaţie au avut o pondere valorică de 58,4%, iar achiziţ</w:t>
      </w:r>
      <w:r w:rsidRPr="00AA1ED8">
        <w:rPr>
          <w:rFonts w:cs="Calibri"/>
          <w:sz w:val="24"/>
          <w:szCs w:val="24"/>
          <w:lang w:val="ro-RO"/>
        </w:rPr>
        <w:t>i</w:t>
      </w:r>
      <w:r>
        <w:rPr>
          <w:rFonts w:cs="Calibri"/>
          <w:sz w:val="24"/>
          <w:szCs w:val="24"/>
          <w:lang w:val="ro-RO"/>
        </w:rPr>
        <w:t>ile din statele membre UE au deţ</w:t>
      </w:r>
      <w:r w:rsidRPr="00AA1ED8">
        <w:rPr>
          <w:rFonts w:cs="Calibri"/>
          <w:sz w:val="24"/>
          <w:szCs w:val="24"/>
          <w:lang w:val="ro-RO"/>
        </w:rPr>
        <w:t>inut o pondere de 80,9%.</w:t>
      </w:r>
    </w:p>
    <w:p w:rsidR="00064502" w:rsidRDefault="00064502" w:rsidP="00064502">
      <w:pPr>
        <w:jc w:val="both"/>
        <w:rPr>
          <w:rFonts w:cs="Calibri"/>
          <w:sz w:val="24"/>
          <w:szCs w:val="24"/>
          <w:lang w:val="ro-RO"/>
        </w:rPr>
      </w:pPr>
      <w:r>
        <w:rPr>
          <w:rFonts w:cs="Calibri"/>
          <w:sz w:val="24"/>
          <w:szCs w:val="24"/>
          <w:lang w:val="ro-RO"/>
        </w:rPr>
        <w:t xml:space="preserve">Urmărind evoluţia </w:t>
      </w:r>
      <w:r w:rsidRPr="00E60C6A">
        <w:rPr>
          <w:rFonts w:cs="Calibri"/>
          <w:b/>
          <w:sz w:val="24"/>
          <w:szCs w:val="24"/>
          <w:lang w:val="ro-RO"/>
        </w:rPr>
        <w:t>exportului de produse agroalimentare</w:t>
      </w:r>
      <w:r>
        <w:rPr>
          <w:rFonts w:cs="Calibri"/>
          <w:sz w:val="24"/>
          <w:szCs w:val="24"/>
          <w:lang w:val="ro-RO"/>
        </w:rPr>
        <w:t xml:space="preserve"> în perioada 2010 – 2015 se observă ca acesta </w:t>
      </w:r>
      <w:r w:rsidRPr="00E60C6A">
        <w:rPr>
          <w:rFonts w:cs="Calibri"/>
          <w:b/>
          <w:sz w:val="24"/>
          <w:szCs w:val="24"/>
          <w:lang w:val="ro-RO"/>
        </w:rPr>
        <w:t>a crescut atât ca sumă, de la 3,111 miliarde euro în 2010 la aproape 6 miliarde de euro în 2015, cât şi ca pondere în totalul exporturilor</w:t>
      </w:r>
      <w:r>
        <w:rPr>
          <w:rFonts w:cs="Calibri"/>
          <w:sz w:val="24"/>
          <w:szCs w:val="24"/>
          <w:lang w:val="ro-RO"/>
        </w:rPr>
        <w:t>, valoarea exporturilor de produse agroalimentare reprezenta 8,33% din valoarea exporturilor totale ale României în anul 2010, iar în anul 2015 ponderea acestora a crescut la 10,85%.</w:t>
      </w:r>
    </w:p>
    <w:p w:rsidR="00064502" w:rsidRPr="000F1C1F" w:rsidRDefault="00064502" w:rsidP="00064502">
      <w:pPr>
        <w:spacing w:after="0"/>
        <w:jc w:val="both"/>
        <w:rPr>
          <w:rFonts w:cs="Calibri"/>
          <w:sz w:val="24"/>
          <w:szCs w:val="24"/>
          <w:lang w:val="ro-RO"/>
        </w:rPr>
      </w:pPr>
      <w:r w:rsidRPr="0053389F">
        <w:rPr>
          <w:b/>
          <w:sz w:val="24"/>
          <w:szCs w:val="24"/>
          <w:lang w:val="ro-RO"/>
        </w:rPr>
        <w:t xml:space="preserve">Tabel </w:t>
      </w:r>
      <w:r>
        <w:rPr>
          <w:b/>
          <w:sz w:val="24"/>
          <w:szCs w:val="24"/>
          <w:lang w:val="ro-RO"/>
        </w:rPr>
        <w:t xml:space="preserve">1    </w:t>
      </w:r>
      <w:r w:rsidRPr="000F1C1F">
        <w:rPr>
          <w:rFonts w:cs="Calibri"/>
          <w:b/>
          <w:sz w:val="24"/>
          <w:szCs w:val="24"/>
          <w:lang w:val="ro-RO"/>
        </w:rPr>
        <w:t>Valoarea exporturilor (FOB) di</w:t>
      </w:r>
      <w:r>
        <w:rPr>
          <w:rFonts w:cs="Calibri"/>
          <w:b/>
          <w:sz w:val="24"/>
          <w:szCs w:val="24"/>
          <w:lang w:val="ro-RO"/>
        </w:rPr>
        <w:t>n</w:t>
      </w:r>
      <w:r w:rsidRPr="000F1C1F">
        <w:rPr>
          <w:rFonts w:cs="Calibri"/>
          <w:b/>
          <w:sz w:val="24"/>
          <w:szCs w:val="24"/>
          <w:lang w:val="ro-RO"/>
        </w:rPr>
        <w:t xml:space="preserve"> România în perioada 2010-2015</w:t>
      </w:r>
      <w:r w:rsidRPr="000F1C1F">
        <w:rPr>
          <w:b/>
          <w:sz w:val="24"/>
          <w:szCs w:val="24"/>
          <w:lang w:val="ro-RO"/>
        </w:rPr>
        <w:t xml:space="preserve"> </w:t>
      </w:r>
      <w:r>
        <w:rPr>
          <w:b/>
          <w:sz w:val="24"/>
          <w:szCs w:val="24"/>
          <w:lang w:val="ro-RO"/>
        </w:rPr>
        <w:t xml:space="preserve">           </w:t>
      </w:r>
      <w:r>
        <w:rPr>
          <w:sz w:val="24"/>
          <w:szCs w:val="24"/>
          <w:lang w:val="ro-RO"/>
        </w:rPr>
        <w:t xml:space="preserve">     </w:t>
      </w:r>
      <w:r>
        <w:rPr>
          <w:b/>
          <w:sz w:val="20"/>
          <w:szCs w:val="20"/>
          <w:lang w:val="ro-RO"/>
        </w:rPr>
        <w:t>-m</w:t>
      </w:r>
      <w:r w:rsidRPr="0053389F">
        <w:rPr>
          <w:b/>
          <w:sz w:val="20"/>
          <w:szCs w:val="20"/>
          <w:lang w:val="ro-RO"/>
        </w:rPr>
        <w:t xml:space="preserve">ii </w:t>
      </w:r>
      <w:r>
        <w:rPr>
          <w:b/>
          <w:sz w:val="20"/>
          <w:szCs w:val="20"/>
          <w:lang w:val="ro-RO"/>
        </w:rPr>
        <w:t>euro</w:t>
      </w:r>
      <w:r w:rsidRPr="0053389F">
        <w:rPr>
          <w:b/>
          <w:sz w:val="20"/>
          <w:szCs w:val="20"/>
          <w:lang w:val="ro-RO"/>
        </w:rPr>
        <w:t>-</w:t>
      </w:r>
    </w:p>
    <w:tbl>
      <w:tblPr>
        <w:tblStyle w:val="Textnotdefinal"/>
        <w:tblW w:w="9342" w:type="dxa"/>
        <w:tblLayout w:type="fixed"/>
        <w:tblLook w:val="04A0"/>
      </w:tblPr>
      <w:tblGrid>
        <w:gridCol w:w="1908"/>
        <w:gridCol w:w="1239"/>
        <w:gridCol w:w="1239"/>
        <w:gridCol w:w="1239"/>
        <w:gridCol w:w="1239"/>
        <w:gridCol w:w="1239"/>
        <w:gridCol w:w="1239"/>
      </w:tblGrid>
      <w:tr w:rsidR="00064502" w:rsidRPr="00BD616F" w:rsidTr="00064502">
        <w:tc>
          <w:tcPr>
            <w:tcW w:w="1908" w:type="dxa"/>
          </w:tcPr>
          <w:p w:rsidR="00064502" w:rsidRPr="00E80527" w:rsidRDefault="00064502" w:rsidP="00064502">
            <w:pPr>
              <w:spacing w:line="276" w:lineRule="auto"/>
              <w:jc w:val="both"/>
              <w:rPr>
                <w:rFonts w:cs="Calibri"/>
                <w:sz w:val="24"/>
                <w:szCs w:val="24"/>
                <w:lang w:val="ro-RO"/>
              </w:rPr>
            </w:pPr>
            <w:r w:rsidRPr="00E80527">
              <w:rPr>
                <w:rFonts w:cs="Calibri"/>
                <w:sz w:val="24"/>
                <w:szCs w:val="24"/>
                <w:lang w:val="ro-RO"/>
              </w:rPr>
              <w:t>Anul</w:t>
            </w:r>
          </w:p>
        </w:tc>
        <w:tc>
          <w:tcPr>
            <w:tcW w:w="1239" w:type="dxa"/>
          </w:tcPr>
          <w:p w:rsidR="00064502" w:rsidRPr="00E80527" w:rsidRDefault="00064502" w:rsidP="00064502">
            <w:pPr>
              <w:spacing w:line="276" w:lineRule="auto"/>
              <w:jc w:val="center"/>
              <w:rPr>
                <w:rFonts w:cs="Calibri"/>
                <w:sz w:val="24"/>
                <w:szCs w:val="24"/>
                <w:lang w:val="ro-RO"/>
              </w:rPr>
            </w:pPr>
            <w:r w:rsidRPr="00E80527">
              <w:rPr>
                <w:rFonts w:cs="Calibri"/>
                <w:sz w:val="24"/>
                <w:szCs w:val="24"/>
                <w:lang w:val="ro-RO"/>
              </w:rPr>
              <w:t>2010</w:t>
            </w:r>
          </w:p>
        </w:tc>
        <w:tc>
          <w:tcPr>
            <w:tcW w:w="1239" w:type="dxa"/>
          </w:tcPr>
          <w:p w:rsidR="00064502" w:rsidRPr="00E80527" w:rsidRDefault="00064502" w:rsidP="00064502">
            <w:pPr>
              <w:spacing w:line="276" w:lineRule="auto"/>
              <w:jc w:val="center"/>
              <w:rPr>
                <w:rFonts w:cs="Calibri"/>
                <w:sz w:val="24"/>
                <w:szCs w:val="24"/>
                <w:lang w:val="ro-RO"/>
              </w:rPr>
            </w:pPr>
            <w:r w:rsidRPr="00E80527">
              <w:rPr>
                <w:rFonts w:cs="Calibri"/>
                <w:sz w:val="24"/>
                <w:szCs w:val="24"/>
                <w:lang w:val="ro-RO"/>
              </w:rPr>
              <w:t>2011</w:t>
            </w:r>
          </w:p>
        </w:tc>
        <w:tc>
          <w:tcPr>
            <w:tcW w:w="1239" w:type="dxa"/>
          </w:tcPr>
          <w:p w:rsidR="00064502" w:rsidRPr="00E80527" w:rsidRDefault="00064502" w:rsidP="00064502">
            <w:pPr>
              <w:spacing w:line="276" w:lineRule="auto"/>
              <w:jc w:val="center"/>
              <w:rPr>
                <w:rFonts w:cs="Calibri"/>
                <w:sz w:val="24"/>
                <w:szCs w:val="24"/>
                <w:lang w:val="ro-RO"/>
              </w:rPr>
            </w:pPr>
            <w:r w:rsidRPr="00E80527">
              <w:rPr>
                <w:rFonts w:cs="Calibri"/>
                <w:sz w:val="24"/>
                <w:szCs w:val="24"/>
                <w:lang w:val="ro-RO"/>
              </w:rPr>
              <w:t>2012</w:t>
            </w:r>
          </w:p>
        </w:tc>
        <w:tc>
          <w:tcPr>
            <w:tcW w:w="1239" w:type="dxa"/>
          </w:tcPr>
          <w:p w:rsidR="00064502" w:rsidRPr="00E80527" w:rsidRDefault="00064502" w:rsidP="00064502">
            <w:pPr>
              <w:spacing w:line="276" w:lineRule="auto"/>
              <w:jc w:val="center"/>
              <w:rPr>
                <w:rFonts w:cs="Calibri"/>
                <w:sz w:val="24"/>
                <w:szCs w:val="24"/>
                <w:lang w:val="ro-RO"/>
              </w:rPr>
            </w:pPr>
            <w:r w:rsidRPr="00E80527">
              <w:rPr>
                <w:rFonts w:cs="Calibri"/>
                <w:sz w:val="24"/>
                <w:szCs w:val="24"/>
                <w:lang w:val="ro-RO"/>
              </w:rPr>
              <w:t>2013</w:t>
            </w:r>
          </w:p>
        </w:tc>
        <w:tc>
          <w:tcPr>
            <w:tcW w:w="1239" w:type="dxa"/>
          </w:tcPr>
          <w:p w:rsidR="00064502" w:rsidRPr="00E80527" w:rsidRDefault="00064502" w:rsidP="00064502">
            <w:pPr>
              <w:spacing w:line="276" w:lineRule="auto"/>
              <w:jc w:val="center"/>
              <w:rPr>
                <w:rFonts w:cs="Calibri"/>
                <w:sz w:val="24"/>
                <w:szCs w:val="24"/>
                <w:lang w:val="ro-RO"/>
              </w:rPr>
            </w:pPr>
            <w:r w:rsidRPr="00E80527">
              <w:rPr>
                <w:rFonts w:cs="Calibri"/>
                <w:sz w:val="24"/>
                <w:szCs w:val="24"/>
                <w:lang w:val="ro-RO"/>
              </w:rPr>
              <w:t>2014</w:t>
            </w:r>
          </w:p>
        </w:tc>
        <w:tc>
          <w:tcPr>
            <w:tcW w:w="1239" w:type="dxa"/>
          </w:tcPr>
          <w:p w:rsidR="00064502" w:rsidRPr="00E80527" w:rsidRDefault="00064502" w:rsidP="00064502">
            <w:pPr>
              <w:spacing w:line="276" w:lineRule="auto"/>
              <w:jc w:val="center"/>
              <w:rPr>
                <w:rFonts w:cs="Calibri"/>
                <w:sz w:val="24"/>
                <w:szCs w:val="24"/>
                <w:lang w:val="ro-RO"/>
              </w:rPr>
            </w:pPr>
            <w:r w:rsidRPr="00E80527">
              <w:rPr>
                <w:rFonts w:cs="Calibri"/>
                <w:sz w:val="24"/>
                <w:szCs w:val="24"/>
                <w:lang w:val="ro-RO"/>
              </w:rPr>
              <w:t>2015</w:t>
            </w:r>
          </w:p>
        </w:tc>
      </w:tr>
      <w:tr w:rsidR="00064502" w:rsidTr="00064502">
        <w:tc>
          <w:tcPr>
            <w:tcW w:w="1908" w:type="dxa"/>
            <w:vAlign w:val="center"/>
          </w:tcPr>
          <w:p w:rsidR="00064502" w:rsidRPr="00E80527" w:rsidRDefault="00064502" w:rsidP="00064502">
            <w:pPr>
              <w:spacing w:line="276" w:lineRule="auto"/>
              <w:rPr>
                <w:rFonts w:cs="Calibri"/>
                <w:sz w:val="24"/>
                <w:szCs w:val="24"/>
                <w:lang w:val="ro-RO"/>
              </w:rPr>
            </w:pPr>
            <w:r w:rsidRPr="00E80527">
              <w:rPr>
                <w:rFonts w:cs="Calibri"/>
                <w:sz w:val="24"/>
                <w:szCs w:val="24"/>
                <w:lang w:val="ro-RO"/>
              </w:rPr>
              <w:t>Total</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37360259</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45291534</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45069165</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49562143</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52458656</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54598299</w:t>
            </w:r>
          </w:p>
        </w:tc>
      </w:tr>
      <w:tr w:rsidR="00064502" w:rsidTr="00064502">
        <w:trPr>
          <w:trHeight w:val="545"/>
        </w:trPr>
        <w:tc>
          <w:tcPr>
            <w:tcW w:w="1908" w:type="dxa"/>
            <w:vAlign w:val="center"/>
          </w:tcPr>
          <w:p w:rsidR="00064502" w:rsidRPr="00E80527" w:rsidRDefault="00064502" w:rsidP="00064502">
            <w:pPr>
              <w:spacing w:line="276" w:lineRule="auto"/>
              <w:rPr>
                <w:rFonts w:cs="Calibri"/>
                <w:sz w:val="24"/>
                <w:szCs w:val="24"/>
                <w:lang w:val="ro-RO"/>
              </w:rPr>
            </w:pPr>
            <w:r w:rsidRPr="00E80527">
              <w:rPr>
                <w:rFonts w:cs="Calibri"/>
                <w:sz w:val="24"/>
                <w:szCs w:val="24"/>
                <w:lang w:val="ro-RO"/>
              </w:rPr>
              <w:t>Produse agroalimentare</w:t>
            </w:r>
            <w:r w:rsidRPr="00E80527">
              <w:rPr>
                <w:rStyle w:val="Referinnotdesubsol"/>
                <w:rFonts w:cs="Calibri"/>
                <w:sz w:val="24"/>
                <w:szCs w:val="24"/>
              </w:rPr>
              <w:footnoteReference w:id="7"/>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3112432</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4020670</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4044322</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5284412</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5572860</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5923549</w:t>
            </w:r>
          </w:p>
        </w:tc>
      </w:tr>
      <w:tr w:rsidR="00064502" w:rsidTr="00064502">
        <w:trPr>
          <w:trHeight w:val="293"/>
        </w:trPr>
        <w:tc>
          <w:tcPr>
            <w:tcW w:w="1908" w:type="dxa"/>
          </w:tcPr>
          <w:p w:rsidR="00064502" w:rsidRPr="00E80527" w:rsidRDefault="00064502" w:rsidP="00064502">
            <w:pPr>
              <w:spacing w:line="276" w:lineRule="auto"/>
              <w:jc w:val="both"/>
              <w:rPr>
                <w:rFonts w:cs="Calibri"/>
                <w:sz w:val="24"/>
                <w:szCs w:val="24"/>
                <w:lang w:val="ro-RO"/>
              </w:rPr>
            </w:pPr>
            <w:r w:rsidRPr="00E80527">
              <w:rPr>
                <w:rFonts w:cs="Calibri"/>
                <w:sz w:val="24"/>
                <w:szCs w:val="24"/>
                <w:lang w:val="ro-RO"/>
              </w:rPr>
              <w:t>%</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8,33</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8,88</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8,97</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10,66</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10,62</w:t>
            </w:r>
          </w:p>
        </w:tc>
        <w:tc>
          <w:tcPr>
            <w:tcW w:w="1239" w:type="dxa"/>
            <w:vAlign w:val="center"/>
          </w:tcPr>
          <w:p w:rsidR="00064502" w:rsidRPr="00E80527" w:rsidRDefault="00064502" w:rsidP="00064502">
            <w:pPr>
              <w:spacing w:line="276" w:lineRule="auto"/>
              <w:rPr>
                <w:rFonts w:ascii="Calibri" w:hAnsi="Calibri"/>
                <w:color w:val="000000"/>
                <w:sz w:val="24"/>
                <w:szCs w:val="24"/>
              </w:rPr>
            </w:pPr>
            <w:r w:rsidRPr="00E80527">
              <w:rPr>
                <w:rFonts w:ascii="Calibri" w:hAnsi="Calibri"/>
                <w:color w:val="000000"/>
                <w:sz w:val="24"/>
                <w:szCs w:val="24"/>
              </w:rPr>
              <w:t>10,85</w:t>
            </w:r>
          </w:p>
        </w:tc>
      </w:tr>
    </w:tbl>
    <w:p w:rsidR="00064502" w:rsidRDefault="00064502" w:rsidP="00064502">
      <w:pPr>
        <w:jc w:val="both"/>
        <w:rPr>
          <w:rFonts w:cs="Calibri"/>
          <w:lang w:val="ro-RO"/>
        </w:rPr>
      </w:pPr>
      <w:r w:rsidRPr="00E47620">
        <w:rPr>
          <w:b/>
          <w:lang w:val="ro-RO"/>
        </w:rPr>
        <w:t xml:space="preserve">Sursa: </w:t>
      </w:r>
      <w:r w:rsidRPr="00E47620">
        <w:rPr>
          <w:lang w:val="ro-RO"/>
        </w:rPr>
        <w:t>Institutul Național de Statistică</w:t>
      </w:r>
      <w:r w:rsidRPr="00E47620">
        <w:rPr>
          <w:rFonts w:cs="Calibri"/>
          <w:lang w:val="ro-RO"/>
        </w:rPr>
        <w:t xml:space="preserve"> </w:t>
      </w:r>
    </w:p>
    <w:p w:rsidR="00064502" w:rsidRDefault="00064502" w:rsidP="00064502">
      <w:pPr>
        <w:jc w:val="both"/>
        <w:rPr>
          <w:rFonts w:cs="Calibri"/>
          <w:sz w:val="24"/>
          <w:szCs w:val="24"/>
          <w:lang w:val="ro-RO"/>
        </w:rPr>
      </w:pPr>
      <w:r>
        <w:rPr>
          <w:rFonts w:cs="Calibri"/>
          <w:sz w:val="24"/>
          <w:szCs w:val="24"/>
          <w:lang w:val="ro-RO"/>
        </w:rPr>
        <w:t xml:space="preserve">În ceea ce priveşte balanţa comercială a României, pentru toate categoriile </w:t>
      </w:r>
      <w:r w:rsidRPr="00A373B2">
        <w:rPr>
          <w:rFonts w:cs="Calibri"/>
          <w:sz w:val="24"/>
          <w:szCs w:val="24"/>
          <w:lang w:val="ro-RO"/>
        </w:rPr>
        <w:t>de bunuri</w:t>
      </w:r>
      <w:r>
        <w:rPr>
          <w:rFonts w:cs="Calibri"/>
          <w:sz w:val="24"/>
          <w:szCs w:val="24"/>
          <w:lang w:val="ro-RO"/>
        </w:rPr>
        <w:t xml:space="preserve"> aceasta a fost negativă pe toată perioada analizată, în anul 2015 valoarea importurilor CIF depăşind cu </w:t>
      </w:r>
      <w:r w:rsidRPr="00A373B2">
        <w:rPr>
          <w:rFonts w:cs="Calibri"/>
          <w:sz w:val="24"/>
          <w:szCs w:val="24"/>
          <w:lang w:val="ro-RO"/>
        </w:rPr>
        <w:t>8369384</w:t>
      </w:r>
      <w:r>
        <w:rPr>
          <w:rFonts w:cs="Calibri"/>
          <w:sz w:val="24"/>
          <w:szCs w:val="24"/>
          <w:lang w:val="ro-RO"/>
        </w:rPr>
        <w:t xml:space="preserve"> mii euro valoarea exporturilor FOB. De asemenea balanţa comercială a fost negativă şi pentru totalul produselor agroalimentare, în 2015, însă </w:t>
      </w:r>
      <w:r w:rsidRPr="00E60C6A">
        <w:rPr>
          <w:rFonts w:cs="Calibri"/>
          <w:b/>
          <w:sz w:val="24"/>
          <w:szCs w:val="24"/>
          <w:lang w:val="ro-RO"/>
        </w:rPr>
        <w:t>pentru secţiunile</w:t>
      </w:r>
      <w:r>
        <w:rPr>
          <w:rFonts w:cs="Calibri"/>
          <w:sz w:val="24"/>
          <w:szCs w:val="24"/>
          <w:lang w:val="ro-RO"/>
        </w:rPr>
        <w:t xml:space="preserve"> </w:t>
      </w:r>
      <w:r w:rsidRPr="00A373B2">
        <w:rPr>
          <w:rFonts w:cs="Calibri"/>
          <w:b/>
          <w:sz w:val="24"/>
          <w:szCs w:val="24"/>
          <w:lang w:val="ro-RO"/>
        </w:rPr>
        <w:t>Produse vegetale</w:t>
      </w:r>
      <w:r>
        <w:rPr>
          <w:rFonts w:cs="Calibri"/>
          <w:b/>
          <w:sz w:val="24"/>
          <w:szCs w:val="24"/>
          <w:lang w:val="ro-RO"/>
        </w:rPr>
        <w:t xml:space="preserve"> </w:t>
      </w:r>
      <w:r>
        <w:rPr>
          <w:rFonts w:cs="Calibri"/>
          <w:sz w:val="24"/>
          <w:szCs w:val="24"/>
          <w:lang w:val="ro-RO"/>
        </w:rPr>
        <w:t xml:space="preserve">şi </w:t>
      </w:r>
      <w:r w:rsidRPr="00A373B2">
        <w:rPr>
          <w:rFonts w:cs="Calibri"/>
          <w:b/>
          <w:sz w:val="24"/>
          <w:szCs w:val="24"/>
          <w:lang w:val="ro-RO"/>
        </w:rPr>
        <w:t>Grăsimi şi uleiuri animale sau vegetale</w:t>
      </w:r>
      <w:r>
        <w:rPr>
          <w:rFonts w:cs="Calibri"/>
          <w:b/>
          <w:sz w:val="24"/>
          <w:szCs w:val="24"/>
          <w:lang w:val="ro-RO"/>
        </w:rPr>
        <w:t xml:space="preserve">, </w:t>
      </w:r>
      <w:r w:rsidRPr="00E60C6A">
        <w:rPr>
          <w:rFonts w:cs="Calibri"/>
          <w:b/>
          <w:sz w:val="24"/>
          <w:szCs w:val="24"/>
          <w:lang w:val="ro-RO"/>
        </w:rPr>
        <w:t>balanţa comercială a fost pozitivă</w:t>
      </w:r>
      <w:r>
        <w:rPr>
          <w:rFonts w:cs="Calibri"/>
          <w:sz w:val="24"/>
          <w:szCs w:val="24"/>
          <w:lang w:val="ro-RO"/>
        </w:rPr>
        <w:t xml:space="preserve">, valoarea exporturilor FOB depăşind valoarea importurilor CIF cu </w:t>
      </w:r>
      <w:r w:rsidRPr="00A373B2">
        <w:rPr>
          <w:rFonts w:cs="Calibri"/>
          <w:sz w:val="24"/>
          <w:szCs w:val="24"/>
          <w:lang w:val="ro-RO"/>
        </w:rPr>
        <w:t>1034449</w:t>
      </w:r>
      <w:r>
        <w:rPr>
          <w:rFonts w:cs="Calibri"/>
          <w:sz w:val="24"/>
          <w:szCs w:val="24"/>
          <w:lang w:val="ro-RO"/>
        </w:rPr>
        <w:t xml:space="preserve"> mii euro, respectiv </w:t>
      </w:r>
      <w:r w:rsidRPr="00A373B2">
        <w:rPr>
          <w:rFonts w:cs="Calibri"/>
          <w:sz w:val="24"/>
          <w:szCs w:val="24"/>
          <w:lang w:val="ro-RO"/>
        </w:rPr>
        <w:t>40715</w:t>
      </w:r>
      <w:r>
        <w:rPr>
          <w:rFonts w:cs="Calibri"/>
          <w:sz w:val="24"/>
          <w:szCs w:val="24"/>
          <w:lang w:val="ro-RO"/>
        </w:rPr>
        <w:t xml:space="preserve"> mii euro. În perioada 2013 – 2014 balanţa comercială pentru produsele agroalimentare a fost pozitivă.</w:t>
      </w:r>
    </w:p>
    <w:p w:rsidR="00064502" w:rsidRDefault="00064502" w:rsidP="00064502">
      <w:pPr>
        <w:spacing w:after="0"/>
        <w:rPr>
          <w:b/>
          <w:sz w:val="20"/>
          <w:szCs w:val="20"/>
          <w:lang w:val="ro-RO"/>
        </w:rPr>
      </w:pPr>
      <w:r w:rsidRPr="0053389F">
        <w:rPr>
          <w:b/>
          <w:sz w:val="24"/>
          <w:szCs w:val="24"/>
          <w:lang w:val="ro-RO"/>
        </w:rPr>
        <w:t xml:space="preserve">Tabel </w:t>
      </w:r>
      <w:r>
        <w:rPr>
          <w:b/>
          <w:sz w:val="24"/>
          <w:szCs w:val="24"/>
          <w:lang w:val="ro-RO"/>
        </w:rPr>
        <w:t xml:space="preserve">2   Balanţa comercială a României în perioada 2011 - 2015 </w:t>
      </w:r>
      <w:r w:rsidRPr="000F1C1F">
        <w:rPr>
          <w:rFonts w:cs="Calibri"/>
          <w:b/>
          <w:sz w:val="24"/>
          <w:szCs w:val="24"/>
          <w:lang w:val="ro-RO"/>
        </w:rPr>
        <w:t xml:space="preserve"> </w:t>
      </w:r>
      <w:r>
        <w:rPr>
          <w:b/>
          <w:sz w:val="20"/>
          <w:szCs w:val="20"/>
          <w:lang w:val="ro-RO"/>
        </w:rPr>
        <w:tab/>
      </w:r>
      <w:r>
        <w:rPr>
          <w:b/>
          <w:sz w:val="20"/>
          <w:szCs w:val="20"/>
          <w:lang w:val="ro-RO"/>
        </w:rPr>
        <w:tab/>
      </w:r>
      <w:r>
        <w:rPr>
          <w:b/>
          <w:sz w:val="20"/>
          <w:szCs w:val="20"/>
          <w:lang w:val="ro-RO"/>
        </w:rPr>
        <w:tab/>
        <w:t>-m</w:t>
      </w:r>
      <w:r w:rsidRPr="0053389F">
        <w:rPr>
          <w:b/>
          <w:sz w:val="20"/>
          <w:szCs w:val="20"/>
          <w:lang w:val="ro-RO"/>
        </w:rPr>
        <w:t xml:space="preserve">ii </w:t>
      </w:r>
      <w:r>
        <w:rPr>
          <w:b/>
          <w:sz w:val="20"/>
          <w:szCs w:val="20"/>
          <w:lang w:val="ro-RO"/>
        </w:rPr>
        <w:t>euro-</w:t>
      </w:r>
    </w:p>
    <w:tbl>
      <w:tblPr>
        <w:tblStyle w:val="Textnotdefinal"/>
        <w:tblW w:w="8838" w:type="dxa"/>
        <w:tblLayout w:type="fixed"/>
        <w:tblLook w:val="04A0"/>
      </w:tblPr>
      <w:tblGrid>
        <w:gridCol w:w="2480"/>
        <w:gridCol w:w="1271"/>
        <w:gridCol w:w="1272"/>
        <w:gridCol w:w="1271"/>
        <w:gridCol w:w="1272"/>
        <w:gridCol w:w="1272"/>
      </w:tblGrid>
      <w:tr w:rsidR="00064502" w:rsidRPr="00BD616F" w:rsidTr="00064502">
        <w:trPr>
          <w:trHeight w:val="300"/>
        </w:trPr>
        <w:tc>
          <w:tcPr>
            <w:tcW w:w="2480" w:type="dxa"/>
            <w:noWrap/>
            <w:hideMark/>
          </w:tcPr>
          <w:p w:rsidR="00064502" w:rsidRPr="00E80527" w:rsidRDefault="00064502" w:rsidP="00064502">
            <w:pP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 Anul</w:t>
            </w:r>
          </w:p>
        </w:tc>
        <w:tc>
          <w:tcPr>
            <w:tcW w:w="1271" w:type="dxa"/>
            <w:noWrap/>
            <w:vAlign w:val="center"/>
            <w:hideMark/>
          </w:tcPr>
          <w:p w:rsidR="00064502" w:rsidRPr="00E80527" w:rsidRDefault="00064502" w:rsidP="00064502">
            <w:pPr>
              <w:jc w:val="cente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2011</w:t>
            </w:r>
          </w:p>
        </w:tc>
        <w:tc>
          <w:tcPr>
            <w:tcW w:w="1272" w:type="dxa"/>
            <w:noWrap/>
            <w:vAlign w:val="center"/>
            <w:hideMark/>
          </w:tcPr>
          <w:p w:rsidR="00064502" w:rsidRPr="00E80527" w:rsidRDefault="00064502" w:rsidP="00064502">
            <w:pPr>
              <w:jc w:val="cente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2012</w:t>
            </w:r>
          </w:p>
        </w:tc>
        <w:tc>
          <w:tcPr>
            <w:tcW w:w="1271" w:type="dxa"/>
            <w:noWrap/>
            <w:vAlign w:val="center"/>
            <w:hideMark/>
          </w:tcPr>
          <w:p w:rsidR="00064502" w:rsidRPr="00E80527" w:rsidRDefault="00064502" w:rsidP="00064502">
            <w:pPr>
              <w:jc w:val="cente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2013</w:t>
            </w:r>
          </w:p>
        </w:tc>
        <w:tc>
          <w:tcPr>
            <w:tcW w:w="1272" w:type="dxa"/>
            <w:noWrap/>
            <w:vAlign w:val="center"/>
            <w:hideMark/>
          </w:tcPr>
          <w:p w:rsidR="00064502" w:rsidRPr="00E80527" w:rsidRDefault="00064502" w:rsidP="00064502">
            <w:pPr>
              <w:jc w:val="cente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2014</w:t>
            </w:r>
          </w:p>
        </w:tc>
        <w:tc>
          <w:tcPr>
            <w:tcW w:w="1272" w:type="dxa"/>
            <w:noWrap/>
            <w:vAlign w:val="center"/>
            <w:hideMark/>
          </w:tcPr>
          <w:p w:rsidR="00064502" w:rsidRPr="00E80527" w:rsidRDefault="00064502" w:rsidP="00064502">
            <w:pPr>
              <w:jc w:val="cente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2015</w:t>
            </w:r>
          </w:p>
        </w:tc>
      </w:tr>
      <w:tr w:rsidR="00064502" w:rsidRPr="00BD616F" w:rsidTr="00064502">
        <w:trPr>
          <w:trHeight w:val="300"/>
        </w:trPr>
        <w:tc>
          <w:tcPr>
            <w:tcW w:w="2480" w:type="dxa"/>
            <w:noWrap/>
            <w:hideMark/>
          </w:tcPr>
          <w:p w:rsidR="00064502" w:rsidRPr="00E80527" w:rsidRDefault="00064502" w:rsidP="00064502">
            <w:pP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Total</w:t>
            </w:r>
          </w:p>
        </w:tc>
        <w:tc>
          <w:tcPr>
            <w:tcW w:w="1271"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-9659983</w:t>
            </w:r>
          </w:p>
        </w:tc>
        <w:tc>
          <w:tcPr>
            <w:tcW w:w="1272"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-9634164</w:t>
            </w:r>
          </w:p>
        </w:tc>
        <w:tc>
          <w:tcPr>
            <w:tcW w:w="1271"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-5755220</w:t>
            </w:r>
          </w:p>
        </w:tc>
        <w:tc>
          <w:tcPr>
            <w:tcW w:w="1272"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-6062862</w:t>
            </w:r>
          </w:p>
        </w:tc>
        <w:tc>
          <w:tcPr>
            <w:tcW w:w="1272"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-8369384</w:t>
            </w:r>
          </w:p>
        </w:tc>
      </w:tr>
      <w:tr w:rsidR="00064502" w:rsidRPr="00BD616F" w:rsidTr="00064502">
        <w:trPr>
          <w:trHeight w:val="300"/>
        </w:trPr>
        <w:tc>
          <w:tcPr>
            <w:tcW w:w="2480" w:type="dxa"/>
            <w:noWrap/>
            <w:hideMark/>
          </w:tcPr>
          <w:p w:rsidR="00064502" w:rsidRPr="00E80527" w:rsidRDefault="00064502" w:rsidP="00064502">
            <w:pPr>
              <w:rPr>
                <w:rFonts w:ascii="Calibri" w:eastAsia="Times New Roman" w:hAnsi="Calibri" w:cs="Times New Roman"/>
                <w:sz w:val="24"/>
                <w:szCs w:val="24"/>
                <w:lang w:val="ro-RO"/>
              </w:rPr>
            </w:pPr>
            <w:r w:rsidRPr="00E80527">
              <w:rPr>
                <w:rFonts w:ascii="Calibri" w:eastAsia="Times New Roman" w:hAnsi="Calibri" w:cs="Times New Roman"/>
                <w:sz w:val="24"/>
                <w:szCs w:val="24"/>
                <w:lang w:val="ro-RO"/>
              </w:rPr>
              <w:t>Produse agroalimentare</w:t>
            </w:r>
          </w:p>
        </w:tc>
        <w:tc>
          <w:tcPr>
            <w:tcW w:w="1271"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-424926</w:t>
            </w:r>
          </w:p>
        </w:tc>
        <w:tc>
          <w:tcPr>
            <w:tcW w:w="1272"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-750808</w:t>
            </w:r>
          </w:p>
        </w:tc>
        <w:tc>
          <w:tcPr>
            <w:tcW w:w="1271"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332372</w:t>
            </w:r>
          </w:p>
        </w:tc>
        <w:tc>
          <w:tcPr>
            <w:tcW w:w="1272"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451627</w:t>
            </w:r>
          </w:p>
        </w:tc>
        <w:tc>
          <w:tcPr>
            <w:tcW w:w="1272" w:type="dxa"/>
            <w:noWrap/>
            <w:vAlign w:val="center"/>
            <w:hideMark/>
          </w:tcPr>
          <w:p w:rsidR="00064502" w:rsidRPr="00E80527" w:rsidRDefault="00064502" w:rsidP="00064502">
            <w:pPr>
              <w:jc w:val="center"/>
              <w:rPr>
                <w:rFonts w:ascii="Calibri" w:eastAsia="Times New Roman" w:hAnsi="Calibri" w:cs="Times New Roman"/>
                <w:color w:val="000000"/>
                <w:sz w:val="24"/>
                <w:szCs w:val="24"/>
                <w:lang w:val="ro-RO"/>
              </w:rPr>
            </w:pPr>
            <w:r w:rsidRPr="00E80527">
              <w:rPr>
                <w:rFonts w:ascii="Calibri" w:eastAsia="Times New Roman" w:hAnsi="Calibri" w:cs="Times New Roman"/>
                <w:color w:val="000000"/>
                <w:sz w:val="24"/>
                <w:szCs w:val="24"/>
                <w:lang w:val="ro-RO"/>
              </w:rPr>
              <w:t>-128135</w:t>
            </w:r>
          </w:p>
        </w:tc>
      </w:tr>
    </w:tbl>
    <w:p w:rsidR="00064502" w:rsidRDefault="00064502" w:rsidP="00064502">
      <w:pPr>
        <w:jc w:val="both"/>
        <w:rPr>
          <w:rFonts w:cs="Calibri"/>
          <w:lang w:val="ro-RO"/>
        </w:rPr>
      </w:pPr>
      <w:r w:rsidRPr="00E47620">
        <w:rPr>
          <w:b/>
          <w:lang w:val="ro-RO"/>
        </w:rPr>
        <w:t xml:space="preserve">Sursa: </w:t>
      </w:r>
      <w:r w:rsidRPr="00E47620">
        <w:rPr>
          <w:lang w:val="ro-RO"/>
        </w:rPr>
        <w:t>Institutul Național de Statistică</w:t>
      </w:r>
      <w:r w:rsidRPr="00E47620">
        <w:rPr>
          <w:rFonts w:cs="Calibri"/>
          <w:lang w:val="ro-RO"/>
        </w:rPr>
        <w:t xml:space="preserve"> </w:t>
      </w:r>
      <w:r>
        <w:rPr>
          <w:rFonts w:cs="Calibri"/>
          <w:lang w:val="ro-RO"/>
        </w:rPr>
        <w:t xml:space="preserve">    </w:t>
      </w:r>
    </w:p>
    <w:p w:rsidR="00064502" w:rsidRPr="00360616" w:rsidRDefault="00064502" w:rsidP="00064502">
      <w:pPr>
        <w:rPr>
          <w:rFonts w:cs="Calibri"/>
          <w:b/>
          <w:sz w:val="28"/>
          <w:szCs w:val="28"/>
          <w:lang w:val="ro-RO"/>
        </w:rPr>
      </w:pPr>
      <w:r w:rsidRPr="00360616">
        <w:rPr>
          <w:rFonts w:cs="Calibri"/>
          <w:b/>
          <w:sz w:val="28"/>
          <w:szCs w:val="28"/>
          <w:lang w:val="ro-RO"/>
        </w:rPr>
        <w:lastRenderedPageBreak/>
        <w:t>A</w:t>
      </w:r>
      <w:r>
        <w:rPr>
          <w:rFonts w:cs="Calibri"/>
          <w:b/>
          <w:sz w:val="28"/>
          <w:szCs w:val="28"/>
          <w:lang w:val="ro-RO"/>
        </w:rPr>
        <w:t xml:space="preserve">specte semnificative privind dezvoltarea agriculturii în  </w:t>
      </w:r>
      <w:r w:rsidRPr="00360616">
        <w:rPr>
          <w:rFonts w:cs="Calibri"/>
          <w:b/>
          <w:sz w:val="28"/>
          <w:szCs w:val="28"/>
          <w:lang w:val="ro-RO"/>
        </w:rPr>
        <w:t>Regiun</w:t>
      </w:r>
      <w:r>
        <w:rPr>
          <w:rFonts w:cs="Calibri"/>
          <w:b/>
          <w:sz w:val="28"/>
          <w:szCs w:val="28"/>
          <w:lang w:val="ro-RO"/>
        </w:rPr>
        <w:t>ea</w:t>
      </w:r>
      <w:r w:rsidRPr="00360616">
        <w:rPr>
          <w:rFonts w:cs="Calibri"/>
          <w:b/>
          <w:sz w:val="28"/>
          <w:szCs w:val="28"/>
          <w:lang w:val="ro-RO"/>
        </w:rPr>
        <w:t xml:space="preserve"> Centru</w:t>
      </w:r>
    </w:p>
    <w:p w:rsidR="00064502" w:rsidRDefault="00064502" w:rsidP="00064502">
      <w:pPr>
        <w:ind w:right="72"/>
        <w:jc w:val="both"/>
        <w:rPr>
          <w:sz w:val="24"/>
          <w:szCs w:val="24"/>
          <w:lang w:val="ro-RO"/>
        </w:rPr>
      </w:pPr>
      <w:r w:rsidRPr="00AA1EF6">
        <w:rPr>
          <w:sz w:val="24"/>
          <w:szCs w:val="24"/>
          <w:lang w:val="ro-RO"/>
        </w:rPr>
        <w:t>Condițiile de climă, relief și sol, faptul că aproape jumătate din suprafața este ocupată de zona montană, iar în depresiunile din răsăritul teritoriului se înregistrează în mod obișnuit cele mai joase temperaturi din țară, ar putea fi considerați factori care să facă din Regiunea Centru o zonă mai puțin propice pentru agricultură.</w:t>
      </w:r>
      <w:r>
        <w:rPr>
          <w:sz w:val="24"/>
          <w:szCs w:val="24"/>
          <w:lang w:val="ro-RO"/>
        </w:rPr>
        <w:t xml:space="preserve"> </w:t>
      </w:r>
      <w:r w:rsidRPr="00AA1EF6">
        <w:rPr>
          <w:sz w:val="24"/>
          <w:szCs w:val="24"/>
          <w:lang w:val="ro-RO"/>
        </w:rPr>
        <w:t xml:space="preserve">Cu toate acestea, agricultura își găsește condiții bune de dezvoltare în cea mai mare parte a teritoriului. Chiar și în zona montană, suprafețe întinse de pășuni și fânețe naturale sunt favorabile creșterii animalelor, iar clima mai rece și regimul pluviometric specific fac, ca aici, să fie mai puțin simțite efectele perioadelor mai secetoase din timpul anului. </w:t>
      </w:r>
    </w:p>
    <w:p w:rsidR="00064502" w:rsidRPr="00AA1EF6" w:rsidRDefault="00064502" w:rsidP="00064502">
      <w:pPr>
        <w:ind w:right="72"/>
        <w:jc w:val="both"/>
        <w:rPr>
          <w:sz w:val="24"/>
          <w:szCs w:val="24"/>
          <w:lang w:val="ro-RO"/>
        </w:rPr>
      </w:pPr>
      <w:r w:rsidRPr="00AA1EF6">
        <w:rPr>
          <w:sz w:val="24"/>
          <w:szCs w:val="24"/>
          <w:lang w:val="ro-RO"/>
        </w:rPr>
        <w:t>Fără a se putea face o delimitare strictă între zonele favorabile diferitelor activități  agricole se constată totuși o anumită distribuție a acestora în funcție de relief, climă și sol. În estul și sudul-estul regiunii cultura principală este cartoful iar în arealele colinare sunt condiții favorabile pomilor fructiferi. În zonele colinare mai joase, în cele depresionare, precum și în luncile din centrul, sudul si sud-vestul regiunii se cultiva grâul, orzoaica, orzul, porumbul, sfecla de zahăr, legumele, plantele de nutreț. Podișul Târnavelor, cu zona delimitată de municipiile Târnăveni, Mediaș, Blaj și cu arealul Sebeș - Gârbova – Apold, ca și terenurile din jurul municipiilor Aiud și Alba Iulia sunt cunoscute ca foarte favorabile culturii viței de vie.</w:t>
      </w:r>
    </w:p>
    <w:p w:rsidR="00064502" w:rsidRPr="00C77C6C" w:rsidRDefault="00064502" w:rsidP="00064502">
      <w:pPr>
        <w:jc w:val="both"/>
        <w:rPr>
          <w:rFonts w:cstheme="minorHAnsi"/>
          <w:sz w:val="24"/>
          <w:szCs w:val="24"/>
          <w:lang w:val="ro-RO"/>
        </w:rPr>
      </w:pPr>
      <w:r w:rsidRPr="00C77C6C">
        <w:rPr>
          <w:sz w:val="24"/>
          <w:szCs w:val="24"/>
          <w:lang w:val="ro-RO"/>
        </w:rPr>
        <w:t>Creșterea animalelor este relativ bine dezvoltată în toate județele regiunii. În zona montană, suprafețele întinse de pășuni și fânețe naturale sunt favorabile creșterii animalelor, constituind principala activitate agricolă. Creșterea oilor, activitate tradițională a locuitorilor din Munții Cindrelului, Munții Sebeșului și zona Branului, se află în ușor declin în ultimul deceniu din cauza dificultăților privind valorificarea producției. Județele Mureș și Harghita sunt renumite pentru calitatea efectivelor de bovine, Mureșul având și un puternic sector de creștere a porcinelor. Avicultura a înregistrat în ultimii ani un puternic avânt prin construirea unor ferme mari, moderne, localizate cu precădere în județele Alba și Brașov.</w:t>
      </w:r>
    </w:p>
    <w:p w:rsidR="00064502" w:rsidRPr="00F77164" w:rsidRDefault="00064502" w:rsidP="00064502">
      <w:pPr>
        <w:jc w:val="both"/>
        <w:rPr>
          <w:rFonts w:cs="Calibri"/>
          <w:sz w:val="24"/>
          <w:szCs w:val="24"/>
          <w:lang w:val="ro-RO"/>
        </w:rPr>
      </w:pPr>
      <w:r w:rsidRPr="00360616">
        <w:rPr>
          <w:rFonts w:cs="Calibri"/>
          <w:b/>
          <w:sz w:val="24"/>
          <w:szCs w:val="24"/>
          <w:lang w:val="ro-RO"/>
        </w:rPr>
        <w:t>Suprafața agricolă a Re</w:t>
      </w:r>
      <w:r>
        <w:rPr>
          <w:rFonts w:cs="Calibri"/>
          <w:b/>
          <w:sz w:val="24"/>
          <w:szCs w:val="24"/>
          <w:lang w:val="ro-RO"/>
        </w:rPr>
        <w:t>giunii Centru este de 1</w:t>
      </w:r>
      <w:r w:rsidRPr="00360616">
        <w:rPr>
          <w:rFonts w:cs="Calibri"/>
          <w:b/>
          <w:sz w:val="24"/>
          <w:szCs w:val="24"/>
          <w:lang w:val="ro-RO"/>
        </w:rPr>
        <w:t>9</w:t>
      </w:r>
      <w:r>
        <w:rPr>
          <w:rFonts w:cs="Calibri"/>
          <w:b/>
          <w:sz w:val="24"/>
          <w:szCs w:val="24"/>
          <w:lang w:val="ro-RO"/>
        </w:rPr>
        <w:t>00</w:t>
      </w:r>
      <w:r w:rsidRPr="00360616">
        <w:rPr>
          <w:rFonts w:cs="Calibri"/>
          <w:b/>
          <w:sz w:val="24"/>
          <w:szCs w:val="24"/>
          <w:lang w:val="ro-RO"/>
        </w:rPr>
        <w:t xml:space="preserve">,4 mii ha reprezentând 55,7% din suprafața totală a regiunii </w:t>
      </w:r>
      <w:r>
        <w:rPr>
          <w:rFonts w:cs="Calibri"/>
          <w:sz w:val="24"/>
          <w:szCs w:val="24"/>
          <w:lang w:val="ro-RO"/>
        </w:rPr>
        <w:t xml:space="preserve">şi </w:t>
      </w:r>
      <w:r w:rsidRPr="00F2556D">
        <w:rPr>
          <w:rFonts w:cs="Calibri"/>
          <w:b/>
          <w:sz w:val="24"/>
          <w:szCs w:val="24"/>
          <w:lang w:val="ro-RO"/>
        </w:rPr>
        <w:t>13% din suprafața agricolă a României</w:t>
      </w:r>
      <w:r w:rsidRPr="00360616">
        <w:rPr>
          <w:rFonts w:cs="Calibri"/>
          <w:sz w:val="24"/>
          <w:szCs w:val="24"/>
          <w:lang w:val="ro-RO"/>
        </w:rPr>
        <w:t>.</w:t>
      </w:r>
      <w:r w:rsidRPr="006A248B">
        <w:rPr>
          <w:rFonts w:cs="Calibri"/>
          <w:sz w:val="24"/>
          <w:szCs w:val="24"/>
          <w:lang w:val="ro-RO"/>
        </w:rPr>
        <w:t xml:space="preserve"> După modul de folosință, structura suprafeței agrico</w:t>
      </w:r>
      <w:r>
        <w:rPr>
          <w:rFonts w:cs="Calibri"/>
          <w:sz w:val="24"/>
          <w:szCs w:val="24"/>
          <w:lang w:val="ro-RO"/>
        </w:rPr>
        <w:t>le se prezintă astfel: arabil 40%, pășuni 34%, fânețe 25,3</w:t>
      </w:r>
      <w:r w:rsidRPr="00F77164">
        <w:rPr>
          <w:rFonts w:cs="Calibri"/>
          <w:sz w:val="24"/>
          <w:szCs w:val="24"/>
          <w:lang w:val="ro-RO"/>
        </w:rPr>
        <w:t xml:space="preserve">%, vii și pepiniere viticole 0,5%, livezi și pepiniere pomicole 0,7%. Cele mai mari ponderi ale suprafețelor agricole se înregistrează în </w:t>
      </w:r>
      <w:r>
        <w:rPr>
          <w:rFonts w:cs="Calibri"/>
          <w:sz w:val="24"/>
          <w:szCs w:val="24"/>
          <w:lang w:val="ro-RO"/>
        </w:rPr>
        <w:t>județele Mureș și Harghita (61,2</w:t>
      </w:r>
      <w:r w:rsidRPr="00F77164">
        <w:rPr>
          <w:rFonts w:cs="Calibri"/>
          <w:sz w:val="24"/>
          <w:szCs w:val="24"/>
          <w:lang w:val="ro-RO"/>
        </w:rPr>
        <w:t>% respectiv 59,6% din suprafața totală), judeţul Harghita având, procentual, cele mai întinse suprafețe de pășuni și fânețe (aproximativ 80% din suprafața agricolă), iar cea mai redusă în  judeţul Covasna (50,1%</w:t>
      </w:r>
      <w:r>
        <w:rPr>
          <w:rFonts w:cs="Calibri"/>
          <w:sz w:val="24"/>
          <w:szCs w:val="24"/>
          <w:lang w:val="ro-RO"/>
        </w:rPr>
        <w:t xml:space="preserve"> </w:t>
      </w:r>
      <w:r w:rsidRPr="00F77164">
        <w:rPr>
          <w:rFonts w:cs="Calibri"/>
          <w:sz w:val="24"/>
          <w:szCs w:val="24"/>
          <w:lang w:val="ro-RO"/>
        </w:rPr>
        <w:t>din suprafața totală), județul cu cea mai mare suprafață acoperită de păduri și vegetație forestieră (44,5% din suprafața totală).</w:t>
      </w:r>
    </w:p>
    <w:p w:rsidR="00064502" w:rsidRDefault="00064502" w:rsidP="00064502">
      <w:pPr>
        <w:jc w:val="both"/>
        <w:rPr>
          <w:rFonts w:cs="Calibri"/>
          <w:sz w:val="24"/>
          <w:szCs w:val="24"/>
          <w:lang w:val="ro-RO"/>
        </w:rPr>
      </w:pPr>
      <w:r>
        <w:rPr>
          <w:rFonts w:cs="Calibri"/>
          <w:b/>
          <w:sz w:val="24"/>
          <w:szCs w:val="24"/>
          <w:lang w:val="ro-RO"/>
        </w:rPr>
        <w:t>Suprafața</w:t>
      </w:r>
      <w:r w:rsidRPr="004243E1">
        <w:rPr>
          <w:rFonts w:cs="Calibri"/>
          <w:b/>
          <w:sz w:val="24"/>
          <w:szCs w:val="24"/>
          <w:lang w:val="ro-RO"/>
        </w:rPr>
        <w:t xml:space="preserve"> amenajată pentru irigații</w:t>
      </w:r>
      <w:r w:rsidRPr="00E16C03">
        <w:rPr>
          <w:rFonts w:cs="Calibri"/>
          <w:sz w:val="24"/>
          <w:szCs w:val="24"/>
          <w:lang w:val="ro-RO"/>
        </w:rPr>
        <w:t xml:space="preserve"> în Regiunea</w:t>
      </w:r>
      <w:r>
        <w:rPr>
          <w:rFonts w:cs="Calibri"/>
          <w:sz w:val="24"/>
          <w:szCs w:val="24"/>
          <w:lang w:val="ro-RO"/>
        </w:rPr>
        <w:t xml:space="preserve"> Centru la sfârșitul anului 2015</w:t>
      </w:r>
      <w:r w:rsidRPr="00E16C03">
        <w:rPr>
          <w:rFonts w:cs="Calibri"/>
          <w:sz w:val="24"/>
          <w:szCs w:val="24"/>
          <w:lang w:val="ro-RO"/>
        </w:rPr>
        <w:t xml:space="preserve"> era de </w:t>
      </w:r>
      <w:r w:rsidRPr="00C77C6C">
        <w:rPr>
          <w:rFonts w:cs="Calibri"/>
          <w:sz w:val="24"/>
          <w:szCs w:val="24"/>
          <w:lang w:val="ro-RO"/>
        </w:rPr>
        <w:t>doar 15400 hectare</w:t>
      </w:r>
      <w:r>
        <w:rPr>
          <w:rFonts w:cs="Calibri"/>
          <w:sz w:val="24"/>
          <w:szCs w:val="24"/>
          <w:lang w:val="ro-RO"/>
        </w:rPr>
        <w:t>. Mult</w:t>
      </w:r>
      <w:r w:rsidRPr="00E16C03">
        <w:rPr>
          <w:rFonts w:cs="Calibri"/>
          <w:sz w:val="24"/>
          <w:szCs w:val="24"/>
          <w:lang w:val="ro-RO"/>
        </w:rPr>
        <w:t xml:space="preserve"> mai întinse sunt suprafețele pe care s-au realizat </w:t>
      </w:r>
      <w:r w:rsidRPr="0059790A">
        <w:rPr>
          <w:rFonts w:cs="Calibri"/>
          <w:b/>
          <w:sz w:val="24"/>
          <w:szCs w:val="24"/>
          <w:lang w:val="ro-RO"/>
        </w:rPr>
        <w:t>lucrări de desecare</w:t>
      </w:r>
      <w:r w:rsidRPr="00E16C03">
        <w:rPr>
          <w:rFonts w:cs="Calibri"/>
          <w:sz w:val="24"/>
          <w:szCs w:val="24"/>
          <w:lang w:val="ro-RO"/>
        </w:rPr>
        <w:t xml:space="preserve"> – </w:t>
      </w:r>
      <w:r>
        <w:rPr>
          <w:rFonts w:cs="Calibri"/>
          <w:sz w:val="24"/>
          <w:szCs w:val="24"/>
          <w:lang w:val="ro-RO"/>
        </w:rPr>
        <w:t>203000</w:t>
      </w:r>
      <w:r w:rsidRPr="00C77C6C">
        <w:rPr>
          <w:rFonts w:cs="Calibri"/>
          <w:sz w:val="24"/>
          <w:szCs w:val="24"/>
          <w:lang w:val="ro-RO"/>
        </w:rPr>
        <w:t xml:space="preserve"> hectar</w:t>
      </w:r>
      <w:r w:rsidRPr="00E470CC">
        <w:rPr>
          <w:rFonts w:cs="Calibri"/>
          <w:sz w:val="24"/>
          <w:szCs w:val="24"/>
          <w:lang w:val="ro-RO"/>
        </w:rPr>
        <w:t>e</w:t>
      </w:r>
      <w:r w:rsidRPr="00E16C03">
        <w:rPr>
          <w:rFonts w:cs="Calibri"/>
          <w:sz w:val="24"/>
          <w:szCs w:val="24"/>
          <w:lang w:val="ro-RO"/>
        </w:rPr>
        <w:t xml:space="preserve"> </w:t>
      </w:r>
      <w:r>
        <w:rPr>
          <w:rFonts w:cs="Calibri"/>
          <w:sz w:val="24"/>
          <w:szCs w:val="24"/>
          <w:lang w:val="ro-RO"/>
        </w:rPr>
        <w:t>la fel</w:t>
      </w:r>
      <w:r w:rsidRPr="00E16C03">
        <w:rPr>
          <w:rFonts w:cs="Calibri"/>
          <w:sz w:val="24"/>
          <w:szCs w:val="24"/>
          <w:lang w:val="ro-RO"/>
        </w:rPr>
        <w:t xml:space="preserve"> și cele pe care s-au executat </w:t>
      </w:r>
      <w:r w:rsidRPr="0059790A">
        <w:rPr>
          <w:rFonts w:cs="Calibri"/>
          <w:b/>
          <w:sz w:val="24"/>
          <w:szCs w:val="24"/>
          <w:lang w:val="ro-RO"/>
        </w:rPr>
        <w:t>lucrări de combatere a eroziunii solului</w:t>
      </w:r>
      <w:r w:rsidRPr="00E16C03">
        <w:rPr>
          <w:rFonts w:cs="Calibri"/>
          <w:sz w:val="24"/>
          <w:szCs w:val="24"/>
          <w:lang w:val="ro-RO"/>
        </w:rPr>
        <w:t xml:space="preserve"> </w:t>
      </w:r>
      <w:r w:rsidRPr="00C77C6C">
        <w:rPr>
          <w:rFonts w:cs="Calibri"/>
          <w:sz w:val="24"/>
          <w:szCs w:val="24"/>
          <w:lang w:val="ro-RO"/>
        </w:rPr>
        <w:t xml:space="preserve">– </w:t>
      </w:r>
      <w:r>
        <w:rPr>
          <w:rFonts w:cs="Calibri"/>
          <w:sz w:val="24"/>
          <w:szCs w:val="24"/>
          <w:lang w:val="ro-RO"/>
        </w:rPr>
        <w:t>298260</w:t>
      </w:r>
      <w:r w:rsidRPr="00C77C6C">
        <w:rPr>
          <w:rFonts w:cs="Calibri"/>
          <w:sz w:val="24"/>
          <w:szCs w:val="24"/>
          <w:lang w:val="ro-RO"/>
        </w:rPr>
        <w:t xml:space="preserve"> hectare.</w:t>
      </w:r>
      <w:r w:rsidRPr="00E16C03">
        <w:rPr>
          <w:rFonts w:cs="Calibri"/>
          <w:sz w:val="24"/>
          <w:szCs w:val="24"/>
          <w:lang w:val="ro-RO"/>
        </w:rPr>
        <w:t xml:space="preserve">  </w:t>
      </w:r>
    </w:p>
    <w:p w:rsidR="00064502" w:rsidRPr="00F77164" w:rsidRDefault="00064502" w:rsidP="00064502">
      <w:pPr>
        <w:jc w:val="both"/>
        <w:rPr>
          <w:rFonts w:cs="Calibri"/>
          <w:sz w:val="24"/>
          <w:szCs w:val="24"/>
          <w:lang w:val="ro-RO"/>
        </w:rPr>
      </w:pPr>
      <w:r w:rsidRPr="00F77164">
        <w:rPr>
          <w:rFonts w:cs="Calibri"/>
          <w:sz w:val="24"/>
          <w:szCs w:val="24"/>
          <w:lang w:val="ro-RO"/>
        </w:rPr>
        <w:lastRenderedPageBreak/>
        <w:t>Parcul de tractoare şi mașini agricole din Regi</w:t>
      </w:r>
      <w:r>
        <w:rPr>
          <w:rFonts w:cs="Calibri"/>
          <w:sz w:val="24"/>
          <w:szCs w:val="24"/>
          <w:lang w:val="ro-RO"/>
        </w:rPr>
        <w:t>unea Centru număra, în anul 2014</w:t>
      </w:r>
      <w:r w:rsidRPr="00F77164">
        <w:rPr>
          <w:rFonts w:cs="Calibri"/>
          <w:sz w:val="24"/>
          <w:szCs w:val="24"/>
          <w:lang w:val="ro-RO"/>
        </w:rPr>
        <w:t>, 2</w:t>
      </w:r>
      <w:r>
        <w:rPr>
          <w:rFonts w:cs="Calibri"/>
          <w:sz w:val="24"/>
          <w:szCs w:val="24"/>
          <w:lang w:val="ro-RO"/>
        </w:rPr>
        <w:t>5193</w:t>
      </w:r>
      <w:r w:rsidRPr="00F77164">
        <w:rPr>
          <w:rFonts w:cs="Calibri"/>
          <w:sz w:val="24"/>
          <w:szCs w:val="24"/>
          <w:lang w:val="ro-RO"/>
        </w:rPr>
        <w:t xml:space="preserve"> t</w:t>
      </w:r>
      <w:r>
        <w:rPr>
          <w:rFonts w:cs="Calibri"/>
          <w:sz w:val="24"/>
          <w:szCs w:val="24"/>
          <w:lang w:val="ro-RO"/>
        </w:rPr>
        <w:t>ractoare agricole fizice (peste</w:t>
      </w:r>
      <w:r w:rsidRPr="00F77164">
        <w:rPr>
          <w:rFonts w:cs="Calibri"/>
          <w:sz w:val="24"/>
          <w:szCs w:val="24"/>
          <w:lang w:val="ro-RO"/>
        </w:rPr>
        <w:t xml:space="preserve"> </w:t>
      </w:r>
      <w:r w:rsidRPr="00A132A4">
        <w:rPr>
          <w:rFonts w:cs="Calibri"/>
          <w:b/>
          <w:sz w:val="24"/>
          <w:szCs w:val="24"/>
          <w:lang w:val="ro-RO"/>
        </w:rPr>
        <w:t>13% din parcul de tractoare al țării</w:t>
      </w:r>
      <w:r w:rsidRPr="00F77164">
        <w:rPr>
          <w:rFonts w:cs="Calibri"/>
          <w:sz w:val="24"/>
          <w:szCs w:val="24"/>
          <w:lang w:val="ro-RO"/>
        </w:rPr>
        <w:t xml:space="preserve">), </w:t>
      </w:r>
      <w:r w:rsidRPr="00A132A4">
        <w:rPr>
          <w:rFonts w:cs="Calibri"/>
          <w:sz w:val="24"/>
          <w:szCs w:val="24"/>
          <w:lang w:val="ro-RO"/>
        </w:rPr>
        <w:t xml:space="preserve">20105 pluguri pentru tractor </w:t>
      </w:r>
      <w:r>
        <w:rPr>
          <w:rFonts w:cs="Calibri"/>
          <w:sz w:val="24"/>
          <w:szCs w:val="24"/>
          <w:lang w:val="ro-RO"/>
        </w:rPr>
        <w:t>(12,8</w:t>
      </w:r>
      <w:r w:rsidRPr="00F77164">
        <w:rPr>
          <w:rFonts w:cs="Calibri"/>
          <w:sz w:val="24"/>
          <w:szCs w:val="24"/>
          <w:lang w:val="ro-RO"/>
        </w:rPr>
        <w:t xml:space="preserve">% din parcul național), </w:t>
      </w:r>
      <w:r w:rsidRPr="00A132A4">
        <w:rPr>
          <w:rFonts w:cs="Calibri"/>
          <w:sz w:val="24"/>
          <w:szCs w:val="24"/>
          <w:lang w:val="ro-RO"/>
        </w:rPr>
        <w:t>7480 semănători mecanice</w:t>
      </w:r>
      <w:r w:rsidRPr="00F77164">
        <w:rPr>
          <w:rFonts w:cs="Calibri"/>
          <w:sz w:val="24"/>
          <w:szCs w:val="24"/>
          <w:lang w:val="ro-RO"/>
        </w:rPr>
        <w:t xml:space="preserve"> (9,8% din total)</w:t>
      </w:r>
      <w:r>
        <w:rPr>
          <w:rFonts w:cs="Calibri"/>
          <w:sz w:val="24"/>
          <w:szCs w:val="24"/>
          <w:lang w:val="ro-RO"/>
        </w:rPr>
        <w:t>,</w:t>
      </w:r>
      <w:r w:rsidRPr="00F77164">
        <w:rPr>
          <w:rFonts w:cs="Calibri"/>
          <w:sz w:val="24"/>
          <w:szCs w:val="24"/>
          <w:lang w:val="ro-RO"/>
        </w:rPr>
        <w:t xml:space="preserve"> </w:t>
      </w:r>
      <w:r w:rsidRPr="00E665C6">
        <w:rPr>
          <w:rFonts w:cs="Calibri"/>
          <w:sz w:val="24"/>
          <w:szCs w:val="24"/>
          <w:lang w:val="ro-RO"/>
        </w:rPr>
        <w:t>2740</w:t>
      </w:r>
      <w:r>
        <w:rPr>
          <w:rFonts w:cs="Calibri"/>
          <w:sz w:val="24"/>
          <w:szCs w:val="24"/>
          <w:lang w:val="ro-RO"/>
        </w:rPr>
        <w:t xml:space="preserve">, adică </w:t>
      </w:r>
      <w:r w:rsidRPr="00A132A4">
        <w:rPr>
          <w:rFonts w:cs="Calibri"/>
          <w:b/>
          <w:sz w:val="24"/>
          <w:szCs w:val="24"/>
          <w:lang w:val="ro-RO"/>
        </w:rPr>
        <w:t>53,5% din combinele şi maşinile pentru recoltat cartofi din ţară</w:t>
      </w:r>
      <w:r w:rsidRPr="00E665C6">
        <w:rPr>
          <w:rFonts w:cs="Calibri"/>
          <w:sz w:val="24"/>
          <w:szCs w:val="24"/>
          <w:lang w:val="ro-RO"/>
        </w:rPr>
        <w:t xml:space="preserve"> </w:t>
      </w:r>
      <w:r w:rsidRPr="00F77164">
        <w:rPr>
          <w:rFonts w:cs="Calibri"/>
          <w:sz w:val="24"/>
          <w:szCs w:val="24"/>
          <w:lang w:val="ro-RO"/>
        </w:rPr>
        <w:t xml:space="preserve">şi </w:t>
      </w:r>
      <w:r w:rsidRPr="00A132A4">
        <w:rPr>
          <w:rFonts w:cs="Calibri"/>
          <w:sz w:val="24"/>
          <w:szCs w:val="24"/>
          <w:lang w:val="ro-RO"/>
        </w:rPr>
        <w:t>2794 combine pentru recoltat cereale</w:t>
      </w:r>
      <w:r w:rsidRPr="00F77164">
        <w:rPr>
          <w:rFonts w:cs="Calibri"/>
          <w:sz w:val="24"/>
          <w:szCs w:val="24"/>
          <w:lang w:val="ro-RO"/>
        </w:rPr>
        <w:t xml:space="preserve"> (</w:t>
      </w:r>
      <w:r>
        <w:rPr>
          <w:rFonts w:cs="Calibri"/>
          <w:sz w:val="24"/>
          <w:szCs w:val="24"/>
          <w:lang w:val="ro-RO"/>
        </w:rPr>
        <w:t xml:space="preserve">aprox. </w:t>
      </w:r>
      <w:r w:rsidRPr="00F77164">
        <w:rPr>
          <w:rFonts w:cs="Calibri"/>
          <w:sz w:val="24"/>
          <w:szCs w:val="24"/>
          <w:lang w:val="ro-RO"/>
        </w:rPr>
        <w:t>1</w:t>
      </w:r>
      <w:r>
        <w:rPr>
          <w:rFonts w:cs="Calibri"/>
          <w:sz w:val="24"/>
          <w:szCs w:val="24"/>
          <w:lang w:val="ro-RO"/>
        </w:rPr>
        <w:t>1</w:t>
      </w:r>
      <w:r w:rsidRPr="00F77164">
        <w:rPr>
          <w:rFonts w:cs="Calibri"/>
          <w:sz w:val="24"/>
          <w:szCs w:val="24"/>
          <w:lang w:val="ro-RO"/>
        </w:rPr>
        <w:t>% din parcul naţional).</w:t>
      </w:r>
    </w:p>
    <w:p w:rsidR="00064502" w:rsidRPr="0053389F" w:rsidRDefault="00064502" w:rsidP="00064502">
      <w:pPr>
        <w:spacing w:after="0"/>
        <w:jc w:val="center"/>
        <w:rPr>
          <w:b/>
          <w:sz w:val="24"/>
          <w:szCs w:val="24"/>
          <w:lang w:val="ro-RO"/>
        </w:rPr>
      </w:pPr>
      <w:r w:rsidRPr="0053389F">
        <w:rPr>
          <w:b/>
          <w:sz w:val="24"/>
          <w:szCs w:val="24"/>
          <w:lang w:val="ro-RO"/>
        </w:rPr>
        <w:t xml:space="preserve">Tabel </w:t>
      </w:r>
      <w:r>
        <w:rPr>
          <w:b/>
          <w:sz w:val="24"/>
          <w:szCs w:val="24"/>
          <w:lang w:val="ro-RO"/>
        </w:rPr>
        <w:t>3</w:t>
      </w:r>
      <w:r w:rsidRPr="0053389F">
        <w:rPr>
          <w:b/>
          <w:sz w:val="24"/>
          <w:szCs w:val="24"/>
          <w:lang w:val="ro-RO"/>
        </w:rPr>
        <w:t xml:space="preserve">  Populația ocupată în agricultură</w:t>
      </w:r>
      <w:r>
        <w:rPr>
          <w:b/>
          <w:sz w:val="24"/>
          <w:szCs w:val="24"/>
          <w:lang w:val="ro-RO"/>
        </w:rPr>
        <w:t>, silvicultură şi pescuit</w:t>
      </w:r>
      <w:r w:rsidRPr="0053389F">
        <w:rPr>
          <w:b/>
          <w:sz w:val="24"/>
          <w:szCs w:val="24"/>
          <w:lang w:val="ro-RO"/>
        </w:rPr>
        <w:t xml:space="preserve"> la sfârșitul anului 201</w:t>
      </w:r>
      <w:r>
        <w:rPr>
          <w:b/>
          <w:sz w:val="24"/>
          <w:szCs w:val="24"/>
          <w:lang w:val="ro-RO"/>
        </w:rPr>
        <w:t>4</w:t>
      </w:r>
    </w:p>
    <w:p w:rsidR="00064502" w:rsidRPr="0053389F" w:rsidRDefault="00064502" w:rsidP="00064502">
      <w:pPr>
        <w:spacing w:after="0"/>
        <w:rPr>
          <w:b/>
          <w:sz w:val="20"/>
          <w:szCs w:val="20"/>
          <w:lang w:val="ro-RO"/>
        </w:rPr>
      </w:pPr>
      <w:r w:rsidRPr="0053389F">
        <w:rPr>
          <w:sz w:val="24"/>
          <w:szCs w:val="24"/>
          <w:lang w:val="ro-RO"/>
        </w:rPr>
        <w:tab/>
      </w:r>
      <w:r w:rsidRPr="0053389F">
        <w:rPr>
          <w:sz w:val="24"/>
          <w:szCs w:val="24"/>
          <w:lang w:val="ro-RO"/>
        </w:rPr>
        <w:tab/>
      </w:r>
      <w:r w:rsidRPr="0053389F">
        <w:rPr>
          <w:sz w:val="24"/>
          <w:szCs w:val="24"/>
          <w:lang w:val="ro-RO"/>
        </w:rPr>
        <w:tab/>
      </w:r>
      <w:r w:rsidRPr="0053389F">
        <w:rPr>
          <w:sz w:val="24"/>
          <w:szCs w:val="24"/>
          <w:lang w:val="ro-RO"/>
        </w:rPr>
        <w:tab/>
      </w:r>
      <w:r w:rsidRPr="0053389F">
        <w:rPr>
          <w:sz w:val="24"/>
          <w:szCs w:val="24"/>
          <w:lang w:val="ro-RO"/>
        </w:rPr>
        <w:tab/>
      </w:r>
      <w:r w:rsidRPr="0053389F">
        <w:rPr>
          <w:sz w:val="24"/>
          <w:szCs w:val="24"/>
          <w:lang w:val="ro-RO"/>
        </w:rPr>
        <w:tab/>
      </w:r>
      <w:r w:rsidRPr="0053389F">
        <w:rPr>
          <w:sz w:val="24"/>
          <w:szCs w:val="24"/>
          <w:lang w:val="ro-RO"/>
        </w:rPr>
        <w:tab/>
      </w:r>
      <w:r w:rsidRPr="0053389F">
        <w:rPr>
          <w:sz w:val="24"/>
          <w:szCs w:val="24"/>
          <w:lang w:val="ro-RO"/>
        </w:rPr>
        <w:tab/>
      </w:r>
      <w:r w:rsidRPr="0053389F">
        <w:rPr>
          <w:sz w:val="24"/>
          <w:szCs w:val="24"/>
          <w:lang w:val="ro-RO"/>
        </w:rPr>
        <w:tab/>
      </w:r>
      <w:r>
        <w:rPr>
          <w:sz w:val="24"/>
          <w:szCs w:val="24"/>
          <w:lang w:val="ro-RO"/>
        </w:rPr>
        <w:t xml:space="preserve">                </w:t>
      </w:r>
      <w:r w:rsidRPr="0053389F">
        <w:rPr>
          <w:b/>
          <w:sz w:val="20"/>
          <w:szCs w:val="20"/>
          <w:lang w:val="ro-RO"/>
        </w:rPr>
        <w:t>- Mii persoane -</w:t>
      </w:r>
    </w:p>
    <w:tbl>
      <w:tblPr>
        <w:tblStyle w:val="Hyperlink"/>
        <w:tblW w:w="0" w:type="auto"/>
        <w:jc w:val="center"/>
        <w:tblInd w:w="614" w:type="dxa"/>
        <w:tblLook w:val="04A0"/>
      </w:tblPr>
      <w:tblGrid>
        <w:gridCol w:w="2212"/>
        <w:gridCol w:w="1800"/>
        <w:gridCol w:w="2046"/>
        <w:gridCol w:w="2491"/>
      </w:tblGrid>
      <w:tr w:rsidR="00064502" w:rsidRPr="0053389F" w:rsidTr="00064502">
        <w:trPr>
          <w:trHeight w:val="885"/>
          <w:jc w:val="center"/>
        </w:trPr>
        <w:tc>
          <w:tcPr>
            <w:tcW w:w="2212" w:type="dxa"/>
          </w:tcPr>
          <w:p w:rsidR="00064502" w:rsidRPr="0053389F" w:rsidRDefault="00064502" w:rsidP="00064502">
            <w:pPr>
              <w:jc w:val="both"/>
              <w:rPr>
                <w:b/>
              </w:rPr>
            </w:pPr>
          </w:p>
        </w:tc>
        <w:tc>
          <w:tcPr>
            <w:tcW w:w="1800" w:type="dxa"/>
          </w:tcPr>
          <w:p w:rsidR="00064502" w:rsidRPr="0053389F" w:rsidRDefault="00064502" w:rsidP="00064502">
            <w:pPr>
              <w:jc w:val="center"/>
              <w:rPr>
                <w:b/>
                <w:sz w:val="20"/>
                <w:szCs w:val="20"/>
              </w:rPr>
            </w:pPr>
            <w:r w:rsidRPr="0053389F">
              <w:rPr>
                <w:sz w:val="20"/>
                <w:szCs w:val="20"/>
              </w:rPr>
              <w:t>Populația ocupată totală</w:t>
            </w:r>
          </w:p>
        </w:tc>
        <w:tc>
          <w:tcPr>
            <w:tcW w:w="2046" w:type="dxa"/>
          </w:tcPr>
          <w:p w:rsidR="00064502" w:rsidRPr="0053389F" w:rsidRDefault="00064502" w:rsidP="00064502">
            <w:pPr>
              <w:jc w:val="center"/>
              <w:rPr>
                <w:b/>
                <w:sz w:val="20"/>
                <w:szCs w:val="20"/>
              </w:rPr>
            </w:pPr>
            <w:r w:rsidRPr="0053389F">
              <w:rPr>
                <w:sz w:val="20"/>
                <w:szCs w:val="20"/>
              </w:rPr>
              <w:t>Populația ocupată în agricultură silvicultură</w:t>
            </w:r>
            <w:r>
              <w:rPr>
                <w:sz w:val="20"/>
                <w:szCs w:val="20"/>
              </w:rPr>
              <w:t xml:space="preserve"> </w:t>
            </w:r>
            <w:r w:rsidRPr="0053389F">
              <w:rPr>
                <w:sz w:val="20"/>
                <w:szCs w:val="20"/>
              </w:rPr>
              <w:t>și</w:t>
            </w:r>
            <w:r>
              <w:rPr>
                <w:sz w:val="20"/>
                <w:szCs w:val="20"/>
              </w:rPr>
              <w:t xml:space="preserve"> pescuit</w:t>
            </w:r>
          </w:p>
        </w:tc>
        <w:tc>
          <w:tcPr>
            <w:tcW w:w="2491" w:type="dxa"/>
          </w:tcPr>
          <w:p w:rsidR="00064502" w:rsidRPr="0053389F" w:rsidRDefault="00064502" w:rsidP="00064502">
            <w:pPr>
              <w:jc w:val="center"/>
              <w:rPr>
                <w:b/>
                <w:sz w:val="20"/>
                <w:szCs w:val="20"/>
              </w:rPr>
            </w:pPr>
            <w:r>
              <w:rPr>
                <w:sz w:val="20"/>
                <w:szCs w:val="20"/>
              </w:rPr>
              <w:t>Nr. mediu al s</w:t>
            </w:r>
            <w:r w:rsidRPr="0053389F">
              <w:rPr>
                <w:sz w:val="20"/>
                <w:szCs w:val="20"/>
              </w:rPr>
              <w:t>alariați</w:t>
            </w:r>
            <w:r>
              <w:rPr>
                <w:sz w:val="20"/>
                <w:szCs w:val="20"/>
              </w:rPr>
              <w:t>lor</w:t>
            </w:r>
            <w:r w:rsidRPr="0053389F">
              <w:rPr>
                <w:sz w:val="20"/>
                <w:szCs w:val="20"/>
              </w:rPr>
              <w:t xml:space="preserve"> în agricultură silvicultură</w:t>
            </w:r>
            <w:r>
              <w:rPr>
                <w:sz w:val="20"/>
                <w:szCs w:val="20"/>
              </w:rPr>
              <w:t xml:space="preserve"> </w:t>
            </w:r>
            <w:r w:rsidRPr="0053389F">
              <w:rPr>
                <w:sz w:val="20"/>
                <w:szCs w:val="20"/>
              </w:rPr>
              <w:t>și</w:t>
            </w:r>
            <w:r>
              <w:rPr>
                <w:sz w:val="20"/>
                <w:szCs w:val="20"/>
              </w:rPr>
              <w:t xml:space="preserve"> pescuit</w:t>
            </w:r>
          </w:p>
        </w:tc>
      </w:tr>
      <w:tr w:rsidR="00064502" w:rsidRPr="0053389F" w:rsidTr="00064502">
        <w:trPr>
          <w:jc w:val="center"/>
        </w:trPr>
        <w:tc>
          <w:tcPr>
            <w:tcW w:w="2212" w:type="dxa"/>
          </w:tcPr>
          <w:p w:rsidR="00064502" w:rsidRPr="0053389F" w:rsidRDefault="00064502" w:rsidP="00064502">
            <w:pPr>
              <w:jc w:val="both"/>
              <w:rPr>
                <w:b/>
              </w:rPr>
            </w:pPr>
            <w:r w:rsidRPr="0053389F">
              <w:t>Regiunea Centru</w:t>
            </w:r>
          </w:p>
        </w:tc>
        <w:tc>
          <w:tcPr>
            <w:tcW w:w="1800" w:type="dxa"/>
          </w:tcPr>
          <w:p w:rsidR="00064502" w:rsidRPr="006A4165" w:rsidRDefault="00064502" w:rsidP="00064502">
            <w:pPr>
              <w:jc w:val="center"/>
              <w:rPr>
                <w:b/>
                <w:sz w:val="20"/>
                <w:szCs w:val="20"/>
              </w:rPr>
            </w:pPr>
            <w:r w:rsidRPr="006A4165">
              <w:rPr>
                <w:b/>
                <w:sz w:val="20"/>
                <w:szCs w:val="20"/>
              </w:rPr>
              <w:t>1026,4</w:t>
            </w:r>
          </w:p>
        </w:tc>
        <w:tc>
          <w:tcPr>
            <w:tcW w:w="2046" w:type="dxa"/>
          </w:tcPr>
          <w:p w:rsidR="00064502" w:rsidRPr="006A4165" w:rsidRDefault="00064502" w:rsidP="00064502">
            <w:pPr>
              <w:jc w:val="center"/>
              <w:rPr>
                <w:b/>
                <w:sz w:val="20"/>
                <w:szCs w:val="20"/>
              </w:rPr>
            </w:pPr>
            <w:r w:rsidRPr="006A4165">
              <w:rPr>
                <w:b/>
                <w:sz w:val="20"/>
                <w:szCs w:val="20"/>
              </w:rPr>
              <w:t>230,5</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12,98</w:t>
            </w:r>
          </w:p>
        </w:tc>
      </w:tr>
      <w:tr w:rsidR="00064502" w:rsidRPr="0053389F" w:rsidTr="00064502">
        <w:trPr>
          <w:jc w:val="center"/>
        </w:trPr>
        <w:tc>
          <w:tcPr>
            <w:tcW w:w="2212" w:type="dxa"/>
          </w:tcPr>
          <w:p w:rsidR="00064502" w:rsidRPr="0053389F" w:rsidRDefault="00064502" w:rsidP="00064502">
            <w:pPr>
              <w:jc w:val="both"/>
              <w:rPr>
                <w:b/>
              </w:rPr>
            </w:pPr>
            <w:r w:rsidRPr="0053389F">
              <w:t>Alba</w:t>
            </w:r>
          </w:p>
        </w:tc>
        <w:tc>
          <w:tcPr>
            <w:tcW w:w="1800" w:type="dxa"/>
          </w:tcPr>
          <w:p w:rsidR="00064502" w:rsidRPr="006A4165" w:rsidRDefault="00064502" w:rsidP="00064502">
            <w:pPr>
              <w:jc w:val="center"/>
              <w:rPr>
                <w:b/>
                <w:sz w:val="20"/>
                <w:szCs w:val="20"/>
              </w:rPr>
            </w:pPr>
            <w:r w:rsidRPr="006A4165">
              <w:rPr>
                <w:b/>
                <w:sz w:val="20"/>
                <w:szCs w:val="20"/>
              </w:rPr>
              <w:t>159,6</w:t>
            </w:r>
          </w:p>
        </w:tc>
        <w:tc>
          <w:tcPr>
            <w:tcW w:w="2046" w:type="dxa"/>
          </w:tcPr>
          <w:p w:rsidR="00064502" w:rsidRPr="006A4165" w:rsidRDefault="00064502" w:rsidP="00064502">
            <w:pPr>
              <w:jc w:val="center"/>
              <w:rPr>
                <w:b/>
                <w:sz w:val="20"/>
                <w:szCs w:val="20"/>
              </w:rPr>
            </w:pPr>
            <w:r w:rsidRPr="006A4165">
              <w:rPr>
                <w:b/>
                <w:sz w:val="20"/>
                <w:szCs w:val="20"/>
              </w:rPr>
              <w:t>45,3</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2,77</w:t>
            </w:r>
          </w:p>
        </w:tc>
      </w:tr>
      <w:tr w:rsidR="00064502" w:rsidRPr="0053389F" w:rsidTr="00064502">
        <w:trPr>
          <w:jc w:val="center"/>
        </w:trPr>
        <w:tc>
          <w:tcPr>
            <w:tcW w:w="2212" w:type="dxa"/>
          </w:tcPr>
          <w:p w:rsidR="00064502" w:rsidRPr="0053389F" w:rsidRDefault="00064502" w:rsidP="00064502">
            <w:pPr>
              <w:jc w:val="both"/>
              <w:rPr>
                <w:b/>
              </w:rPr>
            </w:pPr>
            <w:r w:rsidRPr="0053389F">
              <w:t>Brașov</w:t>
            </w:r>
          </w:p>
        </w:tc>
        <w:tc>
          <w:tcPr>
            <w:tcW w:w="1800" w:type="dxa"/>
          </w:tcPr>
          <w:p w:rsidR="00064502" w:rsidRPr="006A4165" w:rsidRDefault="00064502" w:rsidP="00064502">
            <w:pPr>
              <w:jc w:val="center"/>
              <w:rPr>
                <w:b/>
                <w:sz w:val="20"/>
                <w:szCs w:val="20"/>
              </w:rPr>
            </w:pPr>
            <w:r w:rsidRPr="006A4165">
              <w:rPr>
                <w:b/>
                <w:sz w:val="20"/>
                <w:szCs w:val="20"/>
              </w:rPr>
              <w:t>240,5</w:t>
            </w:r>
          </w:p>
        </w:tc>
        <w:tc>
          <w:tcPr>
            <w:tcW w:w="2046" w:type="dxa"/>
          </w:tcPr>
          <w:p w:rsidR="00064502" w:rsidRPr="006A4165" w:rsidRDefault="00064502" w:rsidP="00064502">
            <w:pPr>
              <w:jc w:val="center"/>
              <w:rPr>
                <w:b/>
                <w:sz w:val="20"/>
                <w:szCs w:val="20"/>
              </w:rPr>
            </w:pPr>
            <w:r w:rsidRPr="006A4165">
              <w:rPr>
                <w:b/>
                <w:sz w:val="20"/>
                <w:szCs w:val="20"/>
              </w:rPr>
              <w:t>29,3</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2,98</w:t>
            </w:r>
          </w:p>
        </w:tc>
      </w:tr>
      <w:tr w:rsidR="00064502" w:rsidRPr="0053389F" w:rsidTr="00064502">
        <w:trPr>
          <w:jc w:val="center"/>
        </w:trPr>
        <w:tc>
          <w:tcPr>
            <w:tcW w:w="2212" w:type="dxa"/>
          </w:tcPr>
          <w:p w:rsidR="00064502" w:rsidRPr="0053389F" w:rsidRDefault="00064502" w:rsidP="00064502">
            <w:pPr>
              <w:jc w:val="both"/>
              <w:rPr>
                <w:b/>
              </w:rPr>
            </w:pPr>
            <w:r w:rsidRPr="0053389F">
              <w:t>Covasna</w:t>
            </w:r>
          </w:p>
        </w:tc>
        <w:tc>
          <w:tcPr>
            <w:tcW w:w="1800" w:type="dxa"/>
          </w:tcPr>
          <w:p w:rsidR="00064502" w:rsidRPr="006A4165" w:rsidRDefault="00064502" w:rsidP="00064502">
            <w:pPr>
              <w:jc w:val="center"/>
              <w:rPr>
                <w:b/>
                <w:sz w:val="20"/>
                <w:szCs w:val="20"/>
              </w:rPr>
            </w:pPr>
            <w:r w:rsidRPr="006A4165">
              <w:rPr>
                <w:b/>
                <w:sz w:val="20"/>
                <w:szCs w:val="20"/>
              </w:rPr>
              <w:t>83</w:t>
            </w:r>
          </w:p>
        </w:tc>
        <w:tc>
          <w:tcPr>
            <w:tcW w:w="2046" w:type="dxa"/>
          </w:tcPr>
          <w:p w:rsidR="00064502" w:rsidRPr="006A4165" w:rsidRDefault="00064502" w:rsidP="00064502">
            <w:pPr>
              <w:jc w:val="center"/>
              <w:rPr>
                <w:b/>
                <w:sz w:val="20"/>
                <w:szCs w:val="20"/>
              </w:rPr>
            </w:pPr>
            <w:r w:rsidRPr="006A4165">
              <w:rPr>
                <w:b/>
                <w:sz w:val="20"/>
                <w:szCs w:val="20"/>
              </w:rPr>
              <w:t>23,1</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1,66</w:t>
            </w:r>
          </w:p>
        </w:tc>
      </w:tr>
      <w:tr w:rsidR="00064502" w:rsidRPr="0053389F" w:rsidTr="00064502">
        <w:trPr>
          <w:jc w:val="center"/>
        </w:trPr>
        <w:tc>
          <w:tcPr>
            <w:tcW w:w="2212" w:type="dxa"/>
          </w:tcPr>
          <w:p w:rsidR="00064502" w:rsidRPr="0053389F" w:rsidRDefault="00064502" w:rsidP="00064502">
            <w:pPr>
              <w:jc w:val="both"/>
              <w:rPr>
                <w:b/>
              </w:rPr>
            </w:pPr>
            <w:r w:rsidRPr="0053389F">
              <w:t>Harghita</w:t>
            </w:r>
          </w:p>
        </w:tc>
        <w:tc>
          <w:tcPr>
            <w:tcW w:w="1800" w:type="dxa"/>
          </w:tcPr>
          <w:p w:rsidR="00064502" w:rsidRPr="006A4165" w:rsidRDefault="00064502" w:rsidP="00064502">
            <w:pPr>
              <w:jc w:val="center"/>
              <w:rPr>
                <w:b/>
                <w:sz w:val="20"/>
                <w:szCs w:val="20"/>
              </w:rPr>
            </w:pPr>
            <w:r w:rsidRPr="006A4165">
              <w:rPr>
                <w:b/>
                <w:sz w:val="20"/>
                <w:szCs w:val="20"/>
              </w:rPr>
              <w:t>130,5</w:t>
            </w:r>
          </w:p>
        </w:tc>
        <w:tc>
          <w:tcPr>
            <w:tcW w:w="2046" w:type="dxa"/>
          </w:tcPr>
          <w:p w:rsidR="00064502" w:rsidRPr="006A4165" w:rsidRDefault="00064502" w:rsidP="00064502">
            <w:pPr>
              <w:jc w:val="center"/>
              <w:rPr>
                <w:b/>
                <w:sz w:val="20"/>
                <w:szCs w:val="20"/>
              </w:rPr>
            </w:pPr>
            <w:r w:rsidRPr="006A4165">
              <w:rPr>
                <w:b/>
                <w:sz w:val="20"/>
                <w:szCs w:val="20"/>
              </w:rPr>
              <w:t>40,7</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1,77</w:t>
            </w:r>
          </w:p>
        </w:tc>
      </w:tr>
      <w:tr w:rsidR="00064502" w:rsidRPr="0053389F" w:rsidTr="00064502">
        <w:trPr>
          <w:jc w:val="center"/>
        </w:trPr>
        <w:tc>
          <w:tcPr>
            <w:tcW w:w="2212" w:type="dxa"/>
          </w:tcPr>
          <w:p w:rsidR="00064502" w:rsidRPr="0053389F" w:rsidRDefault="00064502" w:rsidP="00064502">
            <w:pPr>
              <w:jc w:val="both"/>
              <w:rPr>
                <w:b/>
              </w:rPr>
            </w:pPr>
            <w:r w:rsidRPr="0053389F">
              <w:t>Mureș</w:t>
            </w:r>
          </w:p>
        </w:tc>
        <w:tc>
          <w:tcPr>
            <w:tcW w:w="1800" w:type="dxa"/>
          </w:tcPr>
          <w:p w:rsidR="00064502" w:rsidRPr="006A4165" w:rsidRDefault="00064502" w:rsidP="00064502">
            <w:pPr>
              <w:jc w:val="center"/>
              <w:rPr>
                <w:b/>
                <w:sz w:val="20"/>
                <w:szCs w:val="20"/>
              </w:rPr>
            </w:pPr>
            <w:r w:rsidRPr="006A4165">
              <w:rPr>
                <w:b/>
                <w:sz w:val="20"/>
                <w:szCs w:val="20"/>
              </w:rPr>
              <w:t>230,2</w:t>
            </w:r>
          </w:p>
        </w:tc>
        <w:tc>
          <w:tcPr>
            <w:tcW w:w="2046" w:type="dxa"/>
          </w:tcPr>
          <w:p w:rsidR="00064502" w:rsidRPr="006A4165" w:rsidRDefault="00064502" w:rsidP="00064502">
            <w:pPr>
              <w:jc w:val="center"/>
              <w:rPr>
                <w:b/>
                <w:sz w:val="20"/>
                <w:szCs w:val="20"/>
              </w:rPr>
            </w:pPr>
            <w:r w:rsidRPr="006A4165">
              <w:rPr>
                <w:b/>
                <w:sz w:val="20"/>
                <w:szCs w:val="20"/>
              </w:rPr>
              <w:t>65,5</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2,34</w:t>
            </w:r>
          </w:p>
        </w:tc>
      </w:tr>
      <w:tr w:rsidR="00064502" w:rsidRPr="0053389F" w:rsidTr="00064502">
        <w:trPr>
          <w:jc w:val="center"/>
        </w:trPr>
        <w:tc>
          <w:tcPr>
            <w:tcW w:w="2212" w:type="dxa"/>
          </w:tcPr>
          <w:p w:rsidR="00064502" w:rsidRPr="0053389F" w:rsidRDefault="00064502" w:rsidP="00064502">
            <w:pPr>
              <w:jc w:val="both"/>
              <w:rPr>
                <w:b/>
              </w:rPr>
            </w:pPr>
            <w:r w:rsidRPr="0053389F">
              <w:t>Sibiu</w:t>
            </w:r>
          </w:p>
        </w:tc>
        <w:tc>
          <w:tcPr>
            <w:tcW w:w="1800" w:type="dxa"/>
          </w:tcPr>
          <w:p w:rsidR="00064502" w:rsidRPr="006A4165" w:rsidRDefault="00064502" w:rsidP="00064502">
            <w:pPr>
              <w:jc w:val="center"/>
              <w:rPr>
                <w:b/>
                <w:sz w:val="20"/>
                <w:szCs w:val="20"/>
              </w:rPr>
            </w:pPr>
            <w:r w:rsidRPr="006A4165">
              <w:rPr>
                <w:b/>
                <w:sz w:val="20"/>
                <w:szCs w:val="20"/>
              </w:rPr>
              <w:t>182,6</w:t>
            </w:r>
          </w:p>
        </w:tc>
        <w:tc>
          <w:tcPr>
            <w:tcW w:w="2046" w:type="dxa"/>
          </w:tcPr>
          <w:p w:rsidR="00064502" w:rsidRPr="006A4165" w:rsidRDefault="00064502" w:rsidP="00064502">
            <w:pPr>
              <w:jc w:val="center"/>
              <w:rPr>
                <w:b/>
                <w:sz w:val="20"/>
                <w:szCs w:val="20"/>
              </w:rPr>
            </w:pPr>
            <w:r w:rsidRPr="006A4165">
              <w:rPr>
                <w:b/>
                <w:sz w:val="20"/>
                <w:szCs w:val="20"/>
              </w:rPr>
              <w:t>26,6</w:t>
            </w:r>
          </w:p>
        </w:tc>
        <w:tc>
          <w:tcPr>
            <w:tcW w:w="2491" w:type="dxa"/>
            <w:vAlign w:val="bottom"/>
          </w:tcPr>
          <w:p w:rsidR="00064502" w:rsidRPr="006A4165" w:rsidRDefault="00064502" w:rsidP="00064502">
            <w:pPr>
              <w:jc w:val="center"/>
              <w:rPr>
                <w:rFonts w:ascii="Calibri" w:hAnsi="Calibri"/>
                <w:b/>
                <w:color w:val="000000"/>
                <w:sz w:val="20"/>
                <w:szCs w:val="20"/>
              </w:rPr>
            </w:pPr>
            <w:r w:rsidRPr="006A4165">
              <w:rPr>
                <w:rFonts w:ascii="Calibri" w:hAnsi="Calibri"/>
                <w:b/>
                <w:color w:val="000000"/>
                <w:sz w:val="20"/>
                <w:szCs w:val="20"/>
              </w:rPr>
              <w:t>1,46</w:t>
            </w:r>
          </w:p>
        </w:tc>
      </w:tr>
    </w:tbl>
    <w:p w:rsidR="00064502" w:rsidRDefault="00064502" w:rsidP="00064502">
      <w:pPr>
        <w:jc w:val="both"/>
        <w:rPr>
          <w:sz w:val="24"/>
          <w:szCs w:val="24"/>
          <w:lang w:val="ro-RO"/>
        </w:rPr>
      </w:pPr>
      <w:r>
        <w:rPr>
          <w:b/>
          <w:lang w:val="ro-RO"/>
        </w:rPr>
        <w:t xml:space="preserve">     </w:t>
      </w:r>
      <w:r w:rsidRPr="000400AA">
        <w:rPr>
          <w:b/>
          <w:sz w:val="24"/>
          <w:szCs w:val="24"/>
          <w:lang w:val="ro-RO"/>
        </w:rPr>
        <w:t>Sursa</w:t>
      </w:r>
      <w:r w:rsidRPr="000400AA">
        <w:rPr>
          <w:sz w:val="24"/>
          <w:szCs w:val="24"/>
          <w:lang w:val="ro-RO"/>
        </w:rPr>
        <w:t>: Institutul Național de Statistică</w:t>
      </w:r>
    </w:p>
    <w:p w:rsidR="00064502" w:rsidRPr="00735AF3" w:rsidRDefault="00064502" w:rsidP="00064502">
      <w:pPr>
        <w:jc w:val="both"/>
        <w:rPr>
          <w:rFonts w:cs="Calibri"/>
          <w:sz w:val="24"/>
          <w:szCs w:val="24"/>
          <w:lang w:val="ro-RO"/>
        </w:rPr>
      </w:pPr>
      <w:r w:rsidRPr="00DD3364">
        <w:rPr>
          <w:rFonts w:cs="Calibri"/>
          <w:sz w:val="24"/>
          <w:szCs w:val="24"/>
          <w:lang w:val="ro-RO"/>
        </w:rPr>
        <w:t>Populația ocupată în agricultură</w:t>
      </w:r>
      <w:r>
        <w:rPr>
          <w:rStyle w:val="Referinnotdesubsol"/>
          <w:rFonts w:cs="Calibri"/>
          <w:sz w:val="24"/>
          <w:szCs w:val="24"/>
        </w:rPr>
        <w:footnoteReference w:id="8"/>
      </w:r>
      <w:r w:rsidRPr="00DD3364">
        <w:rPr>
          <w:rFonts w:cs="Calibri"/>
          <w:sz w:val="24"/>
          <w:szCs w:val="24"/>
          <w:lang w:val="ro-RO"/>
        </w:rPr>
        <w:t xml:space="preserve"> la sfârșitul anului 2014 număra 230,5 mii persoane, reprezentând aproape 23% din totalul populației ocupate a regiunii, doar o parte redusă dintre aceștia având statutul de salariați. Proporțional, cea mai numeroasă populație agricolă se găsește în județele Harghita (31,2% din populația ocupată) Mureş (28,5% ) și Alba (28,4%), iar cea mai scăzută în județele Brașov (12,2%) și Sibiu (14,6%). Forța de muncă salariată din acest sector s-a redus de peste 4 ori în ultimii 10 ani, ajungând la 2,2% din numărul total de salariați (12,98</w:t>
      </w:r>
      <w:r>
        <w:rPr>
          <w:rFonts w:cs="Calibri"/>
          <w:sz w:val="24"/>
          <w:szCs w:val="24"/>
          <w:lang w:val="ro-RO"/>
        </w:rPr>
        <w:t xml:space="preserve"> mii persoane).</w:t>
      </w:r>
    </w:p>
    <w:p w:rsidR="00064502" w:rsidRPr="009D22FA" w:rsidRDefault="00064502" w:rsidP="00064502">
      <w:pPr>
        <w:spacing w:after="0"/>
        <w:jc w:val="center"/>
        <w:rPr>
          <w:b/>
          <w:sz w:val="24"/>
          <w:szCs w:val="24"/>
          <w:lang w:val="ro-RO"/>
        </w:rPr>
      </w:pPr>
      <w:r w:rsidRPr="009D22FA">
        <w:rPr>
          <w:b/>
          <w:sz w:val="24"/>
          <w:szCs w:val="24"/>
          <w:lang w:val="ro-RO"/>
        </w:rPr>
        <w:t xml:space="preserve">Tabel </w:t>
      </w:r>
      <w:r>
        <w:rPr>
          <w:b/>
          <w:sz w:val="24"/>
          <w:szCs w:val="24"/>
          <w:lang w:val="ro-RO"/>
        </w:rPr>
        <w:t>4</w:t>
      </w:r>
      <w:r w:rsidRPr="009D22FA">
        <w:rPr>
          <w:b/>
          <w:sz w:val="24"/>
          <w:szCs w:val="24"/>
          <w:lang w:val="ro-RO"/>
        </w:rPr>
        <w:t xml:space="preserve">  Structura populației</w:t>
      </w:r>
      <w:r>
        <w:rPr>
          <w:rStyle w:val="Referinnotdesubsol"/>
          <w:rFonts w:cs="Calibri"/>
          <w:sz w:val="24"/>
          <w:szCs w:val="24"/>
        </w:rPr>
        <w:footnoteReference w:id="9"/>
      </w:r>
      <w:r w:rsidRPr="009D22FA">
        <w:rPr>
          <w:b/>
          <w:sz w:val="24"/>
          <w:szCs w:val="24"/>
          <w:lang w:val="ro-RO"/>
        </w:rPr>
        <w:t xml:space="preserve"> ocupate în agricultură în funcţie de vârstă în anul 2013</w:t>
      </w:r>
    </w:p>
    <w:tbl>
      <w:tblPr>
        <w:tblStyle w:val="Textnotdefinal"/>
        <w:tblW w:w="0" w:type="auto"/>
        <w:tblInd w:w="831" w:type="dxa"/>
        <w:tblLook w:val="04A0"/>
      </w:tblPr>
      <w:tblGrid>
        <w:gridCol w:w="1857"/>
        <w:gridCol w:w="1858"/>
        <w:gridCol w:w="1858"/>
        <w:gridCol w:w="205"/>
        <w:gridCol w:w="1653"/>
      </w:tblGrid>
      <w:tr w:rsidR="00064502" w:rsidTr="00064502">
        <w:tc>
          <w:tcPr>
            <w:tcW w:w="1857" w:type="dxa"/>
          </w:tcPr>
          <w:p w:rsidR="00064502" w:rsidRDefault="00064502" w:rsidP="00064502">
            <w:pPr>
              <w:jc w:val="both"/>
              <w:rPr>
                <w:rFonts w:cs="Calibri"/>
                <w:sz w:val="24"/>
                <w:szCs w:val="24"/>
                <w:lang w:val="ro-RO"/>
              </w:rPr>
            </w:pPr>
          </w:p>
        </w:tc>
        <w:tc>
          <w:tcPr>
            <w:tcW w:w="1858" w:type="dxa"/>
          </w:tcPr>
          <w:p w:rsidR="00064502" w:rsidRDefault="00064502" w:rsidP="00064502">
            <w:pPr>
              <w:jc w:val="both"/>
              <w:rPr>
                <w:rFonts w:cs="Calibri"/>
                <w:sz w:val="24"/>
                <w:szCs w:val="24"/>
                <w:lang w:val="ro-RO"/>
              </w:rPr>
            </w:pPr>
            <w:r>
              <w:rPr>
                <w:rFonts w:cs="Calibri"/>
                <w:sz w:val="24"/>
                <w:szCs w:val="24"/>
                <w:lang w:val="ro-RO"/>
              </w:rPr>
              <w:t>Sub 35 ani</w:t>
            </w:r>
          </w:p>
        </w:tc>
        <w:tc>
          <w:tcPr>
            <w:tcW w:w="2063" w:type="dxa"/>
            <w:gridSpan w:val="2"/>
          </w:tcPr>
          <w:p w:rsidR="00064502" w:rsidRDefault="00064502" w:rsidP="00064502">
            <w:pPr>
              <w:jc w:val="both"/>
              <w:rPr>
                <w:rFonts w:cs="Calibri"/>
                <w:sz w:val="24"/>
                <w:szCs w:val="24"/>
                <w:lang w:val="ro-RO"/>
              </w:rPr>
            </w:pPr>
            <w:r>
              <w:rPr>
                <w:rFonts w:cs="Calibri"/>
                <w:sz w:val="24"/>
                <w:szCs w:val="24"/>
                <w:lang w:val="ro-RO"/>
              </w:rPr>
              <w:t>Între 35 şi 54 ani</w:t>
            </w:r>
          </w:p>
        </w:tc>
        <w:tc>
          <w:tcPr>
            <w:tcW w:w="1653" w:type="dxa"/>
          </w:tcPr>
          <w:p w:rsidR="00064502" w:rsidRDefault="00064502" w:rsidP="00064502">
            <w:pPr>
              <w:jc w:val="both"/>
              <w:rPr>
                <w:rFonts w:cs="Calibri"/>
                <w:sz w:val="24"/>
                <w:szCs w:val="24"/>
                <w:lang w:val="ro-RO"/>
              </w:rPr>
            </w:pPr>
            <w:r>
              <w:rPr>
                <w:rFonts w:cs="Calibri"/>
                <w:sz w:val="24"/>
                <w:szCs w:val="24"/>
                <w:lang w:val="ro-RO"/>
              </w:rPr>
              <w:t>Peste 55 ani</w:t>
            </w:r>
          </w:p>
        </w:tc>
      </w:tr>
      <w:tr w:rsidR="00064502" w:rsidTr="00064502">
        <w:trPr>
          <w:trHeight w:val="455"/>
        </w:trPr>
        <w:tc>
          <w:tcPr>
            <w:tcW w:w="1857" w:type="dxa"/>
          </w:tcPr>
          <w:p w:rsidR="00064502" w:rsidRDefault="00064502" w:rsidP="00064502">
            <w:pPr>
              <w:jc w:val="both"/>
              <w:rPr>
                <w:rFonts w:cs="Calibri"/>
                <w:sz w:val="24"/>
                <w:szCs w:val="24"/>
                <w:lang w:val="ro-RO"/>
              </w:rPr>
            </w:pPr>
            <w:r>
              <w:t xml:space="preserve">Romania </w:t>
            </w:r>
          </w:p>
        </w:tc>
        <w:tc>
          <w:tcPr>
            <w:tcW w:w="1858" w:type="dxa"/>
            <w:vAlign w:val="center"/>
          </w:tcPr>
          <w:p w:rsidR="00064502" w:rsidRDefault="00064502" w:rsidP="00064502">
            <w:pPr>
              <w:rPr>
                <w:rFonts w:cs="Calibri"/>
                <w:sz w:val="24"/>
                <w:szCs w:val="24"/>
                <w:lang w:val="ro-RO"/>
              </w:rPr>
            </w:pPr>
            <w:r>
              <w:t>4,7%</w:t>
            </w:r>
          </w:p>
        </w:tc>
        <w:tc>
          <w:tcPr>
            <w:tcW w:w="1858" w:type="dxa"/>
            <w:vAlign w:val="center"/>
          </w:tcPr>
          <w:p w:rsidR="00064502" w:rsidRDefault="00064502" w:rsidP="00064502">
            <w:pPr>
              <w:rPr>
                <w:rFonts w:cs="Calibri"/>
                <w:sz w:val="24"/>
                <w:szCs w:val="24"/>
                <w:lang w:val="ro-RO"/>
              </w:rPr>
            </w:pPr>
            <w:r>
              <w:t>30,8%</w:t>
            </w:r>
          </w:p>
        </w:tc>
        <w:tc>
          <w:tcPr>
            <w:tcW w:w="1858" w:type="dxa"/>
            <w:gridSpan w:val="2"/>
            <w:vAlign w:val="center"/>
          </w:tcPr>
          <w:p w:rsidR="00064502" w:rsidRDefault="00064502" w:rsidP="00064502">
            <w:pPr>
              <w:rPr>
                <w:rFonts w:cs="Calibri"/>
                <w:sz w:val="24"/>
                <w:szCs w:val="24"/>
                <w:lang w:val="ro-RO"/>
              </w:rPr>
            </w:pPr>
            <w:r>
              <w:t>64,4%</w:t>
            </w:r>
          </w:p>
        </w:tc>
      </w:tr>
      <w:tr w:rsidR="00064502" w:rsidTr="00064502">
        <w:trPr>
          <w:trHeight w:val="455"/>
        </w:trPr>
        <w:tc>
          <w:tcPr>
            <w:tcW w:w="1857" w:type="dxa"/>
          </w:tcPr>
          <w:p w:rsidR="00064502" w:rsidRDefault="00064502" w:rsidP="00064502">
            <w:pPr>
              <w:jc w:val="both"/>
              <w:rPr>
                <w:rFonts w:cs="Calibri"/>
                <w:sz w:val="24"/>
                <w:szCs w:val="24"/>
                <w:lang w:val="ro-RO"/>
              </w:rPr>
            </w:pPr>
            <w:r>
              <w:t>EU28</w:t>
            </w:r>
          </w:p>
        </w:tc>
        <w:tc>
          <w:tcPr>
            <w:tcW w:w="1858" w:type="dxa"/>
            <w:vAlign w:val="center"/>
          </w:tcPr>
          <w:p w:rsidR="00064502" w:rsidRDefault="00064502" w:rsidP="00064502">
            <w:pPr>
              <w:rPr>
                <w:rFonts w:cs="Calibri"/>
                <w:sz w:val="24"/>
                <w:szCs w:val="24"/>
                <w:lang w:val="ro-RO"/>
              </w:rPr>
            </w:pPr>
            <w:r>
              <w:t>5,9%</w:t>
            </w:r>
          </w:p>
        </w:tc>
        <w:tc>
          <w:tcPr>
            <w:tcW w:w="1858" w:type="dxa"/>
            <w:vAlign w:val="center"/>
          </w:tcPr>
          <w:p w:rsidR="00064502" w:rsidRDefault="00064502" w:rsidP="00064502">
            <w:pPr>
              <w:rPr>
                <w:rFonts w:cs="Calibri"/>
                <w:sz w:val="24"/>
                <w:szCs w:val="24"/>
                <w:lang w:val="ro-RO"/>
              </w:rPr>
            </w:pPr>
            <w:r>
              <w:t>37,7%</w:t>
            </w:r>
          </w:p>
        </w:tc>
        <w:tc>
          <w:tcPr>
            <w:tcW w:w="1858" w:type="dxa"/>
            <w:gridSpan w:val="2"/>
            <w:vAlign w:val="center"/>
          </w:tcPr>
          <w:p w:rsidR="00064502" w:rsidRDefault="00064502" w:rsidP="00064502">
            <w:pPr>
              <w:rPr>
                <w:rFonts w:cs="Calibri"/>
                <w:sz w:val="24"/>
                <w:szCs w:val="24"/>
                <w:lang w:val="ro-RO"/>
              </w:rPr>
            </w:pPr>
            <w:r>
              <w:t>54,9%</w:t>
            </w:r>
          </w:p>
        </w:tc>
      </w:tr>
    </w:tbl>
    <w:p w:rsidR="00064502" w:rsidRDefault="00064502" w:rsidP="00064502">
      <w:pPr>
        <w:jc w:val="both"/>
        <w:rPr>
          <w:sz w:val="24"/>
          <w:szCs w:val="24"/>
          <w:lang w:val="ro-RO"/>
        </w:rPr>
      </w:pPr>
      <w:r>
        <w:rPr>
          <w:rFonts w:cs="Calibri"/>
          <w:sz w:val="24"/>
          <w:szCs w:val="24"/>
          <w:lang w:val="ro-RO"/>
        </w:rPr>
        <w:t xml:space="preserve">              </w:t>
      </w:r>
      <w:r w:rsidRPr="009D22FA">
        <w:rPr>
          <w:rFonts w:cs="Calibri"/>
          <w:sz w:val="24"/>
          <w:szCs w:val="24"/>
          <w:lang w:val="ro-RO"/>
        </w:rPr>
        <w:t xml:space="preserve"> </w:t>
      </w:r>
      <w:r w:rsidRPr="009D22FA">
        <w:rPr>
          <w:b/>
          <w:sz w:val="24"/>
          <w:szCs w:val="24"/>
          <w:lang w:val="ro-RO"/>
        </w:rPr>
        <w:t>Sursa</w:t>
      </w:r>
      <w:r w:rsidRPr="009D22FA">
        <w:rPr>
          <w:sz w:val="24"/>
          <w:szCs w:val="24"/>
          <w:lang w:val="ro-RO"/>
        </w:rPr>
        <w:t>: Eurostat</w:t>
      </w:r>
    </w:p>
    <w:p w:rsidR="00064502" w:rsidRPr="009D22FA" w:rsidRDefault="00064502" w:rsidP="00064502">
      <w:pPr>
        <w:jc w:val="both"/>
        <w:rPr>
          <w:rFonts w:cs="Calibri"/>
          <w:sz w:val="24"/>
          <w:szCs w:val="24"/>
          <w:lang w:val="ro-RO"/>
        </w:rPr>
      </w:pPr>
      <w:r w:rsidRPr="009D22FA">
        <w:rPr>
          <w:rFonts w:cs="Calibri"/>
          <w:sz w:val="24"/>
          <w:szCs w:val="24"/>
          <w:lang w:val="ro-RO"/>
        </w:rPr>
        <w:lastRenderedPageBreak/>
        <w:t xml:space="preserve">Potrivit indicatorilor Comisiei Europene privind structura în funcţie de vârstă a populaţiei ocupate în agricultură se observă că atât la nivel european cât mai ales la nivelul României populaţia ocupată în agricultură este îmbătrânită. </w:t>
      </w:r>
    </w:p>
    <w:p w:rsidR="00064502" w:rsidRPr="00F2556D" w:rsidRDefault="00064502" w:rsidP="00064502">
      <w:pPr>
        <w:jc w:val="both"/>
        <w:rPr>
          <w:sz w:val="24"/>
          <w:szCs w:val="24"/>
          <w:lang w:val="ro-RO"/>
        </w:rPr>
      </w:pPr>
      <w:r w:rsidRPr="000D223C">
        <w:rPr>
          <w:sz w:val="24"/>
          <w:szCs w:val="24"/>
          <w:lang w:val="ro-RO"/>
        </w:rPr>
        <w:t xml:space="preserve">O altă </w:t>
      </w:r>
      <w:r>
        <w:rPr>
          <w:sz w:val="24"/>
          <w:szCs w:val="24"/>
          <w:lang w:val="ro-RO"/>
        </w:rPr>
        <w:t>tr</w:t>
      </w:r>
      <w:r w:rsidRPr="000D223C">
        <w:rPr>
          <w:sz w:val="24"/>
          <w:szCs w:val="24"/>
          <w:lang w:val="ro-RO"/>
        </w:rPr>
        <w:t>ă</w:t>
      </w:r>
      <w:r>
        <w:rPr>
          <w:sz w:val="24"/>
          <w:szCs w:val="24"/>
          <w:lang w:val="ro-RO"/>
        </w:rPr>
        <w:t>sătură ce caracterizează populaţia ocupată în agricultură este nivelul scăzut de instruire, majoritatea persoanelor bazându-se doar pe experienţa practică. Fenomenul se observă la nivelul tuturor ţărilor din Uniunea Europeană dar în România este mai accentuat, 96,4% din populaţia ocupată în agricultură se bazează pe experienţa practică, 3,1% au instruire de bază şi doar 0,5 procente nivel de instruire avansat.</w:t>
      </w:r>
    </w:p>
    <w:p w:rsidR="00064502" w:rsidRPr="00735AF3" w:rsidRDefault="00064502" w:rsidP="00064502">
      <w:pPr>
        <w:spacing w:after="0"/>
        <w:jc w:val="center"/>
        <w:rPr>
          <w:b/>
          <w:sz w:val="24"/>
          <w:szCs w:val="24"/>
          <w:lang w:val="ro-RO"/>
        </w:rPr>
      </w:pPr>
      <w:r>
        <w:rPr>
          <w:b/>
          <w:sz w:val="24"/>
          <w:szCs w:val="24"/>
          <w:lang w:val="ro-RO"/>
        </w:rPr>
        <w:t>T</w:t>
      </w:r>
      <w:r w:rsidRPr="00735AF3">
        <w:rPr>
          <w:b/>
          <w:sz w:val="24"/>
          <w:szCs w:val="24"/>
          <w:lang w:val="ro-RO"/>
        </w:rPr>
        <w:t xml:space="preserve">abel </w:t>
      </w:r>
      <w:r>
        <w:rPr>
          <w:b/>
          <w:sz w:val="24"/>
          <w:szCs w:val="24"/>
          <w:lang w:val="ro-RO"/>
        </w:rPr>
        <w:t>5</w:t>
      </w:r>
      <w:r w:rsidRPr="00735AF3">
        <w:rPr>
          <w:b/>
          <w:sz w:val="24"/>
          <w:szCs w:val="24"/>
          <w:lang w:val="ro-RO"/>
        </w:rPr>
        <w:t xml:space="preserve">  Structura populației</w:t>
      </w:r>
      <w:r w:rsidRPr="00735AF3">
        <w:rPr>
          <w:rStyle w:val="Referinnotdesubsol"/>
          <w:b/>
          <w:sz w:val="24"/>
          <w:szCs w:val="24"/>
        </w:rPr>
        <w:footnoteReference w:id="10"/>
      </w:r>
      <w:r w:rsidRPr="00735AF3">
        <w:rPr>
          <w:b/>
          <w:sz w:val="24"/>
          <w:szCs w:val="24"/>
          <w:lang w:val="ro-RO"/>
        </w:rPr>
        <w:t xml:space="preserve"> ocupate în agricultură în funcţie de nivelul de instruire în anul 2013</w:t>
      </w:r>
    </w:p>
    <w:tbl>
      <w:tblPr>
        <w:tblStyle w:val="Textnotdefinal"/>
        <w:tblW w:w="0" w:type="auto"/>
        <w:tblInd w:w="831" w:type="dxa"/>
        <w:tblLook w:val="04A0"/>
      </w:tblPr>
      <w:tblGrid>
        <w:gridCol w:w="1437"/>
        <w:gridCol w:w="1440"/>
        <w:gridCol w:w="1890"/>
        <w:gridCol w:w="1890"/>
      </w:tblGrid>
      <w:tr w:rsidR="00064502" w:rsidTr="00064502">
        <w:tc>
          <w:tcPr>
            <w:tcW w:w="1437" w:type="dxa"/>
          </w:tcPr>
          <w:p w:rsidR="00064502" w:rsidRDefault="00064502" w:rsidP="00064502">
            <w:pPr>
              <w:jc w:val="both"/>
              <w:rPr>
                <w:rFonts w:cs="Calibri"/>
                <w:sz w:val="24"/>
                <w:szCs w:val="24"/>
                <w:lang w:val="ro-RO"/>
              </w:rPr>
            </w:pPr>
          </w:p>
        </w:tc>
        <w:tc>
          <w:tcPr>
            <w:tcW w:w="1440" w:type="dxa"/>
          </w:tcPr>
          <w:p w:rsidR="00064502" w:rsidRDefault="00064502" w:rsidP="00064502">
            <w:pPr>
              <w:rPr>
                <w:rFonts w:cs="Calibri"/>
                <w:sz w:val="24"/>
                <w:szCs w:val="24"/>
                <w:lang w:val="ro-RO"/>
              </w:rPr>
            </w:pPr>
            <w:r>
              <w:rPr>
                <w:rFonts w:cs="Calibri"/>
                <w:sz w:val="24"/>
                <w:szCs w:val="24"/>
                <w:lang w:val="ro-RO"/>
              </w:rPr>
              <w:t>Instruire de bază</w:t>
            </w:r>
          </w:p>
        </w:tc>
        <w:tc>
          <w:tcPr>
            <w:tcW w:w="1890" w:type="dxa"/>
          </w:tcPr>
          <w:p w:rsidR="00064502" w:rsidRDefault="00064502" w:rsidP="00064502">
            <w:pPr>
              <w:rPr>
                <w:rFonts w:cs="Calibri"/>
                <w:sz w:val="24"/>
                <w:szCs w:val="24"/>
                <w:lang w:val="ro-RO"/>
              </w:rPr>
            </w:pPr>
            <w:r>
              <w:rPr>
                <w:rFonts w:cs="Calibri"/>
                <w:sz w:val="24"/>
                <w:szCs w:val="24"/>
                <w:lang w:val="ro-RO"/>
              </w:rPr>
              <w:t>Nivel avansat de instruire</w:t>
            </w:r>
          </w:p>
        </w:tc>
        <w:tc>
          <w:tcPr>
            <w:tcW w:w="1890" w:type="dxa"/>
          </w:tcPr>
          <w:p w:rsidR="00064502" w:rsidRDefault="00064502" w:rsidP="00064502">
            <w:pPr>
              <w:rPr>
                <w:rFonts w:cs="Calibri"/>
                <w:sz w:val="24"/>
                <w:szCs w:val="24"/>
                <w:lang w:val="ro-RO"/>
              </w:rPr>
            </w:pPr>
            <w:r>
              <w:rPr>
                <w:rFonts w:cs="Calibri"/>
                <w:sz w:val="24"/>
                <w:szCs w:val="24"/>
                <w:lang w:val="ro-RO"/>
              </w:rPr>
              <w:t>Doar experienţă practică</w:t>
            </w:r>
          </w:p>
        </w:tc>
      </w:tr>
      <w:tr w:rsidR="00064502" w:rsidTr="00064502">
        <w:trPr>
          <w:trHeight w:val="455"/>
        </w:trPr>
        <w:tc>
          <w:tcPr>
            <w:tcW w:w="1437" w:type="dxa"/>
          </w:tcPr>
          <w:p w:rsidR="00064502" w:rsidRDefault="00064502" w:rsidP="00064502">
            <w:pPr>
              <w:jc w:val="both"/>
              <w:rPr>
                <w:rFonts w:cs="Calibri"/>
                <w:sz w:val="24"/>
                <w:szCs w:val="24"/>
                <w:lang w:val="ro-RO"/>
              </w:rPr>
            </w:pPr>
            <w:r>
              <w:t xml:space="preserve">Romania </w:t>
            </w:r>
          </w:p>
        </w:tc>
        <w:tc>
          <w:tcPr>
            <w:tcW w:w="1440" w:type="dxa"/>
            <w:vAlign w:val="center"/>
          </w:tcPr>
          <w:p w:rsidR="00064502" w:rsidRDefault="00064502" w:rsidP="00064502">
            <w:pPr>
              <w:rPr>
                <w:rFonts w:cs="Calibri"/>
                <w:sz w:val="24"/>
                <w:szCs w:val="24"/>
                <w:lang w:val="ro-RO"/>
              </w:rPr>
            </w:pPr>
            <w:r>
              <w:t>3,1%</w:t>
            </w:r>
          </w:p>
        </w:tc>
        <w:tc>
          <w:tcPr>
            <w:tcW w:w="1890" w:type="dxa"/>
            <w:vAlign w:val="center"/>
          </w:tcPr>
          <w:p w:rsidR="00064502" w:rsidRDefault="00064502" w:rsidP="00064502">
            <w:pPr>
              <w:rPr>
                <w:rFonts w:cs="Calibri"/>
                <w:sz w:val="24"/>
                <w:szCs w:val="24"/>
                <w:lang w:val="ro-RO"/>
              </w:rPr>
            </w:pPr>
            <w:r>
              <w:t>0,5%</w:t>
            </w:r>
          </w:p>
        </w:tc>
        <w:tc>
          <w:tcPr>
            <w:tcW w:w="1890" w:type="dxa"/>
            <w:vAlign w:val="center"/>
          </w:tcPr>
          <w:p w:rsidR="00064502" w:rsidRDefault="00064502" w:rsidP="00064502">
            <w:pPr>
              <w:rPr>
                <w:rFonts w:cs="Calibri"/>
                <w:sz w:val="24"/>
                <w:szCs w:val="24"/>
                <w:lang w:val="ro-RO"/>
              </w:rPr>
            </w:pPr>
            <w:r>
              <w:t>96,4%</w:t>
            </w:r>
          </w:p>
        </w:tc>
      </w:tr>
      <w:tr w:rsidR="00064502" w:rsidTr="00064502">
        <w:trPr>
          <w:trHeight w:val="446"/>
        </w:trPr>
        <w:tc>
          <w:tcPr>
            <w:tcW w:w="1437" w:type="dxa"/>
          </w:tcPr>
          <w:p w:rsidR="00064502" w:rsidRDefault="00064502" w:rsidP="00064502">
            <w:pPr>
              <w:jc w:val="both"/>
              <w:rPr>
                <w:rFonts w:cs="Calibri"/>
                <w:sz w:val="24"/>
                <w:szCs w:val="24"/>
                <w:lang w:val="ro-RO"/>
              </w:rPr>
            </w:pPr>
            <w:r>
              <w:t>EU28</w:t>
            </w:r>
          </w:p>
        </w:tc>
        <w:tc>
          <w:tcPr>
            <w:tcW w:w="1440" w:type="dxa"/>
            <w:vAlign w:val="center"/>
          </w:tcPr>
          <w:p w:rsidR="00064502" w:rsidRDefault="00064502" w:rsidP="00064502">
            <w:pPr>
              <w:rPr>
                <w:rFonts w:cs="Calibri"/>
                <w:sz w:val="24"/>
                <w:szCs w:val="24"/>
                <w:lang w:val="ro-RO"/>
              </w:rPr>
            </w:pPr>
            <w:r>
              <w:t>20,4%</w:t>
            </w:r>
          </w:p>
        </w:tc>
        <w:tc>
          <w:tcPr>
            <w:tcW w:w="1890" w:type="dxa"/>
            <w:vAlign w:val="center"/>
          </w:tcPr>
          <w:p w:rsidR="00064502" w:rsidRDefault="00064502" w:rsidP="00064502">
            <w:pPr>
              <w:rPr>
                <w:rFonts w:cs="Calibri"/>
                <w:sz w:val="24"/>
                <w:szCs w:val="24"/>
                <w:lang w:val="ro-RO"/>
              </w:rPr>
            </w:pPr>
            <w:r>
              <w:t>8,5%</w:t>
            </w:r>
          </w:p>
        </w:tc>
        <w:tc>
          <w:tcPr>
            <w:tcW w:w="1890" w:type="dxa"/>
            <w:vAlign w:val="center"/>
          </w:tcPr>
          <w:p w:rsidR="00064502" w:rsidRDefault="00064502" w:rsidP="00064502">
            <w:pPr>
              <w:rPr>
                <w:rFonts w:cs="Calibri"/>
                <w:sz w:val="24"/>
                <w:szCs w:val="24"/>
                <w:lang w:val="ro-RO"/>
              </w:rPr>
            </w:pPr>
            <w:r>
              <w:t>69,6%</w:t>
            </w:r>
          </w:p>
        </w:tc>
      </w:tr>
    </w:tbl>
    <w:p w:rsidR="00064502" w:rsidRPr="009D22FA" w:rsidRDefault="00064502" w:rsidP="00064502">
      <w:pPr>
        <w:jc w:val="both"/>
        <w:rPr>
          <w:rFonts w:cs="Calibri"/>
          <w:sz w:val="24"/>
          <w:szCs w:val="24"/>
          <w:lang w:val="ro-RO"/>
        </w:rPr>
      </w:pPr>
      <w:r>
        <w:rPr>
          <w:rFonts w:cs="Calibri"/>
          <w:sz w:val="24"/>
          <w:szCs w:val="24"/>
          <w:lang w:val="ro-RO"/>
        </w:rPr>
        <w:t xml:space="preserve">              </w:t>
      </w:r>
      <w:r w:rsidRPr="009D22FA">
        <w:rPr>
          <w:rFonts w:cs="Calibri"/>
          <w:sz w:val="24"/>
          <w:szCs w:val="24"/>
          <w:lang w:val="ro-RO"/>
        </w:rPr>
        <w:t xml:space="preserve"> </w:t>
      </w:r>
      <w:r w:rsidRPr="009D22FA">
        <w:rPr>
          <w:b/>
          <w:sz w:val="24"/>
          <w:szCs w:val="24"/>
          <w:lang w:val="ro-RO"/>
        </w:rPr>
        <w:t>Sursa</w:t>
      </w:r>
      <w:r w:rsidRPr="009D22FA">
        <w:rPr>
          <w:sz w:val="24"/>
          <w:szCs w:val="24"/>
          <w:lang w:val="ro-RO"/>
        </w:rPr>
        <w:t>: Eurostat</w:t>
      </w:r>
    </w:p>
    <w:p w:rsidR="00064502" w:rsidRDefault="00064502" w:rsidP="00064502">
      <w:pPr>
        <w:jc w:val="both"/>
        <w:rPr>
          <w:rFonts w:cs="Calibri"/>
          <w:sz w:val="24"/>
          <w:szCs w:val="24"/>
          <w:lang w:val="ro-RO"/>
        </w:rPr>
      </w:pPr>
      <w:r w:rsidRPr="00C77C6C">
        <w:rPr>
          <w:rFonts w:cs="Calibri"/>
          <w:b/>
          <w:sz w:val="24"/>
          <w:szCs w:val="24"/>
          <w:lang w:val="ro-RO"/>
        </w:rPr>
        <w:t>Valoarea producției agricole a Regiunii Centru</w:t>
      </w:r>
      <w:r>
        <w:rPr>
          <w:rFonts w:cs="Calibri"/>
          <w:sz w:val="24"/>
          <w:szCs w:val="24"/>
          <w:lang w:val="ro-RO"/>
        </w:rPr>
        <w:t>, în anul 2014</w:t>
      </w:r>
      <w:r w:rsidRPr="00E16C03">
        <w:rPr>
          <w:rFonts w:cs="Calibri"/>
          <w:sz w:val="24"/>
          <w:szCs w:val="24"/>
          <w:lang w:val="ro-RO"/>
        </w:rPr>
        <w:t xml:space="preserve">, a fost de </w:t>
      </w:r>
      <w:r w:rsidRPr="00F5549D">
        <w:rPr>
          <w:rFonts w:cs="Calibri"/>
          <w:sz w:val="24"/>
          <w:szCs w:val="24"/>
          <w:lang w:val="ro-RO"/>
        </w:rPr>
        <w:t>8989</w:t>
      </w:r>
      <w:r>
        <w:rPr>
          <w:rFonts w:cs="Calibri"/>
          <w:sz w:val="24"/>
          <w:szCs w:val="24"/>
          <w:lang w:val="ro-RO"/>
        </w:rPr>
        <w:t xml:space="preserve"> milioane lei în creştere faţă de anul precedent</w:t>
      </w:r>
      <w:r w:rsidRPr="00F5549D">
        <w:rPr>
          <w:rFonts w:cs="Calibri"/>
          <w:sz w:val="24"/>
          <w:szCs w:val="24"/>
          <w:lang w:val="ro-RO"/>
        </w:rPr>
        <w:t xml:space="preserve"> </w:t>
      </w:r>
      <w:r>
        <w:rPr>
          <w:rFonts w:cs="Calibri"/>
          <w:sz w:val="24"/>
          <w:szCs w:val="24"/>
          <w:lang w:val="ro-RO"/>
        </w:rPr>
        <w:t>(în 2013 era de 88</w:t>
      </w:r>
      <w:r w:rsidRPr="00E6110E">
        <w:rPr>
          <w:rFonts w:cs="Calibri"/>
          <w:sz w:val="24"/>
          <w:szCs w:val="24"/>
          <w:lang w:val="ro-RO"/>
        </w:rPr>
        <w:t>6</w:t>
      </w:r>
      <w:r>
        <w:rPr>
          <w:rFonts w:cs="Calibri"/>
          <w:sz w:val="24"/>
          <w:szCs w:val="24"/>
          <w:lang w:val="ro-RO"/>
        </w:rPr>
        <w:t>7 milioane lei), reprezentând 12,1</w:t>
      </w:r>
      <w:r w:rsidRPr="00E16C03">
        <w:rPr>
          <w:rFonts w:cs="Calibri"/>
          <w:sz w:val="24"/>
          <w:szCs w:val="24"/>
          <w:lang w:val="ro-RO"/>
        </w:rPr>
        <w:t>% din valoarea producției agricole a</w:t>
      </w:r>
      <w:r>
        <w:rPr>
          <w:rFonts w:cs="Calibri"/>
          <w:sz w:val="24"/>
          <w:szCs w:val="24"/>
          <w:lang w:val="ro-RO"/>
        </w:rPr>
        <w:t xml:space="preserve"> României, 11</w:t>
      </w:r>
      <w:r w:rsidRPr="00E16C03">
        <w:rPr>
          <w:rFonts w:cs="Calibri"/>
          <w:sz w:val="24"/>
          <w:szCs w:val="24"/>
          <w:lang w:val="ro-RO"/>
        </w:rPr>
        <w:t xml:space="preserve">% din </w:t>
      </w:r>
      <w:r>
        <w:rPr>
          <w:rFonts w:cs="Calibri"/>
          <w:sz w:val="24"/>
          <w:szCs w:val="24"/>
          <w:lang w:val="ro-RO"/>
        </w:rPr>
        <w:t>valoarea producției vegetale, 14,5</w:t>
      </w:r>
      <w:r w:rsidRPr="00E16C03">
        <w:rPr>
          <w:rFonts w:cs="Calibri"/>
          <w:sz w:val="24"/>
          <w:szCs w:val="24"/>
          <w:lang w:val="ro-RO"/>
        </w:rPr>
        <w:t>% din valoarea producției animale ș</w:t>
      </w:r>
      <w:r>
        <w:rPr>
          <w:rFonts w:cs="Calibri"/>
          <w:sz w:val="24"/>
          <w:szCs w:val="24"/>
          <w:lang w:val="ro-RO"/>
        </w:rPr>
        <w:t xml:space="preserve">i 7,3% din serviciile agricole cu mult peste cât reprezenta în 2013 (2,9%). </w:t>
      </w:r>
      <w:r w:rsidRPr="00C77C6C">
        <w:rPr>
          <w:rFonts w:cs="Calibri"/>
          <w:sz w:val="24"/>
          <w:szCs w:val="24"/>
          <w:lang w:val="ro-RO"/>
        </w:rPr>
        <w:t>Mureșul este județul cu cea mai mare pondere din valoarea pr</w:t>
      </w:r>
      <w:r>
        <w:rPr>
          <w:rFonts w:cs="Calibri"/>
          <w:sz w:val="24"/>
          <w:szCs w:val="24"/>
          <w:lang w:val="ro-RO"/>
        </w:rPr>
        <w:t>oducției agricole regionale (24,2</w:t>
      </w:r>
      <w:r w:rsidRPr="00C77C6C">
        <w:rPr>
          <w:rFonts w:cs="Calibri"/>
          <w:sz w:val="24"/>
          <w:szCs w:val="24"/>
          <w:lang w:val="ro-RO"/>
        </w:rPr>
        <w:t>%)</w:t>
      </w:r>
      <w:r>
        <w:rPr>
          <w:rFonts w:cs="Calibri"/>
          <w:sz w:val="24"/>
          <w:szCs w:val="24"/>
          <w:lang w:val="ro-RO"/>
        </w:rPr>
        <w:t xml:space="preserve"> urmat de judeţul Alba (aproape 20%)</w:t>
      </w:r>
      <w:r w:rsidRPr="00C77C6C">
        <w:rPr>
          <w:rFonts w:cs="Calibri"/>
          <w:sz w:val="24"/>
          <w:szCs w:val="24"/>
          <w:lang w:val="ro-RO"/>
        </w:rPr>
        <w:t>, iar</w:t>
      </w:r>
      <w:r>
        <w:rPr>
          <w:rFonts w:cs="Calibri"/>
          <w:sz w:val="24"/>
          <w:szCs w:val="24"/>
          <w:lang w:val="ro-RO"/>
        </w:rPr>
        <w:t xml:space="preserve"> Covasna şi Sibiu judeţele cu cea mai redusă pondere (12,6</w:t>
      </w:r>
      <w:r w:rsidRPr="00E16C03">
        <w:rPr>
          <w:rFonts w:cs="Calibri"/>
          <w:sz w:val="24"/>
          <w:szCs w:val="24"/>
          <w:lang w:val="ro-RO"/>
        </w:rPr>
        <w:t>%</w:t>
      </w:r>
      <w:r>
        <w:rPr>
          <w:rFonts w:cs="Calibri"/>
          <w:sz w:val="24"/>
          <w:szCs w:val="24"/>
          <w:lang w:val="ro-RO"/>
        </w:rPr>
        <w:t xml:space="preserve"> respectiv 11,7%</w:t>
      </w:r>
      <w:r w:rsidRPr="00E16C03">
        <w:rPr>
          <w:rFonts w:cs="Calibri"/>
          <w:sz w:val="24"/>
          <w:szCs w:val="24"/>
          <w:lang w:val="ro-RO"/>
        </w:rPr>
        <w:t>).</w:t>
      </w:r>
    </w:p>
    <w:p w:rsidR="00064502" w:rsidRDefault="00064502" w:rsidP="00064502">
      <w:pPr>
        <w:spacing w:after="0"/>
        <w:jc w:val="both"/>
        <w:rPr>
          <w:rFonts w:cs="Calibri"/>
          <w:sz w:val="24"/>
          <w:szCs w:val="24"/>
          <w:lang w:val="ro-RO"/>
        </w:rPr>
      </w:pPr>
      <w:r>
        <w:rPr>
          <w:b/>
          <w:sz w:val="24"/>
          <w:szCs w:val="24"/>
          <w:lang w:val="ro-RO"/>
        </w:rPr>
        <w:t xml:space="preserve">Grafic </w:t>
      </w:r>
      <w:r w:rsidRPr="006A49F5">
        <w:rPr>
          <w:b/>
          <w:sz w:val="24"/>
          <w:szCs w:val="24"/>
          <w:lang w:val="ro-RO"/>
        </w:rPr>
        <w:t>1</w:t>
      </w:r>
      <w:r>
        <w:rPr>
          <w:b/>
          <w:sz w:val="24"/>
          <w:szCs w:val="24"/>
          <w:lang w:val="ro-RO"/>
        </w:rPr>
        <w:t>.</w:t>
      </w:r>
      <w:r w:rsidRPr="006A49F5">
        <w:rPr>
          <w:b/>
          <w:sz w:val="24"/>
          <w:szCs w:val="24"/>
          <w:lang w:val="ro-RO"/>
        </w:rPr>
        <w:t xml:space="preserve"> </w:t>
      </w:r>
      <w:r w:rsidRPr="006A12AA">
        <w:rPr>
          <w:b/>
          <w:sz w:val="24"/>
          <w:szCs w:val="24"/>
          <w:lang w:val="ro-RO"/>
        </w:rPr>
        <w:t>Ponderea județelor în valoarea producției agricole regionale realizate în anul 201</w:t>
      </w:r>
      <w:r>
        <w:rPr>
          <w:b/>
          <w:sz w:val="24"/>
          <w:szCs w:val="24"/>
          <w:lang w:val="ro-RO"/>
        </w:rPr>
        <w:t>4</w:t>
      </w:r>
    </w:p>
    <w:p w:rsidR="00064502" w:rsidRDefault="00064502" w:rsidP="00064502">
      <w:pPr>
        <w:spacing w:after="0"/>
        <w:rPr>
          <w:rFonts w:cs="Calibri"/>
          <w:b/>
          <w:sz w:val="24"/>
          <w:szCs w:val="24"/>
          <w:lang w:val="ro-RO"/>
        </w:rPr>
      </w:pPr>
      <w:r>
        <w:rPr>
          <w:rFonts w:cs="Calibri"/>
          <w:b/>
          <w:sz w:val="24"/>
          <w:szCs w:val="24"/>
          <w:lang w:val="ro-RO"/>
        </w:rPr>
        <w:t xml:space="preserve">       </w:t>
      </w:r>
      <w:r w:rsidRPr="00195FC4">
        <w:rPr>
          <w:rFonts w:cs="Calibri"/>
          <w:b/>
          <w:noProof/>
          <w:sz w:val="24"/>
          <w:szCs w:val="24"/>
        </w:rPr>
        <w:drawing>
          <wp:inline distT="0" distB="0" distL="0" distR="0">
            <wp:extent cx="4162425" cy="2428875"/>
            <wp:effectExtent l="19050" t="0" r="9525" b="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4502" w:rsidRPr="000400AA" w:rsidRDefault="00064502" w:rsidP="00064502">
      <w:pPr>
        <w:rPr>
          <w:rFonts w:cs="Calibri"/>
          <w:sz w:val="24"/>
          <w:szCs w:val="24"/>
          <w:lang w:val="ro-RO"/>
        </w:rPr>
      </w:pPr>
      <w:r w:rsidRPr="000400AA">
        <w:rPr>
          <w:rFonts w:cs="Calibri"/>
          <w:sz w:val="24"/>
          <w:szCs w:val="24"/>
          <w:lang w:val="ro-RO"/>
        </w:rPr>
        <w:t xml:space="preserve">        </w:t>
      </w:r>
      <w:r w:rsidRPr="000400AA">
        <w:rPr>
          <w:b/>
          <w:sz w:val="24"/>
          <w:szCs w:val="24"/>
          <w:lang w:val="ro-RO"/>
        </w:rPr>
        <w:t xml:space="preserve">Sursa: </w:t>
      </w:r>
      <w:r w:rsidRPr="000400AA">
        <w:rPr>
          <w:sz w:val="24"/>
          <w:szCs w:val="24"/>
          <w:lang w:val="ro-RO"/>
        </w:rPr>
        <w:t>Institutul Național de Statistică</w:t>
      </w:r>
    </w:p>
    <w:p w:rsidR="00064502" w:rsidRPr="007528B2" w:rsidRDefault="00064502" w:rsidP="00064502">
      <w:pPr>
        <w:spacing w:after="0"/>
        <w:rPr>
          <w:rFonts w:cs="Calibri"/>
          <w:sz w:val="24"/>
          <w:szCs w:val="24"/>
          <w:lang w:val="ro-RO"/>
        </w:rPr>
      </w:pPr>
      <w:r w:rsidRPr="007528B2">
        <w:rPr>
          <w:rFonts w:cs="Calibri"/>
          <w:b/>
          <w:sz w:val="24"/>
          <w:szCs w:val="24"/>
          <w:lang w:val="ro-RO"/>
        </w:rPr>
        <w:t>Regiunea Centru ocupa poziţii de top în anul 201</w:t>
      </w:r>
      <w:r>
        <w:rPr>
          <w:rFonts w:cs="Calibri"/>
          <w:b/>
          <w:sz w:val="24"/>
          <w:szCs w:val="24"/>
          <w:lang w:val="ro-RO"/>
        </w:rPr>
        <w:t>4</w:t>
      </w:r>
      <w:r w:rsidRPr="007528B2">
        <w:rPr>
          <w:rFonts w:cs="Calibri"/>
          <w:b/>
          <w:sz w:val="24"/>
          <w:szCs w:val="24"/>
          <w:lang w:val="ro-RO"/>
        </w:rPr>
        <w:t xml:space="preserve"> următoarele subdomenii ale agriculturii:</w:t>
      </w:r>
    </w:p>
    <w:p w:rsidR="00064502" w:rsidRPr="007528B2" w:rsidRDefault="00064502" w:rsidP="00064502">
      <w:pPr>
        <w:pStyle w:val="Listparagraf"/>
        <w:numPr>
          <w:ilvl w:val="0"/>
          <w:numId w:val="22"/>
        </w:numPr>
        <w:jc w:val="both"/>
        <w:rPr>
          <w:rFonts w:cs="Calibri"/>
          <w:sz w:val="24"/>
          <w:szCs w:val="24"/>
        </w:rPr>
      </w:pPr>
      <w:r w:rsidRPr="007528B2">
        <w:rPr>
          <w:rFonts w:cs="Calibri"/>
          <w:b/>
          <w:sz w:val="24"/>
          <w:szCs w:val="24"/>
        </w:rPr>
        <w:lastRenderedPageBreak/>
        <w:t>Locul 1 la nivel naţional</w:t>
      </w:r>
      <w:r w:rsidRPr="007528B2">
        <w:rPr>
          <w:rFonts w:cs="Calibri"/>
          <w:sz w:val="24"/>
          <w:szCs w:val="24"/>
        </w:rPr>
        <w:t xml:space="preserve">: efectivele de ovine, cultivarea sfeclei de zahăr, cartofului,  hameiului, furaje verzi şi a cânepei şi inului pentru fibre textile </w:t>
      </w:r>
    </w:p>
    <w:p w:rsidR="00064502" w:rsidRPr="007528B2" w:rsidRDefault="00064502" w:rsidP="00064502">
      <w:pPr>
        <w:pStyle w:val="Listparagraf"/>
        <w:numPr>
          <w:ilvl w:val="0"/>
          <w:numId w:val="22"/>
        </w:numPr>
        <w:jc w:val="both"/>
        <w:rPr>
          <w:rFonts w:cs="Calibri"/>
          <w:sz w:val="24"/>
          <w:szCs w:val="24"/>
        </w:rPr>
      </w:pPr>
      <w:r w:rsidRPr="007528B2">
        <w:rPr>
          <w:rFonts w:cs="Calibri"/>
          <w:b/>
          <w:sz w:val="24"/>
          <w:szCs w:val="24"/>
        </w:rPr>
        <w:t>Locul 2 la nivel naţional</w:t>
      </w:r>
      <w:r w:rsidRPr="007528B2">
        <w:rPr>
          <w:rFonts w:cs="Calibri"/>
          <w:sz w:val="24"/>
          <w:szCs w:val="24"/>
        </w:rPr>
        <w:t>: cultivarea tutunului şi a lucernei</w:t>
      </w:r>
    </w:p>
    <w:p w:rsidR="00064502" w:rsidRPr="007528B2" w:rsidRDefault="00064502" w:rsidP="00064502">
      <w:pPr>
        <w:pStyle w:val="Listparagraf"/>
        <w:numPr>
          <w:ilvl w:val="0"/>
          <w:numId w:val="22"/>
        </w:numPr>
        <w:jc w:val="both"/>
        <w:rPr>
          <w:rFonts w:cs="Calibri"/>
          <w:sz w:val="24"/>
          <w:szCs w:val="24"/>
        </w:rPr>
      </w:pPr>
      <w:r w:rsidRPr="007528B2">
        <w:rPr>
          <w:rFonts w:cs="Calibri"/>
          <w:b/>
          <w:sz w:val="24"/>
          <w:szCs w:val="24"/>
        </w:rPr>
        <w:t>Locul 3 la nivel naţional</w:t>
      </w:r>
      <w:r>
        <w:rPr>
          <w:rFonts w:cs="Calibri"/>
          <w:sz w:val="24"/>
          <w:szCs w:val="24"/>
        </w:rPr>
        <w:t xml:space="preserve">: efectivele de bovine </w:t>
      </w:r>
      <w:r w:rsidRPr="007528B2">
        <w:rPr>
          <w:rFonts w:cs="Calibri"/>
          <w:sz w:val="24"/>
          <w:szCs w:val="24"/>
        </w:rPr>
        <w:t xml:space="preserve">şi iepuri şi </w:t>
      </w:r>
      <w:r>
        <w:rPr>
          <w:rFonts w:cs="Calibri"/>
          <w:sz w:val="24"/>
          <w:szCs w:val="24"/>
        </w:rPr>
        <w:t xml:space="preserve">la </w:t>
      </w:r>
      <w:r w:rsidRPr="007528B2">
        <w:rPr>
          <w:rFonts w:cs="Calibri"/>
          <w:sz w:val="24"/>
          <w:szCs w:val="24"/>
        </w:rPr>
        <w:t>cultivarea secarei</w:t>
      </w:r>
    </w:p>
    <w:p w:rsidR="00064502" w:rsidRDefault="00064502" w:rsidP="00064502">
      <w:pPr>
        <w:jc w:val="both"/>
        <w:rPr>
          <w:rFonts w:cs="Calibri"/>
          <w:sz w:val="24"/>
          <w:szCs w:val="24"/>
          <w:lang w:val="ro-RO"/>
        </w:rPr>
      </w:pPr>
      <w:r>
        <w:rPr>
          <w:rFonts w:cs="Calibri"/>
          <w:sz w:val="24"/>
          <w:szCs w:val="24"/>
          <w:lang w:val="ro-RO"/>
        </w:rPr>
        <w:t>Agricultura</w:t>
      </w:r>
      <w:r w:rsidRPr="00D472AD">
        <w:rPr>
          <w:rFonts w:cs="Calibri"/>
          <w:sz w:val="24"/>
          <w:szCs w:val="24"/>
          <w:lang w:val="ro-RO"/>
        </w:rPr>
        <w:t xml:space="preserve"> este</w:t>
      </w:r>
      <w:r>
        <w:rPr>
          <w:rFonts w:cs="Calibri"/>
          <w:sz w:val="24"/>
          <w:szCs w:val="24"/>
          <w:lang w:val="ro-RO"/>
        </w:rPr>
        <w:t xml:space="preserve"> un domeniu de </w:t>
      </w:r>
      <w:r w:rsidRPr="00D472AD">
        <w:rPr>
          <w:rFonts w:cs="Calibri"/>
          <w:sz w:val="24"/>
          <w:szCs w:val="24"/>
          <w:lang w:val="ro-RO"/>
        </w:rPr>
        <w:t>interes al fondurilor de investiţii străine pentru cumpărarea de terenuri şi ferme, dar şi pentru cultivarea şi operarea acestora. Terenul din România prezintă avantaje majore pentru investitori, datorită faptului că există suprafeţe foarte mari de teren care pot fi încadrate în zona de culturi bio, fapt ce</w:t>
      </w:r>
      <w:r>
        <w:rPr>
          <w:rFonts w:cs="Calibri"/>
          <w:sz w:val="24"/>
          <w:szCs w:val="24"/>
          <w:lang w:val="ro-RO"/>
        </w:rPr>
        <w:t xml:space="preserve"> ridică preţul produsului final şi un alt avantaj îl constituie preţul terenurilor agricole care este destul de scăzut comparativ cu celelalte ţări europene.</w:t>
      </w:r>
      <w:r w:rsidRPr="00D472AD">
        <w:rPr>
          <w:rFonts w:cs="Calibri"/>
          <w:sz w:val="24"/>
          <w:szCs w:val="24"/>
          <w:lang w:val="ro-RO"/>
        </w:rPr>
        <w:t xml:space="preserve"> </w:t>
      </w:r>
    </w:p>
    <w:p w:rsidR="00064502" w:rsidRPr="00373496" w:rsidRDefault="00064502" w:rsidP="00064502">
      <w:pPr>
        <w:jc w:val="both"/>
        <w:rPr>
          <w:rFonts w:cs="Calibri"/>
          <w:b/>
          <w:sz w:val="28"/>
          <w:szCs w:val="28"/>
          <w:lang w:val="ro-RO"/>
        </w:rPr>
      </w:pPr>
      <w:r w:rsidRPr="00373496">
        <w:rPr>
          <w:rFonts w:cs="Calibri"/>
          <w:b/>
          <w:sz w:val="28"/>
          <w:szCs w:val="28"/>
          <w:lang w:val="ro-RO"/>
        </w:rPr>
        <w:t>Utilizarea fondurilor europene pentru dezvoltarea sectorului agroalimentar</w:t>
      </w:r>
    </w:p>
    <w:p w:rsidR="00064502" w:rsidRDefault="00064502" w:rsidP="00064502">
      <w:pPr>
        <w:jc w:val="both"/>
        <w:rPr>
          <w:sz w:val="24"/>
          <w:szCs w:val="24"/>
          <w:lang w:val="ro-RO"/>
        </w:rPr>
      </w:pPr>
      <w:r w:rsidRPr="005B2547">
        <w:rPr>
          <w:sz w:val="24"/>
          <w:szCs w:val="24"/>
          <w:lang w:val="ro-RO"/>
        </w:rPr>
        <w:t>Sprijinul fi</w:t>
      </w:r>
      <w:r>
        <w:rPr>
          <w:sz w:val="24"/>
          <w:szCs w:val="24"/>
          <w:lang w:val="ro-RO"/>
        </w:rPr>
        <w:t>nanciar acordat firmelor din do</w:t>
      </w:r>
      <w:r w:rsidRPr="005B2547">
        <w:rPr>
          <w:sz w:val="24"/>
          <w:szCs w:val="24"/>
          <w:lang w:val="ro-RO"/>
        </w:rPr>
        <w:t>m</w:t>
      </w:r>
      <w:r>
        <w:rPr>
          <w:sz w:val="24"/>
          <w:szCs w:val="24"/>
          <w:lang w:val="ro-RO"/>
        </w:rPr>
        <w:t>e</w:t>
      </w:r>
      <w:r w:rsidRPr="005B2547">
        <w:rPr>
          <w:sz w:val="24"/>
          <w:szCs w:val="24"/>
          <w:lang w:val="ro-RO"/>
        </w:rPr>
        <w:t>niu</w:t>
      </w:r>
      <w:r>
        <w:rPr>
          <w:sz w:val="24"/>
          <w:szCs w:val="24"/>
          <w:lang w:val="ro-RO"/>
        </w:rPr>
        <w:t>l agricol</w:t>
      </w:r>
      <w:r w:rsidRPr="005B2547">
        <w:rPr>
          <w:sz w:val="24"/>
          <w:szCs w:val="24"/>
          <w:lang w:val="ro-RO"/>
        </w:rPr>
        <w:t xml:space="preserve"> </w:t>
      </w:r>
      <w:r>
        <w:rPr>
          <w:sz w:val="24"/>
          <w:szCs w:val="24"/>
          <w:lang w:val="ro-RO"/>
        </w:rPr>
        <w:t>a fost</w:t>
      </w:r>
      <w:r w:rsidRPr="005B2547">
        <w:rPr>
          <w:sz w:val="24"/>
          <w:szCs w:val="24"/>
          <w:lang w:val="ro-RO"/>
        </w:rPr>
        <w:t xml:space="preserve"> cel mai consi</w:t>
      </w:r>
      <w:r>
        <w:rPr>
          <w:sz w:val="24"/>
          <w:szCs w:val="24"/>
          <w:lang w:val="ro-RO"/>
        </w:rPr>
        <w:t>s</w:t>
      </w:r>
      <w:r w:rsidRPr="005B2547">
        <w:rPr>
          <w:sz w:val="24"/>
          <w:szCs w:val="24"/>
          <w:lang w:val="ro-RO"/>
        </w:rPr>
        <w:t xml:space="preserve">tent, </w:t>
      </w:r>
      <w:r w:rsidRPr="00F2556D">
        <w:rPr>
          <w:sz w:val="24"/>
          <w:szCs w:val="24"/>
          <w:lang w:val="ro-RO"/>
        </w:rPr>
        <w:t>Program</w:t>
      </w:r>
      <w:r>
        <w:rPr>
          <w:sz w:val="24"/>
          <w:szCs w:val="24"/>
          <w:lang w:val="ro-RO"/>
        </w:rPr>
        <w:t>ul Naţional de Dezvoltare Rurală</w:t>
      </w:r>
      <w:r w:rsidRPr="00F2556D">
        <w:rPr>
          <w:sz w:val="24"/>
          <w:szCs w:val="24"/>
          <w:lang w:val="ro-RO"/>
        </w:rPr>
        <w:t xml:space="preserve"> </w:t>
      </w:r>
      <w:r>
        <w:rPr>
          <w:sz w:val="24"/>
          <w:szCs w:val="24"/>
          <w:lang w:val="ro-RO"/>
        </w:rPr>
        <w:t>din perioada de programare 2007 – 2013 (PNDR 2007-2013)</w:t>
      </w:r>
      <w:r w:rsidRPr="005B2547">
        <w:rPr>
          <w:sz w:val="24"/>
          <w:szCs w:val="24"/>
          <w:lang w:val="ro-RO"/>
        </w:rPr>
        <w:t xml:space="preserve"> fiind programul</w:t>
      </w:r>
      <w:r>
        <w:rPr>
          <w:sz w:val="24"/>
          <w:szCs w:val="24"/>
          <w:lang w:val="ro-RO"/>
        </w:rPr>
        <w:t xml:space="preserve"> cu cea mai mare valoare alocată. Schemele de finanţare pe procesare avantajează</w:t>
      </w:r>
      <w:r w:rsidRPr="005B2547">
        <w:rPr>
          <w:sz w:val="24"/>
          <w:szCs w:val="24"/>
          <w:lang w:val="ro-RO"/>
        </w:rPr>
        <w:t xml:space="preserve"> IMM</w:t>
      </w:r>
      <w:r>
        <w:rPr>
          <w:sz w:val="24"/>
          <w:szCs w:val="24"/>
          <w:lang w:val="ro-RO"/>
        </w:rPr>
        <w:t>-urile şi la punctaj ş</w:t>
      </w:r>
      <w:r w:rsidRPr="005B2547">
        <w:rPr>
          <w:sz w:val="24"/>
          <w:szCs w:val="24"/>
          <w:lang w:val="ro-RO"/>
        </w:rPr>
        <w:t xml:space="preserve">i la intensitatea ajutorului de stat. Fermele mici </w:t>
      </w:r>
      <w:r>
        <w:rPr>
          <w:sz w:val="24"/>
          <w:szCs w:val="24"/>
          <w:lang w:val="ro-RO"/>
        </w:rPr>
        <w:t>ş</w:t>
      </w:r>
      <w:r w:rsidRPr="005B2547">
        <w:rPr>
          <w:sz w:val="24"/>
          <w:szCs w:val="24"/>
          <w:lang w:val="ro-RO"/>
        </w:rPr>
        <w:t>i medii sun</w:t>
      </w:r>
      <w:r>
        <w:rPr>
          <w:sz w:val="24"/>
          <w:szCs w:val="24"/>
          <w:lang w:val="ro-RO"/>
        </w:rPr>
        <w:t>t privilegiate la finanţ</w:t>
      </w:r>
      <w:r w:rsidRPr="005B2547">
        <w:rPr>
          <w:sz w:val="24"/>
          <w:szCs w:val="24"/>
          <w:lang w:val="ro-RO"/>
        </w:rPr>
        <w:t>ar</w:t>
      </w:r>
      <w:r>
        <w:rPr>
          <w:sz w:val="24"/>
          <w:szCs w:val="24"/>
          <w:lang w:val="ro-RO"/>
        </w:rPr>
        <w:t>e, micii fermieri având la dispoziţie fonduri generoase pentru investiţ</w:t>
      </w:r>
      <w:r w:rsidRPr="005B2547">
        <w:rPr>
          <w:sz w:val="24"/>
          <w:szCs w:val="24"/>
          <w:lang w:val="ro-RO"/>
        </w:rPr>
        <w:t>ii iar promovarea produselor locale este eligibil</w:t>
      </w:r>
      <w:r>
        <w:rPr>
          <w:sz w:val="24"/>
          <w:szCs w:val="24"/>
          <w:lang w:val="ro-RO"/>
        </w:rPr>
        <w:t>ă î</w:t>
      </w:r>
      <w:r w:rsidRPr="005B2547">
        <w:rPr>
          <w:sz w:val="24"/>
          <w:szCs w:val="24"/>
          <w:lang w:val="ro-RO"/>
        </w:rPr>
        <w:t>n aceste fonduri.</w:t>
      </w:r>
    </w:p>
    <w:p w:rsidR="00064502" w:rsidRDefault="00064502" w:rsidP="00064502">
      <w:pPr>
        <w:spacing w:after="0"/>
        <w:jc w:val="both"/>
        <w:rPr>
          <w:b/>
          <w:sz w:val="24"/>
          <w:szCs w:val="24"/>
          <w:lang w:val="ro-RO"/>
        </w:rPr>
      </w:pPr>
      <w:r w:rsidRPr="00992D43">
        <w:rPr>
          <w:b/>
          <w:sz w:val="24"/>
          <w:szCs w:val="24"/>
          <w:lang w:val="ro-RO"/>
        </w:rPr>
        <w:t>Tabel</w:t>
      </w:r>
      <w:r>
        <w:rPr>
          <w:b/>
          <w:sz w:val="24"/>
          <w:szCs w:val="24"/>
          <w:lang w:val="ro-RO"/>
        </w:rPr>
        <w:t xml:space="preserve"> 6 </w:t>
      </w:r>
      <w:r w:rsidRPr="00992D43">
        <w:rPr>
          <w:b/>
          <w:sz w:val="24"/>
          <w:szCs w:val="24"/>
          <w:lang w:val="ro-RO"/>
        </w:rPr>
        <w:t xml:space="preserve"> </w:t>
      </w:r>
      <w:r w:rsidRPr="00E47620">
        <w:rPr>
          <w:b/>
          <w:sz w:val="24"/>
          <w:szCs w:val="24"/>
          <w:lang w:val="ro-RO"/>
        </w:rPr>
        <w:t>Beneficiari</w:t>
      </w:r>
      <w:r>
        <w:rPr>
          <w:b/>
          <w:sz w:val="24"/>
          <w:szCs w:val="24"/>
          <w:lang w:val="ro-RO"/>
        </w:rPr>
        <w:t xml:space="preserve">i </w:t>
      </w:r>
      <w:r w:rsidRPr="006F0B7C">
        <w:rPr>
          <w:b/>
          <w:sz w:val="24"/>
          <w:szCs w:val="24"/>
          <w:lang w:val="ro-RO"/>
        </w:rPr>
        <w:t>Programului Naţional de Dezvoltare Rurală 2007 – 2013</w:t>
      </w:r>
    </w:p>
    <w:tbl>
      <w:tblPr>
        <w:tblStyle w:val="Textnotdefinal"/>
        <w:tblW w:w="3798" w:type="dxa"/>
        <w:tblLook w:val="04A0"/>
      </w:tblPr>
      <w:tblGrid>
        <w:gridCol w:w="2040"/>
        <w:gridCol w:w="1758"/>
      </w:tblGrid>
      <w:tr w:rsidR="00064502" w:rsidRPr="006F0B7C" w:rsidTr="00064502">
        <w:trPr>
          <w:trHeight w:val="600"/>
        </w:trPr>
        <w:tc>
          <w:tcPr>
            <w:tcW w:w="2040" w:type="dxa"/>
            <w:hideMark/>
          </w:tcPr>
          <w:p w:rsidR="00064502" w:rsidRPr="006F0B7C" w:rsidRDefault="00064502" w:rsidP="00064502">
            <w:pPr>
              <w:jc w:val="center"/>
              <w:rPr>
                <w:rFonts w:ascii="Calibri" w:eastAsia="Times New Roman" w:hAnsi="Calibri" w:cs="Times New Roman"/>
                <w:color w:val="000000"/>
                <w:lang w:val="ro-RO"/>
              </w:rPr>
            </w:pPr>
            <w:r w:rsidRPr="006F0B7C">
              <w:rPr>
                <w:rFonts w:ascii="Calibri" w:eastAsia="Times New Roman" w:hAnsi="Calibri" w:cs="Times New Roman"/>
                <w:color w:val="000000"/>
                <w:lang w:val="ro-RO"/>
              </w:rPr>
              <w:t>Regiunea</w:t>
            </w:r>
          </w:p>
        </w:tc>
        <w:tc>
          <w:tcPr>
            <w:tcW w:w="1758" w:type="dxa"/>
            <w:hideMark/>
          </w:tcPr>
          <w:p w:rsidR="00064502" w:rsidRPr="006F0B7C" w:rsidRDefault="00064502" w:rsidP="00064502">
            <w:pPr>
              <w:jc w:val="center"/>
              <w:rPr>
                <w:rFonts w:ascii="Calibri" w:eastAsia="Times New Roman" w:hAnsi="Calibri" w:cs="Times New Roman"/>
                <w:color w:val="000000"/>
                <w:lang w:val="ro-RO"/>
              </w:rPr>
            </w:pPr>
            <w:r w:rsidRPr="006F0B7C">
              <w:rPr>
                <w:rFonts w:ascii="Calibri" w:eastAsia="Times New Roman" w:hAnsi="Calibri" w:cs="Times New Roman"/>
                <w:color w:val="000000"/>
                <w:lang w:val="ro-RO"/>
              </w:rPr>
              <w:t>Total Beneficiari</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Nord</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 xml:space="preserve">Est </w:t>
            </w:r>
          </w:p>
        </w:tc>
        <w:tc>
          <w:tcPr>
            <w:tcW w:w="1758"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11815</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Sud</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 xml:space="preserve">Est </w:t>
            </w:r>
          </w:p>
        </w:tc>
        <w:tc>
          <w:tcPr>
            <w:tcW w:w="1758"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9340</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Sud</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Muntenia</w:t>
            </w:r>
          </w:p>
        </w:tc>
        <w:tc>
          <w:tcPr>
            <w:tcW w:w="1758" w:type="dxa"/>
            <w:noWrap/>
            <w:hideMark/>
          </w:tcPr>
          <w:p w:rsidR="00064502" w:rsidRPr="006F0B7C" w:rsidRDefault="00064502" w:rsidP="00064502">
            <w:pPr>
              <w:rPr>
                <w:rFonts w:ascii="Calibri" w:eastAsia="Times New Roman" w:hAnsi="Calibri" w:cs="Times New Roman"/>
                <w:color w:val="000000"/>
                <w:lang w:val="ro-RO"/>
              </w:rPr>
            </w:pPr>
            <w:r>
              <w:rPr>
                <w:rFonts w:ascii="Calibri" w:eastAsia="Times New Roman" w:hAnsi="Calibri" w:cs="Times New Roman"/>
                <w:noProof/>
                <w:color w:val="000000"/>
              </w:rPr>
              <w:pict>
                <v:shapetype id="_x0000_t32" coordsize="21600,21600" o:spt="32" o:oned="t" path="m,l21600,21600e" filled="f">
                  <v:path arrowok="t" fillok="f" o:connecttype="none"/>
                  <o:lock v:ext="edit" shapetype="t"/>
                </v:shapetype>
                <v:shape id="_x0000_s1127" type="#_x0000_t32" style="position:absolute;margin-left:81.4pt;margin-top:18.4pt;width:87.75pt;height:80.25pt;flip:y;z-index:251717632;mso-position-horizontal-relative:text;mso-position-vertical-relative:text" o:connectortype="straight" strokecolor="red" strokeweight="2.25pt">
                  <v:stroke endarrow="block"/>
                </v:shape>
              </w:pict>
            </w:r>
            <w:r w:rsidRPr="006F0B7C">
              <w:rPr>
                <w:rFonts w:ascii="Calibri" w:eastAsia="Times New Roman" w:hAnsi="Calibri" w:cs="Times New Roman"/>
                <w:color w:val="000000"/>
                <w:lang w:val="ro-RO"/>
              </w:rPr>
              <w:t>9167</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Sud</w:t>
            </w:r>
            <w:r>
              <w:rPr>
                <w:rFonts w:ascii="Calibri" w:eastAsia="Times New Roman" w:hAnsi="Calibri" w:cs="Times New Roman"/>
                <w:color w:val="000000"/>
                <w:lang w:val="ro-RO"/>
              </w:rPr>
              <w:t xml:space="preserve"> – Vest </w:t>
            </w:r>
            <w:r w:rsidRPr="006F0B7C">
              <w:rPr>
                <w:rFonts w:ascii="Calibri" w:eastAsia="Times New Roman" w:hAnsi="Calibri" w:cs="Times New Roman"/>
                <w:color w:val="000000"/>
                <w:lang w:val="ro-RO"/>
              </w:rPr>
              <w:t>Oltenia</w:t>
            </w:r>
          </w:p>
        </w:tc>
        <w:tc>
          <w:tcPr>
            <w:tcW w:w="1758"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13233</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 xml:space="preserve">Vest </w:t>
            </w:r>
          </w:p>
        </w:tc>
        <w:tc>
          <w:tcPr>
            <w:tcW w:w="1758"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7555</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Nord</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Vest</w:t>
            </w:r>
          </w:p>
        </w:tc>
        <w:tc>
          <w:tcPr>
            <w:tcW w:w="1758"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19208</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FF0000"/>
                <w:sz w:val="24"/>
                <w:szCs w:val="24"/>
                <w:lang w:val="ro-RO"/>
              </w:rPr>
            </w:pPr>
            <w:r w:rsidRPr="006F0B7C">
              <w:rPr>
                <w:rFonts w:ascii="Calibri" w:eastAsia="Times New Roman" w:hAnsi="Calibri" w:cs="Times New Roman"/>
                <w:color w:val="FF0000"/>
                <w:sz w:val="24"/>
                <w:szCs w:val="24"/>
                <w:lang w:val="ro-RO"/>
              </w:rPr>
              <w:t>Centru</w:t>
            </w:r>
          </w:p>
        </w:tc>
        <w:tc>
          <w:tcPr>
            <w:tcW w:w="1758" w:type="dxa"/>
            <w:noWrap/>
            <w:hideMark/>
          </w:tcPr>
          <w:p w:rsidR="00064502" w:rsidRPr="006F0B7C" w:rsidRDefault="00064502" w:rsidP="00064502">
            <w:pPr>
              <w:rPr>
                <w:rFonts w:ascii="Calibri" w:eastAsia="Times New Roman" w:hAnsi="Calibri" w:cs="Times New Roman"/>
                <w:b/>
                <w:color w:val="FF0000"/>
                <w:sz w:val="24"/>
                <w:szCs w:val="24"/>
                <w:lang w:val="ro-RO"/>
              </w:rPr>
            </w:pPr>
            <w:r w:rsidRPr="006F0B7C">
              <w:rPr>
                <w:rFonts w:ascii="Calibri" w:eastAsia="Times New Roman" w:hAnsi="Calibri" w:cs="Times New Roman"/>
                <w:b/>
                <w:color w:val="FF0000"/>
                <w:sz w:val="24"/>
                <w:szCs w:val="24"/>
                <w:lang w:val="ro-RO"/>
              </w:rPr>
              <w:t>9996</w:t>
            </w:r>
          </w:p>
        </w:tc>
      </w:tr>
      <w:tr w:rsidR="00064502" w:rsidRPr="006F0B7C" w:rsidTr="00064502">
        <w:trPr>
          <w:trHeight w:val="438"/>
        </w:trPr>
        <w:tc>
          <w:tcPr>
            <w:tcW w:w="2040" w:type="dxa"/>
            <w:noWrap/>
            <w:hideMark/>
          </w:tcPr>
          <w:p w:rsidR="00064502" w:rsidRPr="006F0B7C" w:rsidRDefault="00064502" w:rsidP="00064502">
            <w:pPr>
              <w:rPr>
                <w:rFonts w:ascii="Calibri" w:eastAsia="Times New Roman" w:hAnsi="Calibri" w:cs="Times New Roman"/>
                <w:color w:val="000000"/>
                <w:lang w:val="ro-RO"/>
              </w:rPr>
            </w:pPr>
            <w:r>
              <w:rPr>
                <w:rFonts w:ascii="Calibri" w:eastAsia="Times New Roman" w:hAnsi="Calibri" w:cs="Times New Roman"/>
                <w:color w:val="000000"/>
                <w:lang w:val="ro-RO"/>
              </w:rPr>
              <w:t>Bucureş</w:t>
            </w:r>
            <w:r w:rsidRPr="006F0B7C">
              <w:rPr>
                <w:rFonts w:ascii="Calibri" w:eastAsia="Times New Roman" w:hAnsi="Calibri" w:cs="Times New Roman"/>
                <w:color w:val="000000"/>
                <w:lang w:val="ro-RO"/>
              </w:rPr>
              <w:t>ti</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w:t>
            </w:r>
            <w:r>
              <w:rPr>
                <w:rFonts w:ascii="Calibri" w:eastAsia="Times New Roman" w:hAnsi="Calibri" w:cs="Times New Roman"/>
                <w:color w:val="000000"/>
                <w:lang w:val="ro-RO"/>
              </w:rPr>
              <w:t xml:space="preserve"> </w:t>
            </w:r>
            <w:r w:rsidRPr="006F0B7C">
              <w:rPr>
                <w:rFonts w:ascii="Calibri" w:eastAsia="Times New Roman" w:hAnsi="Calibri" w:cs="Times New Roman"/>
                <w:color w:val="000000"/>
                <w:lang w:val="ro-RO"/>
              </w:rPr>
              <w:t xml:space="preserve">Ilfov </w:t>
            </w:r>
          </w:p>
        </w:tc>
        <w:tc>
          <w:tcPr>
            <w:tcW w:w="1758"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215</w:t>
            </w:r>
          </w:p>
        </w:tc>
      </w:tr>
    </w:tbl>
    <w:tbl>
      <w:tblPr>
        <w:tblStyle w:val="TextnotdefinalCaracter"/>
        <w:tblpPr w:leftFromText="180" w:rightFromText="180" w:vertAnchor="text" w:horzAnchor="page" w:tblpX="7108" w:tblpY="-3654"/>
        <w:tblW w:w="2843" w:type="dxa"/>
        <w:tblLook w:val="04A0"/>
      </w:tblPr>
      <w:tblGrid>
        <w:gridCol w:w="1003"/>
        <w:gridCol w:w="1840"/>
      </w:tblGrid>
      <w:tr w:rsidR="00064502" w:rsidRPr="006F0B7C" w:rsidTr="00064502">
        <w:trPr>
          <w:trHeight w:val="446"/>
        </w:trPr>
        <w:tc>
          <w:tcPr>
            <w:tcW w:w="1003" w:type="dxa"/>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lastRenderedPageBreak/>
              <w:t>Judeţ</w:t>
            </w:r>
          </w:p>
        </w:tc>
        <w:tc>
          <w:tcPr>
            <w:tcW w:w="1840" w:type="dxa"/>
            <w:hideMark/>
          </w:tcPr>
          <w:p w:rsidR="00064502" w:rsidRPr="006F0B7C" w:rsidRDefault="00064502" w:rsidP="00064502">
            <w:pPr>
              <w:jc w:val="center"/>
              <w:rPr>
                <w:rFonts w:ascii="Calibri" w:eastAsia="Times New Roman" w:hAnsi="Calibri" w:cs="Times New Roman"/>
                <w:color w:val="000000"/>
                <w:lang w:val="ro-RO"/>
              </w:rPr>
            </w:pPr>
            <w:r w:rsidRPr="006F0B7C">
              <w:rPr>
                <w:rFonts w:ascii="Calibri" w:eastAsia="Times New Roman" w:hAnsi="Calibri" w:cs="Times New Roman"/>
                <w:color w:val="000000"/>
                <w:lang w:val="ro-RO"/>
              </w:rPr>
              <w:t>Total Beneficiari</w:t>
            </w:r>
          </w:p>
        </w:tc>
      </w:tr>
      <w:tr w:rsidR="00064502" w:rsidRPr="006F0B7C" w:rsidTr="00064502">
        <w:trPr>
          <w:trHeight w:val="311"/>
        </w:trPr>
        <w:tc>
          <w:tcPr>
            <w:tcW w:w="1003"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Alba</w:t>
            </w:r>
          </w:p>
        </w:tc>
        <w:tc>
          <w:tcPr>
            <w:tcW w:w="1840" w:type="dxa"/>
            <w:noWrap/>
            <w:hideMark/>
          </w:tcPr>
          <w:p w:rsidR="00064502" w:rsidRPr="006F0B7C" w:rsidRDefault="00064502" w:rsidP="00064502">
            <w:pPr>
              <w:jc w:val="right"/>
              <w:rPr>
                <w:rFonts w:ascii="Calibri" w:eastAsia="Times New Roman" w:hAnsi="Calibri" w:cs="Times New Roman"/>
                <w:b/>
                <w:color w:val="000000"/>
                <w:lang w:val="ro-RO"/>
              </w:rPr>
            </w:pPr>
            <w:r w:rsidRPr="006F0B7C">
              <w:rPr>
                <w:rFonts w:ascii="Calibri" w:eastAsia="Times New Roman" w:hAnsi="Calibri" w:cs="Times New Roman"/>
                <w:b/>
                <w:color w:val="000000"/>
                <w:lang w:val="ro-RO"/>
              </w:rPr>
              <w:t>5303</w:t>
            </w:r>
          </w:p>
        </w:tc>
      </w:tr>
      <w:tr w:rsidR="00064502" w:rsidRPr="006F0B7C" w:rsidTr="00064502">
        <w:trPr>
          <w:trHeight w:val="356"/>
        </w:trPr>
        <w:tc>
          <w:tcPr>
            <w:tcW w:w="1003"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 xml:space="preserve">Brașov </w:t>
            </w:r>
          </w:p>
        </w:tc>
        <w:tc>
          <w:tcPr>
            <w:tcW w:w="1840" w:type="dxa"/>
            <w:noWrap/>
            <w:hideMark/>
          </w:tcPr>
          <w:p w:rsidR="00064502" w:rsidRPr="006F0B7C" w:rsidRDefault="00064502" w:rsidP="00064502">
            <w:pPr>
              <w:jc w:val="right"/>
              <w:rPr>
                <w:rFonts w:ascii="Calibri" w:eastAsia="Times New Roman" w:hAnsi="Calibri" w:cs="Times New Roman"/>
                <w:b/>
                <w:color w:val="000000"/>
                <w:lang w:val="ro-RO"/>
              </w:rPr>
            </w:pPr>
            <w:r w:rsidRPr="006F0B7C">
              <w:rPr>
                <w:rFonts w:ascii="Calibri" w:eastAsia="Times New Roman" w:hAnsi="Calibri" w:cs="Times New Roman"/>
                <w:b/>
                <w:color w:val="000000"/>
                <w:lang w:val="ro-RO"/>
              </w:rPr>
              <w:t>784</w:t>
            </w:r>
          </w:p>
        </w:tc>
      </w:tr>
      <w:tr w:rsidR="00064502" w:rsidRPr="006F0B7C" w:rsidTr="00064502">
        <w:trPr>
          <w:trHeight w:val="356"/>
        </w:trPr>
        <w:tc>
          <w:tcPr>
            <w:tcW w:w="1003"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 xml:space="preserve">Covasna </w:t>
            </w:r>
          </w:p>
        </w:tc>
        <w:tc>
          <w:tcPr>
            <w:tcW w:w="1840" w:type="dxa"/>
            <w:noWrap/>
            <w:hideMark/>
          </w:tcPr>
          <w:p w:rsidR="00064502" w:rsidRPr="006F0B7C" w:rsidRDefault="00064502" w:rsidP="00064502">
            <w:pPr>
              <w:jc w:val="right"/>
              <w:rPr>
                <w:rFonts w:ascii="Calibri" w:eastAsia="Times New Roman" w:hAnsi="Calibri" w:cs="Times New Roman"/>
                <w:b/>
                <w:color w:val="000000"/>
                <w:lang w:val="ro-RO"/>
              </w:rPr>
            </w:pPr>
            <w:r w:rsidRPr="006F0B7C">
              <w:rPr>
                <w:rFonts w:ascii="Calibri" w:eastAsia="Times New Roman" w:hAnsi="Calibri" w:cs="Times New Roman"/>
                <w:b/>
                <w:color w:val="000000"/>
                <w:lang w:val="ro-RO"/>
              </w:rPr>
              <w:t>553</w:t>
            </w:r>
          </w:p>
        </w:tc>
      </w:tr>
      <w:tr w:rsidR="00064502" w:rsidRPr="006F0B7C" w:rsidTr="00064502">
        <w:trPr>
          <w:trHeight w:val="365"/>
        </w:trPr>
        <w:tc>
          <w:tcPr>
            <w:tcW w:w="1003"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Harghita</w:t>
            </w:r>
          </w:p>
        </w:tc>
        <w:tc>
          <w:tcPr>
            <w:tcW w:w="1840" w:type="dxa"/>
            <w:noWrap/>
            <w:hideMark/>
          </w:tcPr>
          <w:p w:rsidR="00064502" w:rsidRPr="006F0B7C" w:rsidRDefault="00064502" w:rsidP="00064502">
            <w:pPr>
              <w:jc w:val="right"/>
              <w:rPr>
                <w:rFonts w:ascii="Calibri" w:eastAsia="Times New Roman" w:hAnsi="Calibri" w:cs="Times New Roman"/>
                <w:b/>
                <w:color w:val="000000"/>
                <w:lang w:val="ro-RO"/>
              </w:rPr>
            </w:pPr>
            <w:r w:rsidRPr="006F0B7C">
              <w:rPr>
                <w:rFonts w:ascii="Calibri" w:eastAsia="Times New Roman" w:hAnsi="Calibri" w:cs="Times New Roman"/>
                <w:b/>
                <w:color w:val="000000"/>
                <w:lang w:val="ro-RO"/>
              </w:rPr>
              <w:t>1677</w:t>
            </w:r>
          </w:p>
        </w:tc>
      </w:tr>
      <w:tr w:rsidR="00064502" w:rsidRPr="006F0B7C" w:rsidTr="00064502">
        <w:trPr>
          <w:trHeight w:val="356"/>
        </w:trPr>
        <w:tc>
          <w:tcPr>
            <w:tcW w:w="1003"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Mureș</w:t>
            </w:r>
          </w:p>
        </w:tc>
        <w:tc>
          <w:tcPr>
            <w:tcW w:w="1840" w:type="dxa"/>
            <w:noWrap/>
            <w:hideMark/>
          </w:tcPr>
          <w:p w:rsidR="00064502" w:rsidRPr="006F0B7C" w:rsidRDefault="00064502" w:rsidP="00064502">
            <w:pPr>
              <w:jc w:val="right"/>
              <w:rPr>
                <w:rFonts w:ascii="Calibri" w:eastAsia="Times New Roman" w:hAnsi="Calibri" w:cs="Times New Roman"/>
                <w:b/>
                <w:color w:val="000000"/>
                <w:lang w:val="ro-RO"/>
              </w:rPr>
            </w:pPr>
            <w:r w:rsidRPr="006F0B7C">
              <w:rPr>
                <w:rFonts w:ascii="Calibri" w:eastAsia="Times New Roman" w:hAnsi="Calibri" w:cs="Times New Roman"/>
                <w:b/>
                <w:color w:val="000000"/>
                <w:lang w:val="ro-RO"/>
              </w:rPr>
              <w:t>772</w:t>
            </w:r>
          </w:p>
        </w:tc>
      </w:tr>
      <w:tr w:rsidR="00064502" w:rsidRPr="006F0B7C" w:rsidTr="00064502">
        <w:trPr>
          <w:trHeight w:val="275"/>
        </w:trPr>
        <w:tc>
          <w:tcPr>
            <w:tcW w:w="1003" w:type="dxa"/>
            <w:noWrap/>
            <w:hideMark/>
          </w:tcPr>
          <w:p w:rsidR="00064502" w:rsidRPr="006F0B7C" w:rsidRDefault="00064502" w:rsidP="00064502">
            <w:pPr>
              <w:rPr>
                <w:rFonts w:ascii="Calibri" w:eastAsia="Times New Roman" w:hAnsi="Calibri" w:cs="Times New Roman"/>
                <w:color w:val="000000"/>
                <w:lang w:val="ro-RO"/>
              </w:rPr>
            </w:pPr>
            <w:r w:rsidRPr="006F0B7C">
              <w:rPr>
                <w:rFonts w:ascii="Calibri" w:eastAsia="Times New Roman" w:hAnsi="Calibri" w:cs="Times New Roman"/>
                <w:color w:val="000000"/>
                <w:lang w:val="ro-RO"/>
              </w:rPr>
              <w:t>Sibiu</w:t>
            </w:r>
          </w:p>
        </w:tc>
        <w:tc>
          <w:tcPr>
            <w:tcW w:w="1840" w:type="dxa"/>
            <w:noWrap/>
            <w:hideMark/>
          </w:tcPr>
          <w:p w:rsidR="00064502" w:rsidRPr="006F0B7C" w:rsidRDefault="00064502" w:rsidP="00064502">
            <w:pPr>
              <w:jc w:val="right"/>
              <w:rPr>
                <w:rFonts w:ascii="Calibri" w:eastAsia="Times New Roman" w:hAnsi="Calibri" w:cs="Times New Roman"/>
                <w:b/>
                <w:color w:val="000000"/>
                <w:lang w:val="ro-RO"/>
              </w:rPr>
            </w:pPr>
            <w:r w:rsidRPr="006F0B7C">
              <w:rPr>
                <w:rFonts w:ascii="Calibri" w:eastAsia="Times New Roman" w:hAnsi="Calibri" w:cs="Times New Roman"/>
                <w:b/>
                <w:color w:val="000000"/>
                <w:lang w:val="ro-RO"/>
              </w:rPr>
              <w:t>907</w:t>
            </w:r>
          </w:p>
        </w:tc>
      </w:tr>
    </w:tbl>
    <w:p w:rsidR="00064502" w:rsidRDefault="00064502" w:rsidP="00064502">
      <w:pPr>
        <w:jc w:val="both"/>
        <w:rPr>
          <w:sz w:val="24"/>
          <w:szCs w:val="24"/>
          <w:lang w:val="ro-RO"/>
        </w:rPr>
      </w:pPr>
      <w:r>
        <w:rPr>
          <w:sz w:val="24"/>
          <w:szCs w:val="24"/>
          <w:lang w:val="ro-RO"/>
        </w:rPr>
        <w:t>Sursa: date prelucrate AFIR</w:t>
      </w:r>
    </w:p>
    <w:p w:rsidR="00064502" w:rsidRDefault="00064502" w:rsidP="00064502">
      <w:pPr>
        <w:jc w:val="both"/>
        <w:rPr>
          <w:sz w:val="24"/>
          <w:szCs w:val="24"/>
          <w:lang w:val="ro-RO"/>
        </w:rPr>
      </w:pPr>
      <w:r>
        <w:rPr>
          <w:sz w:val="24"/>
          <w:szCs w:val="24"/>
          <w:lang w:val="ro-RO"/>
        </w:rPr>
        <w:t xml:space="preserve">În ceea ce priveşte investiţiile finanţate din fonduri nerambursabile </w:t>
      </w:r>
      <w:r w:rsidRPr="00714BA1">
        <w:rPr>
          <w:sz w:val="24"/>
          <w:szCs w:val="24"/>
          <w:lang w:val="ro-RO"/>
        </w:rPr>
        <w:t xml:space="preserve">pentru dezvoltarea economico – socială </w:t>
      </w:r>
      <w:r>
        <w:rPr>
          <w:sz w:val="24"/>
          <w:szCs w:val="24"/>
          <w:lang w:val="ro-RO"/>
        </w:rPr>
        <w:t>a spaţiului rural prin PNDR 2007-2013, Regiunea Centru este a patra regiune din România ca număr de beneficiari. Cei mai mulţi dintre aceştia fiind din judeţele Alba (5303 beneficiari) şi Harghita (1677 beneficiari).</w:t>
      </w:r>
    </w:p>
    <w:p w:rsidR="00064502" w:rsidRDefault="00064502" w:rsidP="00064502">
      <w:pPr>
        <w:jc w:val="both"/>
        <w:rPr>
          <w:sz w:val="24"/>
          <w:szCs w:val="24"/>
          <w:lang w:val="ro-RO"/>
        </w:rPr>
      </w:pPr>
      <w:r>
        <w:rPr>
          <w:sz w:val="24"/>
          <w:szCs w:val="24"/>
          <w:lang w:val="ro-RO"/>
        </w:rPr>
        <w:t>Din cei 9996 de beneficiari ai PNDR 2007–2013 din Regiunea Centru, 8660 au folosit fondurile nerambursabile pentru investiţii în economia rurală. Cele mai multe proiecte (</w:t>
      </w:r>
      <w:r w:rsidRPr="00323D1B">
        <w:rPr>
          <w:sz w:val="24"/>
          <w:szCs w:val="24"/>
          <w:lang w:val="ro-RO"/>
        </w:rPr>
        <w:t>6588</w:t>
      </w:r>
      <w:r>
        <w:rPr>
          <w:sz w:val="24"/>
          <w:szCs w:val="24"/>
          <w:lang w:val="ro-RO"/>
        </w:rPr>
        <w:t>) au vizat s</w:t>
      </w:r>
      <w:r w:rsidRPr="00323D1B">
        <w:rPr>
          <w:sz w:val="24"/>
          <w:szCs w:val="24"/>
          <w:lang w:val="ro-RO"/>
        </w:rPr>
        <w:t>prijinirea fermelor agricole de semi-subzistenţă</w:t>
      </w:r>
      <w:r>
        <w:rPr>
          <w:sz w:val="24"/>
          <w:szCs w:val="24"/>
          <w:lang w:val="ro-RO"/>
        </w:rPr>
        <w:t xml:space="preserve"> şi </w:t>
      </w:r>
      <w:r w:rsidRPr="00323D1B">
        <w:rPr>
          <w:sz w:val="24"/>
          <w:szCs w:val="24"/>
          <w:lang w:val="ro-RO"/>
        </w:rPr>
        <w:t>1397</w:t>
      </w:r>
      <w:r>
        <w:rPr>
          <w:sz w:val="24"/>
          <w:szCs w:val="24"/>
          <w:lang w:val="ro-RO"/>
        </w:rPr>
        <w:t xml:space="preserve"> au fost finanţate pe </w:t>
      </w:r>
      <w:r w:rsidRPr="00323D1B">
        <w:rPr>
          <w:sz w:val="24"/>
          <w:szCs w:val="24"/>
          <w:lang w:val="ro-RO"/>
        </w:rPr>
        <w:t>Măsura 112 „Instalarea tinerilor fermieri”</w:t>
      </w:r>
      <w:r>
        <w:rPr>
          <w:sz w:val="24"/>
          <w:szCs w:val="24"/>
          <w:lang w:val="ro-RO"/>
        </w:rPr>
        <w:t>.</w:t>
      </w:r>
    </w:p>
    <w:p w:rsidR="00064502" w:rsidRDefault="00064502" w:rsidP="00064502">
      <w:pPr>
        <w:jc w:val="both"/>
        <w:rPr>
          <w:sz w:val="24"/>
          <w:szCs w:val="24"/>
          <w:lang w:val="ro-RO"/>
        </w:rPr>
      </w:pPr>
    </w:p>
    <w:p w:rsidR="00064502" w:rsidRDefault="00064502" w:rsidP="00064502">
      <w:pPr>
        <w:spacing w:after="0" w:line="240" w:lineRule="auto"/>
        <w:jc w:val="center"/>
        <w:rPr>
          <w:b/>
          <w:sz w:val="24"/>
          <w:szCs w:val="24"/>
          <w:lang w:val="ro-RO"/>
        </w:rPr>
      </w:pPr>
      <w:r w:rsidRPr="00323D1B">
        <w:rPr>
          <w:b/>
          <w:sz w:val="24"/>
          <w:szCs w:val="24"/>
          <w:lang w:val="ro-RO"/>
        </w:rPr>
        <w:t xml:space="preserve">Tabel </w:t>
      </w:r>
      <w:r>
        <w:rPr>
          <w:b/>
          <w:sz w:val="24"/>
          <w:szCs w:val="24"/>
          <w:lang w:val="ro-RO"/>
        </w:rPr>
        <w:t>7</w:t>
      </w:r>
      <w:r w:rsidRPr="00323D1B">
        <w:rPr>
          <w:b/>
          <w:sz w:val="24"/>
          <w:szCs w:val="24"/>
          <w:lang w:val="ro-RO"/>
        </w:rPr>
        <w:t xml:space="preserve">  Măsuri </w:t>
      </w:r>
      <w:r>
        <w:rPr>
          <w:b/>
          <w:sz w:val="24"/>
          <w:szCs w:val="24"/>
          <w:lang w:val="ro-RO"/>
        </w:rPr>
        <w:t xml:space="preserve">PNDR 2007- 2013 </w:t>
      </w:r>
      <w:r w:rsidRPr="00323D1B">
        <w:rPr>
          <w:b/>
          <w:sz w:val="24"/>
          <w:szCs w:val="24"/>
          <w:lang w:val="ro-RO"/>
        </w:rPr>
        <w:t>ce vizează investiţii în economia rurală</w:t>
      </w:r>
    </w:p>
    <w:p w:rsidR="00064502" w:rsidRPr="00323D1B" w:rsidRDefault="00064502" w:rsidP="00064502">
      <w:pPr>
        <w:spacing w:after="0" w:line="240" w:lineRule="auto"/>
        <w:ind w:left="3600" w:firstLine="720"/>
        <w:jc w:val="both"/>
        <w:rPr>
          <w:b/>
          <w:sz w:val="24"/>
          <w:szCs w:val="24"/>
          <w:lang w:val="ro-RO"/>
        </w:rPr>
      </w:pPr>
      <w:r>
        <w:rPr>
          <w:sz w:val="24"/>
          <w:szCs w:val="24"/>
          <w:lang w:val="ro-RO"/>
        </w:rPr>
        <w:t xml:space="preserve">                                                     </w:t>
      </w:r>
      <w:r w:rsidRPr="00323D1B">
        <w:rPr>
          <w:sz w:val="24"/>
          <w:szCs w:val="24"/>
          <w:lang w:val="ro-RO"/>
        </w:rPr>
        <w:t>-număr beneficiari-</w:t>
      </w:r>
    </w:p>
    <w:tbl>
      <w:tblPr>
        <w:tblStyle w:val="Textnotdefinal"/>
        <w:tblW w:w="9612" w:type="dxa"/>
        <w:jc w:val="center"/>
        <w:tblLayout w:type="fixed"/>
        <w:tblLook w:val="04A0"/>
      </w:tblPr>
      <w:tblGrid>
        <w:gridCol w:w="3298"/>
        <w:gridCol w:w="1094"/>
        <w:gridCol w:w="720"/>
        <w:gridCol w:w="900"/>
        <w:gridCol w:w="990"/>
        <w:gridCol w:w="1080"/>
        <w:gridCol w:w="810"/>
        <w:gridCol w:w="720"/>
      </w:tblGrid>
      <w:tr w:rsidR="00064502" w:rsidRPr="00BF0236" w:rsidTr="00064502">
        <w:trPr>
          <w:trHeight w:val="545"/>
          <w:jc w:val="center"/>
        </w:trPr>
        <w:tc>
          <w:tcPr>
            <w:tcW w:w="3298" w:type="dxa"/>
            <w:hideMark/>
          </w:tcPr>
          <w:p w:rsidR="00064502" w:rsidRPr="00BF0236" w:rsidRDefault="00064502" w:rsidP="00064502">
            <w:pPr>
              <w:rPr>
                <w:rFonts w:ascii="Calibri" w:eastAsia="Times New Roman" w:hAnsi="Calibri" w:cs="Times New Roman"/>
                <w:color w:val="000000"/>
                <w:lang w:val="ro-RO"/>
              </w:rPr>
            </w:pPr>
          </w:p>
        </w:tc>
        <w:tc>
          <w:tcPr>
            <w:tcW w:w="1094" w:type="dxa"/>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Regiunea Centru</w:t>
            </w:r>
          </w:p>
        </w:tc>
        <w:tc>
          <w:tcPr>
            <w:tcW w:w="720" w:type="dxa"/>
            <w:noWrap/>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Alba</w:t>
            </w:r>
          </w:p>
        </w:tc>
        <w:tc>
          <w:tcPr>
            <w:tcW w:w="900" w:type="dxa"/>
            <w:noWrap/>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 xml:space="preserve">Brașov </w:t>
            </w:r>
          </w:p>
        </w:tc>
        <w:tc>
          <w:tcPr>
            <w:tcW w:w="990" w:type="dxa"/>
            <w:noWrap/>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 xml:space="preserve">Covasna </w:t>
            </w:r>
          </w:p>
        </w:tc>
        <w:tc>
          <w:tcPr>
            <w:tcW w:w="1080" w:type="dxa"/>
            <w:noWrap/>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Harghita</w:t>
            </w:r>
          </w:p>
        </w:tc>
        <w:tc>
          <w:tcPr>
            <w:tcW w:w="810" w:type="dxa"/>
            <w:noWrap/>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Mureș</w:t>
            </w:r>
          </w:p>
        </w:tc>
        <w:tc>
          <w:tcPr>
            <w:tcW w:w="720" w:type="dxa"/>
            <w:noWrap/>
            <w:hideMark/>
          </w:tcPr>
          <w:p w:rsidR="00064502" w:rsidRPr="00BF0236" w:rsidRDefault="00064502" w:rsidP="00064502">
            <w:pPr>
              <w:rPr>
                <w:rFonts w:ascii="Calibri" w:eastAsia="Times New Roman" w:hAnsi="Calibri" w:cs="Times New Roman"/>
                <w:color w:val="000000"/>
                <w:lang w:val="ro-RO"/>
              </w:rPr>
            </w:pPr>
            <w:r w:rsidRPr="00BF0236">
              <w:rPr>
                <w:rFonts w:ascii="Calibri" w:eastAsia="Times New Roman" w:hAnsi="Calibri" w:cs="Times New Roman"/>
                <w:color w:val="000000"/>
                <w:lang w:val="ro-RO"/>
              </w:rPr>
              <w:t>Sibiu</w:t>
            </w:r>
          </w:p>
        </w:tc>
      </w:tr>
      <w:tr w:rsidR="00064502" w:rsidRPr="00BF0236" w:rsidTr="00064502">
        <w:trPr>
          <w:trHeight w:val="600"/>
          <w:jc w:val="center"/>
        </w:trPr>
        <w:tc>
          <w:tcPr>
            <w:tcW w:w="3298" w:type="dxa"/>
            <w:hideMark/>
          </w:tcPr>
          <w:p w:rsidR="00064502" w:rsidRPr="00BF0236" w:rsidRDefault="00064502" w:rsidP="00064502">
            <w:pPr>
              <w:rPr>
                <w:rFonts w:ascii="Calibri" w:eastAsia="Times New Roman" w:hAnsi="Calibri" w:cs="Times New Roman"/>
                <w:b/>
                <w:lang w:val="ro-RO"/>
              </w:rPr>
            </w:pPr>
            <w:r w:rsidRPr="00BF0236">
              <w:rPr>
                <w:rFonts w:ascii="Calibri" w:eastAsia="Times New Roman" w:hAnsi="Calibri" w:cs="Times New Roman"/>
                <w:lang w:val="ro-RO"/>
              </w:rPr>
              <w:t>Măsura 112</w:t>
            </w:r>
            <w:r w:rsidRPr="00BF0236">
              <w:rPr>
                <w:rFonts w:ascii="Calibri" w:eastAsia="Times New Roman" w:hAnsi="Calibri" w:cs="Times New Roman"/>
                <w:b/>
                <w:lang w:val="ro-RO"/>
              </w:rPr>
              <w:t xml:space="preserve"> „Instalarea tinerilor fermieri”</w:t>
            </w:r>
          </w:p>
        </w:tc>
        <w:tc>
          <w:tcPr>
            <w:tcW w:w="1094"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1397</w:t>
            </w:r>
          </w:p>
        </w:tc>
        <w:tc>
          <w:tcPr>
            <w:tcW w:w="720"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657</w:t>
            </w:r>
          </w:p>
        </w:tc>
        <w:tc>
          <w:tcPr>
            <w:tcW w:w="900"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152</w:t>
            </w:r>
          </w:p>
        </w:tc>
        <w:tc>
          <w:tcPr>
            <w:tcW w:w="990"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206</w:t>
            </w:r>
          </w:p>
        </w:tc>
        <w:tc>
          <w:tcPr>
            <w:tcW w:w="1080"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213</w:t>
            </w:r>
          </w:p>
        </w:tc>
        <w:tc>
          <w:tcPr>
            <w:tcW w:w="810"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87</w:t>
            </w:r>
          </w:p>
        </w:tc>
        <w:tc>
          <w:tcPr>
            <w:tcW w:w="720" w:type="dxa"/>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82</w:t>
            </w:r>
          </w:p>
        </w:tc>
      </w:tr>
      <w:tr w:rsidR="00064502" w:rsidRPr="00BF0236" w:rsidTr="00064502">
        <w:trPr>
          <w:trHeight w:val="300"/>
          <w:jc w:val="center"/>
        </w:trPr>
        <w:tc>
          <w:tcPr>
            <w:tcW w:w="3298" w:type="dxa"/>
            <w:hideMark/>
          </w:tcPr>
          <w:p w:rsidR="00064502" w:rsidRPr="00BF0236" w:rsidRDefault="00064502" w:rsidP="00064502">
            <w:pPr>
              <w:rPr>
                <w:rFonts w:ascii="Calibri" w:eastAsia="Times New Roman" w:hAnsi="Calibri" w:cs="Times New Roman"/>
                <w:b/>
                <w:lang w:val="ro-RO"/>
              </w:rPr>
            </w:pPr>
            <w:r w:rsidRPr="00BF0236">
              <w:rPr>
                <w:rFonts w:ascii="Calibri" w:eastAsia="Times New Roman" w:hAnsi="Calibri" w:cs="Times New Roman"/>
                <w:lang w:val="ro-RO"/>
              </w:rPr>
              <w:t>Măsura 121</w:t>
            </w:r>
            <w:r w:rsidRPr="00BF0236">
              <w:rPr>
                <w:rFonts w:ascii="Calibri" w:eastAsia="Times New Roman" w:hAnsi="Calibri" w:cs="Times New Roman"/>
                <w:b/>
                <w:lang w:val="ro-RO"/>
              </w:rPr>
              <w:t xml:space="preserve"> „Modernizarea exploataţiilor agricole”</w:t>
            </w:r>
          </w:p>
        </w:tc>
        <w:tc>
          <w:tcPr>
            <w:tcW w:w="1094"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264</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57</w:t>
            </w:r>
          </w:p>
        </w:tc>
        <w:tc>
          <w:tcPr>
            <w:tcW w:w="90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57</w:t>
            </w:r>
          </w:p>
        </w:tc>
        <w:tc>
          <w:tcPr>
            <w:tcW w:w="99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60</w:t>
            </w:r>
          </w:p>
        </w:tc>
        <w:tc>
          <w:tcPr>
            <w:tcW w:w="108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45</w:t>
            </w:r>
          </w:p>
        </w:tc>
        <w:tc>
          <w:tcPr>
            <w:tcW w:w="81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29</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16</w:t>
            </w:r>
          </w:p>
        </w:tc>
      </w:tr>
      <w:tr w:rsidR="00064502" w:rsidRPr="00BF0236" w:rsidTr="00064502">
        <w:trPr>
          <w:trHeight w:val="600"/>
          <w:jc w:val="center"/>
        </w:trPr>
        <w:tc>
          <w:tcPr>
            <w:tcW w:w="3298" w:type="dxa"/>
            <w:hideMark/>
          </w:tcPr>
          <w:p w:rsidR="00064502" w:rsidRPr="00BF0236" w:rsidRDefault="00064502" w:rsidP="00064502">
            <w:pPr>
              <w:rPr>
                <w:rFonts w:ascii="Calibri" w:eastAsia="Times New Roman" w:hAnsi="Calibri" w:cs="Times New Roman"/>
                <w:b/>
                <w:lang w:val="ro-RO"/>
              </w:rPr>
            </w:pPr>
            <w:r w:rsidRPr="00BF0236">
              <w:rPr>
                <w:rFonts w:ascii="Calibri" w:eastAsia="Times New Roman" w:hAnsi="Calibri" w:cs="Times New Roman"/>
                <w:lang w:val="ro-RO"/>
              </w:rPr>
              <w:t>Măsura 123</w:t>
            </w:r>
            <w:r w:rsidRPr="00BF0236">
              <w:rPr>
                <w:rFonts w:ascii="Calibri" w:eastAsia="Times New Roman" w:hAnsi="Calibri" w:cs="Times New Roman"/>
                <w:b/>
                <w:lang w:val="ro-RO"/>
              </w:rPr>
              <w:t xml:space="preserve"> "Creşterea valorii adăugate a produselor agricole şi forestiere" </w:t>
            </w:r>
          </w:p>
        </w:tc>
        <w:tc>
          <w:tcPr>
            <w:tcW w:w="1094"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70</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16</w:t>
            </w:r>
          </w:p>
        </w:tc>
        <w:tc>
          <w:tcPr>
            <w:tcW w:w="90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9</w:t>
            </w:r>
          </w:p>
        </w:tc>
        <w:tc>
          <w:tcPr>
            <w:tcW w:w="99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9</w:t>
            </w:r>
          </w:p>
        </w:tc>
        <w:tc>
          <w:tcPr>
            <w:tcW w:w="108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12</w:t>
            </w:r>
          </w:p>
        </w:tc>
        <w:tc>
          <w:tcPr>
            <w:tcW w:w="81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10</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14</w:t>
            </w:r>
          </w:p>
        </w:tc>
      </w:tr>
      <w:tr w:rsidR="00064502" w:rsidRPr="00BF0236" w:rsidTr="00064502">
        <w:trPr>
          <w:trHeight w:val="600"/>
          <w:jc w:val="center"/>
        </w:trPr>
        <w:tc>
          <w:tcPr>
            <w:tcW w:w="3298" w:type="dxa"/>
            <w:hideMark/>
          </w:tcPr>
          <w:p w:rsidR="00064502" w:rsidRPr="00BF0236" w:rsidRDefault="00064502" w:rsidP="00064502">
            <w:pPr>
              <w:rPr>
                <w:rFonts w:ascii="Calibri" w:eastAsia="Times New Roman" w:hAnsi="Calibri" w:cs="Times New Roman"/>
                <w:b/>
                <w:lang w:val="ro-RO"/>
              </w:rPr>
            </w:pPr>
            <w:r w:rsidRPr="00BF0236">
              <w:rPr>
                <w:rFonts w:ascii="Calibri" w:eastAsia="Times New Roman" w:hAnsi="Calibri" w:cs="Times New Roman"/>
                <w:lang w:val="ro-RO"/>
              </w:rPr>
              <w:t>Măsura 141</w:t>
            </w:r>
            <w:r w:rsidRPr="00BF0236">
              <w:rPr>
                <w:rFonts w:ascii="Calibri" w:eastAsia="Times New Roman" w:hAnsi="Calibri" w:cs="Times New Roman"/>
                <w:b/>
                <w:lang w:val="ro-RO"/>
              </w:rPr>
              <w:t xml:space="preserve"> - Sprijinirea fermelor agricole de semi-subzistenţă</w:t>
            </w:r>
          </w:p>
        </w:tc>
        <w:tc>
          <w:tcPr>
            <w:tcW w:w="1094"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6588</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4254</w:t>
            </w:r>
          </w:p>
        </w:tc>
        <w:tc>
          <w:tcPr>
            <w:tcW w:w="90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276</w:t>
            </w:r>
          </w:p>
        </w:tc>
        <w:tc>
          <w:tcPr>
            <w:tcW w:w="99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140</w:t>
            </w:r>
          </w:p>
        </w:tc>
        <w:tc>
          <w:tcPr>
            <w:tcW w:w="108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990</w:t>
            </w:r>
          </w:p>
        </w:tc>
        <w:tc>
          <w:tcPr>
            <w:tcW w:w="81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367</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561</w:t>
            </w:r>
          </w:p>
        </w:tc>
      </w:tr>
      <w:tr w:rsidR="00064502" w:rsidRPr="00BF0236" w:rsidTr="00064502">
        <w:trPr>
          <w:trHeight w:val="300"/>
          <w:jc w:val="center"/>
        </w:trPr>
        <w:tc>
          <w:tcPr>
            <w:tcW w:w="3298" w:type="dxa"/>
            <w:hideMark/>
          </w:tcPr>
          <w:p w:rsidR="00064502" w:rsidRPr="00BF0236" w:rsidRDefault="00064502" w:rsidP="00064502">
            <w:pPr>
              <w:rPr>
                <w:rFonts w:ascii="Calibri" w:eastAsia="Times New Roman" w:hAnsi="Calibri" w:cs="Times New Roman"/>
                <w:b/>
                <w:lang w:val="ro-RO"/>
              </w:rPr>
            </w:pPr>
            <w:r w:rsidRPr="00BF0236">
              <w:rPr>
                <w:rFonts w:ascii="Calibri" w:eastAsia="Times New Roman" w:hAnsi="Calibri" w:cs="Times New Roman"/>
                <w:lang w:val="ro-RO"/>
              </w:rPr>
              <w:t>Măsura 142</w:t>
            </w:r>
            <w:r w:rsidRPr="00BF0236">
              <w:rPr>
                <w:rFonts w:ascii="Calibri" w:eastAsia="Times New Roman" w:hAnsi="Calibri" w:cs="Times New Roman"/>
                <w:b/>
                <w:lang w:val="ro-RO"/>
              </w:rPr>
              <w:t xml:space="preserve"> - Înfiinţarea grupurilor de producători</w:t>
            </w:r>
          </w:p>
        </w:tc>
        <w:tc>
          <w:tcPr>
            <w:tcW w:w="1094"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15</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4</w:t>
            </w:r>
          </w:p>
        </w:tc>
        <w:tc>
          <w:tcPr>
            <w:tcW w:w="90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w:t>
            </w:r>
          </w:p>
        </w:tc>
        <w:tc>
          <w:tcPr>
            <w:tcW w:w="99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5</w:t>
            </w:r>
          </w:p>
        </w:tc>
        <w:tc>
          <w:tcPr>
            <w:tcW w:w="108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w:t>
            </w:r>
          </w:p>
        </w:tc>
        <w:tc>
          <w:tcPr>
            <w:tcW w:w="81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w:t>
            </w:r>
          </w:p>
        </w:tc>
      </w:tr>
      <w:tr w:rsidR="00064502" w:rsidRPr="00BF0236" w:rsidTr="00064502">
        <w:trPr>
          <w:trHeight w:val="600"/>
          <w:jc w:val="center"/>
        </w:trPr>
        <w:tc>
          <w:tcPr>
            <w:tcW w:w="3298" w:type="dxa"/>
            <w:hideMark/>
          </w:tcPr>
          <w:p w:rsidR="00064502" w:rsidRPr="00BF0236" w:rsidRDefault="00064502" w:rsidP="00064502">
            <w:pPr>
              <w:rPr>
                <w:rFonts w:ascii="Calibri" w:eastAsia="Times New Roman" w:hAnsi="Calibri" w:cs="Times New Roman"/>
                <w:b/>
                <w:lang w:val="ro-RO"/>
              </w:rPr>
            </w:pPr>
            <w:r w:rsidRPr="00BF0236">
              <w:rPr>
                <w:rFonts w:ascii="Calibri" w:eastAsia="Times New Roman" w:hAnsi="Calibri" w:cs="Times New Roman"/>
                <w:lang w:val="ro-RO"/>
              </w:rPr>
              <w:t>Măsura 312</w:t>
            </w:r>
            <w:r w:rsidRPr="00BF0236">
              <w:rPr>
                <w:rFonts w:ascii="Calibri" w:eastAsia="Times New Roman" w:hAnsi="Calibri" w:cs="Times New Roman"/>
                <w:b/>
                <w:lang w:val="ro-RO"/>
              </w:rPr>
              <w:t xml:space="preserve"> - Sprijin pentru crearea şi dezvoltarea de micro-întreprinderi</w:t>
            </w:r>
          </w:p>
        </w:tc>
        <w:tc>
          <w:tcPr>
            <w:tcW w:w="1094"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326</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86</w:t>
            </w:r>
          </w:p>
        </w:tc>
        <w:tc>
          <w:tcPr>
            <w:tcW w:w="90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78</w:t>
            </w:r>
          </w:p>
        </w:tc>
        <w:tc>
          <w:tcPr>
            <w:tcW w:w="99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12</w:t>
            </w:r>
          </w:p>
        </w:tc>
        <w:tc>
          <w:tcPr>
            <w:tcW w:w="108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85</w:t>
            </w:r>
          </w:p>
        </w:tc>
        <w:tc>
          <w:tcPr>
            <w:tcW w:w="81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37</w:t>
            </w:r>
          </w:p>
        </w:tc>
        <w:tc>
          <w:tcPr>
            <w:tcW w:w="720" w:type="dxa"/>
            <w:noWrap/>
            <w:vAlign w:val="center"/>
            <w:hideMark/>
          </w:tcPr>
          <w:p w:rsidR="00064502" w:rsidRPr="00BF0236" w:rsidRDefault="00064502" w:rsidP="00064502">
            <w:pPr>
              <w:jc w:val="center"/>
              <w:rPr>
                <w:rFonts w:ascii="Calibri" w:eastAsia="Times New Roman" w:hAnsi="Calibri" w:cs="Times New Roman"/>
                <w:b/>
                <w:color w:val="000000"/>
                <w:lang w:val="ro-RO"/>
              </w:rPr>
            </w:pPr>
            <w:r w:rsidRPr="00BF0236">
              <w:rPr>
                <w:rFonts w:ascii="Calibri" w:eastAsia="Times New Roman" w:hAnsi="Calibri" w:cs="Times New Roman"/>
                <w:b/>
                <w:color w:val="000000"/>
                <w:lang w:val="ro-RO"/>
              </w:rPr>
              <w:t>28</w:t>
            </w:r>
          </w:p>
        </w:tc>
      </w:tr>
    </w:tbl>
    <w:p w:rsidR="00064502" w:rsidRDefault="00064502" w:rsidP="00064502">
      <w:pPr>
        <w:jc w:val="both"/>
        <w:rPr>
          <w:sz w:val="24"/>
          <w:szCs w:val="24"/>
          <w:lang w:val="ro-RO"/>
        </w:rPr>
      </w:pPr>
      <w:r>
        <w:rPr>
          <w:sz w:val="24"/>
          <w:szCs w:val="24"/>
          <w:lang w:val="ro-RO"/>
        </w:rPr>
        <w:t>Sursa: date prelucrate AFIR</w:t>
      </w:r>
    </w:p>
    <w:p w:rsidR="00064502" w:rsidRDefault="00064502" w:rsidP="00064502">
      <w:pPr>
        <w:jc w:val="both"/>
        <w:rPr>
          <w:rFonts w:cs="Calibri"/>
          <w:b/>
          <w:sz w:val="28"/>
          <w:szCs w:val="28"/>
          <w:lang w:val="ro-RO"/>
        </w:rPr>
      </w:pPr>
      <w:r>
        <w:rPr>
          <w:rFonts w:cs="Calibri"/>
          <w:b/>
          <w:sz w:val="28"/>
          <w:szCs w:val="28"/>
          <w:lang w:val="ro-RO"/>
        </w:rPr>
        <w:t>Aspecte cheie privind i</w:t>
      </w:r>
      <w:r w:rsidRPr="00BA626E">
        <w:rPr>
          <w:rFonts w:cs="Calibri"/>
          <w:b/>
          <w:sz w:val="28"/>
          <w:szCs w:val="28"/>
          <w:lang w:val="ro-RO"/>
        </w:rPr>
        <w:t>ndustria alimentară şi a băuturilor în Regiunea Centru</w:t>
      </w:r>
    </w:p>
    <w:p w:rsidR="00064502" w:rsidRDefault="00064502" w:rsidP="00064502">
      <w:pPr>
        <w:jc w:val="both"/>
        <w:rPr>
          <w:rFonts w:cs="Calibri"/>
          <w:sz w:val="24"/>
          <w:szCs w:val="24"/>
          <w:lang w:val="ro-RO"/>
        </w:rPr>
      </w:pPr>
      <w:r>
        <w:rPr>
          <w:rFonts w:cs="Calibri"/>
          <w:sz w:val="24"/>
          <w:szCs w:val="24"/>
          <w:lang w:val="ro-RO"/>
        </w:rPr>
        <w:t xml:space="preserve">Analizând profilul industrial al </w:t>
      </w:r>
      <w:r w:rsidRPr="00AA1ED8">
        <w:rPr>
          <w:rFonts w:cs="Calibri"/>
          <w:b/>
          <w:sz w:val="24"/>
          <w:szCs w:val="24"/>
          <w:lang w:val="ro-RO"/>
        </w:rPr>
        <w:t>Regiunii Centru</w:t>
      </w:r>
      <w:r w:rsidRPr="00B62FED">
        <w:rPr>
          <w:rFonts w:cs="Calibri"/>
          <w:sz w:val="24"/>
          <w:szCs w:val="24"/>
          <w:lang w:val="ro-RO"/>
        </w:rPr>
        <w:t>,</w:t>
      </w:r>
      <w:r>
        <w:rPr>
          <w:rFonts w:cs="Calibri"/>
          <w:sz w:val="24"/>
          <w:szCs w:val="24"/>
          <w:lang w:val="ro-RO"/>
        </w:rPr>
        <w:t xml:space="preserve"> putem afirma că</w:t>
      </w:r>
      <w:r w:rsidRPr="00B62FED">
        <w:rPr>
          <w:rFonts w:cs="Calibri"/>
          <w:sz w:val="24"/>
          <w:szCs w:val="24"/>
          <w:lang w:val="ro-RO"/>
        </w:rPr>
        <w:t xml:space="preserve"> unul dintre </w:t>
      </w:r>
      <w:r w:rsidRPr="00B62FED">
        <w:rPr>
          <w:rFonts w:cs="Calibri"/>
          <w:b/>
          <w:sz w:val="24"/>
          <w:szCs w:val="24"/>
          <w:lang w:val="ro-RO"/>
        </w:rPr>
        <w:t>pilonii industriei</w:t>
      </w:r>
      <w:r>
        <w:rPr>
          <w:rFonts w:cs="Calibri"/>
          <w:b/>
          <w:sz w:val="24"/>
          <w:szCs w:val="24"/>
          <w:lang w:val="ro-RO"/>
        </w:rPr>
        <w:t xml:space="preserve"> </w:t>
      </w:r>
      <w:r w:rsidRPr="00AA1ED8">
        <w:rPr>
          <w:rFonts w:cs="Calibri"/>
          <w:sz w:val="24"/>
          <w:szCs w:val="24"/>
          <w:lang w:val="ro-RO"/>
        </w:rPr>
        <w:t>regionale</w:t>
      </w:r>
      <w:r>
        <w:rPr>
          <w:rFonts w:cs="Calibri"/>
          <w:b/>
          <w:sz w:val="24"/>
          <w:szCs w:val="24"/>
          <w:lang w:val="ro-RO"/>
        </w:rPr>
        <w:t xml:space="preserve"> </w:t>
      </w:r>
      <w:r w:rsidRPr="00B62FED">
        <w:rPr>
          <w:rFonts w:cs="Calibri"/>
          <w:sz w:val="24"/>
          <w:szCs w:val="24"/>
          <w:lang w:val="ro-RO"/>
        </w:rPr>
        <w:t>este</w:t>
      </w:r>
      <w:r w:rsidRPr="00B62FED">
        <w:rPr>
          <w:rFonts w:cs="Calibri"/>
          <w:b/>
          <w:sz w:val="24"/>
          <w:szCs w:val="24"/>
          <w:lang w:val="ro-RO"/>
        </w:rPr>
        <w:t xml:space="preserve"> industria alimentară.</w:t>
      </w:r>
      <w:r w:rsidRPr="00B62FED">
        <w:rPr>
          <w:rFonts w:cs="Calibri"/>
          <w:sz w:val="24"/>
          <w:szCs w:val="24"/>
          <w:lang w:val="ro-RO"/>
        </w:rPr>
        <w:t xml:space="preserve"> Prelucrând în bună parte materiile prime locale, industria alimentară beneficiază de avantajul apropierii piețe de desfacere și reușește să realizeze anumite exporturi pe piețele europene.</w:t>
      </w:r>
    </w:p>
    <w:p w:rsidR="00064502" w:rsidRPr="008E4E7E" w:rsidRDefault="00064502" w:rsidP="00064502">
      <w:pPr>
        <w:jc w:val="both"/>
        <w:rPr>
          <w:rFonts w:cs="Arial-ItalicMT"/>
          <w:iCs/>
          <w:color w:val="1A1A1A"/>
          <w:sz w:val="24"/>
          <w:szCs w:val="24"/>
          <w:lang w:val="ro-RO"/>
        </w:rPr>
      </w:pPr>
      <w:r>
        <w:rPr>
          <w:rFonts w:cs="Arial-ItalicMT"/>
          <w:iCs/>
          <w:color w:val="1A1A1A"/>
          <w:sz w:val="24"/>
          <w:szCs w:val="24"/>
          <w:lang w:val="ro-RO"/>
        </w:rPr>
        <w:t>În Regiunea Centru ci</w:t>
      </w:r>
      <w:r w:rsidRPr="000F4D4C">
        <w:rPr>
          <w:rFonts w:cs="Arial-ItalicMT"/>
          <w:iCs/>
          <w:color w:val="1A1A1A"/>
          <w:sz w:val="24"/>
          <w:szCs w:val="24"/>
          <w:lang w:val="ro-RO"/>
        </w:rPr>
        <w:t>fra de afaceri anuală a sectorului agroalimentar</w:t>
      </w:r>
      <w:r>
        <w:rPr>
          <w:rFonts w:cs="Arial-ItalicMT"/>
          <w:iCs/>
          <w:color w:val="1A1A1A"/>
          <w:sz w:val="24"/>
          <w:szCs w:val="24"/>
          <w:lang w:val="ro-RO"/>
        </w:rPr>
        <w:t xml:space="preserve"> a crescut în 2015 comparativ cu 2010 cu aproape 2,5 miliarde de lei. De asemenea şi p</w:t>
      </w:r>
      <w:r w:rsidRPr="001E3677">
        <w:rPr>
          <w:rFonts w:cs="Arial-ItalicMT"/>
          <w:iCs/>
          <w:color w:val="1A1A1A"/>
          <w:sz w:val="24"/>
          <w:szCs w:val="24"/>
          <w:lang w:val="ro-RO"/>
        </w:rPr>
        <w:t>onderea cifrei de afaceri a sectorului în total</w:t>
      </w:r>
      <w:r>
        <w:rPr>
          <w:rFonts w:cs="Arial-ItalicMT"/>
          <w:iCs/>
          <w:color w:val="1A1A1A"/>
          <w:sz w:val="24"/>
          <w:szCs w:val="24"/>
          <w:lang w:val="ro-RO"/>
        </w:rPr>
        <w:t>ul cifrei de afaceri din regiune a crescut de la un an la altul în perioada 2010 – 2014. Pe toată perioada 2010 – 2015 p</w:t>
      </w:r>
      <w:r w:rsidRPr="001E3677">
        <w:rPr>
          <w:rFonts w:cs="Arial-ItalicMT"/>
          <w:iCs/>
          <w:color w:val="1A1A1A"/>
          <w:sz w:val="24"/>
          <w:szCs w:val="24"/>
          <w:lang w:val="ro-RO"/>
        </w:rPr>
        <w:t>onderea cifrei de afaceri a sectorului în total</w:t>
      </w:r>
      <w:r>
        <w:rPr>
          <w:rFonts w:cs="Arial-ItalicMT"/>
          <w:iCs/>
          <w:color w:val="1A1A1A"/>
          <w:sz w:val="24"/>
          <w:szCs w:val="24"/>
          <w:lang w:val="ro-RO"/>
        </w:rPr>
        <w:t>ul cifrei de afaceri din regiune a fost peste media naţională, excepţie anul 2011.</w:t>
      </w:r>
    </w:p>
    <w:p w:rsidR="00064502" w:rsidRPr="00644F7F" w:rsidRDefault="00064502" w:rsidP="00064502">
      <w:pPr>
        <w:spacing w:after="0"/>
        <w:rPr>
          <w:b/>
          <w:sz w:val="24"/>
          <w:szCs w:val="24"/>
          <w:lang w:val="ro-RO"/>
        </w:rPr>
      </w:pPr>
      <w:r>
        <w:rPr>
          <w:b/>
          <w:sz w:val="24"/>
          <w:szCs w:val="24"/>
          <w:lang w:val="ro-RO"/>
        </w:rPr>
        <w:lastRenderedPageBreak/>
        <w:t>Tabel 8</w:t>
      </w:r>
      <w:r w:rsidRPr="00644F7F">
        <w:rPr>
          <w:b/>
          <w:sz w:val="24"/>
          <w:szCs w:val="24"/>
          <w:lang w:val="ro-RO"/>
        </w:rPr>
        <w:t xml:space="preserve"> Cifra de afaceri</w:t>
      </w:r>
      <w:r>
        <w:rPr>
          <w:b/>
          <w:sz w:val="24"/>
          <w:szCs w:val="24"/>
          <w:lang w:val="ro-RO"/>
        </w:rPr>
        <w:t xml:space="preserve"> în perioada</w:t>
      </w:r>
      <w:r w:rsidRPr="00644F7F">
        <w:rPr>
          <w:b/>
          <w:sz w:val="24"/>
          <w:szCs w:val="24"/>
          <w:lang w:val="ro-RO"/>
        </w:rPr>
        <w:t xml:space="preserve"> 2010 – 2015</w:t>
      </w:r>
      <w:r>
        <w:rPr>
          <w:b/>
          <w:sz w:val="24"/>
          <w:szCs w:val="24"/>
          <w:lang w:val="ro-RO"/>
        </w:rPr>
        <w:tab/>
      </w:r>
      <w:r>
        <w:rPr>
          <w:b/>
          <w:sz w:val="24"/>
          <w:szCs w:val="24"/>
          <w:lang w:val="ro-RO"/>
        </w:rPr>
        <w:tab/>
        <w:t xml:space="preserve"> </w:t>
      </w:r>
      <w:r>
        <w:rPr>
          <w:b/>
          <w:sz w:val="24"/>
          <w:szCs w:val="24"/>
          <w:lang w:val="ro-RO"/>
        </w:rPr>
        <w:tab/>
        <w:t xml:space="preserve">             </w:t>
      </w:r>
      <w:r>
        <w:rPr>
          <w:b/>
          <w:sz w:val="24"/>
          <w:szCs w:val="24"/>
          <w:lang w:val="ro-RO"/>
        </w:rPr>
        <w:tab/>
        <w:t>- milioane lei-</w:t>
      </w:r>
    </w:p>
    <w:tbl>
      <w:tblPr>
        <w:tblStyle w:val="Textnotdefinal"/>
        <w:tblW w:w="9540" w:type="dxa"/>
        <w:tblInd w:w="-72" w:type="dxa"/>
        <w:tblLook w:val="04A0"/>
      </w:tblPr>
      <w:tblGrid>
        <w:gridCol w:w="692"/>
        <w:gridCol w:w="1288"/>
        <w:gridCol w:w="1620"/>
        <w:gridCol w:w="1710"/>
        <w:gridCol w:w="1078"/>
        <w:gridCol w:w="1614"/>
        <w:gridCol w:w="1620"/>
      </w:tblGrid>
      <w:tr w:rsidR="00064502" w:rsidRPr="00910C44" w:rsidTr="00064502">
        <w:trPr>
          <w:trHeight w:val="300"/>
        </w:trPr>
        <w:tc>
          <w:tcPr>
            <w:tcW w:w="692" w:type="dxa"/>
            <w:noWrap/>
            <w:hideMark/>
          </w:tcPr>
          <w:p w:rsidR="00064502" w:rsidRPr="00910C44" w:rsidRDefault="00064502" w:rsidP="00064502">
            <w:pPr>
              <w:spacing w:line="276" w:lineRule="auto"/>
              <w:rPr>
                <w:rFonts w:ascii="Calibri" w:eastAsia="Times New Roman" w:hAnsi="Calibri" w:cs="Times New Roman"/>
                <w:color w:val="000000"/>
                <w:lang w:val="ro-RO"/>
              </w:rPr>
            </w:pPr>
          </w:p>
        </w:tc>
        <w:tc>
          <w:tcPr>
            <w:tcW w:w="4618" w:type="dxa"/>
            <w:gridSpan w:val="3"/>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Regiunea Centru</w:t>
            </w:r>
          </w:p>
        </w:tc>
        <w:tc>
          <w:tcPr>
            <w:tcW w:w="4230" w:type="dxa"/>
            <w:gridSpan w:val="3"/>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Romania</w:t>
            </w:r>
          </w:p>
        </w:tc>
      </w:tr>
      <w:tr w:rsidR="00064502" w:rsidRPr="004E6742" w:rsidTr="00064502">
        <w:trPr>
          <w:trHeight w:val="300"/>
        </w:trPr>
        <w:tc>
          <w:tcPr>
            <w:tcW w:w="692" w:type="dxa"/>
            <w:noWrap/>
            <w:hideMark/>
          </w:tcPr>
          <w:p w:rsidR="00064502" w:rsidRPr="00910C44" w:rsidRDefault="00064502" w:rsidP="00064502">
            <w:pPr>
              <w:spacing w:line="276" w:lineRule="auto"/>
              <w:rPr>
                <w:rFonts w:ascii="Calibri" w:eastAsia="Times New Roman" w:hAnsi="Calibri" w:cs="Times New Roman"/>
                <w:color w:val="000000"/>
                <w:lang w:val="ro-RO"/>
              </w:rPr>
            </w:pPr>
          </w:p>
        </w:tc>
        <w:tc>
          <w:tcPr>
            <w:tcW w:w="1288" w:type="dxa"/>
            <w:noWrap/>
            <w:hideMark/>
          </w:tcPr>
          <w:p w:rsidR="00064502" w:rsidRPr="00910C44" w:rsidRDefault="00064502" w:rsidP="00064502">
            <w:pPr>
              <w:spacing w:line="276" w:lineRule="auto"/>
              <w:rPr>
                <w:rFonts w:ascii="Calibri" w:eastAsia="Times New Roman" w:hAnsi="Calibri" w:cs="Times New Roman"/>
                <w:b/>
                <w:color w:val="000000"/>
                <w:lang w:val="ro-RO"/>
              </w:rPr>
            </w:pPr>
            <w:r w:rsidRPr="004E6742">
              <w:rPr>
                <w:rFonts w:ascii="Calibri" w:eastAsia="Times New Roman" w:hAnsi="Calibri" w:cs="Times New Roman"/>
                <w:b/>
                <w:color w:val="000000"/>
                <w:lang w:val="ro-RO"/>
              </w:rPr>
              <w:t>Cifra de afaceri anuală</w:t>
            </w:r>
            <w:r w:rsidRPr="00910C44">
              <w:rPr>
                <w:rFonts w:ascii="Calibri" w:eastAsia="Times New Roman" w:hAnsi="Calibri" w:cs="Times New Roman"/>
                <w:b/>
                <w:color w:val="000000"/>
                <w:lang w:val="ro-RO"/>
              </w:rPr>
              <w:t xml:space="preserve"> total</w:t>
            </w:r>
          </w:p>
        </w:tc>
        <w:tc>
          <w:tcPr>
            <w:tcW w:w="1620" w:type="dxa"/>
            <w:noWrap/>
            <w:hideMark/>
          </w:tcPr>
          <w:p w:rsidR="00064502" w:rsidRPr="00910C44" w:rsidRDefault="00064502" w:rsidP="00064502">
            <w:pPr>
              <w:spacing w:line="276" w:lineRule="auto"/>
              <w:jc w:val="center"/>
              <w:rPr>
                <w:rFonts w:ascii="Calibri" w:eastAsia="Times New Roman" w:hAnsi="Calibri" w:cs="Times New Roman"/>
                <w:b/>
                <w:color w:val="000000"/>
                <w:lang w:val="ro-RO"/>
              </w:rPr>
            </w:pPr>
            <w:r w:rsidRPr="004E6742">
              <w:rPr>
                <w:rFonts w:ascii="Calibri" w:eastAsia="Times New Roman" w:hAnsi="Calibri" w:cs="Times New Roman"/>
                <w:b/>
                <w:color w:val="000000"/>
                <w:lang w:val="ro-RO"/>
              </w:rPr>
              <w:t>Cifra de afaceri anuală a sectorului</w:t>
            </w:r>
            <w:r w:rsidRPr="00910C44">
              <w:rPr>
                <w:rFonts w:ascii="Calibri" w:eastAsia="Times New Roman" w:hAnsi="Calibri" w:cs="Times New Roman"/>
                <w:b/>
                <w:color w:val="000000"/>
                <w:lang w:val="ro-RO"/>
              </w:rPr>
              <w:t xml:space="preserve"> agroalimentar</w:t>
            </w:r>
          </w:p>
        </w:tc>
        <w:tc>
          <w:tcPr>
            <w:tcW w:w="1710" w:type="dxa"/>
            <w:noWrap/>
            <w:hideMark/>
          </w:tcPr>
          <w:p w:rsidR="00064502" w:rsidRPr="00910C44" w:rsidRDefault="00064502" w:rsidP="00064502">
            <w:pPr>
              <w:spacing w:line="276" w:lineRule="auto"/>
              <w:rPr>
                <w:rFonts w:ascii="Calibri" w:eastAsia="Times New Roman" w:hAnsi="Calibri" w:cs="Times New Roman"/>
                <w:b/>
                <w:color w:val="000000"/>
                <w:lang w:val="ro-RO"/>
              </w:rPr>
            </w:pPr>
            <w:r w:rsidRPr="004E6742">
              <w:rPr>
                <w:rFonts w:ascii="Calibri" w:eastAsia="Times New Roman" w:hAnsi="Calibri" w:cs="Times New Roman"/>
                <w:b/>
                <w:color w:val="000000"/>
                <w:lang w:val="ro-RO"/>
              </w:rPr>
              <w:t xml:space="preserve">Ponderea cifrei de afaceri a sectorului în total </w:t>
            </w:r>
            <w:r w:rsidRPr="00910C44">
              <w:rPr>
                <w:rFonts w:ascii="Calibri" w:eastAsia="Times New Roman" w:hAnsi="Calibri" w:cs="Times New Roman"/>
                <w:b/>
                <w:color w:val="000000"/>
                <w:lang w:val="ro-RO"/>
              </w:rPr>
              <w:t>%</w:t>
            </w:r>
          </w:p>
        </w:tc>
        <w:tc>
          <w:tcPr>
            <w:tcW w:w="996" w:type="dxa"/>
            <w:noWrap/>
            <w:hideMark/>
          </w:tcPr>
          <w:p w:rsidR="00064502" w:rsidRPr="00910C44" w:rsidRDefault="00064502" w:rsidP="00064502">
            <w:pPr>
              <w:spacing w:line="276" w:lineRule="auto"/>
              <w:rPr>
                <w:rFonts w:ascii="Calibri" w:eastAsia="Times New Roman" w:hAnsi="Calibri" w:cs="Times New Roman"/>
                <w:b/>
                <w:color w:val="000000"/>
                <w:lang w:val="ro-RO"/>
              </w:rPr>
            </w:pPr>
            <w:r w:rsidRPr="004E6742">
              <w:rPr>
                <w:rFonts w:ascii="Calibri" w:eastAsia="Times New Roman" w:hAnsi="Calibri" w:cs="Times New Roman"/>
                <w:b/>
                <w:color w:val="000000"/>
                <w:lang w:val="ro-RO"/>
              </w:rPr>
              <w:t>Cifra de afaceri anuală</w:t>
            </w:r>
            <w:r w:rsidRPr="00910C44">
              <w:rPr>
                <w:rFonts w:ascii="Calibri" w:eastAsia="Times New Roman" w:hAnsi="Calibri" w:cs="Times New Roman"/>
                <w:b/>
                <w:color w:val="000000"/>
                <w:lang w:val="ro-RO"/>
              </w:rPr>
              <w:t xml:space="preserve"> total</w:t>
            </w:r>
          </w:p>
        </w:tc>
        <w:tc>
          <w:tcPr>
            <w:tcW w:w="1614" w:type="dxa"/>
            <w:noWrap/>
            <w:hideMark/>
          </w:tcPr>
          <w:p w:rsidR="00064502" w:rsidRPr="00910C44" w:rsidRDefault="00064502" w:rsidP="00064502">
            <w:pPr>
              <w:spacing w:line="276" w:lineRule="auto"/>
              <w:jc w:val="center"/>
              <w:rPr>
                <w:rFonts w:ascii="Calibri" w:eastAsia="Times New Roman" w:hAnsi="Calibri" w:cs="Times New Roman"/>
                <w:b/>
                <w:color w:val="000000"/>
                <w:lang w:val="ro-RO"/>
              </w:rPr>
            </w:pPr>
            <w:r w:rsidRPr="004E6742">
              <w:rPr>
                <w:rFonts w:ascii="Calibri" w:eastAsia="Times New Roman" w:hAnsi="Calibri" w:cs="Times New Roman"/>
                <w:b/>
                <w:color w:val="000000"/>
                <w:lang w:val="ro-RO"/>
              </w:rPr>
              <w:t>Cifra de afaceri anuală a sectorului</w:t>
            </w:r>
            <w:r w:rsidRPr="00910C44">
              <w:rPr>
                <w:rFonts w:ascii="Calibri" w:eastAsia="Times New Roman" w:hAnsi="Calibri" w:cs="Times New Roman"/>
                <w:b/>
                <w:color w:val="000000"/>
                <w:lang w:val="ro-RO"/>
              </w:rPr>
              <w:t xml:space="preserve"> agroalimentar</w:t>
            </w:r>
          </w:p>
        </w:tc>
        <w:tc>
          <w:tcPr>
            <w:tcW w:w="1620" w:type="dxa"/>
            <w:noWrap/>
            <w:hideMark/>
          </w:tcPr>
          <w:p w:rsidR="00064502" w:rsidRPr="00910C44" w:rsidRDefault="00064502" w:rsidP="00064502">
            <w:pPr>
              <w:spacing w:line="276" w:lineRule="auto"/>
              <w:rPr>
                <w:rFonts w:ascii="Calibri" w:eastAsia="Times New Roman" w:hAnsi="Calibri" w:cs="Times New Roman"/>
                <w:b/>
                <w:color w:val="000000"/>
                <w:lang w:val="ro-RO"/>
              </w:rPr>
            </w:pPr>
            <w:r w:rsidRPr="004E6742">
              <w:rPr>
                <w:rFonts w:ascii="Calibri" w:eastAsia="Times New Roman" w:hAnsi="Calibri" w:cs="Times New Roman"/>
                <w:b/>
                <w:color w:val="000000"/>
                <w:lang w:val="ro-RO"/>
              </w:rPr>
              <w:t xml:space="preserve">Ponderea cifrei de afaceri a sectorului în total </w:t>
            </w:r>
            <w:r w:rsidRPr="00910C44">
              <w:rPr>
                <w:rFonts w:ascii="Calibri" w:eastAsia="Times New Roman" w:hAnsi="Calibri" w:cs="Times New Roman"/>
                <w:b/>
                <w:color w:val="000000"/>
                <w:lang w:val="ro-RO"/>
              </w:rPr>
              <w:t>%</w:t>
            </w:r>
          </w:p>
        </w:tc>
      </w:tr>
      <w:tr w:rsidR="00064502" w:rsidRPr="00910C44" w:rsidTr="00064502">
        <w:trPr>
          <w:trHeight w:val="300"/>
        </w:trPr>
        <w:tc>
          <w:tcPr>
            <w:tcW w:w="692" w:type="dxa"/>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2010</w:t>
            </w:r>
          </w:p>
        </w:tc>
        <w:tc>
          <w:tcPr>
            <w:tcW w:w="1288" w:type="dxa"/>
            <w:noWrap/>
            <w:vAlign w:val="bottom"/>
            <w:hideMark/>
          </w:tcPr>
          <w:p w:rsidR="00064502" w:rsidRDefault="00064502" w:rsidP="00064502">
            <w:pPr>
              <w:jc w:val="right"/>
              <w:rPr>
                <w:rFonts w:ascii="Calibri" w:hAnsi="Calibri"/>
                <w:color w:val="000000"/>
              </w:rPr>
            </w:pPr>
            <w:r>
              <w:rPr>
                <w:rFonts w:ascii="Calibri" w:hAnsi="Calibri"/>
                <w:color w:val="000000"/>
              </w:rPr>
              <w:t>107865.8</w:t>
            </w:r>
          </w:p>
        </w:tc>
        <w:tc>
          <w:tcPr>
            <w:tcW w:w="1620" w:type="dxa"/>
            <w:noWrap/>
            <w:vAlign w:val="bottom"/>
            <w:hideMark/>
          </w:tcPr>
          <w:p w:rsidR="00064502" w:rsidRDefault="00064502" w:rsidP="00064502">
            <w:pPr>
              <w:jc w:val="right"/>
              <w:rPr>
                <w:rFonts w:ascii="Calibri" w:hAnsi="Calibri"/>
                <w:color w:val="000000"/>
              </w:rPr>
            </w:pPr>
            <w:r>
              <w:rPr>
                <w:rFonts w:ascii="Calibri" w:hAnsi="Calibri"/>
                <w:color w:val="000000"/>
              </w:rPr>
              <w:t>6520.5</w:t>
            </w:r>
          </w:p>
        </w:tc>
        <w:tc>
          <w:tcPr>
            <w:tcW w:w="171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6.05</w:t>
            </w:r>
          </w:p>
        </w:tc>
        <w:tc>
          <w:tcPr>
            <w:tcW w:w="996" w:type="dxa"/>
            <w:noWrap/>
            <w:vAlign w:val="bottom"/>
            <w:hideMark/>
          </w:tcPr>
          <w:p w:rsidR="00064502" w:rsidRDefault="00064502" w:rsidP="00064502">
            <w:pPr>
              <w:jc w:val="right"/>
              <w:rPr>
                <w:rFonts w:ascii="Calibri" w:hAnsi="Calibri"/>
                <w:color w:val="000000"/>
              </w:rPr>
            </w:pPr>
            <w:r>
              <w:rPr>
                <w:rFonts w:ascii="Calibri" w:hAnsi="Calibri"/>
                <w:color w:val="000000"/>
              </w:rPr>
              <w:t>1058587.8</w:t>
            </w:r>
          </w:p>
        </w:tc>
        <w:tc>
          <w:tcPr>
            <w:tcW w:w="1614" w:type="dxa"/>
            <w:noWrap/>
            <w:vAlign w:val="bottom"/>
            <w:hideMark/>
          </w:tcPr>
          <w:p w:rsidR="00064502" w:rsidRDefault="00064502" w:rsidP="00064502">
            <w:pPr>
              <w:jc w:val="right"/>
              <w:rPr>
                <w:rFonts w:ascii="Calibri" w:hAnsi="Calibri"/>
                <w:color w:val="000000"/>
              </w:rPr>
            </w:pPr>
            <w:r>
              <w:rPr>
                <w:rFonts w:ascii="Calibri" w:hAnsi="Calibri"/>
                <w:color w:val="000000"/>
              </w:rPr>
              <w:t>59879.1</w:t>
            </w:r>
          </w:p>
        </w:tc>
        <w:tc>
          <w:tcPr>
            <w:tcW w:w="162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5.66</w:t>
            </w:r>
          </w:p>
        </w:tc>
      </w:tr>
      <w:tr w:rsidR="00064502" w:rsidRPr="004E6742" w:rsidTr="00064502">
        <w:trPr>
          <w:trHeight w:val="300"/>
        </w:trPr>
        <w:tc>
          <w:tcPr>
            <w:tcW w:w="692" w:type="dxa"/>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2011</w:t>
            </w:r>
          </w:p>
        </w:tc>
        <w:tc>
          <w:tcPr>
            <w:tcW w:w="1288" w:type="dxa"/>
            <w:noWrap/>
            <w:vAlign w:val="bottom"/>
            <w:hideMark/>
          </w:tcPr>
          <w:p w:rsidR="00064502" w:rsidRDefault="00064502" w:rsidP="00064502">
            <w:pPr>
              <w:jc w:val="right"/>
              <w:rPr>
                <w:rFonts w:ascii="Calibri" w:hAnsi="Calibri"/>
                <w:color w:val="000000"/>
              </w:rPr>
            </w:pPr>
            <w:r>
              <w:rPr>
                <w:rFonts w:ascii="Calibri" w:hAnsi="Calibri"/>
                <w:color w:val="000000"/>
              </w:rPr>
              <w:t>102552.4</w:t>
            </w:r>
          </w:p>
        </w:tc>
        <w:tc>
          <w:tcPr>
            <w:tcW w:w="1620" w:type="dxa"/>
            <w:noWrap/>
            <w:vAlign w:val="bottom"/>
            <w:hideMark/>
          </w:tcPr>
          <w:p w:rsidR="00064502" w:rsidRDefault="00064502" w:rsidP="00064502">
            <w:pPr>
              <w:jc w:val="right"/>
              <w:rPr>
                <w:rFonts w:ascii="Calibri" w:hAnsi="Calibri"/>
                <w:color w:val="000000"/>
              </w:rPr>
            </w:pPr>
            <w:r>
              <w:rPr>
                <w:rFonts w:ascii="Calibri" w:hAnsi="Calibri"/>
                <w:color w:val="000000"/>
              </w:rPr>
              <w:t>7153.8</w:t>
            </w:r>
          </w:p>
        </w:tc>
        <w:tc>
          <w:tcPr>
            <w:tcW w:w="171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6.98</w:t>
            </w:r>
          </w:p>
        </w:tc>
        <w:tc>
          <w:tcPr>
            <w:tcW w:w="996" w:type="dxa"/>
            <w:noWrap/>
            <w:vAlign w:val="bottom"/>
            <w:hideMark/>
          </w:tcPr>
          <w:p w:rsidR="00064502" w:rsidRDefault="00064502" w:rsidP="00064502">
            <w:pPr>
              <w:jc w:val="right"/>
              <w:rPr>
                <w:rFonts w:ascii="Calibri" w:hAnsi="Calibri"/>
                <w:color w:val="000000"/>
              </w:rPr>
            </w:pPr>
            <w:r>
              <w:rPr>
                <w:rFonts w:ascii="Calibri" w:hAnsi="Calibri"/>
                <w:color w:val="000000"/>
              </w:rPr>
              <w:t>472557.1</w:t>
            </w:r>
          </w:p>
        </w:tc>
        <w:tc>
          <w:tcPr>
            <w:tcW w:w="1614" w:type="dxa"/>
            <w:noWrap/>
            <w:vAlign w:val="bottom"/>
            <w:hideMark/>
          </w:tcPr>
          <w:p w:rsidR="00064502" w:rsidRDefault="00064502" w:rsidP="00064502">
            <w:pPr>
              <w:jc w:val="right"/>
              <w:rPr>
                <w:rFonts w:ascii="Calibri" w:hAnsi="Calibri"/>
                <w:color w:val="000000"/>
              </w:rPr>
            </w:pPr>
            <w:r>
              <w:rPr>
                <w:rFonts w:ascii="Calibri" w:hAnsi="Calibri"/>
                <w:color w:val="000000"/>
              </w:rPr>
              <w:t>35808.6</w:t>
            </w:r>
          </w:p>
        </w:tc>
        <w:tc>
          <w:tcPr>
            <w:tcW w:w="162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7.58</w:t>
            </w:r>
          </w:p>
        </w:tc>
      </w:tr>
      <w:tr w:rsidR="00064502" w:rsidRPr="00910C44" w:rsidTr="00064502">
        <w:trPr>
          <w:trHeight w:val="300"/>
        </w:trPr>
        <w:tc>
          <w:tcPr>
            <w:tcW w:w="692" w:type="dxa"/>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2012</w:t>
            </w:r>
          </w:p>
        </w:tc>
        <w:tc>
          <w:tcPr>
            <w:tcW w:w="1288" w:type="dxa"/>
            <w:noWrap/>
            <w:vAlign w:val="bottom"/>
            <w:hideMark/>
          </w:tcPr>
          <w:p w:rsidR="00064502" w:rsidRDefault="00064502" w:rsidP="00064502">
            <w:pPr>
              <w:jc w:val="right"/>
              <w:rPr>
                <w:rFonts w:ascii="Calibri" w:hAnsi="Calibri"/>
                <w:color w:val="000000"/>
              </w:rPr>
            </w:pPr>
            <w:r>
              <w:rPr>
                <w:rFonts w:ascii="Calibri" w:hAnsi="Calibri"/>
                <w:color w:val="000000"/>
              </w:rPr>
              <w:t>108110.8</w:t>
            </w:r>
          </w:p>
        </w:tc>
        <w:tc>
          <w:tcPr>
            <w:tcW w:w="1620" w:type="dxa"/>
            <w:noWrap/>
            <w:vAlign w:val="bottom"/>
            <w:hideMark/>
          </w:tcPr>
          <w:p w:rsidR="00064502" w:rsidRDefault="00064502" w:rsidP="00064502">
            <w:pPr>
              <w:jc w:val="right"/>
              <w:rPr>
                <w:rFonts w:ascii="Calibri" w:hAnsi="Calibri"/>
                <w:color w:val="000000"/>
              </w:rPr>
            </w:pPr>
            <w:r>
              <w:rPr>
                <w:rFonts w:ascii="Calibri" w:hAnsi="Calibri"/>
                <w:color w:val="000000"/>
              </w:rPr>
              <w:t>7930.5</w:t>
            </w:r>
          </w:p>
        </w:tc>
        <w:tc>
          <w:tcPr>
            <w:tcW w:w="171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7.34</w:t>
            </w:r>
          </w:p>
        </w:tc>
        <w:tc>
          <w:tcPr>
            <w:tcW w:w="996" w:type="dxa"/>
            <w:noWrap/>
            <w:vAlign w:val="bottom"/>
            <w:hideMark/>
          </w:tcPr>
          <w:p w:rsidR="00064502" w:rsidRDefault="00064502" w:rsidP="00064502">
            <w:pPr>
              <w:jc w:val="right"/>
              <w:rPr>
                <w:rFonts w:ascii="Calibri" w:hAnsi="Calibri"/>
                <w:color w:val="000000"/>
              </w:rPr>
            </w:pPr>
            <w:r>
              <w:rPr>
                <w:rFonts w:ascii="Calibri" w:hAnsi="Calibri"/>
                <w:color w:val="000000"/>
              </w:rPr>
              <w:t>1130557.0</w:t>
            </w:r>
          </w:p>
        </w:tc>
        <w:tc>
          <w:tcPr>
            <w:tcW w:w="1614" w:type="dxa"/>
            <w:noWrap/>
            <w:vAlign w:val="bottom"/>
            <w:hideMark/>
          </w:tcPr>
          <w:p w:rsidR="00064502" w:rsidRDefault="00064502" w:rsidP="00064502">
            <w:pPr>
              <w:jc w:val="right"/>
              <w:rPr>
                <w:rFonts w:ascii="Calibri" w:hAnsi="Calibri"/>
                <w:color w:val="000000"/>
              </w:rPr>
            </w:pPr>
            <w:r>
              <w:rPr>
                <w:rFonts w:ascii="Calibri" w:hAnsi="Calibri"/>
                <w:color w:val="000000"/>
              </w:rPr>
              <w:t>77440.6</w:t>
            </w:r>
          </w:p>
        </w:tc>
        <w:tc>
          <w:tcPr>
            <w:tcW w:w="162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6.85</w:t>
            </w:r>
          </w:p>
        </w:tc>
      </w:tr>
      <w:tr w:rsidR="00064502" w:rsidRPr="004E6742" w:rsidTr="00064502">
        <w:trPr>
          <w:trHeight w:val="300"/>
        </w:trPr>
        <w:tc>
          <w:tcPr>
            <w:tcW w:w="692" w:type="dxa"/>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2013</w:t>
            </w:r>
          </w:p>
        </w:tc>
        <w:tc>
          <w:tcPr>
            <w:tcW w:w="1288" w:type="dxa"/>
            <w:noWrap/>
            <w:vAlign w:val="bottom"/>
            <w:hideMark/>
          </w:tcPr>
          <w:p w:rsidR="00064502" w:rsidRDefault="00064502" w:rsidP="00064502">
            <w:pPr>
              <w:jc w:val="right"/>
              <w:rPr>
                <w:rFonts w:ascii="Calibri" w:hAnsi="Calibri"/>
                <w:color w:val="000000"/>
              </w:rPr>
            </w:pPr>
            <w:r>
              <w:rPr>
                <w:rFonts w:ascii="Calibri" w:hAnsi="Calibri"/>
                <w:color w:val="000000"/>
              </w:rPr>
              <w:t>113160.8</w:t>
            </w:r>
          </w:p>
        </w:tc>
        <w:tc>
          <w:tcPr>
            <w:tcW w:w="1620" w:type="dxa"/>
            <w:noWrap/>
            <w:vAlign w:val="bottom"/>
            <w:hideMark/>
          </w:tcPr>
          <w:p w:rsidR="00064502" w:rsidRDefault="00064502" w:rsidP="00064502">
            <w:pPr>
              <w:jc w:val="right"/>
              <w:rPr>
                <w:rFonts w:ascii="Calibri" w:hAnsi="Calibri"/>
                <w:color w:val="000000"/>
              </w:rPr>
            </w:pPr>
            <w:r>
              <w:rPr>
                <w:rFonts w:ascii="Calibri" w:hAnsi="Calibri"/>
                <w:color w:val="000000"/>
              </w:rPr>
              <w:t>8333.6</w:t>
            </w:r>
          </w:p>
        </w:tc>
        <w:tc>
          <w:tcPr>
            <w:tcW w:w="171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7.36</w:t>
            </w:r>
          </w:p>
        </w:tc>
        <w:tc>
          <w:tcPr>
            <w:tcW w:w="996" w:type="dxa"/>
            <w:noWrap/>
            <w:vAlign w:val="bottom"/>
            <w:hideMark/>
          </w:tcPr>
          <w:p w:rsidR="00064502" w:rsidRDefault="00064502" w:rsidP="00064502">
            <w:pPr>
              <w:jc w:val="right"/>
              <w:rPr>
                <w:rFonts w:ascii="Calibri" w:hAnsi="Calibri"/>
                <w:color w:val="000000"/>
              </w:rPr>
            </w:pPr>
            <w:r>
              <w:rPr>
                <w:rFonts w:ascii="Calibri" w:hAnsi="Calibri"/>
                <w:color w:val="000000"/>
              </w:rPr>
              <w:t>1125835.0</w:t>
            </w:r>
          </w:p>
        </w:tc>
        <w:tc>
          <w:tcPr>
            <w:tcW w:w="1614" w:type="dxa"/>
            <w:noWrap/>
            <w:vAlign w:val="bottom"/>
            <w:hideMark/>
          </w:tcPr>
          <w:p w:rsidR="00064502" w:rsidRDefault="00064502" w:rsidP="00064502">
            <w:pPr>
              <w:jc w:val="right"/>
              <w:rPr>
                <w:rFonts w:ascii="Calibri" w:hAnsi="Calibri"/>
                <w:color w:val="000000"/>
              </w:rPr>
            </w:pPr>
            <w:r>
              <w:rPr>
                <w:rFonts w:ascii="Calibri" w:hAnsi="Calibri"/>
                <w:color w:val="000000"/>
              </w:rPr>
              <w:t>78564.8</w:t>
            </w:r>
          </w:p>
        </w:tc>
        <w:tc>
          <w:tcPr>
            <w:tcW w:w="162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6.98</w:t>
            </w:r>
          </w:p>
        </w:tc>
      </w:tr>
      <w:tr w:rsidR="00064502" w:rsidRPr="00910C44" w:rsidTr="00064502">
        <w:trPr>
          <w:trHeight w:val="300"/>
        </w:trPr>
        <w:tc>
          <w:tcPr>
            <w:tcW w:w="692" w:type="dxa"/>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2014</w:t>
            </w:r>
          </w:p>
        </w:tc>
        <w:tc>
          <w:tcPr>
            <w:tcW w:w="1288" w:type="dxa"/>
            <w:noWrap/>
            <w:vAlign w:val="bottom"/>
            <w:hideMark/>
          </w:tcPr>
          <w:p w:rsidR="00064502" w:rsidRDefault="00064502" w:rsidP="00064502">
            <w:pPr>
              <w:jc w:val="right"/>
              <w:rPr>
                <w:rFonts w:ascii="Calibri" w:hAnsi="Calibri"/>
                <w:color w:val="000000"/>
              </w:rPr>
            </w:pPr>
            <w:r>
              <w:rPr>
                <w:rFonts w:ascii="Calibri" w:hAnsi="Calibri"/>
                <w:color w:val="000000"/>
              </w:rPr>
              <w:t>119630.4</w:t>
            </w:r>
          </w:p>
        </w:tc>
        <w:tc>
          <w:tcPr>
            <w:tcW w:w="1620" w:type="dxa"/>
            <w:noWrap/>
            <w:vAlign w:val="bottom"/>
            <w:hideMark/>
          </w:tcPr>
          <w:p w:rsidR="00064502" w:rsidRDefault="00064502" w:rsidP="00064502">
            <w:pPr>
              <w:jc w:val="right"/>
              <w:rPr>
                <w:rFonts w:ascii="Calibri" w:hAnsi="Calibri"/>
                <w:color w:val="000000"/>
              </w:rPr>
            </w:pPr>
            <w:r>
              <w:rPr>
                <w:rFonts w:ascii="Calibri" w:hAnsi="Calibri"/>
                <w:color w:val="000000"/>
              </w:rPr>
              <w:t>8930.1</w:t>
            </w:r>
          </w:p>
        </w:tc>
        <w:tc>
          <w:tcPr>
            <w:tcW w:w="171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7.46</w:t>
            </w:r>
          </w:p>
        </w:tc>
        <w:tc>
          <w:tcPr>
            <w:tcW w:w="996" w:type="dxa"/>
            <w:noWrap/>
            <w:vAlign w:val="bottom"/>
            <w:hideMark/>
          </w:tcPr>
          <w:p w:rsidR="00064502" w:rsidRDefault="00064502" w:rsidP="00064502">
            <w:pPr>
              <w:jc w:val="right"/>
              <w:rPr>
                <w:rFonts w:ascii="Calibri" w:hAnsi="Calibri"/>
                <w:color w:val="000000"/>
              </w:rPr>
            </w:pPr>
            <w:r>
              <w:rPr>
                <w:rFonts w:ascii="Calibri" w:hAnsi="Calibri"/>
                <w:color w:val="000000"/>
              </w:rPr>
              <w:t>1169765.5</w:t>
            </w:r>
          </w:p>
        </w:tc>
        <w:tc>
          <w:tcPr>
            <w:tcW w:w="1614" w:type="dxa"/>
            <w:noWrap/>
            <w:vAlign w:val="bottom"/>
            <w:hideMark/>
          </w:tcPr>
          <w:p w:rsidR="00064502" w:rsidRDefault="00064502" w:rsidP="00064502">
            <w:pPr>
              <w:jc w:val="right"/>
              <w:rPr>
                <w:rFonts w:ascii="Calibri" w:hAnsi="Calibri"/>
                <w:color w:val="000000"/>
              </w:rPr>
            </w:pPr>
            <w:r>
              <w:rPr>
                <w:rFonts w:ascii="Calibri" w:hAnsi="Calibri"/>
                <w:color w:val="000000"/>
              </w:rPr>
              <w:t>81542.7</w:t>
            </w:r>
          </w:p>
        </w:tc>
        <w:tc>
          <w:tcPr>
            <w:tcW w:w="162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6.97</w:t>
            </w:r>
          </w:p>
        </w:tc>
      </w:tr>
      <w:tr w:rsidR="00064502" w:rsidRPr="004E6742" w:rsidTr="00064502">
        <w:trPr>
          <w:trHeight w:val="300"/>
        </w:trPr>
        <w:tc>
          <w:tcPr>
            <w:tcW w:w="692" w:type="dxa"/>
            <w:noWrap/>
            <w:hideMark/>
          </w:tcPr>
          <w:p w:rsidR="00064502" w:rsidRPr="00910C44" w:rsidRDefault="00064502" w:rsidP="00064502">
            <w:pPr>
              <w:spacing w:line="276" w:lineRule="auto"/>
              <w:jc w:val="center"/>
              <w:rPr>
                <w:rFonts w:ascii="Calibri" w:eastAsia="Times New Roman" w:hAnsi="Calibri" w:cs="Times New Roman"/>
                <w:color w:val="000000"/>
                <w:lang w:val="ro-RO"/>
              </w:rPr>
            </w:pPr>
            <w:r w:rsidRPr="00910C44">
              <w:rPr>
                <w:rFonts w:ascii="Calibri" w:eastAsia="Times New Roman" w:hAnsi="Calibri" w:cs="Times New Roman"/>
                <w:color w:val="000000"/>
                <w:lang w:val="ro-RO"/>
              </w:rPr>
              <w:t>2015</w:t>
            </w:r>
          </w:p>
        </w:tc>
        <w:tc>
          <w:tcPr>
            <w:tcW w:w="1288" w:type="dxa"/>
            <w:noWrap/>
            <w:vAlign w:val="bottom"/>
            <w:hideMark/>
          </w:tcPr>
          <w:p w:rsidR="00064502" w:rsidRDefault="00064502" w:rsidP="00064502">
            <w:pPr>
              <w:jc w:val="right"/>
              <w:rPr>
                <w:rFonts w:ascii="Calibri" w:hAnsi="Calibri"/>
                <w:color w:val="000000"/>
              </w:rPr>
            </w:pPr>
            <w:r>
              <w:rPr>
                <w:rFonts w:ascii="Calibri" w:hAnsi="Calibri"/>
                <w:color w:val="000000"/>
              </w:rPr>
              <w:t>124233.6</w:t>
            </w:r>
          </w:p>
        </w:tc>
        <w:tc>
          <w:tcPr>
            <w:tcW w:w="1620" w:type="dxa"/>
            <w:noWrap/>
            <w:vAlign w:val="bottom"/>
            <w:hideMark/>
          </w:tcPr>
          <w:p w:rsidR="00064502" w:rsidRDefault="00064502" w:rsidP="00064502">
            <w:pPr>
              <w:jc w:val="right"/>
              <w:rPr>
                <w:rFonts w:ascii="Calibri" w:hAnsi="Calibri"/>
                <w:color w:val="000000"/>
              </w:rPr>
            </w:pPr>
            <w:r>
              <w:rPr>
                <w:rFonts w:ascii="Calibri" w:hAnsi="Calibri"/>
                <w:color w:val="000000"/>
              </w:rPr>
              <w:t>8988.9</w:t>
            </w:r>
          </w:p>
        </w:tc>
        <w:tc>
          <w:tcPr>
            <w:tcW w:w="171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7.24</w:t>
            </w:r>
          </w:p>
        </w:tc>
        <w:tc>
          <w:tcPr>
            <w:tcW w:w="996" w:type="dxa"/>
            <w:noWrap/>
            <w:vAlign w:val="bottom"/>
            <w:hideMark/>
          </w:tcPr>
          <w:p w:rsidR="00064502" w:rsidRDefault="00064502" w:rsidP="00064502">
            <w:pPr>
              <w:jc w:val="right"/>
              <w:rPr>
                <w:rFonts w:ascii="Calibri" w:hAnsi="Calibri"/>
                <w:color w:val="000000"/>
              </w:rPr>
            </w:pPr>
            <w:r>
              <w:rPr>
                <w:rFonts w:ascii="Calibri" w:hAnsi="Calibri"/>
                <w:color w:val="000000"/>
              </w:rPr>
              <w:t>1204140.0</w:t>
            </w:r>
          </w:p>
        </w:tc>
        <w:tc>
          <w:tcPr>
            <w:tcW w:w="1614" w:type="dxa"/>
            <w:noWrap/>
            <w:vAlign w:val="bottom"/>
            <w:hideMark/>
          </w:tcPr>
          <w:p w:rsidR="00064502" w:rsidRDefault="00064502" w:rsidP="00064502">
            <w:pPr>
              <w:jc w:val="right"/>
              <w:rPr>
                <w:rFonts w:ascii="Calibri" w:hAnsi="Calibri"/>
                <w:color w:val="000000"/>
              </w:rPr>
            </w:pPr>
            <w:r>
              <w:rPr>
                <w:rFonts w:ascii="Calibri" w:hAnsi="Calibri"/>
                <w:color w:val="000000"/>
              </w:rPr>
              <w:t>75841.2</w:t>
            </w:r>
          </w:p>
        </w:tc>
        <w:tc>
          <w:tcPr>
            <w:tcW w:w="1620" w:type="dxa"/>
            <w:noWrap/>
            <w:hideMark/>
          </w:tcPr>
          <w:p w:rsidR="00064502" w:rsidRPr="00910C44" w:rsidRDefault="00064502" w:rsidP="00064502">
            <w:pPr>
              <w:spacing w:line="276" w:lineRule="auto"/>
              <w:jc w:val="right"/>
              <w:rPr>
                <w:rFonts w:ascii="Calibri" w:eastAsia="Times New Roman" w:hAnsi="Calibri" w:cs="Times New Roman"/>
                <w:color w:val="000000"/>
                <w:lang w:val="ro-RO"/>
              </w:rPr>
            </w:pPr>
            <w:r w:rsidRPr="00910C44">
              <w:rPr>
                <w:rFonts w:ascii="Calibri" w:eastAsia="Times New Roman" w:hAnsi="Calibri" w:cs="Times New Roman"/>
                <w:color w:val="000000"/>
                <w:lang w:val="ro-RO"/>
              </w:rPr>
              <w:t>6.30</w:t>
            </w:r>
          </w:p>
        </w:tc>
      </w:tr>
    </w:tbl>
    <w:p w:rsidR="00064502" w:rsidRDefault="00064502" w:rsidP="00064502">
      <w:pPr>
        <w:jc w:val="both"/>
        <w:rPr>
          <w:rFonts w:cs="Arial-ItalicMT"/>
          <w:b/>
          <w:iCs/>
          <w:color w:val="1A1A1A"/>
          <w:lang w:val="ro-RO"/>
        </w:rPr>
      </w:pPr>
      <w:r>
        <w:rPr>
          <w:rFonts w:cs="Arial-ItalicMT"/>
          <w:b/>
          <w:iCs/>
          <w:color w:val="1A1A1A"/>
          <w:lang w:val="ro-RO"/>
        </w:rPr>
        <w:t>Sursă date: RECOM</w:t>
      </w:r>
    </w:p>
    <w:p w:rsidR="00064502" w:rsidRPr="000F4D4C" w:rsidRDefault="00064502" w:rsidP="00064502">
      <w:pPr>
        <w:jc w:val="both"/>
        <w:rPr>
          <w:rFonts w:cs="Arial-ItalicMT"/>
          <w:iCs/>
          <w:color w:val="1A1A1A"/>
          <w:sz w:val="24"/>
          <w:szCs w:val="24"/>
          <w:lang w:val="ro-RO"/>
        </w:rPr>
      </w:pPr>
      <w:r w:rsidRPr="000F4D4C">
        <w:rPr>
          <w:rFonts w:cs="Arial-ItalicMT"/>
          <w:iCs/>
          <w:color w:val="1A1A1A"/>
          <w:sz w:val="24"/>
          <w:szCs w:val="24"/>
          <w:lang w:val="ro-RO"/>
        </w:rPr>
        <w:t>În calcului cifrei anuale de afaceri a sectorului agroalimentar s-au luat în calcul următoarele coduri CAEN:</w:t>
      </w:r>
    </w:p>
    <w:p w:rsidR="00064502" w:rsidRPr="000F4D4C" w:rsidRDefault="00064502" w:rsidP="00064502">
      <w:pPr>
        <w:spacing w:after="0"/>
        <w:jc w:val="both"/>
        <w:rPr>
          <w:rFonts w:cs="Arial-ItalicMT"/>
          <w:iCs/>
          <w:color w:val="1A1A1A"/>
          <w:sz w:val="24"/>
          <w:szCs w:val="24"/>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Fonts w:cs="Arial-ItalicMT"/>
          <w:iCs/>
          <w:color w:val="1A1A1A"/>
          <w:sz w:val="24"/>
          <w:szCs w:val="24"/>
          <w:lang w:val="ro-RO"/>
        </w:rPr>
        <w:t>011 Cultivarea plantelor nepermanente;</w:t>
      </w:r>
    </w:p>
    <w:p w:rsidR="00064502" w:rsidRPr="000F4D4C" w:rsidRDefault="00064502" w:rsidP="00064502">
      <w:pPr>
        <w:spacing w:after="0"/>
        <w:jc w:val="both"/>
        <w:rPr>
          <w:rFonts w:cs="Arial-ItalicMT"/>
          <w:iCs/>
          <w:color w:val="1A1A1A"/>
          <w:sz w:val="24"/>
          <w:szCs w:val="24"/>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Fonts w:cs="Arial-ItalicMT"/>
          <w:iCs/>
          <w:color w:val="1A1A1A"/>
          <w:sz w:val="24"/>
          <w:szCs w:val="24"/>
          <w:lang w:val="ro-RO"/>
        </w:rPr>
        <w:t>012 Cultivarea plantelor din culturi permanente;</w:t>
      </w:r>
    </w:p>
    <w:p w:rsidR="00064502" w:rsidRPr="000F4D4C" w:rsidRDefault="00064502" w:rsidP="00064502">
      <w:pPr>
        <w:spacing w:after="0"/>
        <w:jc w:val="both"/>
        <w:rPr>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de 4 cifre ale domeniului 013 Cu</w:t>
      </w:r>
      <w:r>
        <w:rPr>
          <w:color w:val="383838"/>
          <w:sz w:val="24"/>
          <w:szCs w:val="24"/>
          <w:shd w:val="clear" w:color="auto" w:fill="FFFFFF"/>
          <w:lang w:val="ro-RO"/>
        </w:rPr>
        <w:t>ltivarea plantelor pentru înmulţ</w:t>
      </w:r>
      <w:r w:rsidRPr="000F4D4C">
        <w:rPr>
          <w:color w:val="383838"/>
          <w:sz w:val="24"/>
          <w:szCs w:val="24"/>
          <w:shd w:val="clear" w:color="auto" w:fill="FFFFFF"/>
          <w:lang w:val="ro-RO"/>
        </w:rPr>
        <w:t>ire;</w:t>
      </w:r>
    </w:p>
    <w:p w:rsidR="00064502" w:rsidRPr="000F4D4C" w:rsidRDefault="00064502" w:rsidP="00064502">
      <w:pPr>
        <w:spacing w:after="0"/>
        <w:jc w:val="both"/>
        <w:rPr>
          <w:b/>
          <w:bCs/>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Pr>
          <w:rStyle w:val="Robust"/>
          <w:b w:val="0"/>
          <w:color w:val="383838"/>
          <w:sz w:val="24"/>
          <w:szCs w:val="24"/>
          <w:shd w:val="clear" w:color="auto" w:fill="FFFFFF"/>
        </w:rPr>
        <w:t>014 Creş</w:t>
      </w:r>
      <w:r w:rsidRPr="000F4D4C">
        <w:rPr>
          <w:rStyle w:val="Robust"/>
          <w:b w:val="0"/>
          <w:color w:val="383838"/>
          <w:sz w:val="24"/>
          <w:szCs w:val="24"/>
          <w:shd w:val="clear" w:color="auto" w:fill="FFFFFF"/>
        </w:rPr>
        <w:t>terea animalelor;</w:t>
      </w:r>
    </w:p>
    <w:p w:rsidR="00064502" w:rsidRPr="000F4D4C" w:rsidRDefault="00064502" w:rsidP="00064502">
      <w:pPr>
        <w:spacing w:after="0"/>
        <w:jc w:val="both"/>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 xml:space="preserve">015 </w:t>
      </w:r>
      <w:r>
        <w:rPr>
          <w:rFonts w:eastAsia="Times New Roman" w:cs="Times New Roman"/>
          <w:color w:val="383838"/>
          <w:sz w:val="24"/>
          <w:szCs w:val="24"/>
          <w:lang w:val="ro-RO"/>
        </w:rPr>
        <w:t>Activităţ</w:t>
      </w:r>
      <w:r w:rsidRPr="000F4D4C">
        <w:rPr>
          <w:rFonts w:eastAsia="Times New Roman" w:cs="Times New Roman"/>
          <w:color w:val="383838"/>
          <w:sz w:val="24"/>
          <w:szCs w:val="24"/>
          <w:lang w:val="ro-RO"/>
        </w:rPr>
        <w:t>i</w:t>
      </w:r>
      <w:r w:rsidRPr="000F4D4C">
        <w:rPr>
          <w:rStyle w:val="Robust"/>
          <w:b w:val="0"/>
          <w:color w:val="383838"/>
          <w:sz w:val="24"/>
          <w:szCs w:val="24"/>
          <w:shd w:val="clear" w:color="auto" w:fill="FFFFFF"/>
        </w:rPr>
        <w:t xml:space="preserve"> în ferme mixte (cu</w:t>
      </w:r>
      <w:r>
        <w:rPr>
          <w:rStyle w:val="Robust"/>
          <w:b w:val="0"/>
          <w:color w:val="383838"/>
          <w:sz w:val="24"/>
          <w:szCs w:val="24"/>
          <w:shd w:val="clear" w:color="auto" w:fill="FFFFFF"/>
        </w:rPr>
        <w:t>ltura vegetala combinata cu creş</w:t>
      </w:r>
      <w:r w:rsidRPr="000F4D4C">
        <w:rPr>
          <w:rStyle w:val="Robust"/>
          <w:b w:val="0"/>
          <w:color w:val="383838"/>
          <w:sz w:val="24"/>
          <w:szCs w:val="24"/>
          <w:shd w:val="clear" w:color="auto" w:fill="FFFFFF"/>
        </w:rPr>
        <w:t>terea animalelor);</w:t>
      </w:r>
    </w:p>
    <w:p w:rsidR="00064502" w:rsidRPr="000F4D4C" w:rsidRDefault="00064502" w:rsidP="00064502">
      <w:pPr>
        <w:spacing w:after="0"/>
        <w:jc w:val="both"/>
        <w:rPr>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Pr>
          <w:rFonts w:eastAsia="Times New Roman" w:cs="Times New Roman"/>
          <w:color w:val="383838"/>
          <w:sz w:val="24"/>
          <w:szCs w:val="24"/>
          <w:lang w:val="ro-RO"/>
        </w:rPr>
        <w:t>016 Activităţ</w:t>
      </w:r>
      <w:r w:rsidRPr="000F4D4C">
        <w:rPr>
          <w:rFonts w:eastAsia="Times New Roman" w:cs="Times New Roman"/>
          <w:color w:val="383838"/>
          <w:sz w:val="24"/>
          <w:szCs w:val="24"/>
          <w:lang w:val="ro-RO"/>
        </w:rPr>
        <w:t>i auxiliare</w:t>
      </w:r>
      <w:r>
        <w:rPr>
          <w:rFonts w:eastAsia="Times New Roman" w:cs="Times New Roman"/>
          <w:color w:val="383838"/>
          <w:sz w:val="24"/>
          <w:szCs w:val="24"/>
          <w:lang w:val="ro-RO"/>
        </w:rPr>
        <w:t xml:space="preserve"> agriculturii si activităţ</w:t>
      </w:r>
      <w:r w:rsidRPr="000F4D4C">
        <w:rPr>
          <w:rFonts w:eastAsia="Times New Roman" w:cs="Times New Roman"/>
          <w:color w:val="383838"/>
          <w:sz w:val="24"/>
          <w:szCs w:val="24"/>
          <w:lang w:val="ro-RO"/>
        </w:rPr>
        <w:t>i</w:t>
      </w:r>
      <w:r>
        <w:rPr>
          <w:rFonts w:eastAsia="Times New Roman" w:cs="Times New Roman"/>
          <w:color w:val="383838"/>
          <w:sz w:val="24"/>
          <w:szCs w:val="24"/>
          <w:lang w:val="ro-RO"/>
        </w:rPr>
        <w:t xml:space="preserve"> după</w:t>
      </w:r>
      <w:r w:rsidRPr="000F4D4C">
        <w:rPr>
          <w:rFonts w:eastAsia="Times New Roman" w:cs="Times New Roman"/>
          <w:color w:val="383838"/>
          <w:sz w:val="24"/>
          <w:szCs w:val="24"/>
          <w:lang w:val="ro-RO"/>
        </w:rPr>
        <w:t xml:space="preserve"> recoltare</w:t>
      </w:r>
    </w:p>
    <w:p w:rsidR="00064502" w:rsidRPr="000F4D4C" w:rsidRDefault="00064502" w:rsidP="00064502">
      <w:pPr>
        <w:spacing w:after="0"/>
        <w:jc w:val="both"/>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Pr>
          <w:rStyle w:val="Robust"/>
          <w:b w:val="0"/>
          <w:color w:val="383838"/>
          <w:sz w:val="24"/>
          <w:szCs w:val="24"/>
          <w:shd w:val="clear" w:color="auto" w:fill="FFFFFF"/>
        </w:rPr>
        <w:t>101 Producţ</w:t>
      </w:r>
      <w:r w:rsidRPr="000F4D4C">
        <w:rPr>
          <w:rStyle w:val="Robust"/>
          <w:b w:val="0"/>
          <w:color w:val="383838"/>
          <w:sz w:val="24"/>
          <w:szCs w:val="24"/>
          <w:shd w:val="clear" w:color="auto" w:fill="FFFFFF"/>
        </w:rPr>
        <w:t xml:space="preserve">ia, prelucrarea </w:t>
      </w:r>
      <w:r>
        <w:rPr>
          <w:rStyle w:val="Robust"/>
          <w:b w:val="0"/>
          <w:color w:val="383838"/>
          <w:sz w:val="24"/>
          <w:szCs w:val="24"/>
          <w:shd w:val="clear" w:color="auto" w:fill="FFFFFF"/>
        </w:rPr>
        <w:t>ş</w:t>
      </w:r>
      <w:r w:rsidRPr="000F4D4C">
        <w:rPr>
          <w:rStyle w:val="Robust"/>
          <w:b w:val="0"/>
          <w:color w:val="383838"/>
          <w:sz w:val="24"/>
          <w:szCs w:val="24"/>
          <w:shd w:val="clear" w:color="auto" w:fill="FFFFFF"/>
        </w:rPr>
        <w:t>i conservarea c</w:t>
      </w:r>
      <w:r>
        <w:rPr>
          <w:rStyle w:val="Robust"/>
          <w:b w:val="0"/>
          <w:color w:val="383838"/>
          <w:sz w:val="24"/>
          <w:szCs w:val="24"/>
          <w:shd w:val="clear" w:color="auto" w:fill="FFFFFF"/>
        </w:rPr>
        <w:t>ărnii ş</w:t>
      </w:r>
      <w:r w:rsidRPr="000F4D4C">
        <w:rPr>
          <w:rStyle w:val="Robust"/>
          <w:b w:val="0"/>
          <w:color w:val="383838"/>
          <w:sz w:val="24"/>
          <w:szCs w:val="24"/>
          <w:shd w:val="clear" w:color="auto" w:fill="FFFFFF"/>
        </w:rPr>
        <w:t>i a produselor din carne;</w:t>
      </w:r>
    </w:p>
    <w:p w:rsidR="00064502" w:rsidRPr="000F4D4C" w:rsidRDefault="00064502" w:rsidP="00064502">
      <w:pPr>
        <w:spacing w:after="0"/>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w:t>
      </w:r>
      <w:r>
        <w:rPr>
          <w:rStyle w:val="Robust"/>
          <w:b w:val="0"/>
          <w:color w:val="383838"/>
          <w:sz w:val="24"/>
          <w:szCs w:val="24"/>
          <w:shd w:val="clear" w:color="auto" w:fill="FFFFFF"/>
        </w:rPr>
        <w:t>2 Prelucrarea si conservarea peştelui, crustaceelor si moluş</w:t>
      </w:r>
      <w:r w:rsidRPr="000F4D4C">
        <w:rPr>
          <w:rStyle w:val="Robust"/>
          <w:b w:val="0"/>
          <w:color w:val="383838"/>
          <w:sz w:val="24"/>
          <w:szCs w:val="24"/>
          <w:shd w:val="clear" w:color="auto" w:fill="FFFFFF"/>
        </w:rPr>
        <w:t>telor;</w:t>
      </w:r>
    </w:p>
    <w:p w:rsidR="00064502" w:rsidRPr="000F4D4C" w:rsidRDefault="00064502" w:rsidP="00064502">
      <w:pPr>
        <w:spacing w:after="0"/>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103 Prelucrarea si conservarea fructelor si legumelor;</w:t>
      </w:r>
    </w:p>
    <w:p w:rsidR="00064502" w:rsidRPr="000F4D4C" w:rsidRDefault="00064502" w:rsidP="00064502">
      <w:pPr>
        <w:spacing w:after="0"/>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w:t>
      </w:r>
      <w:r>
        <w:rPr>
          <w:rStyle w:val="Robust"/>
          <w:b w:val="0"/>
          <w:color w:val="383838"/>
          <w:sz w:val="24"/>
          <w:szCs w:val="24"/>
          <w:shd w:val="clear" w:color="auto" w:fill="FFFFFF"/>
        </w:rPr>
        <w:t>4 Fabricarea uleiurilor si a gră</w:t>
      </w:r>
      <w:r w:rsidRPr="000F4D4C">
        <w:rPr>
          <w:rStyle w:val="Robust"/>
          <w:b w:val="0"/>
          <w:color w:val="383838"/>
          <w:sz w:val="24"/>
          <w:szCs w:val="24"/>
          <w:shd w:val="clear" w:color="auto" w:fill="FFFFFF"/>
        </w:rPr>
        <w:t>similor</w:t>
      </w:r>
      <w:r w:rsidRPr="000F4D4C">
        <w:rPr>
          <w:rStyle w:val="Robust"/>
          <w:color w:val="383838"/>
          <w:sz w:val="24"/>
          <w:szCs w:val="24"/>
          <w:shd w:val="clear" w:color="auto" w:fill="FFFFFF"/>
        </w:rPr>
        <w:t xml:space="preserve"> </w:t>
      </w:r>
      <w:r w:rsidRPr="000F4D4C">
        <w:rPr>
          <w:rStyle w:val="Robust"/>
          <w:b w:val="0"/>
          <w:color w:val="383838"/>
          <w:sz w:val="24"/>
          <w:szCs w:val="24"/>
          <w:shd w:val="clear" w:color="auto" w:fill="FFFFFF"/>
        </w:rPr>
        <w:t>vegetale si animale;</w:t>
      </w:r>
    </w:p>
    <w:p w:rsidR="00064502" w:rsidRPr="000F4D4C" w:rsidRDefault="00064502" w:rsidP="00064502">
      <w:pPr>
        <w:spacing w:after="0"/>
        <w:rPr>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105 Fabricarea produselor lactate;</w:t>
      </w:r>
    </w:p>
    <w:p w:rsidR="00064502" w:rsidRPr="000F4D4C" w:rsidRDefault="00064502" w:rsidP="00064502">
      <w:pPr>
        <w:spacing w:after="0"/>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w:t>
      </w:r>
      <w:r>
        <w:rPr>
          <w:rStyle w:val="Robust"/>
          <w:b w:val="0"/>
          <w:color w:val="383838"/>
          <w:sz w:val="24"/>
          <w:szCs w:val="24"/>
          <w:shd w:val="clear" w:color="auto" w:fill="FFFFFF"/>
        </w:rPr>
        <w:t>06 Fabricarea produselor de moră</w:t>
      </w:r>
      <w:r w:rsidRPr="000F4D4C">
        <w:rPr>
          <w:rStyle w:val="Robust"/>
          <w:b w:val="0"/>
          <w:color w:val="383838"/>
          <w:sz w:val="24"/>
          <w:szCs w:val="24"/>
          <w:shd w:val="clear" w:color="auto" w:fill="FFFFFF"/>
        </w:rPr>
        <w:t>rit, a amidonului si produselor din amidon</w:t>
      </w:r>
    </w:p>
    <w:p w:rsidR="00064502" w:rsidRPr="000F4D4C" w:rsidRDefault="00064502" w:rsidP="00064502">
      <w:pPr>
        <w:spacing w:after="0"/>
        <w:rPr>
          <w:rStyle w:val="Robust"/>
          <w:b w:val="0"/>
          <w:color w:val="383838"/>
          <w:sz w:val="24"/>
          <w:szCs w:val="24"/>
          <w:shd w:val="clear" w:color="auto" w:fill="FFFFFF"/>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w:t>
      </w:r>
      <w:r>
        <w:rPr>
          <w:rStyle w:val="Robust"/>
          <w:b w:val="0"/>
          <w:color w:val="383838"/>
          <w:sz w:val="24"/>
          <w:szCs w:val="24"/>
          <w:shd w:val="clear" w:color="auto" w:fill="FFFFFF"/>
        </w:rPr>
        <w:t>7 Fabricarea produselor de brutărie ş</w:t>
      </w:r>
      <w:r w:rsidRPr="000F4D4C">
        <w:rPr>
          <w:rStyle w:val="Robust"/>
          <w:b w:val="0"/>
          <w:color w:val="383838"/>
          <w:sz w:val="24"/>
          <w:szCs w:val="24"/>
          <w:shd w:val="clear" w:color="auto" w:fill="FFFFFF"/>
        </w:rPr>
        <w:t>i a</w:t>
      </w:r>
      <w:r w:rsidRPr="000F4D4C">
        <w:rPr>
          <w:rStyle w:val="Robust"/>
          <w:color w:val="383838"/>
          <w:sz w:val="24"/>
          <w:szCs w:val="24"/>
          <w:shd w:val="clear" w:color="auto" w:fill="FFFFFF"/>
        </w:rPr>
        <w:t xml:space="preserve"> </w:t>
      </w:r>
      <w:r>
        <w:rPr>
          <w:rStyle w:val="Robust"/>
          <w:b w:val="0"/>
          <w:color w:val="383838"/>
          <w:sz w:val="24"/>
          <w:szCs w:val="24"/>
          <w:shd w:val="clear" w:color="auto" w:fill="FFFFFF"/>
        </w:rPr>
        <w:t>produselor fă</w:t>
      </w:r>
      <w:r w:rsidRPr="000F4D4C">
        <w:rPr>
          <w:rStyle w:val="Robust"/>
          <w:b w:val="0"/>
          <w:color w:val="383838"/>
          <w:sz w:val="24"/>
          <w:szCs w:val="24"/>
          <w:shd w:val="clear" w:color="auto" w:fill="FFFFFF"/>
        </w:rPr>
        <w:t>inoase</w:t>
      </w:r>
    </w:p>
    <w:p w:rsidR="00064502" w:rsidRPr="000F4D4C" w:rsidRDefault="00064502" w:rsidP="00064502">
      <w:pPr>
        <w:spacing w:after="0"/>
        <w:rPr>
          <w:rStyle w:val="Robust"/>
          <w:b w:val="0"/>
          <w:color w:val="383838"/>
          <w:sz w:val="24"/>
          <w:szCs w:val="24"/>
          <w:shd w:val="clear" w:color="auto" w:fill="FFFFFF"/>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108 Fabricarea altor produse alimentare;</w:t>
      </w:r>
    </w:p>
    <w:p w:rsidR="00064502" w:rsidRPr="000F4D4C" w:rsidRDefault="00064502" w:rsidP="00064502">
      <w:pPr>
        <w:spacing w:after="0"/>
        <w:rPr>
          <w:b/>
          <w:color w:val="383838"/>
          <w:sz w:val="24"/>
          <w:szCs w:val="24"/>
          <w:shd w:val="clear" w:color="auto" w:fill="FFFFFF"/>
          <w:lang w:val="ro-RO"/>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sidRPr="000F4D4C">
        <w:rPr>
          <w:rStyle w:val="Robust"/>
          <w:b w:val="0"/>
          <w:color w:val="383838"/>
          <w:sz w:val="24"/>
          <w:szCs w:val="24"/>
          <w:shd w:val="clear" w:color="auto" w:fill="FFFFFF"/>
        </w:rPr>
        <w:t>109 Fabricarea preparatelor pentru hrana animalelor;</w:t>
      </w:r>
    </w:p>
    <w:p w:rsidR="00064502" w:rsidRDefault="00064502" w:rsidP="00064502">
      <w:pPr>
        <w:rPr>
          <w:rStyle w:val="Robust"/>
          <w:b w:val="0"/>
          <w:color w:val="383838"/>
          <w:sz w:val="24"/>
          <w:szCs w:val="24"/>
          <w:shd w:val="clear" w:color="auto" w:fill="FFFFFF"/>
        </w:rPr>
      </w:pPr>
      <w:r w:rsidRPr="000F4D4C">
        <w:rPr>
          <w:rFonts w:cs="Arial-ItalicMT"/>
          <w:iCs/>
          <w:color w:val="1A1A1A"/>
          <w:sz w:val="24"/>
          <w:szCs w:val="24"/>
          <w:lang w:val="ro-RO"/>
        </w:rPr>
        <w:t xml:space="preserve">- toate subgrupele </w:t>
      </w:r>
      <w:r w:rsidRPr="000F4D4C">
        <w:rPr>
          <w:color w:val="383838"/>
          <w:sz w:val="24"/>
          <w:szCs w:val="24"/>
          <w:shd w:val="clear" w:color="auto" w:fill="FFFFFF"/>
          <w:lang w:val="ro-RO"/>
        </w:rPr>
        <w:t xml:space="preserve">de 4 cifre ale domeniului </w:t>
      </w:r>
      <w:r>
        <w:rPr>
          <w:rStyle w:val="Robust"/>
          <w:b w:val="0"/>
          <w:color w:val="383838"/>
          <w:sz w:val="24"/>
          <w:szCs w:val="24"/>
          <w:shd w:val="clear" w:color="auto" w:fill="FFFFFF"/>
        </w:rPr>
        <w:t>110 Fabricarea bă</w:t>
      </w:r>
      <w:r w:rsidRPr="000F4D4C">
        <w:rPr>
          <w:rStyle w:val="Robust"/>
          <w:b w:val="0"/>
          <w:color w:val="383838"/>
          <w:sz w:val="24"/>
          <w:szCs w:val="24"/>
          <w:shd w:val="clear" w:color="auto" w:fill="FFFFFF"/>
        </w:rPr>
        <w:t>uturilor.</w:t>
      </w:r>
    </w:p>
    <w:p w:rsidR="00064502" w:rsidRPr="003C3A3D" w:rsidRDefault="00064502" w:rsidP="00064502">
      <w:pPr>
        <w:spacing w:after="0"/>
        <w:ind w:left="720"/>
        <w:jc w:val="center"/>
        <w:rPr>
          <w:bCs/>
          <w:color w:val="383838"/>
          <w:sz w:val="24"/>
          <w:szCs w:val="24"/>
          <w:shd w:val="clear" w:color="auto" w:fill="FFFFFF"/>
          <w:lang w:val="ro-RO"/>
        </w:rPr>
      </w:pPr>
      <w:r>
        <w:rPr>
          <w:b/>
          <w:sz w:val="24"/>
          <w:szCs w:val="24"/>
          <w:lang w:val="ro-RO"/>
        </w:rPr>
        <w:lastRenderedPageBreak/>
        <w:t>Tabel 9</w:t>
      </w:r>
      <w:r w:rsidRPr="00644F7F">
        <w:rPr>
          <w:b/>
          <w:sz w:val="24"/>
          <w:szCs w:val="24"/>
          <w:lang w:val="ro-RO"/>
        </w:rPr>
        <w:t xml:space="preserve"> Cifra de afaceri a firmelor</w:t>
      </w:r>
      <w:r>
        <w:rPr>
          <w:b/>
          <w:sz w:val="24"/>
          <w:szCs w:val="24"/>
          <w:lang w:val="ro-RO"/>
        </w:rPr>
        <w:t xml:space="preserve"> din Regiunea Centru</w:t>
      </w:r>
      <w:r w:rsidRPr="00644F7F">
        <w:rPr>
          <w:b/>
          <w:sz w:val="24"/>
          <w:szCs w:val="24"/>
          <w:lang w:val="ro-RO"/>
        </w:rPr>
        <w:t xml:space="preserve"> ce activează în sectorul </w:t>
      </w:r>
      <w:r>
        <w:rPr>
          <w:b/>
          <w:sz w:val="24"/>
          <w:szCs w:val="24"/>
          <w:lang w:val="ro-RO"/>
        </w:rPr>
        <w:t xml:space="preserve">  </w:t>
      </w:r>
      <w:r w:rsidRPr="00644F7F">
        <w:rPr>
          <w:b/>
          <w:sz w:val="24"/>
          <w:szCs w:val="24"/>
          <w:lang w:val="ro-RO"/>
        </w:rPr>
        <w:t>agroalimentar în anul 2015</w:t>
      </w:r>
      <w:r>
        <w:rPr>
          <w:b/>
          <w:sz w:val="24"/>
          <w:szCs w:val="24"/>
          <w:lang w:val="ro-RO"/>
        </w:rPr>
        <w:t xml:space="preserve">                   </w:t>
      </w:r>
    </w:p>
    <w:tbl>
      <w:tblPr>
        <w:tblStyle w:val="Default"/>
        <w:tblW w:w="9468" w:type="dxa"/>
        <w:tblLook w:val="04A0"/>
      </w:tblPr>
      <w:tblGrid>
        <w:gridCol w:w="7758"/>
        <w:gridCol w:w="1710"/>
      </w:tblGrid>
      <w:tr w:rsidR="00064502" w:rsidRPr="00644F7F" w:rsidTr="00064502">
        <w:trPr>
          <w:trHeight w:val="300"/>
        </w:trPr>
        <w:tc>
          <w:tcPr>
            <w:tcW w:w="7758" w:type="dxa"/>
            <w:noWrap/>
            <w:vAlign w:val="bottom"/>
            <w:hideMark/>
          </w:tcPr>
          <w:p w:rsidR="00064502" w:rsidRPr="003C3A3D" w:rsidRDefault="00064502" w:rsidP="00064502">
            <w:pPr>
              <w:rPr>
                <w:rFonts w:ascii="Calibri" w:eastAsia="Times New Roman" w:hAnsi="Calibri"/>
              </w:rPr>
            </w:pPr>
            <w:r w:rsidRPr="003C3A3D">
              <w:rPr>
                <w:rFonts w:ascii="Calibri" w:eastAsia="Times New Roman" w:hAnsi="Calibri"/>
              </w:rPr>
              <w:t>Codul CAEN</w:t>
            </w:r>
          </w:p>
        </w:tc>
        <w:tc>
          <w:tcPr>
            <w:tcW w:w="1710" w:type="dxa"/>
            <w:noWrap/>
            <w:hideMark/>
          </w:tcPr>
          <w:p w:rsidR="00064502" w:rsidRPr="003C3A3D" w:rsidRDefault="00064502" w:rsidP="00064502">
            <w:pPr>
              <w:jc w:val="center"/>
              <w:rPr>
                <w:rFonts w:ascii="Calibri" w:eastAsia="Times New Roman" w:hAnsi="Calibri"/>
              </w:rPr>
            </w:pPr>
            <w:r w:rsidRPr="003C3A3D">
              <w:rPr>
                <w:rFonts w:ascii="Calibri" w:eastAsia="Times New Roman" w:hAnsi="Calibri"/>
              </w:rPr>
              <w:t>Cifra de afaceri</w:t>
            </w:r>
            <w:r>
              <w:rPr>
                <w:rFonts w:ascii="Calibri" w:eastAsia="Times New Roman" w:hAnsi="Calibri"/>
              </w:rPr>
              <w:t xml:space="preserve"> </w:t>
            </w:r>
            <w:r>
              <w:rPr>
                <w:b/>
              </w:rPr>
              <w:t>-lei-</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101 Producţia, prelucrarea şi conservarea cărnii şi a produselor din carne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1788147769</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102 Prelucrarea şi conservarea peştelui, crustaceelor şi moluştelor</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27019477</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103 Prelucrarea şi conservarea fructelor şi legumelor</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76256324</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104 Fabricarea uleiurilor şi a grăsimilor vegetale şi animale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1244174</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105 Fabricarea produselor lactate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1875765488</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106 Fabricarea produselor de morărit, a amidonului şi produselor din amidon</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156227291</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107 Fabricarea produselor de brutărie şi a produselor făinoase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833701167</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108 Fabricarea altor produse alimentare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758450675</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109 Fabricarea preparatelor pentru hrana animalelor</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165574732</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110 Fabricarea băuturilor</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932974148</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011 Cultivarea plantelor nepermanente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414268819</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012 Cultivarea plantelor din culturi permanente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215234986</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013 Cultivarea plantelor pentru înmulţire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25739945</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014 Creşterea animalelor</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1387969238</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015 Activităţi în ferme mixte (cultura vegetală combinată cu creşterea animalelor)</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226936270</w:t>
            </w:r>
          </w:p>
        </w:tc>
      </w:tr>
      <w:tr w:rsidR="00064502" w:rsidRPr="00644F7F" w:rsidTr="00064502">
        <w:trPr>
          <w:trHeight w:val="300"/>
        </w:trPr>
        <w:tc>
          <w:tcPr>
            <w:tcW w:w="7758" w:type="dxa"/>
            <w:noWrap/>
            <w:hideMark/>
          </w:tcPr>
          <w:p w:rsidR="00064502" w:rsidRPr="003C3A3D" w:rsidRDefault="00064502" w:rsidP="00064502">
            <w:pPr>
              <w:rPr>
                <w:rFonts w:ascii="Calibri" w:eastAsia="Times New Roman" w:hAnsi="Calibri"/>
              </w:rPr>
            </w:pPr>
            <w:r w:rsidRPr="003C3A3D">
              <w:rPr>
                <w:rFonts w:ascii="Calibri" w:eastAsia="Times New Roman" w:hAnsi="Calibri"/>
              </w:rPr>
              <w:t>016 Activităţi auxiliare agriculturii şi activităţi după recoltare</w:t>
            </w:r>
          </w:p>
        </w:tc>
        <w:tc>
          <w:tcPr>
            <w:tcW w:w="1710" w:type="dxa"/>
            <w:noWrap/>
            <w:hideMark/>
          </w:tcPr>
          <w:p w:rsidR="00064502" w:rsidRPr="00644F7F" w:rsidRDefault="00064502" w:rsidP="00064502">
            <w:pPr>
              <w:jc w:val="right"/>
              <w:rPr>
                <w:rFonts w:ascii="Calibri" w:eastAsia="Times New Roman" w:hAnsi="Calibri"/>
              </w:rPr>
            </w:pPr>
            <w:r w:rsidRPr="00644F7F">
              <w:rPr>
                <w:rFonts w:ascii="Calibri" w:eastAsia="Times New Roman" w:hAnsi="Calibri"/>
              </w:rPr>
              <w:t>103391337</w:t>
            </w:r>
          </w:p>
        </w:tc>
      </w:tr>
    </w:tbl>
    <w:p w:rsidR="00064502" w:rsidRDefault="00064502" w:rsidP="00064502">
      <w:pPr>
        <w:jc w:val="both"/>
        <w:rPr>
          <w:rFonts w:cs="Arial-ItalicMT"/>
          <w:b/>
          <w:iCs/>
          <w:color w:val="1A1A1A"/>
          <w:lang w:val="ro-RO"/>
        </w:rPr>
      </w:pPr>
      <w:r>
        <w:rPr>
          <w:rFonts w:cs="Arial-ItalicMT"/>
          <w:b/>
          <w:iCs/>
          <w:color w:val="1A1A1A"/>
          <w:lang w:val="ro-RO"/>
        </w:rPr>
        <w:t>Sursă date: RECOM</w:t>
      </w:r>
    </w:p>
    <w:p w:rsidR="00064502" w:rsidRDefault="00064502" w:rsidP="00064502">
      <w:pPr>
        <w:jc w:val="both"/>
        <w:rPr>
          <w:rStyle w:val="Robust"/>
          <w:b w:val="0"/>
          <w:sz w:val="24"/>
          <w:szCs w:val="24"/>
          <w:shd w:val="clear" w:color="auto" w:fill="FFFFFF"/>
        </w:rPr>
      </w:pPr>
      <w:r>
        <w:rPr>
          <w:rStyle w:val="Robust"/>
          <w:b w:val="0"/>
          <w:sz w:val="24"/>
          <w:szCs w:val="24"/>
          <w:shd w:val="clear" w:color="auto" w:fill="FFFFFF"/>
        </w:rPr>
        <w:t xml:space="preserve">În anul 2015, firmele din Regiunea Centru care conform codului CAEN se ocupă cu </w:t>
      </w:r>
      <w:r w:rsidRPr="001B6310">
        <w:rPr>
          <w:rStyle w:val="Robust"/>
          <w:sz w:val="24"/>
          <w:szCs w:val="24"/>
          <w:shd w:val="clear" w:color="auto" w:fill="FFFFFF"/>
        </w:rPr>
        <w:t>fabricarea produselor lactate deţin cea mai mare pondere</w:t>
      </w:r>
      <w:r>
        <w:rPr>
          <w:rStyle w:val="Robust"/>
          <w:b w:val="0"/>
          <w:sz w:val="24"/>
          <w:szCs w:val="24"/>
          <w:shd w:val="clear" w:color="auto" w:fill="FFFFFF"/>
        </w:rPr>
        <w:t xml:space="preserve"> (aproape 21%) din cifra de afaceri pe sectorul agroalimentar. Pe </w:t>
      </w:r>
      <w:r w:rsidRPr="001B6310">
        <w:rPr>
          <w:rStyle w:val="Robust"/>
          <w:sz w:val="24"/>
          <w:szCs w:val="24"/>
          <w:shd w:val="clear" w:color="auto" w:fill="FFFFFF"/>
        </w:rPr>
        <w:t>locul 2</w:t>
      </w:r>
      <w:r>
        <w:rPr>
          <w:rStyle w:val="Robust"/>
          <w:b w:val="0"/>
          <w:sz w:val="24"/>
          <w:szCs w:val="24"/>
          <w:shd w:val="clear" w:color="auto" w:fill="FFFFFF"/>
        </w:rPr>
        <w:t xml:space="preserve"> sunt firmele care conform codului CAEN se ocupă cu </w:t>
      </w:r>
      <w:r w:rsidRPr="001B6310">
        <w:rPr>
          <w:rStyle w:val="Robust"/>
          <w:sz w:val="24"/>
          <w:szCs w:val="24"/>
          <w:shd w:val="clear" w:color="auto" w:fill="FFFFFF"/>
        </w:rPr>
        <w:t>producţia, prelucrarea şi conservarea cărnii şi a produselor din carne</w:t>
      </w:r>
      <w:r>
        <w:rPr>
          <w:rStyle w:val="Robust"/>
          <w:b w:val="0"/>
          <w:sz w:val="24"/>
          <w:szCs w:val="24"/>
          <w:shd w:val="clear" w:color="auto" w:fill="FFFFFF"/>
        </w:rPr>
        <w:t xml:space="preserve">, acestea au contribuit în proporţie de 20% la cifra de afaceri pe sectorul agroalimentar regional, iar pe </w:t>
      </w:r>
      <w:r w:rsidRPr="001B6310">
        <w:rPr>
          <w:rStyle w:val="Robust"/>
          <w:b w:val="0"/>
          <w:sz w:val="24"/>
          <w:szCs w:val="24"/>
          <w:shd w:val="clear" w:color="auto" w:fill="FFFFFF"/>
        </w:rPr>
        <w:t>locul 3</w:t>
      </w:r>
      <w:r>
        <w:rPr>
          <w:rStyle w:val="Robust"/>
          <w:b w:val="0"/>
          <w:sz w:val="24"/>
          <w:szCs w:val="24"/>
          <w:shd w:val="clear" w:color="auto" w:fill="FFFFFF"/>
        </w:rPr>
        <w:t xml:space="preserve"> sunt firmele care conform codului CAEN se ocupă de creşterea animalelor, cu o contribuţie de peste 15% la</w:t>
      </w:r>
      <w:r w:rsidRPr="003C3A3D">
        <w:rPr>
          <w:rStyle w:val="Robust"/>
          <w:b w:val="0"/>
          <w:sz w:val="24"/>
          <w:szCs w:val="24"/>
          <w:shd w:val="clear" w:color="auto" w:fill="FFFFFF"/>
        </w:rPr>
        <w:t xml:space="preserve"> </w:t>
      </w:r>
      <w:r>
        <w:rPr>
          <w:rStyle w:val="Robust"/>
          <w:b w:val="0"/>
          <w:sz w:val="24"/>
          <w:szCs w:val="24"/>
          <w:shd w:val="clear" w:color="auto" w:fill="FFFFFF"/>
        </w:rPr>
        <w:t>cifra de afaceri pe sectorul agroalimentar regional.</w:t>
      </w:r>
    </w:p>
    <w:p w:rsidR="00064502" w:rsidRPr="008E4E7E" w:rsidRDefault="00064502" w:rsidP="00064502">
      <w:pPr>
        <w:jc w:val="both"/>
        <w:rPr>
          <w:sz w:val="24"/>
          <w:szCs w:val="24"/>
          <w:lang w:val="ro-RO"/>
        </w:rPr>
      </w:pPr>
      <w:r>
        <w:rPr>
          <w:sz w:val="24"/>
          <w:szCs w:val="24"/>
          <w:lang w:val="ro-RO"/>
        </w:rPr>
        <w:t>E</w:t>
      </w:r>
      <w:r w:rsidRPr="00B62FED">
        <w:rPr>
          <w:sz w:val="24"/>
          <w:szCs w:val="24"/>
          <w:lang w:val="ro-RO"/>
        </w:rPr>
        <w:t xml:space="preserve">ste sesizată prezența unor firme mari cum ar fi: </w:t>
      </w:r>
      <w:r w:rsidRPr="00B62FED">
        <w:rPr>
          <w:b/>
          <w:sz w:val="24"/>
          <w:szCs w:val="24"/>
          <w:lang w:val="ro-RO"/>
        </w:rPr>
        <w:t>TRANSAVIA SA</w:t>
      </w:r>
      <w:r w:rsidRPr="00B62FED">
        <w:rPr>
          <w:sz w:val="24"/>
          <w:szCs w:val="24"/>
          <w:lang w:val="ro-RO"/>
        </w:rPr>
        <w:t xml:space="preserve">, </w:t>
      </w:r>
      <w:r w:rsidRPr="00B62FED">
        <w:rPr>
          <w:b/>
          <w:sz w:val="24"/>
          <w:szCs w:val="24"/>
          <w:lang w:val="ro-RO"/>
        </w:rPr>
        <w:t>ALBALACT SA</w:t>
      </w:r>
      <w:r w:rsidRPr="00B62FED">
        <w:rPr>
          <w:sz w:val="24"/>
          <w:szCs w:val="24"/>
          <w:lang w:val="ro-RO"/>
        </w:rPr>
        <w:t xml:space="preserve">, </w:t>
      </w:r>
      <w:r w:rsidRPr="00B62FED">
        <w:rPr>
          <w:b/>
          <w:sz w:val="24"/>
          <w:szCs w:val="24"/>
          <w:lang w:val="ro-RO"/>
        </w:rPr>
        <w:t>ELIT SRL</w:t>
      </w:r>
      <w:r w:rsidRPr="00B62FED">
        <w:rPr>
          <w:sz w:val="24"/>
          <w:szCs w:val="24"/>
          <w:lang w:val="ro-RO"/>
        </w:rPr>
        <w:t xml:space="preserve">, </w:t>
      </w:r>
      <w:r w:rsidRPr="00B62FED">
        <w:rPr>
          <w:b/>
          <w:sz w:val="24"/>
          <w:szCs w:val="24"/>
          <w:lang w:val="ro-RO"/>
        </w:rPr>
        <w:t>JIDVEI SRL FILIALA ALBA</w:t>
      </w:r>
      <w:r w:rsidRPr="00B62FED">
        <w:rPr>
          <w:sz w:val="24"/>
          <w:szCs w:val="24"/>
          <w:lang w:val="ro-RO"/>
        </w:rPr>
        <w:t xml:space="preserve">, </w:t>
      </w:r>
      <w:r w:rsidRPr="00B62FED">
        <w:rPr>
          <w:b/>
          <w:sz w:val="24"/>
          <w:szCs w:val="24"/>
          <w:lang w:val="ro-RO"/>
        </w:rPr>
        <w:t>SUPREMIA GRUP SRL</w:t>
      </w:r>
      <w:r w:rsidRPr="00B62FED">
        <w:rPr>
          <w:sz w:val="24"/>
          <w:szCs w:val="24"/>
          <w:lang w:val="ro-RO"/>
        </w:rPr>
        <w:t xml:space="preserve"> (judeţul Alba), </w:t>
      </w:r>
      <w:r w:rsidRPr="00B62FED">
        <w:rPr>
          <w:b/>
          <w:sz w:val="24"/>
          <w:szCs w:val="24"/>
          <w:lang w:val="ro-RO"/>
        </w:rPr>
        <w:t>AVICOLA BRASOV SA,</w:t>
      </w:r>
      <w:r w:rsidRPr="00B62FED">
        <w:rPr>
          <w:sz w:val="24"/>
          <w:szCs w:val="24"/>
          <w:lang w:val="ro-RO"/>
        </w:rPr>
        <w:t xml:space="preserve"> </w:t>
      </w:r>
      <w:r w:rsidRPr="00B62FED">
        <w:rPr>
          <w:b/>
          <w:sz w:val="24"/>
          <w:szCs w:val="24"/>
          <w:lang w:val="ro-RO"/>
        </w:rPr>
        <w:t>GALLI GALLO SRL</w:t>
      </w:r>
      <w:r>
        <w:rPr>
          <w:b/>
          <w:sz w:val="24"/>
          <w:szCs w:val="24"/>
          <w:lang w:val="ro-RO"/>
        </w:rPr>
        <w:t xml:space="preserve">, </w:t>
      </w:r>
      <w:r w:rsidRPr="002463A6">
        <w:rPr>
          <w:rFonts w:ascii="Calibri" w:eastAsia="Times New Roman" w:hAnsi="Calibri" w:cs="Times New Roman"/>
          <w:b/>
          <w:bCs/>
          <w:color w:val="000000"/>
          <w:sz w:val="24"/>
          <w:szCs w:val="24"/>
          <w:lang w:val="ro-RO"/>
        </w:rPr>
        <w:t>EUROPIG SA</w:t>
      </w:r>
      <w:r w:rsidRPr="002463A6">
        <w:rPr>
          <w:b/>
          <w:sz w:val="24"/>
          <w:szCs w:val="24"/>
          <w:lang w:val="ro-RO"/>
        </w:rPr>
        <w:t xml:space="preserve">, </w:t>
      </w:r>
      <w:r w:rsidRPr="002463A6">
        <w:rPr>
          <w:rFonts w:ascii="Calibri" w:eastAsia="Times New Roman" w:hAnsi="Calibri" w:cs="Times New Roman"/>
          <w:b/>
          <w:color w:val="000000"/>
          <w:sz w:val="24"/>
          <w:szCs w:val="24"/>
        </w:rPr>
        <w:t>AVICOD BROILER SRL</w:t>
      </w:r>
      <w:r w:rsidRPr="009669C6">
        <w:rPr>
          <w:sz w:val="24"/>
          <w:szCs w:val="24"/>
          <w:lang w:val="ro-RO"/>
        </w:rPr>
        <w:t xml:space="preserve"> </w:t>
      </w:r>
      <w:r w:rsidRPr="00B62FED">
        <w:rPr>
          <w:sz w:val="24"/>
          <w:szCs w:val="24"/>
          <w:lang w:val="ro-RO"/>
        </w:rPr>
        <w:t xml:space="preserve">(judeţul Braşov), </w:t>
      </w:r>
      <w:r w:rsidRPr="00B62FED">
        <w:rPr>
          <w:b/>
          <w:sz w:val="24"/>
          <w:szCs w:val="24"/>
          <w:lang w:val="ro-RO"/>
        </w:rPr>
        <w:t>HOCHLAND ROMÂNIA SRL</w:t>
      </w:r>
      <w:r w:rsidRPr="00B62FED">
        <w:rPr>
          <w:sz w:val="24"/>
          <w:szCs w:val="24"/>
          <w:lang w:val="ro-RO"/>
        </w:rPr>
        <w:t xml:space="preserve">, </w:t>
      </w:r>
      <w:r w:rsidRPr="00B62FED">
        <w:rPr>
          <w:b/>
          <w:sz w:val="24"/>
          <w:szCs w:val="24"/>
          <w:lang w:val="ro-RO"/>
        </w:rPr>
        <w:t>ZAHARUL LUDUS SA</w:t>
      </w:r>
      <w:r w:rsidRPr="00B62FED">
        <w:rPr>
          <w:sz w:val="24"/>
          <w:szCs w:val="24"/>
          <w:lang w:val="ro-RO"/>
        </w:rPr>
        <w:t xml:space="preserve"> (judeţul Mureş) şi </w:t>
      </w:r>
      <w:r w:rsidRPr="00B62FED">
        <w:rPr>
          <w:b/>
          <w:sz w:val="24"/>
          <w:szCs w:val="24"/>
          <w:lang w:val="ro-RO"/>
        </w:rPr>
        <w:t>SCANDIA FOOD SRL</w:t>
      </w:r>
      <w:r w:rsidRPr="00B62FED">
        <w:rPr>
          <w:sz w:val="24"/>
          <w:szCs w:val="24"/>
          <w:lang w:val="ro-RO"/>
        </w:rPr>
        <w:t xml:space="preserve"> (judeţul Sibiu)</w:t>
      </w:r>
      <w:r>
        <w:rPr>
          <w:sz w:val="24"/>
          <w:szCs w:val="24"/>
          <w:lang w:val="ro-RO"/>
        </w:rPr>
        <w:t xml:space="preserve"> însă m</w:t>
      </w:r>
      <w:r w:rsidRPr="00B62FED">
        <w:rPr>
          <w:sz w:val="24"/>
          <w:szCs w:val="24"/>
          <w:lang w:val="ro-RO"/>
        </w:rPr>
        <w:t>ajoritatea firmelor care activează în acest sector sunt</w:t>
      </w:r>
      <w:r>
        <w:rPr>
          <w:sz w:val="24"/>
          <w:szCs w:val="24"/>
          <w:lang w:val="ro-RO"/>
        </w:rPr>
        <w:t xml:space="preserve"> IMM-uri</w:t>
      </w:r>
      <w:r w:rsidRPr="00B62FED">
        <w:rPr>
          <w:sz w:val="24"/>
          <w:szCs w:val="24"/>
          <w:lang w:val="ro-RO"/>
        </w:rPr>
        <w:t>.</w:t>
      </w:r>
      <w:r>
        <w:rPr>
          <w:sz w:val="24"/>
          <w:szCs w:val="24"/>
          <w:lang w:val="ro-RO"/>
        </w:rPr>
        <w:t xml:space="preserve"> </w:t>
      </w:r>
    </w:p>
    <w:p w:rsidR="00064502" w:rsidRPr="00366CD6" w:rsidRDefault="00064502" w:rsidP="00064502">
      <w:pPr>
        <w:spacing w:after="0"/>
        <w:jc w:val="both"/>
        <w:rPr>
          <w:b/>
          <w:sz w:val="24"/>
          <w:szCs w:val="24"/>
          <w:lang w:val="ro-RO"/>
        </w:rPr>
      </w:pPr>
      <w:r>
        <w:rPr>
          <w:b/>
          <w:sz w:val="24"/>
          <w:szCs w:val="24"/>
          <w:lang w:val="ro-RO"/>
        </w:rPr>
        <w:t xml:space="preserve">   </w:t>
      </w:r>
      <w:r w:rsidRPr="00992D43">
        <w:rPr>
          <w:b/>
          <w:sz w:val="24"/>
          <w:szCs w:val="24"/>
          <w:lang w:val="ro-RO"/>
        </w:rPr>
        <w:t>Tabel</w:t>
      </w:r>
      <w:r>
        <w:rPr>
          <w:b/>
          <w:sz w:val="24"/>
          <w:szCs w:val="24"/>
          <w:lang w:val="ro-RO"/>
        </w:rPr>
        <w:t xml:space="preserve"> 10   Î</w:t>
      </w:r>
      <w:r w:rsidRPr="00944796">
        <w:rPr>
          <w:b/>
          <w:sz w:val="24"/>
          <w:szCs w:val="24"/>
          <w:lang w:val="ro-RO"/>
        </w:rPr>
        <w:t>ntreprinderi ,,leader”</w:t>
      </w:r>
      <w:r>
        <w:rPr>
          <w:b/>
          <w:sz w:val="24"/>
          <w:szCs w:val="24"/>
          <w:lang w:val="ro-RO"/>
        </w:rPr>
        <w:t xml:space="preserve"> </w:t>
      </w:r>
      <w:r w:rsidRPr="00366CD6">
        <w:rPr>
          <w:b/>
          <w:sz w:val="24"/>
          <w:szCs w:val="24"/>
          <w:lang w:val="ro-RO"/>
        </w:rPr>
        <w:t>din Regiunea Centru ca</w:t>
      </w:r>
      <w:r>
        <w:rPr>
          <w:b/>
          <w:sz w:val="24"/>
          <w:szCs w:val="24"/>
          <w:lang w:val="ro-RO"/>
        </w:rPr>
        <w:t xml:space="preserve">re activează în sectorul </w:t>
      </w:r>
      <w:r w:rsidRPr="00366CD6">
        <w:rPr>
          <w:b/>
          <w:sz w:val="24"/>
          <w:szCs w:val="24"/>
          <w:lang w:val="ro-RO"/>
        </w:rPr>
        <w:t>alimentar</w:t>
      </w:r>
    </w:p>
    <w:tbl>
      <w:tblPr>
        <w:tblW w:w="8571" w:type="dxa"/>
        <w:jc w:val="center"/>
        <w:tblInd w:w="403" w:type="dxa"/>
        <w:tblLook w:val="04A0"/>
      </w:tblPr>
      <w:tblGrid>
        <w:gridCol w:w="2208"/>
        <w:gridCol w:w="767"/>
        <w:gridCol w:w="842"/>
        <w:gridCol w:w="109"/>
        <w:gridCol w:w="951"/>
        <w:gridCol w:w="1807"/>
        <w:gridCol w:w="1887"/>
      </w:tblGrid>
      <w:tr w:rsidR="00064502" w:rsidRPr="00E90833" w:rsidTr="00064502">
        <w:trPr>
          <w:trHeight w:val="403"/>
          <w:jc w:val="center"/>
        </w:trPr>
        <w:tc>
          <w:tcPr>
            <w:tcW w:w="2208" w:type="dxa"/>
            <w:tcBorders>
              <w:top w:val="single" w:sz="8" w:space="0" w:color="7BA0CD"/>
              <w:left w:val="single" w:sz="8" w:space="0" w:color="7BA0CD"/>
              <w:bottom w:val="single" w:sz="8" w:space="0" w:color="7BA0CD"/>
              <w:right w:val="nil"/>
            </w:tcBorders>
            <w:shd w:val="clear" w:color="000000" w:fill="4F81BD"/>
            <w:hideMark/>
          </w:tcPr>
          <w:p w:rsidR="00064502" w:rsidRPr="00E90833" w:rsidRDefault="00064502" w:rsidP="00064502">
            <w:pPr>
              <w:spacing w:after="0"/>
              <w:jc w:val="both"/>
              <w:rPr>
                <w:rFonts w:ascii="Calibri" w:eastAsia="Times New Roman" w:hAnsi="Calibri" w:cs="Times New Roman"/>
                <w:b/>
                <w:bCs/>
                <w:color w:val="FFFFFF"/>
              </w:rPr>
            </w:pPr>
            <w:r w:rsidRPr="00E90833">
              <w:rPr>
                <w:rFonts w:ascii="Calibri" w:eastAsia="Times New Roman" w:hAnsi="Calibri" w:cs="Times New Roman"/>
                <w:b/>
                <w:bCs/>
                <w:color w:val="FFFFFF" w:themeColor="background1"/>
                <w:lang w:val="ro-RO"/>
              </w:rPr>
              <w:t>Firmă</w:t>
            </w:r>
          </w:p>
        </w:tc>
        <w:tc>
          <w:tcPr>
            <w:tcW w:w="767" w:type="dxa"/>
            <w:tcBorders>
              <w:top w:val="single" w:sz="8" w:space="0" w:color="7BA0CD"/>
              <w:left w:val="nil"/>
              <w:bottom w:val="single" w:sz="8" w:space="0" w:color="7BA0CD"/>
              <w:right w:val="nil"/>
            </w:tcBorders>
            <w:shd w:val="clear" w:color="000000" w:fill="4F81BD"/>
            <w:hideMark/>
          </w:tcPr>
          <w:p w:rsidR="00064502" w:rsidRPr="00E90833" w:rsidRDefault="00064502" w:rsidP="00064502">
            <w:pPr>
              <w:spacing w:after="0"/>
              <w:jc w:val="both"/>
              <w:rPr>
                <w:rFonts w:ascii="Calibri" w:eastAsia="Times New Roman" w:hAnsi="Calibri" w:cs="Times New Roman"/>
                <w:b/>
                <w:bCs/>
                <w:color w:val="FFFFFF"/>
              </w:rPr>
            </w:pPr>
            <w:r w:rsidRPr="00E90833">
              <w:rPr>
                <w:rFonts w:ascii="Calibri" w:eastAsia="Times New Roman" w:hAnsi="Calibri" w:cs="Times New Roman"/>
                <w:b/>
                <w:bCs/>
                <w:color w:val="FFFFFF" w:themeColor="background1"/>
                <w:lang w:val="ro-RO"/>
              </w:rPr>
              <w:t>Judeţ</w:t>
            </w:r>
          </w:p>
        </w:tc>
        <w:tc>
          <w:tcPr>
            <w:tcW w:w="951" w:type="dxa"/>
            <w:gridSpan w:val="2"/>
            <w:tcBorders>
              <w:top w:val="single" w:sz="8" w:space="0" w:color="7BA0CD"/>
              <w:left w:val="nil"/>
              <w:bottom w:val="single" w:sz="8" w:space="0" w:color="7BA0CD"/>
              <w:right w:val="nil"/>
            </w:tcBorders>
            <w:shd w:val="clear" w:color="000000" w:fill="4F81BD"/>
            <w:vAlign w:val="center"/>
            <w:hideMark/>
          </w:tcPr>
          <w:p w:rsidR="00064502" w:rsidRPr="00E90833" w:rsidRDefault="00064502" w:rsidP="00064502">
            <w:pPr>
              <w:spacing w:after="0"/>
              <w:rPr>
                <w:rFonts w:ascii="Calibri" w:eastAsia="Times New Roman" w:hAnsi="Calibri" w:cs="Times New Roman"/>
                <w:b/>
                <w:bCs/>
                <w:color w:val="FFFFFF"/>
              </w:rPr>
            </w:pPr>
            <w:r w:rsidRPr="00E90833">
              <w:rPr>
                <w:rFonts w:ascii="Calibri" w:eastAsia="Times New Roman" w:hAnsi="Calibri" w:cs="Times New Roman"/>
                <w:b/>
                <w:bCs/>
                <w:color w:val="FFFFFF" w:themeColor="background1"/>
                <w:lang w:val="ro-RO"/>
              </w:rPr>
              <w:t>Nr. angajaţi 2013</w:t>
            </w:r>
          </w:p>
        </w:tc>
        <w:tc>
          <w:tcPr>
            <w:tcW w:w="951" w:type="dxa"/>
            <w:tcBorders>
              <w:top w:val="single" w:sz="8" w:space="0" w:color="7BA0CD"/>
              <w:left w:val="nil"/>
              <w:bottom w:val="single" w:sz="8" w:space="0" w:color="7BA0CD"/>
              <w:right w:val="nil"/>
            </w:tcBorders>
            <w:shd w:val="clear" w:color="000000" w:fill="4F81BD"/>
            <w:vAlign w:val="center"/>
          </w:tcPr>
          <w:p w:rsidR="00064502" w:rsidRPr="00E90833" w:rsidRDefault="00064502" w:rsidP="00064502">
            <w:pPr>
              <w:spacing w:after="0"/>
              <w:rPr>
                <w:rFonts w:ascii="Calibri" w:eastAsia="Times New Roman" w:hAnsi="Calibri" w:cs="Times New Roman"/>
                <w:b/>
                <w:bCs/>
                <w:color w:val="FFFFFF"/>
              </w:rPr>
            </w:pPr>
            <w:r w:rsidRPr="00E90833">
              <w:rPr>
                <w:rFonts w:ascii="Calibri" w:eastAsia="Times New Roman" w:hAnsi="Calibri" w:cs="Times New Roman"/>
                <w:b/>
                <w:bCs/>
                <w:color w:val="FFFFFF" w:themeColor="background1"/>
                <w:lang w:val="ro-RO"/>
              </w:rPr>
              <w:t xml:space="preserve">Nr. angajaţi </w:t>
            </w:r>
            <w:r>
              <w:rPr>
                <w:rFonts w:ascii="Calibri" w:eastAsia="Times New Roman" w:hAnsi="Calibri" w:cs="Times New Roman"/>
                <w:b/>
                <w:bCs/>
                <w:color w:val="FFFFFF"/>
              </w:rPr>
              <w:t>2015</w:t>
            </w:r>
          </w:p>
        </w:tc>
        <w:tc>
          <w:tcPr>
            <w:tcW w:w="1807" w:type="dxa"/>
            <w:tcBorders>
              <w:top w:val="single" w:sz="8" w:space="0" w:color="7BA0CD"/>
              <w:left w:val="nil"/>
              <w:bottom w:val="single" w:sz="8" w:space="0" w:color="7BA0CD"/>
            </w:tcBorders>
            <w:shd w:val="clear" w:color="000000" w:fill="4F81BD"/>
            <w:hideMark/>
          </w:tcPr>
          <w:p w:rsidR="00064502" w:rsidRPr="00E90833" w:rsidRDefault="00064502" w:rsidP="00064502">
            <w:pPr>
              <w:spacing w:after="0"/>
              <w:rPr>
                <w:rFonts w:ascii="Calibri" w:eastAsia="Times New Roman" w:hAnsi="Calibri" w:cs="Times New Roman"/>
                <w:b/>
                <w:bCs/>
                <w:color w:val="FFFFFF"/>
              </w:rPr>
            </w:pPr>
            <w:r w:rsidRPr="00E90833">
              <w:rPr>
                <w:rFonts w:ascii="Calibri" w:eastAsia="Times New Roman" w:hAnsi="Calibri" w:cs="Times New Roman"/>
                <w:b/>
                <w:bCs/>
                <w:color w:val="FFFFFF" w:themeColor="background1"/>
                <w:lang w:val="ro-RO"/>
              </w:rPr>
              <w:t>CA netă 2013</w:t>
            </w:r>
            <w:r>
              <w:rPr>
                <w:rFonts w:ascii="Calibri" w:eastAsia="Times New Roman" w:hAnsi="Calibri" w:cs="Times New Roman"/>
                <w:b/>
                <w:bCs/>
                <w:color w:val="FFFFFF" w:themeColor="background1"/>
                <w:lang w:val="ro-RO"/>
              </w:rPr>
              <w:t xml:space="preserve"> </w:t>
            </w:r>
            <w:r w:rsidRPr="00E90833">
              <w:rPr>
                <w:rFonts w:ascii="Calibri" w:eastAsia="Times New Roman" w:hAnsi="Calibri" w:cs="Times New Roman"/>
                <w:b/>
                <w:bCs/>
                <w:color w:val="FFFFFF" w:themeColor="background1"/>
                <w:lang w:val="ro-RO"/>
              </w:rPr>
              <w:t>(</w:t>
            </w:r>
            <w:r>
              <w:rPr>
                <w:rFonts w:ascii="Calibri" w:eastAsia="Times New Roman" w:hAnsi="Calibri" w:cs="Times New Roman"/>
                <w:b/>
                <w:bCs/>
                <w:color w:val="FFFFFF" w:themeColor="background1"/>
                <w:lang w:val="ro-RO"/>
              </w:rPr>
              <w:t xml:space="preserve">milioane </w:t>
            </w:r>
            <w:r w:rsidRPr="00E90833">
              <w:rPr>
                <w:rFonts w:ascii="Calibri" w:eastAsia="Times New Roman" w:hAnsi="Calibri" w:cs="Times New Roman"/>
                <w:b/>
                <w:bCs/>
                <w:color w:val="FFFFFF" w:themeColor="background1"/>
                <w:lang w:val="ro-RO"/>
              </w:rPr>
              <w:t>lei)</w:t>
            </w:r>
          </w:p>
        </w:tc>
        <w:tc>
          <w:tcPr>
            <w:tcW w:w="1887" w:type="dxa"/>
            <w:tcBorders>
              <w:top w:val="single" w:sz="4" w:space="0" w:color="8DB3E2" w:themeColor="text2" w:themeTint="66"/>
              <w:bottom w:val="single" w:sz="4" w:space="0" w:color="8DB3E2" w:themeColor="text2" w:themeTint="66"/>
            </w:tcBorders>
            <w:shd w:val="clear" w:color="000000" w:fill="4F81BD"/>
          </w:tcPr>
          <w:p w:rsidR="00064502" w:rsidRPr="00E90833" w:rsidRDefault="00064502" w:rsidP="00064502">
            <w:pPr>
              <w:spacing w:after="0"/>
              <w:rPr>
                <w:rFonts w:ascii="Calibri" w:eastAsia="Times New Roman" w:hAnsi="Calibri" w:cs="Times New Roman"/>
                <w:b/>
                <w:bCs/>
                <w:color w:val="FFFFFF" w:themeColor="background1"/>
                <w:lang w:val="ro-RO"/>
              </w:rPr>
            </w:pPr>
            <w:r>
              <w:rPr>
                <w:rFonts w:ascii="Calibri" w:eastAsia="Times New Roman" w:hAnsi="Calibri" w:cs="Times New Roman"/>
                <w:b/>
                <w:bCs/>
                <w:color w:val="FFFFFF" w:themeColor="background1"/>
                <w:lang w:val="ro-RO"/>
              </w:rPr>
              <w:t xml:space="preserve">CA netă 2015 </w:t>
            </w:r>
            <w:r w:rsidRPr="00E90833">
              <w:rPr>
                <w:rFonts w:ascii="Calibri" w:eastAsia="Times New Roman" w:hAnsi="Calibri" w:cs="Times New Roman"/>
                <w:b/>
                <w:bCs/>
                <w:color w:val="FFFFFF" w:themeColor="background1"/>
                <w:lang w:val="ro-RO"/>
              </w:rPr>
              <w:t>(</w:t>
            </w:r>
            <w:r>
              <w:rPr>
                <w:rFonts w:ascii="Calibri" w:eastAsia="Times New Roman" w:hAnsi="Calibri" w:cs="Times New Roman"/>
                <w:b/>
                <w:bCs/>
                <w:color w:val="FFFFFF" w:themeColor="background1"/>
                <w:lang w:val="ro-RO"/>
              </w:rPr>
              <w:t xml:space="preserve">milioane </w:t>
            </w:r>
            <w:r w:rsidRPr="00E90833">
              <w:rPr>
                <w:rFonts w:ascii="Calibri" w:eastAsia="Times New Roman" w:hAnsi="Calibri" w:cs="Times New Roman"/>
                <w:b/>
                <w:bCs/>
                <w:color w:val="FFFFFF" w:themeColor="background1"/>
                <w:lang w:val="ro-RO"/>
              </w:rPr>
              <w:t>lei)</w:t>
            </w:r>
          </w:p>
        </w:tc>
      </w:tr>
      <w:tr w:rsidR="00064502" w:rsidRPr="00E90833" w:rsidTr="00064502">
        <w:trPr>
          <w:trHeight w:val="432"/>
          <w:jc w:val="center"/>
        </w:trPr>
        <w:tc>
          <w:tcPr>
            <w:tcW w:w="2208" w:type="dxa"/>
            <w:tcBorders>
              <w:top w:val="nil"/>
              <w:left w:val="single" w:sz="8" w:space="0" w:color="7BA0CD"/>
              <w:bottom w:val="single" w:sz="8" w:space="0" w:color="7BA0CD"/>
              <w:right w:val="nil"/>
            </w:tcBorders>
            <w:shd w:val="clear" w:color="auto" w:fill="auto"/>
            <w:hideMark/>
          </w:tcPr>
          <w:p w:rsidR="00064502" w:rsidRPr="002B3A1D" w:rsidRDefault="00064502" w:rsidP="00064502">
            <w:pPr>
              <w:spacing w:after="0"/>
              <w:rPr>
                <w:rFonts w:ascii="Calibri" w:eastAsia="Times New Roman" w:hAnsi="Calibri" w:cs="Times New Roman"/>
                <w:b/>
                <w:bCs/>
                <w:color w:val="000000"/>
                <w:lang w:val="ro-RO"/>
              </w:rPr>
            </w:pPr>
            <w:r w:rsidRPr="00E90833">
              <w:rPr>
                <w:rFonts w:ascii="Calibri" w:eastAsia="Times New Roman" w:hAnsi="Calibri" w:cs="Times New Roman"/>
                <w:b/>
                <w:bCs/>
                <w:color w:val="000000"/>
                <w:lang w:val="ro-RO"/>
              </w:rPr>
              <w:t>ALBALACT SA</w:t>
            </w:r>
          </w:p>
        </w:tc>
        <w:tc>
          <w:tcPr>
            <w:tcW w:w="767" w:type="dxa"/>
            <w:tcBorders>
              <w:top w:val="nil"/>
              <w:left w:val="nil"/>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color w:val="000000"/>
              </w:rPr>
            </w:pPr>
            <w:r w:rsidRPr="00E90833">
              <w:rPr>
                <w:rFonts w:ascii="Calibri" w:eastAsia="Times New Roman" w:hAnsi="Calibri" w:cs="Times New Roman"/>
                <w:color w:val="000000"/>
                <w:lang w:val="ro-RO"/>
              </w:rPr>
              <w:t>AB</w:t>
            </w:r>
          </w:p>
        </w:tc>
        <w:tc>
          <w:tcPr>
            <w:tcW w:w="842" w:type="dxa"/>
            <w:tcBorders>
              <w:top w:val="nil"/>
              <w:left w:val="nil"/>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color w:val="333333"/>
              </w:rPr>
            </w:pPr>
            <w:r w:rsidRPr="00E90833">
              <w:rPr>
                <w:rFonts w:ascii="Calibri" w:eastAsia="Times New Roman" w:hAnsi="Calibri" w:cs="Times New Roman"/>
                <w:color w:val="333333"/>
              </w:rPr>
              <w:t>707</w:t>
            </w:r>
          </w:p>
        </w:tc>
        <w:tc>
          <w:tcPr>
            <w:tcW w:w="1060" w:type="dxa"/>
            <w:gridSpan w:val="2"/>
            <w:tcBorders>
              <w:top w:val="nil"/>
              <w:left w:val="nil"/>
              <w:bottom w:val="single" w:sz="8" w:space="0" w:color="7BA0CD"/>
              <w:right w:val="nil"/>
            </w:tcBorders>
            <w:shd w:val="clear" w:color="auto" w:fill="auto"/>
          </w:tcPr>
          <w:p w:rsidR="00064502" w:rsidRPr="00E90833" w:rsidRDefault="00064502" w:rsidP="00064502">
            <w:pPr>
              <w:spacing w:after="0"/>
              <w:rPr>
                <w:rFonts w:ascii="Calibri" w:eastAsia="Times New Roman" w:hAnsi="Calibri" w:cs="Times New Roman"/>
                <w:color w:val="333333"/>
              </w:rPr>
            </w:pPr>
            <w:r>
              <w:rPr>
                <w:rFonts w:ascii="Calibri" w:eastAsia="Times New Roman" w:hAnsi="Calibri" w:cs="Times New Roman"/>
                <w:color w:val="333333"/>
              </w:rPr>
              <w:t xml:space="preserve">  607</w:t>
            </w:r>
          </w:p>
        </w:tc>
        <w:tc>
          <w:tcPr>
            <w:tcW w:w="1807" w:type="dxa"/>
            <w:tcBorders>
              <w:top w:val="nil"/>
              <w:left w:val="nil"/>
              <w:bottom w:val="single" w:sz="8" w:space="0" w:color="7BA0CD"/>
            </w:tcBorders>
            <w:shd w:val="clear" w:color="auto" w:fill="auto"/>
            <w:hideMark/>
          </w:tcPr>
          <w:p w:rsidR="00064502" w:rsidRPr="00935730" w:rsidRDefault="00064502" w:rsidP="00064502">
            <w:r w:rsidRPr="00935730">
              <w:t>423.2</w:t>
            </w:r>
          </w:p>
        </w:tc>
        <w:tc>
          <w:tcPr>
            <w:tcW w:w="1887" w:type="dxa"/>
            <w:tcBorders>
              <w:top w:val="single" w:sz="4" w:space="0" w:color="8DB3E2" w:themeColor="text2" w:themeTint="66"/>
              <w:bottom w:val="single" w:sz="4" w:space="0" w:color="8DB3E2" w:themeColor="text2" w:themeTint="66"/>
              <w:right w:val="single" w:sz="4" w:space="0" w:color="8DB3E2" w:themeColor="text2" w:themeTint="66"/>
            </w:tcBorders>
          </w:tcPr>
          <w:p w:rsidR="00064502" w:rsidRPr="00935730" w:rsidRDefault="00064502" w:rsidP="00064502">
            <w:r w:rsidRPr="00935730">
              <w:t>450.3</w:t>
            </w:r>
          </w:p>
        </w:tc>
      </w:tr>
      <w:tr w:rsidR="00064502" w:rsidRPr="00E90833" w:rsidTr="00064502">
        <w:trPr>
          <w:trHeight w:val="432"/>
          <w:jc w:val="center"/>
        </w:trPr>
        <w:tc>
          <w:tcPr>
            <w:tcW w:w="2208" w:type="dxa"/>
            <w:tcBorders>
              <w:top w:val="nil"/>
              <w:left w:val="single" w:sz="8" w:space="0" w:color="7BA0CD"/>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b/>
                <w:bCs/>
                <w:color w:val="000000"/>
              </w:rPr>
            </w:pPr>
            <w:r w:rsidRPr="00E90833">
              <w:rPr>
                <w:rFonts w:ascii="Calibri" w:eastAsia="Times New Roman" w:hAnsi="Calibri" w:cs="Times New Roman"/>
                <w:b/>
                <w:bCs/>
                <w:color w:val="000000"/>
                <w:lang w:val="ro-RO"/>
              </w:rPr>
              <w:t>ELIT SRL</w:t>
            </w:r>
          </w:p>
        </w:tc>
        <w:tc>
          <w:tcPr>
            <w:tcW w:w="767" w:type="dxa"/>
            <w:tcBorders>
              <w:top w:val="nil"/>
              <w:left w:val="nil"/>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color w:val="000000"/>
              </w:rPr>
            </w:pPr>
            <w:r w:rsidRPr="00E90833">
              <w:rPr>
                <w:rFonts w:ascii="Calibri" w:eastAsia="Times New Roman" w:hAnsi="Calibri" w:cs="Times New Roman"/>
                <w:color w:val="000000"/>
                <w:lang w:val="ro-RO"/>
              </w:rPr>
              <w:t>AB</w:t>
            </w:r>
          </w:p>
        </w:tc>
        <w:tc>
          <w:tcPr>
            <w:tcW w:w="951" w:type="dxa"/>
            <w:gridSpan w:val="2"/>
            <w:tcBorders>
              <w:top w:val="nil"/>
              <w:left w:val="nil"/>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color w:val="333333"/>
              </w:rPr>
            </w:pPr>
            <w:r w:rsidRPr="00E90833">
              <w:rPr>
                <w:rFonts w:ascii="Calibri" w:eastAsia="Times New Roman" w:hAnsi="Calibri" w:cs="Times New Roman"/>
                <w:color w:val="333333"/>
              </w:rPr>
              <w:t>1082</w:t>
            </w:r>
          </w:p>
        </w:tc>
        <w:tc>
          <w:tcPr>
            <w:tcW w:w="951" w:type="dxa"/>
            <w:tcBorders>
              <w:top w:val="nil"/>
              <w:left w:val="nil"/>
              <w:bottom w:val="single" w:sz="8" w:space="0" w:color="7BA0CD"/>
              <w:right w:val="nil"/>
            </w:tcBorders>
            <w:shd w:val="clear" w:color="000000" w:fill="D3DFEE"/>
          </w:tcPr>
          <w:p w:rsidR="00064502" w:rsidRPr="00E90833" w:rsidRDefault="00064502" w:rsidP="00064502">
            <w:pPr>
              <w:spacing w:after="0"/>
              <w:rPr>
                <w:rFonts w:ascii="Calibri" w:eastAsia="Times New Roman" w:hAnsi="Calibri" w:cs="Times New Roman"/>
                <w:color w:val="333333"/>
              </w:rPr>
            </w:pPr>
            <w:r>
              <w:rPr>
                <w:rFonts w:ascii="Calibri" w:eastAsia="Times New Roman" w:hAnsi="Calibri" w:cs="Times New Roman"/>
                <w:color w:val="333333"/>
              </w:rPr>
              <w:t>1107</w:t>
            </w:r>
          </w:p>
        </w:tc>
        <w:tc>
          <w:tcPr>
            <w:tcW w:w="1807" w:type="dxa"/>
            <w:tcBorders>
              <w:top w:val="nil"/>
              <w:left w:val="nil"/>
              <w:bottom w:val="single" w:sz="4" w:space="0" w:color="8DB3E2" w:themeColor="text2" w:themeTint="66"/>
            </w:tcBorders>
            <w:shd w:val="clear" w:color="000000" w:fill="D3DFEE"/>
            <w:hideMark/>
          </w:tcPr>
          <w:p w:rsidR="00064502" w:rsidRPr="00935730" w:rsidRDefault="00064502" w:rsidP="00064502">
            <w:r w:rsidRPr="00935730">
              <w:t>317.8</w:t>
            </w:r>
          </w:p>
        </w:tc>
        <w:tc>
          <w:tcPr>
            <w:tcW w:w="1887" w:type="dxa"/>
            <w:tcBorders>
              <w:top w:val="single" w:sz="4" w:space="0" w:color="8DB3E2" w:themeColor="text2" w:themeTint="66"/>
              <w:bottom w:val="single" w:sz="4" w:space="0" w:color="8DB3E2" w:themeColor="text2" w:themeTint="66"/>
              <w:right w:val="single" w:sz="4" w:space="0" w:color="8DB3E2" w:themeColor="text2" w:themeTint="66"/>
            </w:tcBorders>
            <w:shd w:val="clear" w:color="000000" w:fill="D3DFEE"/>
          </w:tcPr>
          <w:p w:rsidR="00064502" w:rsidRPr="00935730" w:rsidRDefault="00064502" w:rsidP="00064502">
            <w:r w:rsidRPr="00935730">
              <w:t>320.5</w:t>
            </w:r>
          </w:p>
        </w:tc>
      </w:tr>
      <w:tr w:rsidR="00064502" w:rsidRPr="00E90833" w:rsidTr="00064502">
        <w:trPr>
          <w:trHeight w:val="432"/>
          <w:jc w:val="center"/>
        </w:trPr>
        <w:tc>
          <w:tcPr>
            <w:tcW w:w="2208" w:type="dxa"/>
            <w:tcBorders>
              <w:top w:val="nil"/>
              <w:left w:val="single" w:sz="8" w:space="0" w:color="7BA0CD"/>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b/>
                <w:bCs/>
                <w:color w:val="000000"/>
              </w:rPr>
            </w:pPr>
            <w:r w:rsidRPr="00E90833">
              <w:rPr>
                <w:rFonts w:ascii="Calibri" w:eastAsia="Times New Roman" w:hAnsi="Calibri" w:cs="Times New Roman"/>
                <w:b/>
                <w:bCs/>
                <w:color w:val="000000"/>
                <w:lang w:val="ro-RO"/>
              </w:rPr>
              <w:lastRenderedPageBreak/>
              <w:t>SUPREMIA GRUP SRL</w:t>
            </w:r>
          </w:p>
        </w:tc>
        <w:tc>
          <w:tcPr>
            <w:tcW w:w="767" w:type="dxa"/>
            <w:tcBorders>
              <w:top w:val="nil"/>
              <w:left w:val="nil"/>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color w:val="000000"/>
              </w:rPr>
            </w:pPr>
            <w:r w:rsidRPr="00E90833">
              <w:rPr>
                <w:rFonts w:ascii="Calibri" w:eastAsia="Times New Roman" w:hAnsi="Calibri" w:cs="Times New Roman"/>
                <w:color w:val="000000"/>
                <w:lang w:val="ro-RO"/>
              </w:rPr>
              <w:t>AB</w:t>
            </w:r>
          </w:p>
        </w:tc>
        <w:tc>
          <w:tcPr>
            <w:tcW w:w="951" w:type="dxa"/>
            <w:gridSpan w:val="2"/>
            <w:tcBorders>
              <w:top w:val="nil"/>
              <w:left w:val="nil"/>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color w:val="333333"/>
              </w:rPr>
            </w:pPr>
            <w:r w:rsidRPr="00E90833">
              <w:rPr>
                <w:rFonts w:ascii="Calibri" w:eastAsia="Times New Roman" w:hAnsi="Calibri" w:cs="Times New Roman"/>
                <w:color w:val="333333"/>
              </w:rPr>
              <w:t>250</w:t>
            </w:r>
          </w:p>
        </w:tc>
        <w:tc>
          <w:tcPr>
            <w:tcW w:w="951" w:type="dxa"/>
            <w:tcBorders>
              <w:top w:val="nil"/>
              <w:left w:val="nil"/>
              <w:bottom w:val="single" w:sz="8" w:space="0" w:color="7BA0CD"/>
              <w:right w:val="nil"/>
            </w:tcBorders>
            <w:shd w:val="clear" w:color="auto" w:fill="auto"/>
          </w:tcPr>
          <w:p w:rsidR="00064502" w:rsidRPr="00E90833" w:rsidRDefault="00064502" w:rsidP="00064502">
            <w:pPr>
              <w:spacing w:after="0"/>
              <w:rPr>
                <w:rFonts w:ascii="Calibri" w:eastAsia="Times New Roman" w:hAnsi="Calibri" w:cs="Times New Roman"/>
                <w:color w:val="333333"/>
              </w:rPr>
            </w:pPr>
            <w:r>
              <w:rPr>
                <w:rFonts w:ascii="Calibri" w:eastAsia="Times New Roman" w:hAnsi="Calibri" w:cs="Times New Roman"/>
                <w:color w:val="333333"/>
              </w:rPr>
              <w:t>280</w:t>
            </w:r>
          </w:p>
        </w:tc>
        <w:tc>
          <w:tcPr>
            <w:tcW w:w="1807" w:type="dxa"/>
            <w:tcBorders>
              <w:top w:val="single" w:sz="4" w:space="0" w:color="8DB3E2" w:themeColor="text2" w:themeTint="66"/>
              <w:left w:val="nil"/>
              <w:bottom w:val="single" w:sz="8" w:space="0" w:color="7BA0CD"/>
            </w:tcBorders>
            <w:shd w:val="clear" w:color="auto" w:fill="auto"/>
            <w:hideMark/>
          </w:tcPr>
          <w:p w:rsidR="00064502" w:rsidRPr="00935730" w:rsidRDefault="00064502" w:rsidP="00064502">
            <w:r w:rsidRPr="00935730">
              <w:t>142.8</w:t>
            </w:r>
          </w:p>
        </w:tc>
        <w:tc>
          <w:tcPr>
            <w:tcW w:w="1887" w:type="dxa"/>
            <w:tcBorders>
              <w:top w:val="single" w:sz="4" w:space="0" w:color="8DB3E2" w:themeColor="text2" w:themeTint="66"/>
              <w:bottom w:val="single" w:sz="4" w:space="0" w:color="8DB3E2" w:themeColor="text2" w:themeTint="66"/>
              <w:right w:val="single" w:sz="4" w:space="0" w:color="8DB3E2" w:themeColor="text2" w:themeTint="66"/>
            </w:tcBorders>
          </w:tcPr>
          <w:p w:rsidR="00064502" w:rsidRPr="00935730" w:rsidRDefault="00064502" w:rsidP="00064502">
            <w:r w:rsidRPr="00935730">
              <w:t>173.5</w:t>
            </w:r>
          </w:p>
        </w:tc>
      </w:tr>
      <w:tr w:rsidR="00064502" w:rsidRPr="00E90833" w:rsidTr="00064502">
        <w:trPr>
          <w:trHeight w:val="432"/>
          <w:jc w:val="center"/>
        </w:trPr>
        <w:tc>
          <w:tcPr>
            <w:tcW w:w="2208" w:type="dxa"/>
            <w:tcBorders>
              <w:top w:val="nil"/>
              <w:left w:val="single" w:sz="8" w:space="0" w:color="7BA0CD"/>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b/>
                <w:bCs/>
                <w:color w:val="000000"/>
              </w:rPr>
            </w:pPr>
            <w:r w:rsidRPr="00E90833">
              <w:rPr>
                <w:rFonts w:ascii="Calibri" w:eastAsia="Times New Roman" w:hAnsi="Calibri" w:cs="Times New Roman"/>
                <w:b/>
                <w:bCs/>
                <w:color w:val="000000"/>
                <w:lang w:val="ro-RO"/>
              </w:rPr>
              <w:t>HOCHLAND ROMÂNIA SRL</w:t>
            </w:r>
          </w:p>
        </w:tc>
        <w:tc>
          <w:tcPr>
            <w:tcW w:w="767" w:type="dxa"/>
            <w:tcBorders>
              <w:top w:val="nil"/>
              <w:left w:val="nil"/>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color w:val="000000"/>
              </w:rPr>
            </w:pPr>
            <w:r w:rsidRPr="00E90833">
              <w:rPr>
                <w:rFonts w:ascii="Calibri" w:eastAsia="Times New Roman" w:hAnsi="Calibri" w:cs="Times New Roman"/>
                <w:color w:val="000000"/>
                <w:lang w:val="ro-RO"/>
              </w:rPr>
              <w:t>MS</w:t>
            </w:r>
          </w:p>
        </w:tc>
        <w:tc>
          <w:tcPr>
            <w:tcW w:w="951" w:type="dxa"/>
            <w:gridSpan w:val="2"/>
            <w:tcBorders>
              <w:top w:val="nil"/>
              <w:left w:val="nil"/>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color w:val="333333"/>
              </w:rPr>
            </w:pPr>
            <w:r w:rsidRPr="00E90833">
              <w:rPr>
                <w:rFonts w:ascii="Calibri" w:eastAsia="Times New Roman" w:hAnsi="Calibri" w:cs="Times New Roman"/>
                <w:color w:val="333333"/>
              </w:rPr>
              <w:t>336</w:t>
            </w:r>
          </w:p>
        </w:tc>
        <w:tc>
          <w:tcPr>
            <w:tcW w:w="951" w:type="dxa"/>
            <w:tcBorders>
              <w:top w:val="nil"/>
              <w:left w:val="nil"/>
              <w:bottom w:val="single" w:sz="8" w:space="0" w:color="7BA0CD"/>
              <w:right w:val="nil"/>
            </w:tcBorders>
            <w:shd w:val="clear" w:color="000000" w:fill="D3DFEE"/>
          </w:tcPr>
          <w:p w:rsidR="00064502" w:rsidRPr="00E90833" w:rsidRDefault="00064502" w:rsidP="00064502">
            <w:pPr>
              <w:spacing w:after="0"/>
              <w:rPr>
                <w:rFonts w:ascii="Calibri" w:eastAsia="Times New Roman" w:hAnsi="Calibri" w:cs="Times New Roman"/>
                <w:color w:val="333333"/>
              </w:rPr>
            </w:pPr>
            <w:r>
              <w:rPr>
                <w:rFonts w:ascii="Calibri" w:eastAsia="Times New Roman" w:hAnsi="Calibri" w:cs="Times New Roman"/>
                <w:color w:val="333333"/>
              </w:rPr>
              <w:t>312</w:t>
            </w:r>
          </w:p>
        </w:tc>
        <w:tc>
          <w:tcPr>
            <w:tcW w:w="1807" w:type="dxa"/>
            <w:tcBorders>
              <w:top w:val="nil"/>
              <w:left w:val="nil"/>
              <w:bottom w:val="single" w:sz="8" w:space="0" w:color="7BA0CD"/>
            </w:tcBorders>
            <w:shd w:val="clear" w:color="000000" w:fill="D3DFEE"/>
            <w:hideMark/>
          </w:tcPr>
          <w:p w:rsidR="00064502" w:rsidRPr="00935730" w:rsidRDefault="00064502" w:rsidP="00064502">
            <w:r w:rsidRPr="00935730">
              <w:t>216.0</w:t>
            </w:r>
          </w:p>
        </w:tc>
        <w:tc>
          <w:tcPr>
            <w:tcW w:w="1887" w:type="dxa"/>
            <w:tcBorders>
              <w:top w:val="single" w:sz="4" w:space="0" w:color="8DB3E2" w:themeColor="text2" w:themeTint="66"/>
              <w:bottom w:val="single" w:sz="4" w:space="0" w:color="8DB3E2" w:themeColor="text2" w:themeTint="66"/>
              <w:right w:val="single" w:sz="4" w:space="0" w:color="8DB3E2" w:themeColor="text2" w:themeTint="66"/>
            </w:tcBorders>
            <w:shd w:val="clear" w:color="000000" w:fill="D3DFEE"/>
          </w:tcPr>
          <w:p w:rsidR="00064502" w:rsidRPr="00935730" w:rsidRDefault="00064502" w:rsidP="00064502">
            <w:r w:rsidRPr="00935730">
              <w:t>216.1</w:t>
            </w:r>
          </w:p>
        </w:tc>
      </w:tr>
      <w:tr w:rsidR="00064502" w:rsidRPr="00E90833" w:rsidTr="00064502">
        <w:trPr>
          <w:trHeight w:val="432"/>
          <w:jc w:val="center"/>
        </w:trPr>
        <w:tc>
          <w:tcPr>
            <w:tcW w:w="2208" w:type="dxa"/>
            <w:tcBorders>
              <w:top w:val="nil"/>
              <w:left w:val="single" w:sz="8" w:space="0" w:color="7BA0CD"/>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b/>
                <w:bCs/>
                <w:color w:val="000000"/>
              </w:rPr>
            </w:pPr>
            <w:r w:rsidRPr="00931103">
              <w:rPr>
                <w:rFonts w:ascii="Calibri" w:eastAsia="Times New Roman" w:hAnsi="Calibri" w:cs="Times New Roman"/>
                <w:b/>
                <w:bCs/>
                <w:color w:val="000000"/>
                <w:lang w:val="ro-RO"/>
              </w:rPr>
              <w:t>TEREOS ROMÂNIA</w:t>
            </w:r>
            <w:r>
              <w:rPr>
                <w:rFonts w:ascii="Calibri" w:eastAsia="Times New Roman" w:hAnsi="Calibri" w:cs="Times New Roman"/>
                <w:b/>
                <w:bCs/>
                <w:color w:val="000000"/>
                <w:lang w:val="ro-RO"/>
              </w:rPr>
              <w:t xml:space="preserve"> </w:t>
            </w:r>
            <w:r w:rsidRPr="00E90833">
              <w:rPr>
                <w:rFonts w:ascii="Calibri" w:eastAsia="Times New Roman" w:hAnsi="Calibri" w:cs="Times New Roman"/>
                <w:b/>
                <w:bCs/>
                <w:color w:val="000000"/>
                <w:lang w:val="ro-RO"/>
              </w:rPr>
              <w:t>ZAHARUL LUDUS SA</w:t>
            </w:r>
          </w:p>
        </w:tc>
        <w:tc>
          <w:tcPr>
            <w:tcW w:w="767" w:type="dxa"/>
            <w:tcBorders>
              <w:top w:val="nil"/>
              <w:left w:val="nil"/>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color w:val="000000"/>
              </w:rPr>
            </w:pPr>
            <w:r w:rsidRPr="00E90833">
              <w:rPr>
                <w:rFonts w:ascii="Calibri" w:eastAsia="Times New Roman" w:hAnsi="Calibri" w:cs="Times New Roman"/>
                <w:color w:val="000000"/>
                <w:lang w:val="ro-RO"/>
              </w:rPr>
              <w:t>MS</w:t>
            </w:r>
          </w:p>
        </w:tc>
        <w:tc>
          <w:tcPr>
            <w:tcW w:w="951" w:type="dxa"/>
            <w:gridSpan w:val="2"/>
            <w:tcBorders>
              <w:top w:val="nil"/>
              <w:left w:val="nil"/>
              <w:bottom w:val="single" w:sz="8" w:space="0" w:color="7BA0CD"/>
              <w:right w:val="nil"/>
            </w:tcBorders>
            <w:shd w:val="clear" w:color="auto" w:fill="auto"/>
            <w:hideMark/>
          </w:tcPr>
          <w:p w:rsidR="00064502" w:rsidRPr="00E90833" w:rsidRDefault="00064502" w:rsidP="00064502">
            <w:pPr>
              <w:spacing w:after="0"/>
              <w:rPr>
                <w:rFonts w:ascii="Calibri" w:eastAsia="Times New Roman" w:hAnsi="Calibri" w:cs="Times New Roman"/>
                <w:color w:val="333333"/>
              </w:rPr>
            </w:pPr>
            <w:r w:rsidRPr="00E90833">
              <w:rPr>
                <w:rFonts w:ascii="Calibri" w:eastAsia="Times New Roman" w:hAnsi="Calibri" w:cs="Times New Roman"/>
                <w:color w:val="333333"/>
              </w:rPr>
              <w:t>220</w:t>
            </w:r>
          </w:p>
        </w:tc>
        <w:tc>
          <w:tcPr>
            <w:tcW w:w="951" w:type="dxa"/>
            <w:tcBorders>
              <w:top w:val="nil"/>
              <w:left w:val="nil"/>
              <w:bottom w:val="single" w:sz="8" w:space="0" w:color="7BA0CD"/>
              <w:right w:val="nil"/>
            </w:tcBorders>
            <w:shd w:val="clear" w:color="auto" w:fill="auto"/>
          </w:tcPr>
          <w:p w:rsidR="00064502" w:rsidRPr="00E90833" w:rsidRDefault="00064502" w:rsidP="00064502">
            <w:pPr>
              <w:spacing w:after="0"/>
              <w:rPr>
                <w:rFonts w:ascii="Calibri" w:eastAsia="Times New Roman" w:hAnsi="Calibri" w:cs="Times New Roman"/>
                <w:color w:val="333333"/>
              </w:rPr>
            </w:pPr>
            <w:r>
              <w:rPr>
                <w:rFonts w:ascii="Calibri" w:eastAsia="Times New Roman" w:hAnsi="Calibri" w:cs="Times New Roman"/>
                <w:color w:val="333333"/>
              </w:rPr>
              <w:t>195</w:t>
            </w:r>
          </w:p>
        </w:tc>
        <w:tc>
          <w:tcPr>
            <w:tcW w:w="1807" w:type="dxa"/>
            <w:tcBorders>
              <w:top w:val="nil"/>
              <w:left w:val="nil"/>
              <w:bottom w:val="single" w:sz="8" w:space="0" w:color="7BA0CD"/>
            </w:tcBorders>
            <w:shd w:val="clear" w:color="auto" w:fill="auto"/>
            <w:hideMark/>
          </w:tcPr>
          <w:p w:rsidR="00064502" w:rsidRPr="00935730" w:rsidRDefault="00064502" w:rsidP="00064502">
            <w:r w:rsidRPr="00935730">
              <w:t>180.8</w:t>
            </w:r>
          </w:p>
        </w:tc>
        <w:tc>
          <w:tcPr>
            <w:tcW w:w="1887" w:type="dxa"/>
            <w:tcBorders>
              <w:top w:val="single" w:sz="4" w:space="0" w:color="8DB3E2" w:themeColor="text2" w:themeTint="66"/>
              <w:bottom w:val="single" w:sz="4" w:space="0" w:color="8DB3E2" w:themeColor="text2" w:themeTint="66"/>
              <w:right w:val="single" w:sz="4" w:space="0" w:color="8DB3E2" w:themeColor="text2" w:themeTint="66"/>
            </w:tcBorders>
          </w:tcPr>
          <w:p w:rsidR="00064502" w:rsidRPr="00935730" w:rsidRDefault="00064502" w:rsidP="00064502">
            <w:r w:rsidRPr="00935730">
              <w:t>140.1</w:t>
            </w:r>
          </w:p>
        </w:tc>
      </w:tr>
      <w:tr w:rsidR="00064502" w:rsidRPr="00E90833" w:rsidTr="00064502">
        <w:trPr>
          <w:trHeight w:val="432"/>
          <w:jc w:val="center"/>
        </w:trPr>
        <w:tc>
          <w:tcPr>
            <w:tcW w:w="2208" w:type="dxa"/>
            <w:tcBorders>
              <w:top w:val="nil"/>
              <w:left w:val="single" w:sz="8" w:space="0" w:color="7BA0CD"/>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b/>
                <w:bCs/>
                <w:color w:val="000000"/>
              </w:rPr>
            </w:pPr>
            <w:r w:rsidRPr="00E90833">
              <w:rPr>
                <w:rFonts w:ascii="Calibri" w:eastAsia="Times New Roman" w:hAnsi="Calibri" w:cs="Times New Roman"/>
                <w:b/>
                <w:bCs/>
                <w:color w:val="000000"/>
                <w:lang w:val="ro-RO"/>
              </w:rPr>
              <w:t>SCANDIA FOOD SRL</w:t>
            </w:r>
          </w:p>
        </w:tc>
        <w:tc>
          <w:tcPr>
            <w:tcW w:w="767" w:type="dxa"/>
            <w:tcBorders>
              <w:top w:val="nil"/>
              <w:left w:val="nil"/>
              <w:bottom w:val="single" w:sz="8" w:space="0" w:color="7BA0CD"/>
              <w:right w:val="nil"/>
            </w:tcBorders>
            <w:shd w:val="clear" w:color="000000" w:fill="D3DFEE"/>
            <w:hideMark/>
          </w:tcPr>
          <w:p w:rsidR="00064502" w:rsidRPr="00E90833" w:rsidRDefault="00064502" w:rsidP="00064502">
            <w:pPr>
              <w:spacing w:after="0"/>
              <w:rPr>
                <w:rFonts w:ascii="Calibri" w:eastAsia="Times New Roman" w:hAnsi="Calibri" w:cs="Times New Roman"/>
                <w:color w:val="000000"/>
              </w:rPr>
            </w:pPr>
            <w:r w:rsidRPr="00E90833">
              <w:rPr>
                <w:rFonts w:ascii="Calibri" w:eastAsia="Times New Roman" w:hAnsi="Calibri" w:cs="Times New Roman"/>
                <w:color w:val="000000"/>
                <w:lang w:val="ro-RO"/>
              </w:rPr>
              <w:t>SB</w:t>
            </w:r>
          </w:p>
        </w:tc>
        <w:tc>
          <w:tcPr>
            <w:tcW w:w="951" w:type="dxa"/>
            <w:gridSpan w:val="2"/>
            <w:tcBorders>
              <w:top w:val="nil"/>
              <w:left w:val="nil"/>
              <w:bottom w:val="single" w:sz="4" w:space="0" w:color="8DB3E2" w:themeColor="text2" w:themeTint="66"/>
              <w:right w:val="nil"/>
            </w:tcBorders>
            <w:shd w:val="clear" w:color="000000" w:fill="D3DFEE"/>
            <w:hideMark/>
          </w:tcPr>
          <w:p w:rsidR="00064502" w:rsidRPr="00E90833" w:rsidRDefault="00064502" w:rsidP="00064502">
            <w:pPr>
              <w:spacing w:after="0"/>
              <w:rPr>
                <w:rFonts w:ascii="Calibri" w:eastAsia="Times New Roman" w:hAnsi="Calibri" w:cs="Times New Roman"/>
                <w:color w:val="333333"/>
              </w:rPr>
            </w:pPr>
            <w:r w:rsidRPr="00E90833">
              <w:rPr>
                <w:rFonts w:ascii="Calibri" w:eastAsia="Times New Roman" w:hAnsi="Calibri" w:cs="Times New Roman"/>
                <w:color w:val="333333"/>
              </w:rPr>
              <w:t>544</w:t>
            </w:r>
          </w:p>
        </w:tc>
        <w:tc>
          <w:tcPr>
            <w:tcW w:w="951" w:type="dxa"/>
            <w:tcBorders>
              <w:top w:val="nil"/>
              <w:left w:val="nil"/>
              <w:bottom w:val="single" w:sz="4" w:space="0" w:color="8DB3E2" w:themeColor="text2" w:themeTint="66"/>
              <w:right w:val="nil"/>
            </w:tcBorders>
            <w:shd w:val="clear" w:color="000000" w:fill="D3DFEE"/>
          </w:tcPr>
          <w:p w:rsidR="00064502" w:rsidRPr="00E90833" w:rsidRDefault="00064502" w:rsidP="00064502">
            <w:pPr>
              <w:spacing w:after="0"/>
              <w:rPr>
                <w:rFonts w:ascii="Calibri" w:eastAsia="Times New Roman" w:hAnsi="Calibri" w:cs="Times New Roman"/>
                <w:color w:val="333333"/>
              </w:rPr>
            </w:pPr>
            <w:r>
              <w:rPr>
                <w:rFonts w:ascii="Calibri" w:eastAsia="Times New Roman" w:hAnsi="Calibri" w:cs="Times New Roman"/>
                <w:color w:val="333333"/>
              </w:rPr>
              <w:t>512</w:t>
            </w:r>
          </w:p>
        </w:tc>
        <w:tc>
          <w:tcPr>
            <w:tcW w:w="1807" w:type="dxa"/>
            <w:tcBorders>
              <w:top w:val="nil"/>
              <w:left w:val="nil"/>
              <w:bottom w:val="single" w:sz="8" w:space="0" w:color="7BA0CD"/>
            </w:tcBorders>
            <w:shd w:val="clear" w:color="000000" w:fill="D3DFEE"/>
            <w:hideMark/>
          </w:tcPr>
          <w:p w:rsidR="00064502" w:rsidRPr="00935730" w:rsidRDefault="00064502" w:rsidP="00064502">
            <w:r w:rsidRPr="00935730">
              <w:t>203.1</w:t>
            </w:r>
          </w:p>
        </w:tc>
        <w:tc>
          <w:tcPr>
            <w:tcW w:w="1887" w:type="dxa"/>
            <w:tcBorders>
              <w:top w:val="single" w:sz="4" w:space="0" w:color="8DB3E2" w:themeColor="text2" w:themeTint="66"/>
              <w:bottom w:val="single" w:sz="4" w:space="0" w:color="8DB3E2" w:themeColor="text2" w:themeTint="66"/>
              <w:right w:val="single" w:sz="4" w:space="0" w:color="8DB3E2" w:themeColor="text2" w:themeTint="66"/>
            </w:tcBorders>
            <w:shd w:val="clear" w:color="000000" w:fill="D3DFEE"/>
          </w:tcPr>
          <w:p w:rsidR="00064502" w:rsidRDefault="00064502" w:rsidP="00064502">
            <w:r w:rsidRPr="00935730">
              <w:t>211.5</w:t>
            </w:r>
          </w:p>
        </w:tc>
      </w:tr>
    </w:tbl>
    <w:p w:rsidR="00064502" w:rsidRDefault="00064502" w:rsidP="00064502">
      <w:pPr>
        <w:tabs>
          <w:tab w:val="left" w:pos="0"/>
        </w:tabs>
        <w:ind w:firstLine="720"/>
        <w:jc w:val="both"/>
        <w:rPr>
          <w:rFonts w:cs="Arial"/>
          <w:bCs/>
          <w:sz w:val="18"/>
          <w:szCs w:val="18"/>
          <w:lang w:val="ro-RO"/>
        </w:rPr>
      </w:pPr>
      <w:r w:rsidRPr="00293C32">
        <w:rPr>
          <w:sz w:val="18"/>
          <w:szCs w:val="18"/>
          <w:lang w:val="ro-RO"/>
        </w:rPr>
        <w:t xml:space="preserve">Sursă date: </w:t>
      </w:r>
      <w:r w:rsidRPr="00293C32">
        <w:rPr>
          <w:rFonts w:cs="Arial"/>
          <w:bCs/>
          <w:sz w:val="18"/>
          <w:szCs w:val="18"/>
          <w:lang w:val="ro-RO"/>
        </w:rPr>
        <w:t>Camera de Comerţ şi Industrie a României</w:t>
      </w:r>
    </w:p>
    <w:p w:rsidR="00064502" w:rsidRDefault="00064502" w:rsidP="00064502">
      <w:pPr>
        <w:tabs>
          <w:tab w:val="left" w:pos="0"/>
        </w:tabs>
        <w:ind w:firstLine="720"/>
        <w:jc w:val="both"/>
        <w:rPr>
          <w:rFonts w:cs="Arial"/>
          <w:bCs/>
          <w:sz w:val="18"/>
          <w:szCs w:val="18"/>
          <w:lang w:val="ro-RO"/>
        </w:rPr>
      </w:pPr>
    </w:p>
    <w:p w:rsidR="00064502" w:rsidRDefault="00064502" w:rsidP="00064502">
      <w:pPr>
        <w:tabs>
          <w:tab w:val="left" w:pos="0"/>
        </w:tabs>
        <w:ind w:firstLine="720"/>
        <w:jc w:val="both"/>
        <w:rPr>
          <w:rFonts w:cs="Arial"/>
          <w:bCs/>
          <w:sz w:val="18"/>
          <w:szCs w:val="18"/>
          <w:lang w:val="ro-RO"/>
        </w:rPr>
      </w:pPr>
    </w:p>
    <w:p w:rsidR="00064502" w:rsidRDefault="00064502" w:rsidP="00064502">
      <w:pPr>
        <w:tabs>
          <w:tab w:val="left" w:pos="0"/>
        </w:tabs>
        <w:ind w:firstLine="720"/>
        <w:jc w:val="both"/>
        <w:rPr>
          <w:rFonts w:cs="Arial"/>
          <w:bCs/>
          <w:sz w:val="18"/>
          <w:szCs w:val="18"/>
          <w:lang w:val="ro-RO"/>
        </w:rPr>
      </w:pPr>
    </w:p>
    <w:p w:rsidR="00064502" w:rsidRDefault="00064502" w:rsidP="00064502">
      <w:pPr>
        <w:tabs>
          <w:tab w:val="left" w:pos="0"/>
        </w:tabs>
        <w:ind w:firstLine="720"/>
        <w:jc w:val="both"/>
        <w:rPr>
          <w:rFonts w:cs="Arial"/>
          <w:bCs/>
          <w:sz w:val="18"/>
          <w:szCs w:val="18"/>
          <w:lang w:val="ro-RO"/>
        </w:rPr>
      </w:pPr>
    </w:p>
    <w:p w:rsidR="00064502" w:rsidRPr="00366CD6" w:rsidRDefault="00064502" w:rsidP="00064502">
      <w:pPr>
        <w:spacing w:after="0"/>
        <w:jc w:val="center"/>
        <w:rPr>
          <w:b/>
          <w:sz w:val="24"/>
          <w:szCs w:val="24"/>
          <w:lang w:val="ro-RO"/>
        </w:rPr>
      </w:pPr>
      <w:r w:rsidRPr="00992D43">
        <w:rPr>
          <w:b/>
          <w:sz w:val="24"/>
          <w:szCs w:val="24"/>
          <w:lang w:val="ro-RO"/>
        </w:rPr>
        <w:t>Tabel</w:t>
      </w:r>
      <w:r>
        <w:rPr>
          <w:b/>
          <w:sz w:val="24"/>
          <w:szCs w:val="24"/>
          <w:lang w:val="ro-RO"/>
        </w:rPr>
        <w:t xml:space="preserve"> 11 </w:t>
      </w:r>
      <w:r w:rsidRPr="00992D43">
        <w:rPr>
          <w:b/>
          <w:sz w:val="24"/>
          <w:szCs w:val="24"/>
          <w:lang w:val="ro-RO"/>
        </w:rPr>
        <w:t xml:space="preserve"> </w:t>
      </w:r>
      <w:r>
        <w:rPr>
          <w:b/>
          <w:sz w:val="24"/>
          <w:szCs w:val="24"/>
          <w:lang w:val="ro-RO"/>
        </w:rPr>
        <w:t>Î</w:t>
      </w:r>
      <w:r w:rsidRPr="00944796">
        <w:rPr>
          <w:b/>
          <w:sz w:val="24"/>
          <w:szCs w:val="24"/>
          <w:lang w:val="ro-RO"/>
        </w:rPr>
        <w:t>ntreprinderi ,,leader”</w:t>
      </w:r>
      <w:r>
        <w:rPr>
          <w:b/>
          <w:sz w:val="24"/>
          <w:szCs w:val="24"/>
          <w:lang w:val="ro-RO"/>
        </w:rPr>
        <w:t xml:space="preserve"> </w:t>
      </w:r>
      <w:r w:rsidRPr="00366CD6">
        <w:rPr>
          <w:b/>
          <w:sz w:val="24"/>
          <w:szCs w:val="24"/>
          <w:lang w:val="ro-RO"/>
        </w:rPr>
        <w:t>din Regiunea Centru ca</w:t>
      </w:r>
      <w:r>
        <w:rPr>
          <w:b/>
          <w:sz w:val="24"/>
          <w:szCs w:val="24"/>
          <w:lang w:val="ro-RO"/>
        </w:rPr>
        <w:t>re activează în sectorul agricol</w:t>
      </w:r>
    </w:p>
    <w:tbl>
      <w:tblPr>
        <w:tblStyle w:val="Hyperlink"/>
        <w:tblW w:w="8834" w:type="dxa"/>
        <w:jc w:val="center"/>
        <w:tblInd w:w="277" w:type="dxa"/>
        <w:tblLook w:val="04A0"/>
      </w:tblPr>
      <w:tblGrid>
        <w:gridCol w:w="2430"/>
        <w:gridCol w:w="917"/>
        <w:gridCol w:w="951"/>
        <w:gridCol w:w="951"/>
        <w:gridCol w:w="1784"/>
        <w:gridCol w:w="1801"/>
      </w:tblGrid>
      <w:tr w:rsidR="00064502" w:rsidRPr="00E90833" w:rsidTr="00064502">
        <w:trPr>
          <w:trHeight w:val="403"/>
          <w:jc w:val="center"/>
        </w:trPr>
        <w:tc>
          <w:tcPr>
            <w:tcW w:w="2430" w:type="dxa"/>
            <w:hideMark/>
          </w:tcPr>
          <w:p w:rsidR="00064502" w:rsidRPr="009669C6" w:rsidRDefault="00064502" w:rsidP="00064502">
            <w:pPr>
              <w:jc w:val="both"/>
              <w:rPr>
                <w:rFonts w:ascii="Calibri" w:eastAsia="Times New Roman" w:hAnsi="Calibri" w:cs="Times New Roman"/>
                <w:bCs/>
                <w:color w:val="FFFFFF"/>
              </w:rPr>
            </w:pPr>
            <w:r w:rsidRPr="009669C6">
              <w:rPr>
                <w:rFonts w:ascii="Calibri" w:eastAsia="Times New Roman" w:hAnsi="Calibri" w:cs="Times New Roman"/>
                <w:bCs/>
              </w:rPr>
              <w:t>Firmă</w:t>
            </w:r>
          </w:p>
        </w:tc>
        <w:tc>
          <w:tcPr>
            <w:tcW w:w="917" w:type="dxa"/>
            <w:hideMark/>
          </w:tcPr>
          <w:p w:rsidR="00064502" w:rsidRPr="009669C6" w:rsidRDefault="00064502" w:rsidP="00064502">
            <w:pPr>
              <w:jc w:val="both"/>
              <w:rPr>
                <w:rFonts w:ascii="Calibri" w:eastAsia="Times New Roman" w:hAnsi="Calibri" w:cs="Times New Roman"/>
                <w:bCs/>
                <w:color w:val="FFFFFF"/>
              </w:rPr>
            </w:pPr>
            <w:r w:rsidRPr="009669C6">
              <w:rPr>
                <w:rFonts w:ascii="Calibri" w:eastAsia="Times New Roman" w:hAnsi="Calibri" w:cs="Times New Roman"/>
                <w:bCs/>
              </w:rPr>
              <w:t>Judeţ</w:t>
            </w:r>
          </w:p>
        </w:tc>
        <w:tc>
          <w:tcPr>
            <w:tcW w:w="951" w:type="dxa"/>
            <w:hideMark/>
          </w:tcPr>
          <w:p w:rsidR="00064502" w:rsidRPr="009669C6" w:rsidRDefault="00064502" w:rsidP="00064502">
            <w:pPr>
              <w:jc w:val="both"/>
              <w:rPr>
                <w:rFonts w:ascii="Calibri" w:eastAsia="Times New Roman" w:hAnsi="Calibri" w:cs="Times New Roman"/>
                <w:bCs/>
                <w:color w:val="FFFFFF"/>
              </w:rPr>
            </w:pPr>
            <w:r w:rsidRPr="009669C6">
              <w:rPr>
                <w:rFonts w:ascii="Calibri" w:eastAsia="Times New Roman" w:hAnsi="Calibri" w:cs="Times New Roman"/>
                <w:bCs/>
              </w:rPr>
              <w:t>Nr. angajaţi 2013</w:t>
            </w:r>
          </w:p>
        </w:tc>
        <w:tc>
          <w:tcPr>
            <w:tcW w:w="951" w:type="dxa"/>
          </w:tcPr>
          <w:p w:rsidR="00064502" w:rsidRPr="009669C6" w:rsidRDefault="00064502" w:rsidP="00064502">
            <w:pPr>
              <w:jc w:val="both"/>
              <w:rPr>
                <w:rFonts w:ascii="Calibri" w:eastAsia="Times New Roman" w:hAnsi="Calibri" w:cs="Times New Roman"/>
                <w:bCs/>
              </w:rPr>
            </w:pPr>
            <w:r w:rsidRPr="009669C6">
              <w:rPr>
                <w:rFonts w:ascii="Calibri" w:eastAsia="Times New Roman" w:hAnsi="Calibri" w:cs="Times New Roman"/>
                <w:bCs/>
              </w:rPr>
              <w:t>Nr. angajaţi 201</w:t>
            </w:r>
            <w:r>
              <w:rPr>
                <w:rFonts w:ascii="Calibri" w:eastAsia="Times New Roman" w:hAnsi="Calibri" w:cs="Times New Roman"/>
                <w:bCs/>
              </w:rPr>
              <w:t>5</w:t>
            </w:r>
          </w:p>
        </w:tc>
        <w:tc>
          <w:tcPr>
            <w:tcW w:w="1784" w:type="dxa"/>
            <w:hideMark/>
          </w:tcPr>
          <w:p w:rsidR="00064502" w:rsidRPr="007B68BD" w:rsidRDefault="00064502" w:rsidP="00064502">
            <w:pPr>
              <w:rPr>
                <w:rFonts w:ascii="Calibri" w:eastAsia="Times New Roman" w:hAnsi="Calibri" w:cs="Times New Roman"/>
                <w:bCs/>
                <w:color w:val="FFFFFF"/>
              </w:rPr>
            </w:pPr>
            <w:r w:rsidRPr="007B68BD">
              <w:rPr>
                <w:rFonts w:ascii="Calibri" w:eastAsia="Times New Roman" w:hAnsi="Calibri" w:cs="Times New Roman"/>
                <w:bCs/>
              </w:rPr>
              <w:t>CA netă 2013 (milioane lei)</w:t>
            </w:r>
          </w:p>
        </w:tc>
        <w:tc>
          <w:tcPr>
            <w:tcW w:w="1801" w:type="dxa"/>
          </w:tcPr>
          <w:p w:rsidR="00064502" w:rsidRPr="007B68BD" w:rsidRDefault="00064502" w:rsidP="00064502">
            <w:pPr>
              <w:rPr>
                <w:rFonts w:ascii="Calibri" w:eastAsia="Times New Roman" w:hAnsi="Calibri" w:cs="Times New Roman"/>
                <w:bCs/>
              </w:rPr>
            </w:pPr>
            <w:r w:rsidRPr="007B68BD">
              <w:rPr>
                <w:rFonts w:ascii="Calibri" w:eastAsia="Times New Roman" w:hAnsi="Calibri" w:cs="Times New Roman"/>
                <w:bCs/>
              </w:rPr>
              <w:t>CA netă 2015 (milioane lei)</w:t>
            </w:r>
          </w:p>
        </w:tc>
      </w:tr>
      <w:tr w:rsidR="00064502" w:rsidRPr="00E90833" w:rsidTr="00064502">
        <w:trPr>
          <w:trHeight w:val="432"/>
          <w:jc w:val="center"/>
        </w:trPr>
        <w:tc>
          <w:tcPr>
            <w:tcW w:w="2430" w:type="dxa"/>
            <w:hideMark/>
          </w:tcPr>
          <w:p w:rsidR="00064502" w:rsidRPr="009669C6" w:rsidRDefault="00064502" w:rsidP="00064502">
            <w:pPr>
              <w:jc w:val="both"/>
              <w:rPr>
                <w:rFonts w:ascii="Calibri" w:eastAsia="Times New Roman" w:hAnsi="Calibri" w:cs="Times New Roman"/>
                <w:bCs/>
                <w:color w:val="000000"/>
              </w:rPr>
            </w:pPr>
            <w:r w:rsidRPr="009669C6">
              <w:rPr>
                <w:rFonts w:ascii="Calibri" w:eastAsia="Times New Roman" w:hAnsi="Calibri" w:cs="Times New Roman"/>
                <w:bCs/>
                <w:color w:val="000000"/>
              </w:rPr>
              <w:t>TRANSAVIA SA</w:t>
            </w:r>
          </w:p>
        </w:tc>
        <w:tc>
          <w:tcPr>
            <w:tcW w:w="917" w:type="dxa"/>
            <w:hideMark/>
          </w:tcPr>
          <w:p w:rsidR="00064502" w:rsidRPr="00E90833" w:rsidRDefault="00064502" w:rsidP="00064502">
            <w:pPr>
              <w:jc w:val="both"/>
              <w:rPr>
                <w:rFonts w:ascii="Calibri" w:eastAsia="Times New Roman" w:hAnsi="Calibri" w:cs="Times New Roman"/>
                <w:color w:val="000000"/>
              </w:rPr>
            </w:pPr>
            <w:r w:rsidRPr="00E90833">
              <w:rPr>
                <w:rFonts w:ascii="Calibri" w:eastAsia="Times New Roman" w:hAnsi="Calibri" w:cs="Times New Roman"/>
                <w:color w:val="000000"/>
              </w:rPr>
              <w:t>AB</w:t>
            </w:r>
          </w:p>
        </w:tc>
        <w:tc>
          <w:tcPr>
            <w:tcW w:w="951" w:type="dxa"/>
            <w:hideMark/>
          </w:tcPr>
          <w:p w:rsidR="00064502" w:rsidRPr="00E90833" w:rsidRDefault="00064502" w:rsidP="00064502">
            <w:pPr>
              <w:jc w:val="both"/>
              <w:rPr>
                <w:rFonts w:ascii="Calibri" w:eastAsia="Times New Roman" w:hAnsi="Calibri" w:cs="Times New Roman"/>
                <w:color w:val="333333"/>
              </w:rPr>
            </w:pPr>
            <w:r w:rsidRPr="00E90833">
              <w:rPr>
                <w:rFonts w:ascii="Calibri" w:eastAsia="Times New Roman" w:hAnsi="Calibri" w:cs="Times New Roman"/>
                <w:color w:val="333333"/>
              </w:rPr>
              <w:t>1005</w:t>
            </w:r>
          </w:p>
        </w:tc>
        <w:tc>
          <w:tcPr>
            <w:tcW w:w="951" w:type="dxa"/>
          </w:tcPr>
          <w:p w:rsidR="00064502" w:rsidRPr="00E90833" w:rsidRDefault="00064502" w:rsidP="00064502">
            <w:pPr>
              <w:jc w:val="both"/>
              <w:rPr>
                <w:rFonts w:ascii="Calibri" w:eastAsia="Times New Roman" w:hAnsi="Calibri" w:cs="Times New Roman"/>
                <w:color w:val="333333"/>
              </w:rPr>
            </w:pPr>
            <w:r w:rsidRPr="00B674CB">
              <w:rPr>
                <w:rFonts w:ascii="Calibri" w:eastAsia="Times New Roman" w:hAnsi="Calibri" w:cs="Times New Roman"/>
                <w:color w:val="333333"/>
              </w:rPr>
              <w:t>1145</w:t>
            </w:r>
          </w:p>
        </w:tc>
        <w:tc>
          <w:tcPr>
            <w:tcW w:w="1784" w:type="dxa"/>
            <w:hideMark/>
          </w:tcPr>
          <w:p w:rsidR="00064502" w:rsidRDefault="00064502" w:rsidP="00064502">
            <w:pPr>
              <w:rPr>
                <w:rFonts w:ascii="Calibri" w:hAnsi="Calibri"/>
                <w:color w:val="000000"/>
              </w:rPr>
            </w:pPr>
            <w:r>
              <w:rPr>
                <w:rFonts w:ascii="Calibri" w:hAnsi="Calibri"/>
                <w:color w:val="000000"/>
              </w:rPr>
              <w:t>459.7</w:t>
            </w:r>
          </w:p>
        </w:tc>
        <w:tc>
          <w:tcPr>
            <w:tcW w:w="1801" w:type="dxa"/>
          </w:tcPr>
          <w:p w:rsidR="00064502" w:rsidRDefault="00064502" w:rsidP="00064502">
            <w:pPr>
              <w:rPr>
                <w:rFonts w:ascii="Calibri" w:hAnsi="Calibri"/>
                <w:color w:val="000000"/>
              </w:rPr>
            </w:pPr>
            <w:r>
              <w:rPr>
                <w:rFonts w:ascii="Calibri" w:hAnsi="Calibri"/>
                <w:color w:val="000000"/>
              </w:rPr>
              <w:t>462.3</w:t>
            </w:r>
          </w:p>
        </w:tc>
      </w:tr>
      <w:tr w:rsidR="00064502" w:rsidRPr="00E90833" w:rsidTr="00064502">
        <w:trPr>
          <w:trHeight w:val="432"/>
          <w:jc w:val="center"/>
        </w:trPr>
        <w:tc>
          <w:tcPr>
            <w:tcW w:w="2430" w:type="dxa"/>
            <w:hideMark/>
          </w:tcPr>
          <w:p w:rsidR="00064502" w:rsidRPr="009669C6" w:rsidRDefault="00064502" w:rsidP="00064502">
            <w:pPr>
              <w:jc w:val="both"/>
              <w:rPr>
                <w:rFonts w:ascii="Calibri" w:eastAsia="Times New Roman" w:hAnsi="Calibri" w:cs="Times New Roman"/>
                <w:bCs/>
                <w:color w:val="000000"/>
              </w:rPr>
            </w:pPr>
            <w:r w:rsidRPr="009669C6">
              <w:rPr>
                <w:rFonts w:ascii="Calibri" w:eastAsia="Times New Roman" w:hAnsi="Calibri" w:cs="Times New Roman"/>
                <w:bCs/>
                <w:color w:val="000000"/>
              </w:rPr>
              <w:t>JIDVEI SRL FILIALA ALBA</w:t>
            </w:r>
          </w:p>
        </w:tc>
        <w:tc>
          <w:tcPr>
            <w:tcW w:w="917" w:type="dxa"/>
            <w:hideMark/>
          </w:tcPr>
          <w:p w:rsidR="00064502" w:rsidRPr="00E90833" w:rsidRDefault="00064502" w:rsidP="00064502">
            <w:pPr>
              <w:jc w:val="both"/>
              <w:rPr>
                <w:rFonts w:ascii="Calibri" w:eastAsia="Times New Roman" w:hAnsi="Calibri" w:cs="Times New Roman"/>
                <w:color w:val="000000"/>
              </w:rPr>
            </w:pPr>
            <w:r w:rsidRPr="00E90833">
              <w:rPr>
                <w:rFonts w:ascii="Calibri" w:eastAsia="Times New Roman" w:hAnsi="Calibri" w:cs="Times New Roman"/>
                <w:color w:val="000000"/>
              </w:rPr>
              <w:t>AB</w:t>
            </w:r>
          </w:p>
        </w:tc>
        <w:tc>
          <w:tcPr>
            <w:tcW w:w="951" w:type="dxa"/>
            <w:hideMark/>
          </w:tcPr>
          <w:p w:rsidR="00064502" w:rsidRPr="00E90833" w:rsidRDefault="00064502" w:rsidP="00064502">
            <w:pPr>
              <w:jc w:val="both"/>
              <w:rPr>
                <w:rFonts w:ascii="Calibri" w:eastAsia="Times New Roman" w:hAnsi="Calibri" w:cs="Times New Roman"/>
                <w:color w:val="333333"/>
              </w:rPr>
            </w:pPr>
            <w:r w:rsidRPr="00E90833">
              <w:rPr>
                <w:rFonts w:ascii="Calibri" w:eastAsia="Times New Roman" w:hAnsi="Calibri" w:cs="Times New Roman"/>
                <w:color w:val="333333"/>
              </w:rPr>
              <w:t>161</w:t>
            </w:r>
          </w:p>
        </w:tc>
        <w:tc>
          <w:tcPr>
            <w:tcW w:w="951" w:type="dxa"/>
          </w:tcPr>
          <w:p w:rsidR="00064502" w:rsidRPr="00E90833" w:rsidRDefault="00064502" w:rsidP="00064502">
            <w:pPr>
              <w:jc w:val="both"/>
              <w:rPr>
                <w:rFonts w:ascii="Calibri" w:eastAsia="Times New Roman" w:hAnsi="Calibri" w:cs="Times New Roman"/>
                <w:color w:val="333333"/>
              </w:rPr>
            </w:pPr>
            <w:r w:rsidRPr="00B674CB">
              <w:rPr>
                <w:rFonts w:ascii="Calibri" w:eastAsia="Times New Roman" w:hAnsi="Calibri" w:cs="Times New Roman"/>
                <w:color w:val="333333"/>
              </w:rPr>
              <w:t>146</w:t>
            </w:r>
          </w:p>
        </w:tc>
        <w:tc>
          <w:tcPr>
            <w:tcW w:w="1784" w:type="dxa"/>
            <w:hideMark/>
          </w:tcPr>
          <w:p w:rsidR="00064502" w:rsidRDefault="00064502" w:rsidP="00064502">
            <w:pPr>
              <w:rPr>
                <w:rFonts w:ascii="Calibri" w:hAnsi="Calibri"/>
                <w:color w:val="000000"/>
              </w:rPr>
            </w:pPr>
            <w:r>
              <w:rPr>
                <w:rFonts w:ascii="Calibri" w:hAnsi="Calibri"/>
                <w:color w:val="000000"/>
              </w:rPr>
              <w:t>103.7</w:t>
            </w:r>
          </w:p>
        </w:tc>
        <w:tc>
          <w:tcPr>
            <w:tcW w:w="1801" w:type="dxa"/>
          </w:tcPr>
          <w:p w:rsidR="00064502" w:rsidRDefault="00064502" w:rsidP="00064502">
            <w:pPr>
              <w:rPr>
                <w:rFonts w:ascii="Calibri" w:hAnsi="Calibri"/>
                <w:color w:val="000000"/>
              </w:rPr>
            </w:pPr>
            <w:r>
              <w:rPr>
                <w:rFonts w:ascii="Calibri" w:hAnsi="Calibri"/>
                <w:color w:val="000000"/>
              </w:rPr>
              <w:t>129.5</w:t>
            </w:r>
          </w:p>
        </w:tc>
      </w:tr>
      <w:tr w:rsidR="00064502" w:rsidRPr="00E90833" w:rsidTr="00064502">
        <w:trPr>
          <w:trHeight w:val="432"/>
          <w:jc w:val="center"/>
        </w:trPr>
        <w:tc>
          <w:tcPr>
            <w:tcW w:w="2430" w:type="dxa"/>
            <w:hideMark/>
          </w:tcPr>
          <w:p w:rsidR="00064502" w:rsidRPr="009669C6" w:rsidRDefault="00064502" w:rsidP="00064502">
            <w:pPr>
              <w:jc w:val="both"/>
              <w:rPr>
                <w:rFonts w:ascii="Calibri" w:eastAsia="Times New Roman" w:hAnsi="Calibri" w:cs="Times New Roman"/>
                <w:bCs/>
                <w:color w:val="000000"/>
              </w:rPr>
            </w:pPr>
            <w:r w:rsidRPr="009669C6">
              <w:rPr>
                <w:rFonts w:ascii="Calibri" w:eastAsia="Times New Roman" w:hAnsi="Calibri" w:cs="Times New Roman"/>
                <w:bCs/>
                <w:color w:val="000000"/>
              </w:rPr>
              <w:t>AVICOLA BRASOV SA</w:t>
            </w:r>
          </w:p>
        </w:tc>
        <w:tc>
          <w:tcPr>
            <w:tcW w:w="917" w:type="dxa"/>
            <w:hideMark/>
          </w:tcPr>
          <w:p w:rsidR="00064502" w:rsidRPr="00E90833" w:rsidRDefault="00064502" w:rsidP="00064502">
            <w:pPr>
              <w:jc w:val="both"/>
              <w:rPr>
                <w:rFonts w:ascii="Calibri" w:eastAsia="Times New Roman" w:hAnsi="Calibri" w:cs="Times New Roman"/>
                <w:color w:val="000000"/>
              </w:rPr>
            </w:pPr>
            <w:r w:rsidRPr="00E90833">
              <w:rPr>
                <w:rFonts w:ascii="Calibri" w:eastAsia="Times New Roman" w:hAnsi="Calibri" w:cs="Times New Roman"/>
                <w:color w:val="000000"/>
              </w:rPr>
              <w:t>BV</w:t>
            </w:r>
          </w:p>
        </w:tc>
        <w:tc>
          <w:tcPr>
            <w:tcW w:w="951" w:type="dxa"/>
            <w:hideMark/>
          </w:tcPr>
          <w:p w:rsidR="00064502" w:rsidRPr="00E90833" w:rsidRDefault="00064502" w:rsidP="00064502">
            <w:pPr>
              <w:jc w:val="both"/>
              <w:rPr>
                <w:rFonts w:ascii="Calibri" w:eastAsia="Times New Roman" w:hAnsi="Calibri" w:cs="Times New Roman"/>
                <w:color w:val="333333"/>
              </w:rPr>
            </w:pPr>
            <w:r w:rsidRPr="00E90833">
              <w:rPr>
                <w:rFonts w:ascii="Calibri" w:eastAsia="Times New Roman" w:hAnsi="Calibri" w:cs="Times New Roman"/>
                <w:color w:val="333333"/>
              </w:rPr>
              <w:t>483</w:t>
            </w:r>
          </w:p>
        </w:tc>
        <w:tc>
          <w:tcPr>
            <w:tcW w:w="951" w:type="dxa"/>
          </w:tcPr>
          <w:p w:rsidR="00064502" w:rsidRPr="00E90833" w:rsidRDefault="00064502" w:rsidP="00064502">
            <w:pPr>
              <w:jc w:val="both"/>
              <w:rPr>
                <w:rFonts w:ascii="Calibri" w:eastAsia="Times New Roman" w:hAnsi="Calibri" w:cs="Times New Roman"/>
                <w:color w:val="333333"/>
              </w:rPr>
            </w:pPr>
            <w:r w:rsidRPr="00B674CB">
              <w:rPr>
                <w:rFonts w:ascii="Calibri" w:eastAsia="Times New Roman" w:hAnsi="Calibri" w:cs="Times New Roman"/>
                <w:color w:val="333333"/>
              </w:rPr>
              <w:t>487</w:t>
            </w:r>
          </w:p>
        </w:tc>
        <w:tc>
          <w:tcPr>
            <w:tcW w:w="1784" w:type="dxa"/>
            <w:hideMark/>
          </w:tcPr>
          <w:p w:rsidR="00064502" w:rsidRDefault="00064502" w:rsidP="00064502">
            <w:pPr>
              <w:rPr>
                <w:rFonts w:ascii="Calibri" w:hAnsi="Calibri"/>
                <w:color w:val="000000"/>
              </w:rPr>
            </w:pPr>
            <w:r>
              <w:rPr>
                <w:rFonts w:ascii="Calibri" w:hAnsi="Calibri"/>
                <w:color w:val="000000"/>
              </w:rPr>
              <w:t>122.4</w:t>
            </w:r>
          </w:p>
        </w:tc>
        <w:tc>
          <w:tcPr>
            <w:tcW w:w="1801" w:type="dxa"/>
          </w:tcPr>
          <w:p w:rsidR="00064502" w:rsidRDefault="00064502" w:rsidP="00064502">
            <w:pPr>
              <w:rPr>
                <w:rFonts w:ascii="Calibri" w:hAnsi="Calibri"/>
                <w:color w:val="000000"/>
              </w:rPr>
            </w:pPr>
            <w:r>
              <w:rPr>
                <w:rFonts w:ascii="Calibri" w:hAnsi="Calibri"/>
                <w:color w:val="000000"/>
              </w:rPr>
              <w:t>119.3</w:t>
            </w:r>
          </w:p>
        </w:tc>
      </w:tr>
      <w:tr w:rsidR="00064502" w:rsidRPr="00E90833" w:rsidTr="00064502">
        <w:trPr>
          <w:trHeight w:val="432"/>
          <w:jc w:val="center"/>
        </w:trPr>
        <w:tc>
          <w:tcPr>
            <w:tcW w:w="2430" w:type="dxa"/>
            <w:hideMark/>
          </w:tcPr>
          <w:p w:rsidR="00064502" w:rsidRPr="009669C6" w:rsidRDefault="00064502" w:rsidP="00064502">
            <w:pPr>
              <w:jc w:val="both"/>
              <w:rPr>
                <w:rFonts w:ascii="Calibri" w:eastAsia="Times New Roman" w:hAnsi="Calibri" w:cs="Times New Roman"/>
                <w:bCs/>
                <w:color w:val="000000"/>
              </w:rPr>
            </w:pPr>
            <w:r w:rsidRPr="009669C6">
              <w:rPr>
                <w:rFonts w:ascii="Calibri" w:eastAsia="Times New Roman" w:hAnsi="Calibri" w:cs="Times New Roman"/>
                <w:bCs/>
                <w:color w:val="000000"/>
              </w:rPr>
              <w:t>GALLI GALLO SRL</w:t>
            </w:r>
          </w:p>
        </w:tc>
        <w:tc>
          <w:tcPr>
            <w:tcW w:w="917" w:type="dxa"/>
            <w:hideMark/>
          </w:tcPr>
          <w:p w:rsidR="00064502" w:rsidRPr="00E90833" w:rsidRDefault="00064502" w:rsidP="00064502">
            <w:pPr>
              <w:jc w:val="both"/>
              <w:rPr>
                <w:rFonts w:ascii="Calibri" w:eastAsia="Times New Roman" w:hAnsi="Calibri" w:cs="Times New Roman"/>
                <w:color w:val="000000"/>
              </w:rPr>
            </w:pPr>
            <w:r w:rsidRPr="00E90833">
              <w:rPr>
                <w:rFonts w:ascii="Calibri" w:eastAsia="Times New Roman" w:hAnsi="Calibri" w:cs="Times New Roman"/>
                <w:color w:val="000000"/>
              </w:rPr>
              <w:t>BV</w:t>
            </w:r>
          </w:p>
        </w:tc>
        <w:tc>
          <w:tcPr>
            <w:tcW w:w="951" w:type="dxa"/>
            <w:hideMark/>
          </w:tcPr>
          <w:p w:rsidR="00064502" w:rsidRPr="00E90833" w:rsidRDefault="00064502" w:rsidP="00064502">
            <w:pPr>
              <w:jc w:val="both"/>
              <w:rPr>
                <w:rFonts w:ascii="Calibri" w:eastAsia="Times New Roman" w:hAnsi="Calibri" w:cs="Times New Roman"/>
                <w:color w:val="333333"/>
              </w:rPr>
            </w:pPr>
            <w:r w:rsidRPr="00E90833">
              <w:rPr>
                <w:rFonts w:ascii="Calibri" w:eastAsia="Times New Roman" w:hAnsi="Calibri" w:cs="Times New Roman"/>
                <w:color w:val="333333"/>
              </w:rPr>
              <w:t>346</w:t>
            </w:r>
          </w:p>
        </w:tc>
        <w:tc>
          <w:tcPr>
            <w:tcW w:w="951" w:type="dxa"/>
          </w:tcPr>
          <w:p w:rsidR="00064502" w:rsidRPr="00E90833" w:rsidRDefault="00064502" w:rsidP="00064502">
            <w:pPr>
              <w:jc w:val="both"/>
              <w:rPr>
                <w:rFonts w:ascii="Calibri" w:eastAsia="Times New Roman" w:hAnsi="Calibri" w:cs="Times New Roman"/>
                <w:color w:val="333333"/>
              </w:rPr>
            </w:pPr>
            <w:r w:rsidRPr="00B674CB">
              <w:rPr>
                <w:rFonts w:ascii="Calibri" w:eastAsia="Times New Roman" w:hAnsi="Calibri" w:cs="Times New Roman"/>
                <w:color w:val="333333"/>
              </w:rPr>
              <w:t>258</w:t>
            </w:r>
          </w:p>
        </w:tc>
        <w:tc>
          <w:tcPr>
            <w:tcW w:w="1784" w:type="dxa"/>
            <w:hideMark/>
          </w:tcPr>
          <w:p w:rsidR="00064502" w:rsidRDefault="00064502" w:rsidP="00064502">
            <w:pPr>
              <w:rPr>
                <w:rFonts w:ascii="Calibri" w:hAnsi="Calibri"/>
                <w:color w:val="000000"/>
              </w:rPr>
            </w:pPr>
            <w:r>
              <w:rPr>
                <w:rFonts w:ascii="Calibri" w:hAnsi="Calibri"/>
                <w:color w:val="000000"/>
              </w:rPr>
              <w:t>106.6</w:t>
            </w:r>
          </w:p>
        </w:tc>
        <w:tc>
          <w:tcPr>
            <w:tcW w:w="1801" w:type="dxa"/>
          </w:tcPr>
          <w:p w:rsidR="00064502" w:rsidRDefault="00064502" w:rsidP="00064502">
            <w:pPr>
              <w:rPr>
                <w:rFonts w:ascii="Calibri" w:hAnsi="Calibri"/>
                <w:color w:val="000000"/>
              </w:rPr>
            </w:pPr>
            <w:r>
              <w:rPr>
                <w:rFonts w:ascii="Calibri" w:hAnsi="Calibri"/>
                <w:color w:val="000000"/>
              </w:rPr>
              <w:t>137.7</w:t>
            </w:r>
          </w:p>
        </w:tc>
      </w:tr>
      <w:tr w:rsidR="00064502" w:rsidRPr="00E90833" w:rsidTr="00064502">
        <w:trPr>
          <w:trHeight w:val="432"/>
          <w:jc w:val="center"/>
        </w:trPr>
        <w:tc>
          <w:tcPr>
            <w:tcW w:w="2430" w:type="dxa"/>
            <w:hideMark/>
          </w:tcPr>
          <w:p w:rsidR="00064502" w:rsidRPr="009669C6" w:rsidRDefault="00064502" w:rsidP="00064502">
            <w:pPr>
              <w:jc w:val="both"/>
              <w:rPr>
                <w:rFonts w:ascii="Calibri" w:eastAsia="Times New Roman" w:hAnsi="Calibri" w:cs="Times New Roman"/>
                <w:bCs/>
                <w:color w:val="000000"/>
              </w:rPr>
            </w:pPr>
            <w:r w:rsidRPr="009669C6">
              <w:rPr>
                <w:rFonts w:ascii="Calibri" w:eastAsia="Times New Roman" w:hAnsi="Calibri" w:cs="Times New Roman"/>
                <w:bCs/>
                <w:color w:val="000000"/>
              </w:rPr>
              <w:t>EUROPIG SA</w:t>
            </w:r>
          </w:p>
        </w:tc>
        <w:tc>
          <w:tcPr>
            <w:tcW w:w="917" w:type="dxa"/>
            <w:hideMark/>
          </w:tcPr>
          <w:p w:rsidR="00064502" w:rsidRPr="00E90833" w:rsidRDefault="00064502" w:rsidP="00064502">
            <w:pPr>
              <w:jc w:val="both"/>
              <w:rPr>
                <w:rFonts w:ascii="Calibri" w:eastAsia="Times New Roman" w:hAnsi="Calibri" w:cs="Times New Roman"/>
                <w:color w:val="000000"/>
              </w:rPr>
            </w:pPr>
            <w:r w:rsidRPr="00E90833">
              <w:rPr>
                <w:rFonts w:ascii="Calibri" w:eastAsia="Times New Roman" w:hAnsi="Calibri" w:cs="Times New Roman"/>
                <w:color w:val="000000"/>
              </w:rPr>
              <w:t>BV</w:t>
            </w:r>
          </w:p>
        </w:tc>
        <w:tc>
          <w:tcPr>
            <w:tcW w:w="951" w:type="dxa"/>
            <w:hideMark/>
          </w:tcPr>
          <w:p w:rsidR="00064502" w:rsidRPr="00E90833" w:rsidRDefault="00064502" w:rsidP="00064502">
            <w:pPr>
              <w:jc w:val="both"/>
              <w:rPr>
                <w:rFonts w:ascii="Calibri" w:eastAsia="Times New Roman" w:hAnsi="Calibri" w:cs="Times New Roman"/>
                <w:color w:val="333333"/>
              </w:rPr>
            </w:pPr>
            <w:r>
              <w:rPr>
                <w:rFonts w:ascii="Calibri" w:eastAsia="Times New Roman" w:hAnsi="Calibri" w:cs="Times New Roman"/>
                <w:color w:val="333333"/>
              </w:rPr>
              <w:t>242</w:t>
            </w:r>
          </w:p>
        </w:tc>
        <w:tc>
          <w:tcPr>
            <w:tcW w:w="951" w:type="dxa"/>
          </w:tcPr>
          <w:p w:rsidR="00064502" w:rsidRPr="000D0321" w:rsidRDefault="00064502" w:rsidP="00064502">
            <w:pPr>
              <w:jc w:val="both"/>
              <w:rPr>
                <w:rFonts w:ascii="Calibri" w:eastAsia="Times New Roman" w:hAnsi="Calibri" w:cs="Times New Roman"/>
                <w:color w:val="333333"/>
              </w:rPr>
            </w:pPr>
            <w:r w:rsidRPr="00176842">
              <w:rPr>
                <w:rFonts w:ascii="Calibri" w:eastAsia="Times New Roman" w:hAnsi="Calibri" w:cs="Times New Roman"/>
                <w:color w:val="333333"/>
              </w:rPr>
              <w:t>211</w:t>
            </w:r>
          </w:p>
        </w:tc>
        <w:tc>
          <w:tcPr>
            <w:tcW w:w="1784" w:type="dxa"/>
            <w:hideMark/>
          </w:tcPr>
          <w:p w:rsidR="00064502" w:rsidRDefault="00064502" w:rsidP="00064502">
            <w:pPr>
              <w:rPr>
                <w:rFonts w:ascii="Calibri" w:hAnsi="Calibri"/>
                <w:color w:val="000000"/>
              </w:rPr>
            </w:pPr>
            <w:r>
              <w:rPr>
                <w:rFonts w:ascii="Calibri" w:hAnsi="Calibri"/>
                <w:color w:val="000000"/>
              </w:rPr>
              <w:t>56.5</w:t>
            </w:r>
          </w:p>
        </w:tc>
        <w:tc>
          <w:tcPr>
            <w:tcW w:w="1801" w:type="dxa"/>
          </w:tcPr>
          <w:p w:rsidR="00064502" w:rsidRDefault="00064502" w:rsidP="00064502">
            <w:pPr>
              <w:rPr>
                <w:rFonts w:ascii="Calibri" w:hAnsi="Calibri"/>
                <w:color w:val="000000"/>
              </w:rPr>
            </w:pPr>
            <w:r>
              <w:rPr>
                <w:rFonts w:ascii="Calibri" w:hAnsi="Calibri"/>
                <w:color w:val="000000"/>
              </w:rPr>
              <w:t>64.3</w:t>
            </w:r>
          </w:p>
        </w:tc>
      </w:tr>
      <w:tr w:rsidR="00064502" w:rsidRPr="00E90833" w:rsidTr="00064502">
        <w:trPr>
          <w:trHeight w:val="432"/>
          <w:jc w:val="center"/>
        </w:trPr>
        <w:tc>
          <w:tcPr>
            <w:tcW w:w="2430" w:type="dxa"/>
            <w:hideMark/>
          </w:tcPr>
          <w:p w:rsidR="00064502" w:rsidRPr="009669C6" w:rsidRDefault="00064502" w:rsidP="00064502">
            <w:pPr>
              <w:jc w:val="both"/>
              <w:rPr>
                <w:rFonts w:ascii="Calibri" w:eastAsia="Times New Roman" w:hAnsi="Calibri" w:cs="Times New Roman"/>
                <w:bCs/>
                <w:color w:val="000000"/>
              </w:rPr>
            </w:pPr>
            <w:r>
              <w:rPr>
                <w:rFonts w:ascii="Calibri" w:eastAsia="Times New Roman" w:hAnsi="Calibri" w:cs="Times New Roman"/>
                <w:bCs/>
                <w:color w:val="000000"/>
              </w:rPr>
              <w:t>AVICOD</w:t>
            </w:r>
            <w:r w:rsidRPr="009669C6">
              <w:rPr>
                <w:rFonts w:ascii="Calibri" w:eastAsia="Times New Roman" w:hAnsi="Calibri" w:cs="Times New Roman"/>
                <w:bCs/>
                <w:color w:val="000000"/>
              </w:rPr>
              <w:t xml:space="preserve"> S</w:t>
            </w:r>
            <w:r>
              <w:rPr>
                <w:rFonts w:ascii="Calibri" w:eastAsia="Times New Roman" w:hAnsi="Calibri" w:cs="Times New Roman"/>
                <w:bCs/>
                <w:color w:val="000000"/>
              </w:rPr>
              <w:t>A</w:t>
            </w:r>
          </w:p>
        </w:tc>
        <w:tc>
          <w:tcPr>
            <w:tcW w:w="917" w:type="dxa"/>
            <w:hideMark/>
          </w:tcPr>
          <w:p w:rsidR="00064502" w:rsidRPr="00E90833" w:rsidRDefault="00064502" w:rsidP="00064502">
            <w:pPr>
              <w:jc w:val="both"/>
              <w:rPr>
                <w:rFonts w:ascii="Calibri" w:eastAsia="Times New Roman" w:hAnsi="Calibri" w:cs="Times New Roman"/>
                <w:color w:val="000000"/>
              </w:rPr>
            </w:pPr>
            <w:r>
              <w:rPr>
                <w:rFonts w:ascii="Calibri" w:eastAsia="Times New Roman" w:hAnsi="Calibri" w:cs="Times New Roman"/>
                <w:color w:val="000000"/>
              </w:rPr>
              <w:t>BV</w:t>
            </w:r>
          </w:p>
        </w:tc>
        <w:tc>
          <w:tcPr>
            <w:tcW w:w="951" w:type="dxa"/>
            <w:hideMark/>
          </w:tcPr>
          <w:p w:rsidR="00064502" w:rsidRDefault="00064502" w:rsidP="00064502">
            <w:pPr>
              <w:jc w:val="both"/>
              <w:rPr>
                <w:rFonts w:ascii="Calibri" w:eastAsia="Times New Roman" w:hAnsi="Calibri" w:cs="Times New Roman"/>
                <w:color w:val="333333"/>
              </w:rPr>
            </w:pPr>
            <w:r w:rsidRPr="00176842">
              <w:rPr>
                <w:rFonts w:ascii="Calibri" w:eastAsia="Times New Roman" w:hAnsi="Calibri" w:cs="Times New Roman"/>
                <w:color w:val="333333"/>
              </w:rPr>
              <w:t>198</w:t>
            </w:r>
          </w:p>
        </w:tc>
        <w:tc>
          <w:tcPr>
            <w:tcW w:w="951" w:type="dxa"/>
          </w:tcPr>
          <w:p w:rsidR="00064502" w:rsidRPr="009669C6" w:rsidRDefault="00064502" w:rsidP="00064502">
            <w:pPr>
              <w:jc w:val="both"/>
              <w:rPr>
                <w:rFonts w:ascii="Calibri" w:eastAsia="Times New Roman" w:hAnsi="Calibri" w:cs="Times New Roman"/>
                <w:color w:val="333333"/>
              </w:rPr>
            </w:pPr>
            <w:r w:rsidRPr="00176842">
              <w:rPr>
                <w:rFonts w:ascii="Calibri" w:eastAsia="Times New Roman" w:hAnsi="Calibri" w:cs="Times New Roman"/>
                <w:color w:val="333333"/>
              </w:rPr>
              <w:t>292</w:t>
            </w:r>
          </w:p>
        </w:tc>
        <w:tc>
          <w:tcPr>
            <w:tcW w:w="1784" w:type="dxa"/>
            <w:hideMark/>
          </w:tcPr>
          <w:p w:rsidR="00064502" w:rsidRDefault="00064502" w:rsidP="00064502">
            <w:pPr>
              <w:rPr>
                <w:rFonts w:ascii="Calibri" w:hAnsi="Calibri"/>
                <w:color w:val="000000"/>
              </w:rPr>
            </w:pPr>
            <w:r>
              <w:rPr>
                <w:rFonts w:ascii="Calibri" w:hAnsi="Calibri"/>
                <w:color w:val="000000"/>
              </w:rPr>
              <w:t>72.7</w:t>
            </w:r>
          </w:p>
        </w:tc>
        <w:tc>
          <w:tcPr>
            <w:tcW w:w="1801" w:type="dxa"/>
          </w:tcPr>
          <w:p w:rsidR="00064502" w:rsidRDefault="00064502" w:rsidP="00064502">
            <w:pPr>
              <w:rPr>
                <w:rFonts w:ascii="Calibri" w:hAnsi="Calibri"/>
                <w:color w:val="000000"/>
              </w:rPr>
            </w:pPr>
            <w:r>
              <w:rPr>
                <w:rFonts w:ascii="Calibri" w:hAnsi="Calibri"/>
                <w:color w:val="000000"/>
              </w:rPr>
              <w:t>70.5</w:t>
            </w:r>
          </w:p>
        </w:tc>
      </w:tr>
    </w:tbl>
    <w:p w:rsidR="00064502" w:rsidRDefault="00064502" w:rsidP="00064502">
      <w:pPr>
        <w:tabs>
          <w:tab w:val="left" w:pos="0"/>
        </w:tabs>
        <w:ind w:firstLine="720"/>
        <w:jc w:val="both"/>
        <w:rPr>
          <w:rFonts w:cs="Arial"/>
          <w:bCs/>
          <w:sz w:val="18"/>
          <w:szCs w:val="18"/>
          <w:lang w:val="ro-RO"/>
        </w:rPr>
      </w:pPr>
      <w:r w:rsidRPr="00293C32">
        <w:rPr>
          <w:sz w:val="18"/>
          <w:szCs w:val="18"/>
          <w:lang w:val="ro-RO"/>
        </w:rPr>
        <w:t xml:space="preserve">Sursă date: </w:t>
      </w:r>
      <w:r w:rsidRPr="00293C32">
        <w:rPr>
          <w:rFonts w:cs="Arial"/>
          <w:bCs/>
          <w:sz w:val="18"/>
          <w:szCs w:val="18"/>
          <w:lang w:val="ro-RO"/>
        </w:rPr>
        <w:t>Camera de Comerţ şi Industrie a României</w:t>
      </w:r>
    </w:p>
    <w:p w:rsidR="00064502" w:rsidRPr="003722FD" w:rsidRDefault="00064502" w:rsidP="00064502">
      <w:pPr>
        <w:tabs>
          <w:tab w:val="left" w:pos="0"/>
        </w:tabs>
        <w:spacing w:after="0"/>
        <w:jc w:val="both"/>
        <w:rPr>
          <w:rFonts w:cs="Arial"/>
          <w:bCs/>
          <w:sz w:val="24"/>
          <w:szCs w:val="24"/>
          <w:lang w:val="ro-RO"/>
        </w:rPr>
      </w:pPr>
      <w:r w:rsidRPr="003722FD">
        <w:rPr>
          <w:rFonts w:cs="Arial"/>
          <w:bCs/>
          <w:sz w:val="24"/>
          <w:szCs w:val="24"/>
          <w:lang w:val="ro-RO"/>
        </w:rPr>
        <w:t xml:space="preserve">Pe lângă aceste companii de top ar mai fi de amintit şi alte </w:t>
      </w:r>
      <w:r w:rsidRPr="003722FD">
        <w:rPr>
          <w:rFonts w:cs="Arial"/>
          <w:b/>
          <w:bCs/>
          <w:sz w:val="24"/>
          <w:szCs w:val="24"/>
          <w:lang w:val="ro-RO"/>
        </w:rPr>
        <w:t>companii reprezentative</w:t>
      </w:r>
      <w:r w:rsidRPr="003722FD">
        <w:rPr>
          <w:rFonts w:cs="Arial"/>
          <w:bCs/>
          <w:sz w:val="24"/>
          <w:szCs w:val="24"/>
          <w:lang w:val="ro-RO"/>
        </w:rPr>
        <w:t xml:space="preserve"> din Regiunea Centru care activează în industria </w:t>
      </w:r>
      <w:r>
        <w:rPr>
          <w:rFonts w:cs="Arial"/>
          <w:bCs/>
          <w:sz w:val="24"/>
          <w:szCs w:val="24"/>
          <w:lang w:val="ro-RO"/>
        </w:rPr>
        <w:t>agro</w:t>
      </w:r>
      <w:r w:rsidRPr="003722FD">
        <w:rPr>
          <w:rFonts w:cs="Arial"/>
          <w:bCs/>
          <w:sz w:val="24"/>
          <w:szCs w:val="24"/>
          <w:lang w:val="ro-RO"/>
        </w:rPr>
        <w:t>alimentară:</w:t>
      </w:r>
    </w:p>
    <w:tbl>
      <w:tblPr>
        <w:tblStyle w:val="TextnotdefinalCaracter"/>
        <w:tblW w:w="9180" w:type="dxa"/>
        <w:tblInd w:w="-162" w:type="dxa"/>
        <w:tblLook w:val="04A0"/>
      </w:tblPr>
      <w:tblGrid>
        <w:gridCol w:w="1003"/>
        <w:gridCol w:w="2489"/>
        <w:gridCol w:w="918"/>
        <w:gridCol w:w="720"/>
        <w:gridCol w:w="144"/>
        <w:gridCol w:w="3906"/>
      </w:tblGrid>
      <w:tr w:rsidR="00064502" w:rsidRPr="00176842" w:rsidTr="00064502">
        <w:trPr>
          <w:trHeight w:val="518"/>
        </w:trPr>
        <w:tc>
          <w:tcPr>
            <w:tcW w:w="1003" w:type="dxa"/>
            <w:hideMark/>
          </w:tcPr>
          <w:p w:rsidR="00064502" w:rsidRPr="00176842" w:rsidRDefault="00064502" w:rsidP="00064502">
            <w:pPr>
              <w:jc w:val="both"/>
              <w:rPr>
                <w:rFonts w:ascii="Calibri" w:eastAsia="Times New Roman" w:hAnsi="Calibri" w:cs="Times New Roman"/>
                <w:color w:val="FFFFFF"/>
                <w:lang w:val="ro-RO"/>
              </w:rPr>
            </w:pPr>
            <w:r w:rsidRPr="00176842">
              <w:rPr>
                <w:rFonts w:ascii="Calibri" w:eastAsia="Times New Roman" w:hAnsi="Calibri" w:cs="Times New Roman"/>
                <w:color w:val="FFFFFF"/>
                <w:lang w:val="ro-RO"/>
              </w:rPr>
              <w:t>Judeţ</w:t>
            </w:r>
          </w:p>
        </w:tc>
        <w:tc>
          <w:tcPr>
            <w:tcW w:w="2489" w:type="dxa"/>
            <w:hideMark/>
          </w:tcPr>
          <w:p w:rsidR="00064502" w:rsidRPr="00176842" w:rsidRDefault="00064502" w:rsidP="00064502">
            <w:pPr>
              <w:jc w:val="both"/>
              <w:rPr>
                <w:rFonts w:ascii="Calibri" w:eastAsia="Times New Roman" w:hAnsi="Calibri" w:cs="Times New Roman"/>
                <w:color w:val="FFFFFF"/>
                <w:lang w:val="ro-RO"/>
              </w:rPr>
            </w:pPr>
            <w:r w:rsidRPr="00176842">
              <w:rPr>
                <w:rFonts w:ascii="Calibri" w:eastAsia="Times New Roman" w:hAnsi="Calibri" w:cs="Times New Roman"/>
                <w:color w:val="FFFFFF"/>
                <w:lang w:val="ro-RO"/>
              </w:rPr>
              <w:t>Denumirea companiei</w:t>
            </w:r>
          </w:p>
        </w:tc>
        <w:tc>
          <w:tcPr>
            <w:tcW w:w="1638" w:type="dxa"/>
            <w:gridSpan w:val="2"/>
            <w:hideMark/>
          </w:tcPr>
          <w:p w:rsidR="00064502" w:rsidRPr="00176842" w:rsidRDefault="00064502" w:rsidP="00064502">
            <w:pPr>
              <w:rPr>
                <w:rFonts w:ascii="Calibri" w:eastAsia="Times New Roman" w:hAnsi="Calibri" w:cs="Times New Roman"/>
                <w:color w:val="FFFFFF"/>
                <w:lang w:val="ro-RO"/>
              </w:rPr>
            </w:pPr>
            <w:r>
              <w:rPr>
                <w:rFonts w:ascii="Calibri" w:eastAsia="Times New Roman" w:hAnsi="Calibri" w:cs="Times New Roman"/>
                <w:color w:val="FFFFFF"/>
                <w:lang w:val="ro-RO"/>
              </w:rPr>
              <w:t xml:space="preserve">    </w:t>
            </w:r>
            <w:r w:rsidRPr="00176842">
              <w:rPr>
                <w:rFonts w:ascii="Calibri" w:eastAsia="Times New Roman" w:hAnsi="Calibri" w:cs="Times New Roman"/>
                <w:color w:val="FFFFFF"/>
                <w:lang w:val="ro-RO"/>
              </w:rPr>
              <w:t xml:space="preserve">Nr. angajaţi </w:t>
            </w:r>
            <w:r>
              <w:rPr>
                <w:rFonts w:ascii="Calibri" w:eastAsia="Times New Roman" w:hAnsi="Calibri" w:cs="Times New Roman"/>
                <w:color w:val="FFFFFF"/>
                <w:lang w:val="ro-RO"/>
              </w:rPr>
              <w:t xml:space="preserve">    </w:t>
            </w:r>
            <w:r w:rsidRPr="00176842">
              <w:rPr>
                <w:rFonts w:ascii="Calibri" w:eastAsia="Times New Roman" w:hAnsi="Calibri" w:cs="Times New Roman"/>
                <w:color w:val="FFFFFF"/>
                <w:lang w:val="ro-RO"/>
              </w:rPr>
              <w:t>2013</w:t>
            </w:r>
            <w:r>
              <w:rPr>
                <w:rFonts w:ascii="Calibri" w:eastAsia="Times New Roman" w:hAnsi="Calibri" w:cs="Times New Roman"/>
                <w:color w:val="FFFFFF"/>
                <w:lang w:val="ro-RO"/>
              </w:rPr>
              <w:t xml:space="preserve">          2015</w:t>
            </w:r>
          </w:p>
        </w:tc>
        <w:tc>
          <w:tcPr>
            <w:tcW w:w="4050" w:type="dxa"/>
            <w:gridSpan w:val="2"/>
            <w:hideMark/>
          </w:tcPr>
          <w:p w:rsidR="00064502" w:rsidRPr="00176842" w:rsidRDefault="00064502" w:rsidP="00064502">
            <w:pPr>
              <w:rPr>
                <w:rFonts w:ascii="Calibri" w:eastAsia="Times New Roman" w:hAnsi="Calibri" w:cs="Times New Roman"/>
                <w:color w:val="FFFFFF"/>
                <w:lang w:val="ro-RO"/>
              </w:rPr>
            </w:pPr>
            <w:r w:rsidRPr="00176842">
              <w:rPr>
                <w:rFonts w:ascii="Calibri" w:eastAsia="Times New Roman" w:hAnsi="Calibri" w:cs="Times New Roman"/>
                <w:color w:val="FFFFFF"/>
                <w:lang w:val="ro-RO"/>
              </w:rPr>
              <w:t>Tipul de activitate conform CAEN</w:t>
            </w:r>
          </w:p>
        </w:tc>
      </w:tr>
      <w:tr w:rsidR="00064502" w:rsidRPr="00176842" w:rsidTr="00064502">
        <w:trPr>
          <w:trHeight w:val="315"/>
        </w:trPr>
        <w:tc>
          <w:tcPr>
            <w:tcW w:w="1003" w:type="dxa"/>
            <w:vMerge w:val="restart"/>
            <w:hideMark/>
          </w:tcPr>
          <w:p w:rsidR="00064502" w:rsidRPr="00176842" w:rsidRDefault="00064502" w:rsidP="00064502">
            <w:pPr>
              <w:jc w:val="both"/>
              <w:rPr>
                <w:rFonts w:ascii="Calibri" w:eastAsia="Times New Roman" w:hAnsi="Calibri" w:cs="Times New Roman"/>
                <w:color w:val="000000"/>
                <w:lang w:val="ro-RO"/>
              </w:rPr>
            </w:pPr>
            <w:r w:rsidRPr="00176842">
              <w:rPr>
                <w:rFonts w:ascii="Calibri" w:eastAsia="Times New Roman" w:hAnsi="Calibri" w:cs="Arial"/>
                <w:color w:val="000000"/>
                <w:lang w:val="ro-RO"/>
              </w:rPr>
              <w:t>Alba</w:t>
            </w: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POMAROM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101</w:t>
            </w:r>
          </w:p>
        </w:tc>
        <w:tc>
          <w:tcPr>
            <w:tcW w:w="864" w:type="dxa"/>
            <w:gridSpan w:val="2"/>
          </w:tcPr>
          <w:p w:rsidR="00064502" w:rsidRPr="00176842" w:rsidRDefault="00064502" w:rsidP="00064502">
            <w:pPr>
              <w:rPr>
                <w:rFonts w:ascii="Calibri" w:eastAsia="Times New Roman" w:hAnsi="Calibri" w:cs="Times New Roman"/>
                <w:color w:val="333333"/>
                <w:lang w:val="ro-RO"/>
              </w:rPr>
            </w:pPr>
            <w:r w:rsidRPr="0073124D">
              <w:rPr>
                <w:rFonts w:ascii="Calibri" w:eastAsia="Times New Roman" w:hAnsi="Calibri" w:cs="Times New Roman"/>
                <w:color w:val="333333"/>
                <w:lang w:val="ro-RO"/>
              </w:rPr>
              <w:t>104</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Prelucrarea şi conservarea peştelui, crustaceelor şi moluştelor</w:t>
            </w:r>
          </w:p>
        </w:tc>
      </w:tr>
      <w:tr w:rsidR="00064502" w:rsidRPr="00176842" w:rsidTr="00064502">
        <w:trPr>
          <w:trHeight w:val="3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jc w:val="both"/>
              <w:rPr>
                <w:rFonts w:ascii="Calibri" w:eastAsia="Times New Roman" w:hAnsi="Calibri" w:cs="Times New Roman"/>
                <w:color w:val="000000"/>
                <w:lang w:val="ro-RO"/>
              </w:rPr>
            </w:pPr>
            <w:r w:rsidRPr="00176842">
              <w:rPr>
                <w:rFonts w:ascii="Calibri" w:eastAsia="Times New Roman" w:hAnsi="Calibri" w:cs="Times New Roman"/>
                <w:color w:val="000000"/>
                <w:lang w:val="ro-RO"/>
              </w:rPr>
              <w:t>SC MERCADO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229</w:t>
            </w:r>
          </w:p>
        </w:tc>
        <w:tc>
          <w:tcPr>
            <w:tcW w:w="864" w:type="dxa"/>
            <w:gridSpan w:val="2"/>
            <w:vAlign w:val="center"/>
          </w:tcPr>
          <w:p w:rsidR="00064502" w:rsidRPr="00176842" w:rsidRDefault="00064502" w:rsidP="00064502">
            <w:pPr>
              <w:rPr>
                <w:rFonts w:ascii="Calibri" w:eastAsia="Times New Roman" w:hAnsi="Calibri" w:cs="Times New Roman"/>
                <w:color w:val="333333"/>
                <w:lang w:val="ro-RO"/>
              </w:rPr>
            </w:pPr>
            <w:r w:rsidRPr="0073124D">
              <w:rPr>
                <w:rFonts w:ascii="Calibri" w:eastAsia="Times New Roman" w:hAnsi="Calibri" w:cs="Times New Roman"/>
                <w:color w:val="333333"/>
                <w:lang w:val="ro-RO"/>
              </w:rPr>
              <w:t>56</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şi conservarea cărnii</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MONTANA POPA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105</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115</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din carne (inclusiv din carne de păsare)</w:t>
            </w:r>
          </w:p>
        </w:tc>
      </w:tr>
      <w:tr w:rsidR="00064502" w:rsidRPr="00176842" w:rsidTr="00064502">
        <w:trPr>
          <w:trHeight w:val="428"/>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2148F2">
              <w:rPr>
                <w:rFonts w:ascii="Calibri" w:eastAsia="Times New Roman" w:hAnsi="Calibri" w:cs="Times New Roman"/>
                <w:color w:val="000000"/>
                <w:lang w:val="ro-RO"/>
              </w:rPr>
              <w:t>PINTICARN PROD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388</w:t>
            </w:r>
          </w:p>
        </w:tc>
        <w:tc>
          <w:tcPr>
            <w:tcW w:w="864" w:type="dxa"/>
            <w:gridSpan w:val="2"/>
          </w:tcPr>
          <w:p w:rsidR="00064502" w:rsidRPr="00176842" w:rsidRDefault="00064502" w:rsidP="00064502">
            <w:pPr>
              <w:rPr>
                <w:rFonts w:ascii="Calibri" w:eastAsia="Times New Roman" w:hAnsi="Calibri" w:cs="Times New Roman"/>
                <w:color w:val="333333"/>
                <w:lang w:val="ro-RO"/>
              </w:rPr>
            </w:pP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 xml:space="preserve">Fabricarea produselor din carne (inclusiv </w:t>
            </w:r>
            <w:r w:rsidRPr="00176842">
              <w:rPr>
                <w:rFonts w:ascii="Calibri" w:eastAsia="Times New Roman" w:hAnsi="Calibri" w:cs="Times New Roman"/>
                <w:color w:val="333333"/>
                <w:lang w:val="ro-RO"/>
              </w:rPr>
              <w:lastRenderedPageBreak/>
              <w:t>din carne de păsare)</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TRANSEURO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165</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180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din carne (inclusiv din carne de păsare)</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333333"/>
                <w:lang w:val="ro-RO"/>
              </w:rPr>
            </w:pPr>
            <w:r w:rsidRPr="002148F2">
              <w:rPr>
                <w:rFonts w:ascii="Calibri" w:eastAsia="Times New Roman" w:hAnsi="Calibri" w:cs="Times New Roman"/>
                <w:color w:val="333333"/>
                <w:lang w:val="ro-RO"/>
              </w:rPr>
              <w:t>ALPIN 57 LUX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427</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506</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Fabricarea îngheţatei</w:t>
            </w:r>
          </w:p>
        </w:tc>
      </w:tr>
      <w:tr w:rsidR="00064502" w:rsidRPr="00176842" w:rsidTr="00064502">
        <w:trPr>
          <w:trHeight w:val="592"/>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CORINA COM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69</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69</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592"/>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2148F2">
              <w:rPr>
                <w:rFonts w:ascii="Calibri" w:eastAsia="Times New Roman" w:hAnsi="Calibri" w:cs="Times New Roman"/>
                <w:color w:val="000000"/>
                <w:lang w:val="ro-RO"/>
              </w:rPr>
              <w:t>AGRA'S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900945">
              <w:rPr>
                <w:rFonts w:ascii="Calibri" w:eastAsia="Times New Roman" w:hAnsi="Calibri" w:cs="Times New Roman"/>
                <w:color w:val="333333"/>
                <w:lang w:val="ro-RO"/>
              </w:rPr>
              <w:t>217</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232</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Producţia şi conservarea că</w:t>
            </w:r>
            <w:r w:rsidRPr="00900945">
              <w:rPr>
                <w:rFonts w:ascii="Calibri" w:eastAsia="Times New Roman" w:hAnsi="Calibri" w:cs="Times New Roman"/>
                <w:color w:val="333333"/>
                <w:lang w:val="ro-RO"/>
              </w:rPr>
              <w:t>rnii</w:t>
            </w:r>
          </w:p>
        </w:tc>
      </w:tr>
      <w:tr w:rsidR="00064502" w:rsidRPr="00176842" w:rsidTr="00064502">
        <w:trPr>
          <w:trHeight w:val="592"/>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2148F2" w:rsidRDefault="00064502" w:rsidP="00064502">
            <w:pPr>
              <w:rPr>
                <w:rFonts w:ascii="Calibri" w:eastAsia="Times New Roman" w:hAnsi="Calibri" w:cs="Times New Roman"/>
                <w:color w:val="000000"/>
                <w:lang w:val="ro-RO"/>
              </w:rPr>
            </w:pPr>
            <w:r w:rsidRPr="002148F2">
              <w:rPr>
                <w:rFonts w:ascii="Calibri" w:eastAsia="Times New Roman" w:hAnsi="Calibri" w:cs="Times New Roman"/>
                <w:color w:val="000000"/>
                <w:lang w:val="ro-RO"/>
              </w:rPr>
              <w:t>PROMOTION SRL FILIALA BLAJ</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81</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53</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Cultivarea strugurilor</w:t>
            </w:r>
          </w:p>
        </w:tc>
      </w:tr>
      <w:tr w:rsidR="00064502" w:rsidRPr="00176842" w:rsidTr="00064502">
        <w:trPr>
          <w:trHeight w:val="592"/>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2148F2" w:rsidRDefault="00064502" w:rsidP="00064502">
            <w:pPr>
              <w:rPr>
                <w:rFonts w:ascii="Calibri" w:eastAsia="Times New Roman" w:hAnsi="Calibri" w:cs="Times New Roman"/>
                <w:color w:val="000000"/>
                <w:lang w:val="ro-RO"/>
              </w:rPr>
            </w:pPr>
            <w:r w:rsidRPr="002148F2">
              <w:rPr>
                <w:rFonts w:ascii="Calibri" w:eastAsia="Times New Roman" w:hAnsi="Calibri" w:cs="Times New Roman"/>
                <w:color w:val="000000"/>
                <w:lang w:val="ro-RO"/>
              </w:rPr>
              <w:t>PREFERA FOODS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80</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103</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Prelucrarea şi conservarea cărnii</w:t>
            </w:r>
          </w:p>
        </w:tc>
      </w:tr>
      <w:tr w:rsidR="00064502" w:rsidRPr="00176842" w:rsidTr="00064502">
        <w:trPr>
          <w:trHeight w:val="615"/>
        </w:trPr>
        <w:tc>
          <w:tcPr>
            <w:tcW w:w="1003" w:type="dxa"/>
            <w:vMerge w:val="restart"/>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Arial"/>
                <w:color w:val="000000"/>
                <w:lang w:val="ro-RO"/>
              </w:rPr>
              <w:t>Braşov</w:t>
            </w:r>
          </w:p>
        </w:tc>
        <w:tc>
          <w:tcPr>
            <w:tcW w:w="2489" w:type="dxa"/>
            <w:hideMark/>
          </w:tcPr>
          <w:p w:rsidR="00064502" w:rsidRPr="005C2DA5" w:rsidRDefault="00064502" w:rsidP="00064502">
            <w:pPr>
              <w:jc w:val="both"/>
              <w:rPr>
                <w:rFonts w:ascii="Calibri" w:eastAsia="Times New Roman" w:hAnsi="Calibri" w:cs="Times New Roman"/>
                <w:lang w:val="ro-RO"/>
              </w:rPr>
            </w:pPr>
            <w:r w:rsidRPr="005C2DA5">
              <w:rPr>
                <w:rFonts w:ascii="Calibri" w:eastAsia="Times New Roman" w:hAnsi="Calibri" w:cs="Times New Roman"/>
                <w:lang w:val="ro-RO"/>
              </w:rPr>
              <w:t>SC PRODLACTA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144</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191</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3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jc w:val="both"/>
              <w:rPr>
                <w:rFonts w:ascii="Calibri" w:eastAsia="Times New Roman" w:hAnsi="Calibri" w:cs="Times New Roman"/>
                <w:lang w:val="ro-RO"/>
              </w:rPr>
            </w:pPr>
            <w:r w:rsidRPr="005C2DA5">
              <w:rPr>
                <w:rFonts w:ascii="Calibri" w:eastAsia="Times New Roman" w:hAnsi="Calibri" w:cs="Times New Roman"/>
                <w:lang w:val="ro-RO"/>
              </w:rPr>
              <w:t>SC CARMOLIMP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285</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165</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 xml:space="preserve">În anul 2015 </w:t>
            </w:r>
            <w:r w:rsidRPr="006D16A0">
              <w:rPr>
                <w:rFonts w:ascii="Calibri" w:eastAsia="Times New Roman" w:hAnsi="Calibri" w:cs="Times New Roman"/>
                <w:color w:val="333333"/>
                <w:lang w:val="ro-RO"/>
              </w:rPr>
              <w:t xml:space="preserve">Fabricarea produselor din carne (inclusiv din carne de pasare) </w:t>
            </w:r>
            <w:r>
              <w:rPr>
                <w:rFonts w:ascii="Calibri" w:eastAsia="Times New Roman" w:hAnsi="Calibri" w:cs="Times New Roman"/>
                <w:color w:val="333333"/>
                <w:lang w:val="ro-RO"/>
              </w:rPr>
              <w:t xml:space="preserve">iar în anul 2013 </w:t>
            </w:r>
            <w:r w:rsidRPr="00176842">
              <w:rPr>
                <w:rFonts w:ascii="Calibri" w:eastAsia="Times New Roman" w:hAnsi="Calibri" w:cs="Times New Roman"/>
                <w:color w:val="333333"/>
                <w:lang w:val="ro-RO"/>
              </w:rPr>
              <w:t>Producţia şi conservarea cărnii</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jc w:val="both"/>
              <w:rPr>
                <w:rFonts w:ascii="Calibri" w:eastAsia="Times New Roman" w:hAnsi="Calibri" w:cs="Times New Roman"/>
                <w:lang w:val="ro-RO"/>
              </w:rPr>
            </w:pPr>
            <w:r w:rsidRPr="005C2DA5">
              <w:rPr>
                <w:rFonts w:ascii="Calibri" w:eastAsia="Times New Roman" w:hAnsi="Calibri" w:cs="Times New Roman"/>
                <w:lang w:val="ro-RO"/>
              </w:rPr>
              <w:t>SC LEFRUMARIN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237</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218</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din carne (inclusiv din carne de pasăre)</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jc w:val="both"/>
              <w:rPr>
                <w:rFonts w:ascii="Calibri" w:eastAsia="Times New Roman" w:hAnsi="Calibri" w:cs="Times New Roman"/>
                <w:lang w:val="ro-RO"/>
              </w:rPr>
            </w:pPr>
            <w:r w:rsidRPr="005C2DA5">
              <w:rPr>
                <w:rFonts w:ascii="Calibri" w:eastAsia="Times New Roman" w:hAnsi="Calibri" w:cs="Times New Roman"/>
                <w:lang w:val="ro-RO"/>
              </w:rPr>
              <w:t>SC LUCA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173</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171</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din carne (inclusiv din carne de pasăre)</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rPr>
                <w:rFonts w:ascii="Calibri" w:eastAsia="Times New Roman" w:hAnsi="Calibri" w:cs="Times New Roman"/>
                <w:lang w:val="ro-RO"/>
              </w:rPr>
            </w:pPr>
            <w:r w:rsidRPr="005C2DA5">
              <w:rPr>
                <w:rFonts w:ascii="Calibri" w:eastAsia="Times New Roman" w:hAnsi="Calibri" w:cs="Times New Roman"/>
                <w:lang w:val="ro-RO"/>
              </w:rPr>
              <w:t>SC SERGIANA PRODIMPEX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662</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646</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din carne (inclusiv din carne de pasăre)</w:t>
            </w:r>
          </w:p>
        </w:tc>
      </w:tr>
      <w:tr w:rsidR="00064502" w:rsidRPr="00176842" w:rsidTr="00064502">
        <w:trPr>
          <w:trHeight w:val="367"/>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rPr>
                <w:rFonts w:ascii="Calibri" w:eastAsia="Times New Roman" w:hAnsi="Calibri" w:cs="Times New Roman"/>
                <w:lang w:val="ro-RO"/>
              </w:rPr>
            </w:pPr>
            <w:r w:rsidRPr="005C2DA5">
              <w:rPr>
                <w:rFonts w:ascii="Calibri" w:eastAsia="Times New Roman" w:hAnsi="Calibri" w:cs="Times New Roman"/>
                <w:lang w:val="ro-RO"/>
              </w:rPr>
              <w:t>SC FABRICA DE ZAHAR BOD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206</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271</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zaharului</w:t>
            </w:r>
          </w:p>
        </w:tc>
      </w:tr>
      <w:tr w:rsidR="00064502" w:rsidRPr="00176842" w:rsidTr="00064502">
        <w:trPr>
          <w:trHeight w:val="9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rPr>
                <w:rFonts w:ascii="Calibri" w:eastAsia="Times New Roman" w:hAnsi="Calibri" w:cs="Times New Roman"/>
                <w:lang w:val="ro-RO"/>
              </w:rPr>
            </w:pPr>
            <w:r w:rsidRPr="005C2DA5">
              <w:rPr>
                <w:rFonts w:ascii="Calibri" w:eastAsia="Times New Roman" w:hAnsi="Calibri" w:cs="Times New Roman"/>
                <w:lang w:val="ro-RO"/>
              </w:rPr>
              <w:t>SC APEMIN ZIZIN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125</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119</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de băuturi răcoritoare nealcoolice, producţia de ape minerale şi alte ape îmbuteliate</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rPr>
                <w:rFonts w:ascii="Calibri" w:eastAsia="Times New Roman" w:hAnsi="Calibri" w:cs="Times New Roman"/>
                <w:lang w:val="ro-RO"/>
              </w:rPr>
            </w:pPr>
            <w:r w:rsidRPr="005C2DA5">
              <w:rPr>
                <w:rFonts w:ascii="Calibri" w:eastAsia="Times New Roman" w:hAnsi="Calibri" w:cs="Times New Roman"/>
                <w:lang w:val="ro-RO"/>
              </w:rPr>
              <w:t>SC H &amp; E REINERT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159</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150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din carne (inclusiv din carne de pasăre)</w:t>
            </w:r>
          </w:p>
        </w:tc>
      </w:tr>
      <w:tr w:rsidR="00064502" w:rsidRPr="00176842" w:rsidTr="00064502">
        <w:trPr>
          <w:trHeight w:val="3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RIOMATEX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514</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198</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Restaurante</w:t>
            </w:r>
          </w:p>
        </w:tc>
      </w:tr>
      <w:tr w:rsidR="00064502" w:rsidRPr="00176842" w:rsidTr="00064502">
        <w:trPr>
          <w:trHeight w:val="628"/>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BRALDICO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64</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70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6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DACIA PLANT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148</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169</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altor produse alimentare</w:t>
            </w:r>
          </w:p>
        </w:tc>
      </w:tr>
      <w:tr w:rsidR="00064502" w:rsidRPr="00176842" w:rsidTr="00064502">
        <w:trPr>
          <w:trHeight w:val="428"/>
        </w:trPr>
        <w:tc>
          <w:tcPr>
            <w:tcW w:w="1003"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lastRenderedPageBreak/>
              <w:t>Covasna</w:t>
            </w: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COVALACT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339</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357</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4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Pr>
                <w:rFonts w:ascii="Calibri" w:eastAsia="Times New Roman" w:hAnsi="Calibri" w:cs="Times New Roman"/>
                <w:color w:val="000000"/>
                <w:lang w:val="ro-RO"/>
              </w:rPr>
              <w:t>TORO IMPEX</w:t>
            </w:r>
            <w:r w:rsidRPr="002F540F">
              <w:rPr>
                <w:rFonts w:ascii="Calibri" w:eastAsia="Times New Roman" w:hAnsi="Calibri" w:cs="Times New Roman"/>
                <w:color w:val="000000"/>
                <w:lang w:val="ro-RO"/>
              </w:rPr>
              <w:t xml:space="preserve">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201</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178</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Prelucrarea şi conservarea cărnii</w:t>
            </w:r>
          </w:p>
        </w:tc>
      </w:tr>
      <w:tr w:rsidR="00064502" w:rsidRPr="00176842" w:rsidTr="00064502">
        <w:trPr>
          <w:trHeight w:val="4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2F540F" w:rsidRDefault="00064502" w:rsidP="00064502">
            <w:pPr>
              <w:rPr>
                <w:rFonts w:ascii="Calibri" w:eastAsia="Times New Roman" w:hAnsi="Calibri" w:cs="Times New Roman"/>
                <w:color w:val="000000"/>
                <w:lang w:val="ro-RO"/>
              </w:rPr>
            </w:pPr>
            <w:r w:rsidRPr="005C2DA5">
              <w:rPr>
                <w:rFonts w:ascii="Calibri" w:eastAsia="Times New Roman" w:hAnsi="Calibri" w:cs="Times New Roman"/>
                <w:color w:val="000000"/>
                <w:lang w:val="ro-RO"/>
              </w:rPr>
              <w:t>PRESTARI SERVICII CONI-TRANS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85</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83</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Activităţi în ferme mixte (cultură vegetală combinată cu creşterea animalelor)</w:t>
            </w:r>
          </w:p>
        </w:tc>
      </w:tr>
      <w:tr w:rsidR="00064502" w:rsidRPr="00176842" w:rsidTr="00064502">
        <w:trPr>
          <w:trHeight w:val="4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rPr>
                <w:rFonts w:ascii="Calibri" w:eastAsia="Times New Roman" w:hAnsi="Calibri" w:cs="Times New Roman"/>
                <w:color w:val="000000"/>
                <w:lang w:val="ro-RO"/>
              </w:rPr>
            </w:pPr>
            <w:r w:rsidRPr="005C2DA5">
              <w:rPr>
                <w:rFonts w:ascii="Calibri" w:eastAsia="Times New Roman" w:hAnsi="Calibri" w:cs="Times New Roman"/>
                <w:color w:val="000000"/>
                <w:lang w:val="ro-RO"/>
              </w:rPr>
              <w:t>MADEXPORT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185</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195</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4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5C2DA5" w:rsidRDefault="00064502" w:rsidP="00064502">
            <w:pPr>
              <w:rPr>
                <w:rFonts w:ascii="Calibri" w:eastAsia="Times New Roman" w:hAnsi="Calibri" w:cs="Times New Roman"/>
                <w:color w:val="000000"/>
                <w:lang w:val="ro-RO"/>
              </w:rPr>
            </w:pPr>
            <w:r>
              <w:rPr>
                <w:rFonts w:ascii="Calibri" w:eastAsia="Times New Roman" w:hAnsi="Calibri" w:cs="Times New Roman"/>
                <w:color w:val="000000"/>
                <w:lang w:val="ro-RO"/>
              </w:rPr>
              <w:t>FABRICA DE LAPTE BRAŞ</w:t>
            </w:r>
            <w:r w:rsidRPr="005C2DA5">
              <w:rPr>
                <w:rFonts w:ascii="Calibri" w:eastAsia="Times New Roman" w:hAnsi="Calibri" w:cs="Times New Roman"/>
                <w:color w:val="000000"/>
                <w:lang w:val="ro-RO"/>
              </w:rPr>
              <w:t>OV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188</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324</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4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Default="00064502" w:rsidP="00064502">
            <w:pPr>
              <w:rPr>
                <w:rFonts w:ascii="Calibri" w:eastAsia="Times New Roman" w:hAnsi="Calibri" w:cs="Times New Roman"/>
                <w:color w:val="000000"/>
                <w:lang w:val="ro-RO"/>
              </w:rPr>
            </w:pPr>
            <w:r w:rsidRPr="005C2DA5">
              <w:rPr>
                <w:rFonts w:ascii="Calibri" w:eastAsia="Times New Roman" w:hAnsi="Calibri" w:cs="Times New Roman"/>
                <w:color w:val="000000"/>
                <w:lang w:val="ro-RO"/>
              </w:rPr>
              <w:t>BERTIKRIS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79</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90</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Prelucrarea şi conservarea cărnii de pasăre</w:t>
            </w:r>
          </w:p>
        </w:tc>
      </w:tr>
      <w:tr w:rsidR="00064502" w:rsidRPr="00176842" w:rsidTr="00064502">
        <w:trPr>
          <w:trHeight w:val="628"/>
        </w:trPr>
        <w:tc>
          <w:tcPr>
            <w:tcW w:w="1003" w:type="dxa"/>
            <w:vMerge w:val="restart"/>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Harghita</w:t>
            </w: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HARMOPAN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357</w:t>
            </w:r>
          </w:p>
        </w:tc>
        <w:tc>
          <w:tcPr>
            <w:tcW w:w="864" w:type="dxa"/>
            <w:gridSpan w:val="2"/>
          </w:tcPr>
          <w:p w:rsidR="00064502" w:rsidRPr="00176842" w:rsidRDefault="00064502" w:rsidP="00064502">
            <w:pPr>
              <w:rPr>
                <w:rFonts w:ascii="Calibri" w:eastAsia="Times New Roman" w:hAnsi="Calibri" w:cs="Times New Roman"/>
                <w:color w:val="333333"/>
                <w:lang w:val="ro-RO"/>
              </w:rPr>
            </w:pPr>
            <w:r w:rsidRPr="00D155F1">
              <w:rPr>
                <w:rFonts w:ascii="Calibri" w:eastAsia="Times New Roman" w:hAnsi="Calibri" w:cs="Times New Roman"/>
                <w:color w:val="333333"/>
                <w:lang w:val="ro-RO"/>
              </w:rPr>
              <w:t>356</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628"/>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SOCIETATEA COMERCIALA DE INDUSTRIALIZAREA LAPTELUI HARGHITA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66</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63</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628"/>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GORDON-PROD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178</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208</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628"/>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LACTATE HARGHITA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137</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137</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6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2148F2">
              <w:rPr>
                <w:rFonts w:ascii="Calibri" w:eastAsia="Times New Roman" w:hAnsi="Calibri" w:cs="Times New Roman"/>
                <w:color w:val="000000"/>
                <w:lang w:val="ro-RO"/>
              </w:rPr>
              <w:t>ROMAQUA GROUP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1967</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1895</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de băuturi răcoritoare nealcoolice, producţia de ape minerale şi alte ape îmbuteliate</w:t>
            </w:r>
          </w:p>
        </w:tc>
      </w:tr>
      <w:tr w:rsidR="00064502" w:rsidRPr="00176842" w:rsidTr="00064502">
        <w:trPr>
          <w:trHeight w:val="6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2148F2" w:rsidRDefault="00064502" w:rsidP="00064502">
            <w:pPr>
              <w:rPr>
                <w:rFonts w:ascii="Calibri" w:eastAsia="Times New Roman" w:hAnsi="Calibri" w:cs="Times New Roman"/>
                <w:color w:val="000000"/>
                <w:lang w:val="ro-RO"/>
              </w:rPr>
            </w:pPr>
            <w:r w:rsidRPr="002148F2">
              <w:rPr>
                <w:rFonts w:ascii="Calibri" w:eastAsia="Times New Roman" w:hAnsi="Calibri" w:cs="Times New Roman"/>
                <w:color w:val="000000"/>
                <w:lang w:val="ro-RO"/>
              </w:rPr>
              <w:t>PERLA HARGHITEI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310</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331</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de băuturi răcoritoare nealcoolice, producţia de ape minerale şi alte ape îmbuteliate</w:t>
            </w:r>
          </w:p>
        </w:tc>
      </w:tr>
      <w:tr w:rsidR="00064502" w:rsidRPr="00176842" w:rsidTr="00064502">
        <w:trPr>
          <w:trHeight w:val="315"/>
        </w:trPr>
        <w:tc>
          <w:tcPr>
            <w:tcW w:w="1003" w:type="dxa"/>
            <w:vMerge w:val="restart"/>
            <w:hideMark/>
          </w:tcPr>
          <w:p w:rsidR="00064502" w:rsidRPr="00176842" w:rsidRDefault="00064502" w:rsidP="00064502">
            <w:pPr>
              <w:jc w:val="both"/>
              <w:rPr>
                <w:rFonts w:ascii="Calibri" w:eastAsia="Times New Roman" w:hAnsi="Calibri" w:cs="Times New Roman"/>
                <w:color w:val="000000"/>
                <w:lang w:val="ro-RO"/>
              </w:rPr>
            </w:pPr>
            <w:r w:rsidRPr="00176842">
              <w:rPr>
                <w:rFonts w:ascii="Calibri" w:eastAsia="Times New Roman" w:hAnsi="Calibri" w:cs="Arial"/>
                <w:color w:val="000000"/>
                <w:lang w:val="ro-RO"/>
              </w:rPr>
              <w:t>Mureş</w:t>
            </w: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MASTERCARN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280</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282</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şi conservarea cărnii</w:t>
            </w:r>
          </w:p>
        </w:tc>
      </w:tr>
      <w:tr w:rsidR="00064502" w:rsidRPr="00176842" w:rsidTr="00064502">
        <w:trPr>
          <w:trHeight w:val="610"/>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DONA IMPEX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111</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112</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3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LARIX COM IMPEX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51</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50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Prelucrarea ceaiului şi cafelei</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INDUSTRIALIZAREA LAPTELUI MURES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298</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190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THEREZIA PRODCOM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92</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93</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SANLACTA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73</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56</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615"/>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MIRDATOD PROD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80</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95</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lactate şi a brânzeturilor</w:t>
            </w:r>
          </w:p>
        </w:tc>
      </w:tr>
      <w:tr w:rsidR="00064502" w:rsidRPr="00176842" w:rsidTr="00064502">
        <w:trPr>
          <w:trHeight w:val="592"/>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ELDI BRUTARIA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237</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240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590"/>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TIM KO BRUT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270</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240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628"/>
        </w:trPr>
        <w:tc>
          <w:tcPr>
            <w:tcW w:w="1003" w:type="dxa"/>
            <w:vMerge/>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DACTYLIS PROD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155</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149</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628"/>
        </w:trPr>
        <w:tc>
          <w:tcPr>
            <w:tcW w:w="1003" w:type="dxa"/>
            <w:hideMark/>
          </w:tcPr>
          <w:p w:rsidR="00064502" w:rsidRPr="00176842" w:rsidRDefault="00064502" w:rsidP="00064502">
            <w:pPr>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ED3C7B">
              <w:rPr>
                <w:rFonts w:ascii="Calibri" w:eastAsia="Times New Roman" w:hAnsi="Calibri" w:cs="Times New Roman"/>
                <w:color w:val="000000"/>
                <w:lang w:val="ro-RO"/>
              </w:rPr>
              <w:t>PRIMACOM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F70DD4">
              <w:rPr>
                <w:rFonts w:ascii="Calibri" w:eastAsia="Times New Roman" w:hAnsi="Calibri" w:cs="Times New Roman"/>
                <w:color w:val="333333"/>
                <w:lang w:val="ro-RO"/>
              </w:rPr>
              <w:t>390</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297</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Producţia şi conservarea că</w:t>
            </w:r>
            <w:r w:rsidRPr="00900945">
              <w:rPr>
                <w:rFonts w:ascii="Calibri" w:eastAsia="Times New Roman" w:hAnsi="Calibri" w:cs="Times New Roman"/>
                <w:color w:val="333333"/>
                <w:lang w:val="ro-RO"/>
              </w:rPr>
              <w:t>rnii</w:t>
            </w:r>
          </w:p>
        </w:tc>
      </w:tr>
      <w:tr w:rsidR="00064502" w:rsidRPr="00176842" w:rsidTr="00064502">
        <w:trPr>
          <w:trHeight w:val="615"/>
        </w:trPr>
        <w:tc>
          <w:tcPr>
            <w:tcW w:w="1003" w:type="dxa"/>
            <w:vMerge w:val="restart"/>
            <w:hideMark/>
          </w:tcPr>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Sibiu</w:t>
            </w:r>
          </w:p>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 </w:t>
            </w:r>
          </w:p>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 </w:t>
            </w:r>
          </w:p>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 </w:t>
            </w:r>
          </w:p>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 </w:t>
            </w:r>
          </w:p>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 </w:t>
            </w:r>
          </w:p>
          <w:p w:rsidR="00064502" w:rsidRPr="00176842" w:rsidRDefault="00064502" w:rsidP="00064502">
            <w:pPr>
              <w:jc w:val="both"/>
              <w:rPr>
                <w:rFonts w:ascii="Calibri" w:eastAsia="Times New Roman" w:hAnsi="Calibri" w:cs="Times New Roman"/>
                <w:b/>
                <w:bCs/>
                <w:color w:val="000000"/>
                <w:lang w:val="ro-RO"/>
              </w:rPr>
            </w:pPr>
            <w:r w:rsidRPr="00176842">
              <w:rPr>
                <w:rFonts w:ascii="Calibri" w:eastAsia="Times New Roman" w:hAnsi="Calibri" w:cs="Arial"/>
                <w:color w:val="000000"/>
                <w:lang w:val="ro-RO"/>
              </w:rPr>
              <w:t> </w:t>
            </w:r>
          </w:p>
          <w:p w:rsidR="00064502" w:rsidRPr="00176842" w:rsidRDefault="00064502" w:rsidP="00064502">
            <w:pPr>
              <w:jc w:val="both"/>
              <w:rPr>
                <w:rFonts w:ascii="Calibri" w:eastAsia="Times New Roman" w:hAnsi="Calibri" w:cs="Times New Roman"/>
                <w:color w:val="000000"/>
                <w:lang w:val="ro-RO"/>
              </w:rPr>
            </w:pPr>
            <w:r w:rsidRPr="00176842">
              <w:rPr>
                <w:rFonts w:ascii="Calibri" w:eastAsia="Times New Roman" w:hAnsi="Calibri" w:cs="Arial"/>
                <w:color w:val="000000"/>
                <w:lang w:val="ro-RO"/>
              </w:rPr>
              <w:t> </w:t>
            </w: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AMYLON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164</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189</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amidonului şi a produselor din amidon</w:t>
            </w:r>
          </w:p>
        </w:tc>
      </w:tr>
      <w:tr w:rsidR="00064502" w:rsidRPr="00176842" w:rsidTr="00064502">
        <w:trPr>
          <w:trHeight w:val="725"/>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BEST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74</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96</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de băuturi răcoritoare nealcoolice, producţia de ape minerale şi alte ape îmbuteliate</w:t>
            </w:r>
          </w:p>
        </w:tc>
      </w:tr>
      <w:tr w:rsidR="00064502" w:rsidRPr="00176842" w:rsidTr="00064502">
        <w:trPr>
          <w:trHeight w:val="615"/>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BOEMA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87</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60</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Comerţ cu ridicata al zahărului, ciocolatei şi produselor zaharoase</w:t>
            </w:r>
          </w:p>
        </w:tc>
      </w:tr>
      <w:tr w:rsidR="00064502" w:rsidRPr="00176842" w:rsidTr="00064502">
        <w:trPr>
          <w:trHeight w:val="592"/>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 xml:space="preserve">SC </w:t>
            </w:r>
            <w:r w:rsidRPr="00176842">
              <w:rPr>
                <w:rFonts w:ascii="Calibri" w:eastAsia="Times New Roman" w:hAnsi="Calibri" w:cs="Times New Roman"/>
                <w:color w:val="333333"/>
                <w:lang w:val="ro-RO"/>
              </w:rPr>
              <w:t>GREWE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129</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145</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315"/>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MOARA CIBIN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208</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238</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produselor de morărit</w:t>
            </w:r>
          </w:p>
        </w:tc>
      </w:tr>
      <w:tr w:rsidR="00064502" w:rsidRPr="00176842" w:rsidTr="00064502">
        <w:trPr>
          <w:trHeight w:val="315"/>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MUVI IMPEX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86</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14</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Producţia şi conservarea cărnii</w:t>
            </w:r>
          </w:p>
        </w:tc>
      </w:tr>
      <w:tr w:rsidR="00064502" w:rsidRPr="00176842" w:rsidTr="00064502">
        <w:trPr>
          <w:trHeight w:val="637"/>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PION - IMPEX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78</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69</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 xml:space="preserve">În 2015 </w:t>
            </w:r>
            <w:r w:rsidRPr="004933CC">
              <w:rPr>
                <w:rFonts w:ascii="Calibri" w:eastAsia="Times New Roman" w:hAnsi="Calibri" w:cs="Times New Roman"/>
                <w:color w:val="333333"/>
                <w:lang w:val="ro-RO"/>
              </w:rPr>
              <w:t>Fabricarea biscui</w:t>
            </w:r>
            <w:r>
              <w:rPr>
                <w:rFonts w:ascii="Calibri" w:eastAsia="Times New Roman" w:hAnsi="Calibri" w:cs="Times New Roman"/>
                <w:color w:val="333333"/>
                <w:lang w:val="ro-RO"/>
              </w:rPr>
              <w:t>ţilor şi pişcoturilor, fabricarea prăjiturilor ş</w:t>
            </w:r>
            <w:r w:rsidRPr="004933CC">
              <w:rPr>
                <w:rFonts w:ascii="Calibri" w:eastAsia="Times New Roman" w:hAnsi="Calibri" w:cs="Times New Roman"/>
                <w:color w:val="333333"/>
                <w:lang w:val="ro-RO"/>
              </w:rPr>
              <w:t>i a produselor conservate de patiserie</w:t>
            </w:r>
            <w:r>
              <w:rPr>
                <w:rFonts w:ascii="Calibri" w:eastAsia="Times New Roman" w:hAnsi="Calibri" w:cs="Times New Roman"/>
                <w:color w:val="333333"/>
                <w:lang w:val="ro-RO"/>
              </w:rPr>
              <w:t xml:space="preserve">          în 2013</w:t>
            </w:r>
            <w:r w:rsidRPr="004933CC">
              <w:rPr>
                <w:rFonts w:ascii="Calibri" w:eastAsia="Times New Roman" w:hAnsi="Calibri" w:cs="Times New Roman"/>
                <w:color w:val="333333"/>
                <w:lang w:val="ro-RO"/>
              </w:rPr>
              <w:t xml:space="preserve"> </w:t>
            </w: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547"/>
        </w:trPr>
        <w:tc>
          <w:tcPr>
            <w:tcW w:w="1003" w:type="dxa"/>
            <w:vMerge/>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176842">
              <w:rPr>
                <w:rFonts w:ascii="Calibri" w:eastAsia="Times New Roman" w:hAnsi="Calibri" w:cs="Times New Roman"/>
                <w:color w:val="000000"/>
                <w:lang w:val="ro-RO"/>
              </w:rPr>
              <w:t>SC REDAL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176842">
              <w:rPr>
                <w:rFonts w:ascii="Calibri" w:eastAsia="Times New Roman" w:hAnsi="Calibri" w:cs="Times New Roman"/>
                <w:color w:val="333333"/>
                <w:lang w:val="ro-RO"/>
              </w:rPr>
              <w:t>100</w:t>
            </w:r>
          </w:p>
        </w:tc>
        <w:tc>
          <w:tcPr>
            <w:tcW w:w="864" w:type="dxa"/>
            <w:gridSpan w:val="2"/>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87</w:t>
            </w:r>
          </w:p>
        </w:tc>
        <w:tc>
          <w:tcPr>
            <w:tcW w:w="3906" w:type="dxa"/>
            <w:hideMark/>
          </w:tcPr>
          <w:p w:rsidR="00064502" w:rsidRPr="00176842" w:rsidRDefault="00064502" w:rsidP="00064502">
            <w:pPr>
              <w:rPr>
                <w:rFonts w:ascii="Calibri" w:eastAsia="Times New Roman" w:hAnsi="Calibri" w:cs="Times New Roman"/>
                <w:color w:val="333333"/>
                <w:lang w:val="ro-RO"/>
              </w:rPr>
            </w:pPr>
            <w:r w:rsidRPr="00176842">
              <w:rPr>
                <w:rFonts w:ascii="Calibri" w:eastAsia="Times New Roman" w:hAnsi="Calibri" w:cs="Times New Roman"/>
                <w:color w:val="333333"/>
                <w:lang w:val="ro-RO"/>
              </w:rPr>
              <w:t>Fabricarea pâinii, fabricarea prăjiturilor şi a produselor proaspete de patiserie</w:t>
            </w:r>
          </w:p>
        </w:tc>
      </w:tr>
      <w:tr w:rsidR="00064502" w:rsidRPr="00176842" w:rsidTr="00064502">
        <w:trPr>
          <w:trHeight w:val="547"/>
        </w:trPr>
        <w:tc>
          <w:tcPr>
            <w:tcW w:w="1003" w:type="dxa"/>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176842" w:rsidRDefault="00064502" w:rsidP="00064502">
            <w:pPr>
              <w:rPr>
                <w:rFonts w:ascii="Calibri" w:eastAsia="Times New Roman" w:hAnsi="Calibri" w:cs="Times New Roman"/>
                <w:color w:val="000000"/>
                <w:lang w:val="ro-RO"/>
              </w:rPr>
            </w:pPr>
            <w:r w:rsidRPr="00ED3C7B">
              <w:rPr>
                <w:rFonts w:ascii="Calibri" w:eastAsia="Times New Roman" w:hAnsi="Calibri" w:cs="Times New Roman"/>
                <w:color w:val="000000"/>
                <w:lang w:val="ro-RO"/>
              </w:rPr>
              <w:t>SIMPA SA</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188</w:t>
            </w:r>
          </w:p>
        </w:tc>
        <w:tc>
          <w:tcPr>
            <w:tcW w:w="864" w:type="dxa"/>
            <w:gridSpan w:val="2"/>
          </w:tcPr>
          <w:p w:rsidR="00064502" w:rsidRDefault="00064502" w:rsidP="00064502">
            <w:pPr>
              <w:rPr>
                <w:rFonts w:ascii="Calibri" w:eastAsia="Times New Roman" w:hAnsi="Calibri" w:cs="Times New Roman"/>
                <w:color w:val="333333"/>
                <w:lang w:val="ro-RO"/>
              </w:rPr>
            </w:pPr>
            <w:r w:rsidRPr="00F70DD4">
              <w:rPr>
                <w:rFonts w:ascii="Calibri" w:eastAsia="Times New Roman" w:hAnsi="Calibri" w:cs="Times New Roman"/>
                <w:color w:val="333333"/>
                <w:lang w:val="ro-RO"/>
              </w:rPr>
              <w:t>235</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Fabricarea pâinii, fabricarea prăjiturilor ş</w:t>
            </w:r>
            <w:r w:rsidRPr="00F70DD4">
              <w:rPr>
                <w:rFonts w:ascii="Calibri" w:eastAsia="Times New Roman" w:hAnsi="Calibri" w:cs="Times New Roman"/>
                <w:color w:val="333333"/>
                <w:lang w:val="ro-RO"/>
              </w:rPr>
              <w:t>i a produselor proaspete de patiserie</w:t>
            </w:r>
          </w:p>
        </w:tc>
      </w:tr>
      <w:tr w:rsidR="00064502" w:rsidRPr="00176842" w:rsidTr="00064502">
        <w:trPr>
          <w:trHeight w:val="547"/>
        </w:trPr>
        <w:tc>
          <w:tcPr>
            <w:tcW w:w="1003" w:type="dxa"/>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ED3C7B" w:rsidRDefault="00064502" w:rsidP="00064502">
            <w:pPr>
              <w:rPr>
                <w:rFonts w:ascii="Calibri" w:eastAsia="Times New Roman" w:hAnsi="Calibri" w:cs="Times New Roman"/>
                <w:color w:val="000000"/>
                <w:lang w:val="ro-RO"/>
              </w:rPr>
            </w:pPr>
            <w:r w:rsidRPr="00ED3C7B">
              <w:rPr>
                <w:rFonts w:ascii="Calibri" w:eastAsia="Times New Roman" w:hAnsi="Calibri" w:cs="Times New Roman"/>
                <w:color w:val="000000"/>
                <w:lang w:val="ro-RO"/>
              </w:rPr>
              <w:t>TRANS AGAPE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Pr>
                <w:rFonts w:ascii="Calibri" w:eastAsia="Times New Roman" w:hAnsi="Calibri" w:cs="Times New Roman"/>
                <w:color w:val="333333"/>
                <w:lang w:val="ro-RO"/>
              </w:rPr>
              <w:t>382</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447</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Fabricarea pâinii, fabricarea prăjiturilor ş</w:t>
            </w:r>
            <w:r w:rsidRPr="00F70DD4">
              <w:rPr>
                <w:rFonts w:ascii="Calibri" w:eastAsia="Times New Roman" w:hAnsi="Calibri" w:cs="Times New Roman"/>
                <w:color w:val="333333"/>
                <w:lang w:val="ro-RO"/>
              </w:rPr>
              <w:t>i a produselor proaspete de patiserie</w:t>
            </w:r>
          </w:p>
        </w:tc>
      </w:tr>
      <w:tr w:rsidR="00064502" w:rsidRPr="00176842" w:rsidTr="00064502">
        <w:trPr>
          <w:trHeight w:val="311"/>
        </w:trPr>
        <w:tc>
          <w:tcPr>
            <w:tcW w:w="1003" w:type="dxa"/>
            <w:hideMark/>
          </w:tcPr>
          <w:p w:rsidR="00064502" w:rsidRPr="00176842" w:rsidRDefault="00064502" w:rsidP="00064502">
            <w:pPr>
              <w:jc w:val="both"/>
              <w:rPr>
                <w:rFonts w:ascii="Calibri" w:eastAsia="Times New Roman" w:hAnsi="Calibri" w:cs="Times New Roman"/>
                <w:color w:val="000000"/>
                <w:lang w:val="ro-RO"/>
              </w:rPr>
            </w:pPr>
          </w:p>
        </w:tc>
        <w:tc>
          <w:tcPr>
            <w:tcW w:w="2489" w:type="dxa"/>
            <w:hideMark/>
          </w:tcPr>
          <w:p w:rsidR="00064502" w:rsidRPr="00ED3C7B" w:rsidRDefault="00064502" w:rsidP="00064502">
            <w:pPr>
              <w:rPr>
                <w:rFonts w:ascii="Calibri" w:eastAsia="Times New Roman" w:hAnsi="Calibri" w:cs="Times New Roman"/>
                <w:color w:val="000000"/>
                <w:lang w:val="ro-RO"/>
              </w:rPr>
            </w:pPr>
            <w:r w:rsidRPr="00ED3C7B">
              <w:rPr>
                <w:rFonts w:ascii="Calibri" w:eastAsia="Times New Roman" w:hAnsi="Calibri" w:cs="Times New Roman"/>
                <w:color w:val="000000"/>
                <w:lang w:val="ro-RO"/>
              </w:rPr>
              <w:t>MANZAT PROD SRL</w:t>
            </w:r>
          </w:p>
        </w:tc>
        <w:tc>
          <w:tcPr>
            <w:tcW w:w="918" w:type="dxa"/>
            <w:hideMark/>
          </w:tcPr>
          <w:p w:rsidR="00064502" w:rsidRPr="00176842" w:rsidRDefault="00064502" w:rsidP="00064502">
            <w:pPr>
              <w:jc w:val="both"/>
              <w:rPr>
                <w:rFonts w:ascii="Calibri" w:eastAsia="Times New Roman" w:hAnsi="Calibri" w:cs="Times New Roman"/>
                <w:color w:val="333333"/>
                <w:lang w:val="ro-RO"/>
              </w:rPr>
            </w:pPr>
            <w:r w:rsidRPr="00F70DD4">
              <w:rPr>
                <w:rFonts w:ascii="Calibri" w:eastAsia="Times New Roman" w:hAnsi="Calibri" w:cs="Times New Roman"/>
                <w:color w:val="333333"/>
                <w:lang w:val="ro-RO"/>
              </w:rPr>
              <w:t>665</w:t>
            </w:r>
          </w:p>
        </w:tc>
        <w:tc>
          <w:tcPr>
            <w:tcW w:w="864" w:type="dxa"/>
            <w:gridSpan w:val="2"/>
          </w:tcPr>
          <w:p w:rsidR="0006450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82</w:t>
            </w:r>
          </w:p>
        </w:tc>
        <w:tc>
          <w:tcPr>
            <w:tcW w:w="3906" w:type="dxa"/>
            <w:hideMark/>
          </w:tcPr>
          <w:p w:rsidR="00064502" w:rsidRPr="00176842" w:rsidRDefault="00064502" w:rsidP="00064502">
            <w:pPr>
              <w:rPr>
                <w:rFonts w:ascii="Calibri" w:eastAsia="Times New Roman" w:hAnsi="Calibri" w:cs="Times New Roman"/>
                <w:color w:val="333333"/>
                <w:lang w:val="ro-RO"/>
              </w:rPr>
            </w:pPr>
            <w:r>
              <w:rPr>
                <w:rFonts w:ascii="Calibri" w:eastAsia="Times New Roman" w:hAnsi="Calibri" w:cs="Times New Roman"/>
                <w:color w:val="333333"/>
                <w:lang w:val="ro-RO"/>
              </w:rPr>
              <w:t>Producţia şi conservarea că</w:t>
            </w:r>
            <w:r w:rsidRPr="00F70DD4">
              <w:rPr>
                <w:rFonts w:ascii="Calibri" w:eastAsia="Times New Roman" w:hAnsi="Calibri" w:cs="Times New Roman"/>
                <w:color w:val="333333"/>
                <w:lang w:val="ro-RO"/>
              </w:rPr>
              <w:t>rnii</w:t>
            </w:r>
          </w:p>
        </w:tc>
      </w:tr>
    </w:tbl>
    <w:p w:rsidR="00064502" w:rsidRPr="003C3A3D" w:rsidRDefault="00064502" w:rsidP="00064502">
      <w:pPr>
        <w:ind w:firstLine="720"/>
        <w:jc w:val="both"/>
        <w:rPr>
          <w:rStyle w:val="Robust"/>
          <w:b w:val="0"/>
          <w:bCs w:val="0"/>
          <w:sz w:val="18"/>
          <w:szCs w:val="18"/>
        </w:rPr>
      </w:pPr>
      <w:r w:rsidRPr="00293C32">
        <w:rPr>
          <w:b/>
          <w:sz w:val="18"/>
          <w:szCs w:val="18"/>
          <w:lang w:val="ro-RO"/>
        </w:rPr>
        <w:t xml:space="preserve">Sursa: </w:t>
      </w:r>
      <w:r w:rsidRPr="00293C32">
        <w:rPr>
          <w:sz w:val="18"/>
          <w:szCs w:val="18"/>
          <w:lang w:val="ro-RO"/>
        </w:rPr>
        <w:t xml:space="preserve">ANAF </w:t>
      </w:r>
    </w:p>
    <w:p w:rsidR="00064502" w:rsidRPr="00B62FED" w:rsidRDefault="00064502" w:rsidP="00064502">
      <w:pPr>
        <w:jc w:val="both"/>
        <w:rPr>
          <w:color w:val="333333"/>
          <w:sz w:val="24"/>
          <w:szCs w:val="24"/>
          <w:shd w:val="clear" w:color="auto" w:fill="FFFFFF"/>
          <w:lang w:val="ro-RO"/>
        </w:rPr>
      </w:pPr>
      <w:r w:rsidRPr="00644F7F">
        <w:rPr>
          <w:sz w:val="24"/>
          <w:szCs w:val="24"/>
          <w:lang w:val="ro-RO"/>
        </w:rPr>
        <w:t xml:space="preserve">În urma efectuării unui studiu ce </w:t>
      </w:r>
      <w:r w:rsidRPr="00644F7F">
        <w:rPr>
          <w:sz w:val="24"/>
          <w:szCs w:val="24"/>
          <w:shd w:val="clear" w:color="auto" w:fill="FFFFFF"/>
          <w:lang w:val="ro-RO"/>
        </w:rPr>
        <w:t>vizează măsurarea “puterii” mărcilor romane</w:t>
      </w:r>
      <w:r w:rsidRPr="00644F7F">
        <w:rPr>
          <w:rFonts w:cs="Cambria Math"/>
          <w:sz w:val="24"/>
          <w:szCs w:val="24"/>
          <w:shd w:val="clear" w:color="auto" w:fill="FFFFFF"/>
          <w:lang w:val="ro-RO"/>
        </w:rPr>
        <w:t>ș</w:t>
      </w:r>
      <w:r w:rsidRPr="00644F7F">
        <w:rPr>
          <w:rFonts w:cs="Georgia"/>
          <w:sz w:val="24"/>
          <w:szCs w:val="24"/>
          <w:shd w:val="clear" w:color="auto" w:fill="FFFFFF"/>
          <w:lang w:val="ro-RO"/>
        </w:rPr>
        <w:t>ti din</w:t>
      </w:r>
      <w:r w:rsidRPr="00B62FED">
        <w:rPr>
          <w:rFonts w:cs="Georgia"/>
          <w:color w:val="333333"/>
          <w:sz w:val="24"/>
          <w:szCs w:val="24"/>
          <w:shd w:val="clear" w:color="auto" w:fill="FFFFFF"/>
          <w:lang w:val="ro-RO"/>
        </w:rPr>
        <w:t xml:space="preserve"> perspectiva investi</w:t>
      </w:r>
      <w:r w:rsidRPr="00B62FED">
        <w:rPr>
          <w:rFonts w:cs="Cambria Math"/>
          <w:color w:val="333333"/>
          <w:sz w:val="24"/>
          <w:szCs w:val="24"/>
          <w:shd w:val="clear" w:color="auto" w:fill="FFFFFF"/>
          <w:lang w:val="ro-RO"/>
        </w:rPr>
        <w:t>ț</w:t>
      </w:r>
      <w:r w:rsidRPr="00B62FED">
        <w:rPr>
          <w:rFonts w:cs="Georgia"/>
          <w:color w:val="333333"/>
          <w:sz w:val="24"/>
          <w:szCs w:val="24"/>
          <w:shd w:val="clear" w:color="auto" w:fill="FFFFFF"/>
          <w:lang w:val="ro-RO"/>
        </w:rPr>
        <w:t xml:space="preserve">iei de încredere </w:t>
      </w:r>
      <w:r w:rsidRPr="00B62FED">
        <w:rPr>
          <w:rFonts w:cs="Cambria Math"/>
          <w:color w:val="333333"/>
          <w:sz w:val="24"/>
          <w:szCs w:val="24"/>
          <w:shd w:val="clear" w:color="auto" w:fill="FFFFFF"/>
          <w:lang w:val="ro-RO"/>
        </w:rPr>
        <w:t>ș</w:t>
      </w:r>
      <w:r w:rsidRPr="00B62FED">
        <w:rPr>
          <w:rFonts w:cs="Georgia"/>
          <w:color w:val="333333"/>
          <w:sz w:val="24"/>
          <w:szCs w:val="24"/>
          <w:shd w:val="clear" w:color="auto" w:fill="FFFFFF"/>
          <w:lang w:val="ro-RO"/>
        </w:rPr>
        <w:t>i afectivitate care le este acordată d</w:t>
      </w:r>
      <w:r>
        <w:rPr>
          <w:rFonts w:cs="Georgia"/>
          <w:color w:val="333333"/>
          <w:sz w:val="24"/>
          <w:szCs w:val="24"/>
          <w:shd w:val="clear" w:color="auto" w:fill="FFFFFF"/>
          <w:lang w:val="ro-RO"/>
        </w:rPr>
        <w:t>e către consumatori (fără indicatori</w:t>
      </w:r>
      <w:r w:rsidRPr="00B62FED">
        <w:rPr>
          <w:rFonts w:cs="Georgia"/>
          <w:color w:val="333333"/>
          <w:sz w:val="24"/>
          <w:szCs w:val="24"/>
          <w:shd w:val="clear" w:color="auto" w:fill="FFFFFF"/>
          <w:lang w:val="ro-RO"/>
        </w:rPr>
        <w:t xml:space="preserve"> financiari / comerciali inclu</w:t>
      </w:r>
      <w:r w:rsidRPr="00B62FED">
        <w:rPr>
          <w:rFonts w:cs="Cambria Math"/>
          <w:color w:val="333333"/>
          <w:sz w:val="24"/>
          <w:szCs w:val="24"/>
          <w:shd w:val="clear" w:color="auto" w:fill="FFFFFF"/>
          <w:lang w:val="ro-RO"/>
        </w:rPr>
        <w:t>ș</w:t>
      </w:r>
      <w:r w:rsidRPr="00B62FED">
        <w:rPr>
          <w:rFonts w:cs="Georgia"/>
          <w:color w:val="333333"/>
          <w:sz w:val="24"/>
          <w:szCs w:val="24"/>
          <w:shd w:val="clear" w:color="auto" w:fill="FFFFFF"/>
          <w:lang w:val="ro-RO"/>
        </w:rPr>
        <w:t>i)</w:t>
      </w:r>
      <w:r w:rsidRPr="00B62FED">
        <w:rPr>
          <w:color w:val="333333"/>
          <w:sz w:val="24"/>
          <w:szCs w:val="24"/>
          <w:shd w:val="clear" w:color="auto" w:fill="FFFFFF"/>
          <w:lang w:val="ro-RO"/>
        </w:rPr>
        <w:t xml:space="preserve"> reiese că </w:t>
      </w:r>
      <w:r w:rsidRPr="00B62FED">
        <w:rPr>
          <w:b/>
          <w:color w:val="333333"/>
          <w:sz w:val="24"/>
          <w:szCs w:val="24"/>
          <w:shd w:val="clear" w:color="auto" w:fill="FFFFFF"/>
          <w:lang w:val="ro-RO"/>
        </w:rPr>
        <w:t xml:space="preserve">din cele </w:t>
      </w:r>
      <w:r w:rsidRPr="00B62FED">
        <w:rPr>
          <w:rStyle w:val="Robust"/>
          <w:color w:val="333333"/>
          <w:sz w:val="24"/>
          <w:szCs w:val="24"/>
          <w:shd w:val="clear" w:color="auto" w:fill="FFFFFF"/>
        </w:rPr>
        <w:t>100</w:t>
      </w:r>
      <w:r w:rsidRPr="00B62FED">
        <w:rPr>
          <w:rStyle w:val="Robust"/>
          <w:b w:val="0"/>
          <w:color w:val="333333"/>
          <w:sz w:val="24"/>
          <w:szCs w:val="24"/>
          <w:shd w:val="clear" w:color="auto" w:fill="FFFFFF"/>
        </w:rPr>
        <w:t xml:space="preserve"> </w:t>
      </w:r>
      <w:r w:rsidRPr="00B62FED">
        <w:rPr>
          <w:rStyle w:val="Robust"/>
          <w:color w:val="333333"/>
          <w:sz w:val="24"/>
          <w:szCs w:val="24"/>
          <w:shd w:val="clear" w:color="auto" w:fill="FFFFFF"/>
        </w:rPr>
        <w:t>cele mai puternice branduri române</w:t>
      </w:r>
      <w:r w:rsidRPr="00B62FED">
        <w:rPr>
          <w:rStyle w:val="Robust"/>
          <w:rFonts w:cs="Cambria Math"/>
          <w:color w:val="333333"/>
          <w:sz w:val="24"/>
          <w:szCs w:val="24"/>
          <w:shd w:val="clear" w:color="auto" w:fill="FFFFFF"/>
        </w:rPr>
        <w:t>ș</w:t>
      </w:r>
      <w:r w:rsidRPr="00B62FED">
        <w:rPr>
          <w:rStyle w:val="Robust"/>
          <w:rFonts w:cs="Georgia"/>
          <w:color w:val="333333"/>
          <w:sz w:val="24"/>
          <w:szCs w:val="24"/>
          <w:shd w:val="clear" w:color="auto" w:fill="FFFFFF"/>
        </w:rPr>
        <w:t>t</w:t>
      </w:r>
      <w:r w:rsidRPr="00B62FED">
        <w:rPr>
          <w:rStyle w:val="Robust"/>
          <w:color w:val="333333"/>
          <w:sz w:val="24"/>
          <w:szCs w:val="24"/>
          <w:shd w:val="clear" w:color="auto" w:fill="FFFFFF"/>
        </w:rPr>
        <w:t>i 14 sunt b</w:t>
      </w:r>
      <w:r>
        <w:rPr>
          <w:rStyle w:val="Robust"/>
          <w:color w:val="333333"/>
          <w:sz w:val="24"/>
          <w:szCs w:val="24"/>
          <w:shd w:val="clear" w:color="auto" w:fill="FFFFFF"/>
        </w:rPr>
        <w:t>randuri din industria alimentară</w:t>
      </w:r>
      <w:r w:rsidRPr="00B62FED">
        <w:rPr>
          <w:rStyle w:val="Robust"/>
          <w:color w:val="333333"/>
          <w:sz w:val="24"/>
          <w:szCs w:val="24"/>
          <w:shd w:val="clear" w:color="auto" w:fill="FFFFFF"/>
        </w:rPr>
        <w:t xml:space="preserve"> din Regiunea Centru. </w:t>
      </w:r>
      <w:r w:rsidRPr="00B62FED">
        <w:rPr>
          <w:color w:val="333333"/>
          <w:sz w:val="24"/>
          <w:szCs w:val="24"/>
          <w:shd w:val="clear" w:color="auto" w:fill="FFFFFF"/>
          <w:lang w:val="ro-RO"/>
        </w:rPr>
        <w:t xml:space="preserve">Studiul, realizat de </w:t>
      </w:r>
      <w:r w:rsidRPr="00B62FED">
        <w:rPr>
          <w:color w:val="444444"/>
          <w:sz w:val="24"/>
          <w:szCs w:val="24"/>
          <w:shd w:val="clear" w:color="auto" w:fill="FFFFFF"/>
          <w:lang w:val="ro-RO"/>
        </w:rPr>
        <w:t>compania de cercetare Unlock Market Research</w:t>
      </w:r>
      <w:r w:rsidRPr="00B62FED">
        <w:rPr>
          <w:color w:val="333333"/>
          <w:sz w:val="24"/>
          <w:szCs w:val="24"/>
          <w:shd w:val="clear" w:color="auto" w:fill="FFFFFF"/>
          <w:lang w:val="ro-RO"/>
        </w:rPr>
        <w:t xml:space="preserve">, are la baza 1000 de interviuri online </w:t>
      </w:r>
      <w:r w:rsidRPr="00B62FED">
        <w:rPr>
          <w:rFonts w:cs="Cambria Math"/>
          <w:color w:val="333333"/>
          <w:sz w:val="24"/>
          <w:szCs w:val="24"/>
          <w:shd w:val="clear" w:color="auto" w:fill="FFFFFF"/>
          <w:lang w:val="ro-RO"/>
        </w:rPr>
        <w:t>ș</w:t>
      </w:r>
      <w:r w:rsidRPr="00B62FED">
        <w:rPr>
          <w:rFonts w:cs="Georgia"/>
          <w:color w:val="333333"/>
          <w:sz w:val="24"/>
          <w:szCs w:val="24"/>
          <w:shd w:val="clear" w:color="auto" w:fill="FFFFFF"/>
          <w:lang w:val="ro-RO"/>
        </w:rPr>
        <w:t>i este reprezentativ la nivel urban, la nivel de regiune, grad de urbanizare, împăr</w:t>
      </w:r>
      <w:r w:rsidRPr="00B62FED">
        <w:rPr>
          <w:rFonts w:cs="Cambria Math"/>
          <w:color w:val="333333"/>
          <w:sz w:val="24"/>
          <w:szCs w:val="24"/>
          <w:shd w:val="clear" w:color="auto" w:fill="FFFFFF"/>
          <w:lang w:val="ro-RO"/>
        </w:rPr>
        <w:t>ț</w:t>
      </w:r>
      <w:r w:rsidRPr="00B62FED">
        <w:rPr>
          <w:rFonts w:cs="Georgia"/>
          <w:color w:val="333333"/>
          <w:sz w:val="24"/>
          <w:szCs w:val="24"/>
          <w:shd w:val="clear" w:color="auto" w:fill="FFFFFF"/>
          <w:lang w:val="ro-RO"/>
        </w:rPr>
        <w:t>ire pe sex si vârsta a popula</w:t>
      </w:r>
      <w:r w:rsidRPr="00B62FED">
        <w:rPr>
          <w:rFonts w:cs="Cambria Math"/>
          <w:color w:val="333333"/>
          <w:sz w:val="24"/>
          <w:szCs w:val="24"/>
          <w:shd w:val="clear" w:color="auto" w:fill="FFFFFF"/>
          <w:lang w:val="ro-RO"/>
        </w:rPr>
        <w:t>ț</w:t>
      </w:r>
      <w:r>
        <w:rPr>
          <w:rFonts w:cs="Georgia"/>
          <w:color w:val="333333"/>
          <w:sz w:val="24"/>
          <w:szCs w:val="24"/>
          <w:shd w:val="clear" w:color="auto" w:fill="FFFFFF"/>
          <w:lang w:val="ro-RO"/>
        </w:rPr>
        <w:t>iei î</w:t>
      </w:r>
      <w:r w:rsidRPr="00B62FED">
        <w:rPr>
          <w:rFonts w:cs="Georgia"/>
          <w:color w:val="333333"/>
          <w:sz w:val="24"/>
          <w:szCs w:val="24"/>
          <w:shd w:val="clear" w:color="auto" w:fill="FFFFFF"/>
          <w:lang w:val="ro-RO"/>
        </w:rPr>
        <w:t>ntre 18 – 55 de ani</w:t>
      </w:r>
      <w:r w:rsidRPr="00B62FED">
        <w:rPr>
          <w:color w:val="333333"/>
          <w:sz w:val="24"/>
          <w:szCs w:val="24"/>
          <w:shd w:val="clear" w:color="auto" w:fill="FFFFFF"/>
          <w:lang w:val="ro-RO"/>
        </w:rPr>
        <w:t>. O marcă este cu atât mai puternică cu cât reu</w:t>
      </w:r>
      <w:r w:rsidRPr="00B62FED">
        <w:rPr>
          <w:rFonts w:cs="Cambria Math"/>
          <w:color w:val="333333"/>
          <w:sz w:val="24"/>
          <w:szCs w:val="24"/>
          <w:shd w:val="clear" w:color="auto" w:fill="FFFFFF"/>
          <w:lang w:val="ro-RO"/>
        </w:rPr>
        <w:t>ș</w:t>
      </w:r>
      <w:r w:rsidRPr="00B62FED">
        <w:rPr>
          <w:rFonts w:cs="Georgia"/>
          <w:color w:val="333333"/>
          <w:sz w:val="24"/>
          <w:szCs w:val="24"/>
          <w:shd w:val="clear" w:color="auto" w:fill="FFFFFF"/>
          <w:lang w:val="ro-RO"/>
        </w:rPr>
        <w:t>e</w:t>
      </w:r>
      <w:r w:rsidRPr="00B62FED">
        <w:rPr>
          <w:rFonts w:cs="Cambria Math"/>
          <w:color w:val="333333"/>
          <w:sz w:val="24"/>
          <w:szCs w:val="24"/>
          <w:shd w:val="clear" w:color="auto" w:fill="FFFFFF"/>
          <w:lang w:val="ro-RO"/>
        </w:rPr>
        <w:t>ș</w:t>
      </w:r>
      <w:r w:rsidRPr="00B62FED">
        <w:rPr>
          <w:rFonts w:cs="Georgia"/>
          <w:color w:val="333333"/>
          <w:sz w:val="24"/>
          <w:szCs w:val="24"/>
          <w:shd w:val="clear" w:color="auto" w:fill="FFFFFF"/>
          <w:lang w:val="ro-RO"/>
        </w:rPr>
        <w:t>te să-</w:t>
      </w:r>
      <w:r w:rsidRPr="00B62FED">
        <w:rPr>
          <w:rFonts w:cs="Cambria Math"/>
          <w:color w:val="333333"/>
          <w:sz w:val="24"/>
          <w:szCs w:val="24"/>
          <w:shd w:val="clear" w:color="auto" w:fill="FFFFFF"/>
          <w:lang w:val="ro-RO"/>
        </w:rPr>
        <w:t>ș</w:t>
      </w:r>
      <w:r w:rsidRPr="00B62FED">
        <w:rPr>
          <w:rFonts w:cs="Georgia"/>
          <w:color w:val="333333"/>
          <w:sz w:val="24"/>
          <w:szCs w:val="24"/>
          <w:shd w:val="clear" w:color="auto" w:fill="FFFFFF"/>
          <w:lang w:val="ro-RO"/>
        </w:rPr>
        <w:t>i men</w:t>
      </w:r>
      <w:r w:rsidRPr="00B62FED">
        <w:rPr>
          <w:rFonts w:cs="Cambria Math"/>
          <w:color w:val="333333"/>
          <w:sz w:val="24"/>
          <w:szCs w:val="24"/>
          <w:shd w:val="clear" w:color="auto" w:fill="FFFFFF"/>
          <w:lang w:val="ro-RO"/>
        </w:rPr>
        <w:t>ț</w:t>
      </w:r>
      <w:r w:rsidRPr="00B62FED">
        <w:rPr>
          <w:rFonts w:cs="Georgia"/>
          <w:color w:val="333333"/>
          <w:sz w:val="24"/>
          <w:szCs w:val="24"/>
          <w:shd w:val="clear" w:color="auto" w:fill="FFFFFF"/>
          <w:lang w:val="ro-RO"/>
        </w:rPr>
        <w:t>ină pozi</w:t>
      </w:r>
      <w:r w:rsidRPr="00B62FED">
        <w:rPr>
          <w:rFonts w:cs="Cambria Math"/>
          <w:color w:val="333333"/>
          <w:sz w:val="24"/>
          <w:szCs w:val="24"/>
          <w:shd w:val="clear" w:color="auto" w:fill="FFFFFF"/>
          <w:lang w:val="ro-RO"/>
        </w:rPr>
        <w:t>ț</w:t>
      </w:r>
      <w:r w:rsidRPr="00B62FED">
        <w:rPr>
          <w:rFonts w:cs="Georgia"/>
          <w:color w:val="333333"/>
          <w:sz w:val="24"/>
          <w:szCs w:val="24"/>
          <w:shd w:val="clear" w:color="auto" w:fill="FFFFFF"/>
          <w:lang w:val="ro-RO"/>
        </w:rPr>
        <w:t>ia în top, indiferent de fluctua</w:t>
      </w:r>
      <w:r w:rsidRPr="00B62FED">
        <w:rPr>
          <w:rFonts w:cs="Cambria Math"/>
          <w:color w:val="333333"/>
          <w:sz w:val="24"/>
          <w:szCs w:val="24"/>
          <w:shd w:val="clear" w:color="auto" w:fill="FFFFFF"/>
          <w:lang w:val="ro-RO"/>
        </w:rPr>
        <w:t>ț</w:t>
      </w:r>
      <w:r w:rsidRPr="00B62FED">
        <w:rPr>
          <w:rFonts w:cs="Georgia"/>
          <w:color w:val="333333"/>
          <w:sz w:val="24"/>
          <w:szCs w:val="24"/>
          <w:shd w:val="clear" w:color="auto" w:fill="FFFFFF"/>
          <w:lang w:val="ro-RO"/>
        </w:rPr>
        <w:t>iile soci</w:t>
      </w:r>
      <w:r>
        <w:rPr>
          <w:rFonts w:cs="Georgia"/>
          <w:color w:val="333333"/>
          <w:sz w:val="24"/>
          <w:szCs w:val="24"/>
          <w:shd w:val="clear" w:color="auto" w:fill="FFFFFF"/>
          <w:lang w:val="ro-RO"/>
        </w:rPr>
        <w:t>o</w:t>
      </w:r>
      <w:r w:rsidRPr="00B62FED">
        <w:rPr>
          <w:rFonts w:cs="Georgia"/>
          <w:color w:val="333333"/>
          <w:sz w:val="24"/>
          <w:szCs w:val="24"/>
          <w:shd w:val="clear" w:color="auto" w:fill="FFFFFF"/>
          <w:lang w:val="ro-RO"/>
        </w:rPr>
        <w:t>-economice specifice ultimilor ani</w:t>
      </w:r>
      <w:r w:rsidRPr="00B62FED">
        <w:rPr>
          <w:color w:val="333333"/>
          <w:sz w:val="24"/>
          <w:szCs w:val="24"/>
          <w:shd w:val="clear" w:color="auto" w:fill="FFFFFF"/>
          <w:lang w:val="ro-RO"/>
        </w:rPr>
        <w:t>. Conform clas</w:t>
      </w:r>
      <w:r>
        <w:rPr>
          <w:color w:val="333333"/>
          <w:sz w:val="24"/>
          <w:szCs w:val="24"/>
          <w:shd w:val="clear" w:color="auto" w:fill="FFFFFF"/>
          <w:lang w:val="ro-RO"/>
        </w:rPr>
        <w:t>amentului cele 14 branduri ocupă</w:t>
      </w:r>
      <w:r w:rsidRPr="00B62FED">
        <w:rPr>
          <w:color w:val="333333"/>
          <w:sz w:val="24"/>
          <w:szCs w:val="24"/>
          <w:shd w:val="clear" w:color="auto" w:fill="FFFFFF"/>
          <w:lang w:val="ro-RO"/>
        </w:rPr>
        <w:t xml:space="preserve"> următoarele poziţii:</w:t>
      </w:r>
    </w:p>
    <w:p w:rsidR="00064502" w:rsidRPr="00B62FED" w:rsidRDefault="00064502" w:rsidP="00064502">
      <w:pPr>
        <w:pStyle w:val="Listparagraf"/>
        <w:numPr>
          <w:ilvl w:val="0"/>
          <w:numId w:val="17"/>
        </w:numPr>
        <w:spacing w:after="0"/>
        <w:jc w:val="both"/>
        <w:rPr>
          <w:sz w:val="24"/>
          <w:szCs w:val="24"/>
        </w:rPr>
      </w:pPr>
      <w:r w:rsidRPr="00B62FED">
        <w:rPr>
          <w:sz w:val="24"/>
          <w:szCs w:val="24"/>
        </w:rPr>
        <w:t xml:space="preserve">Borsec (pentru </w:t>
      </w:r>
      <w:r w:rsidRPr="00B62FED">
        <w:rPr>
          <w:color w:val="444444"/>
          <w:sz w:val="24"/>
          <w:szCs w:val="24"/>
          <w:shd w:val="clear" w:color="auto" w:fill="FFFFFF"/>
        </w:rPr>
        <w:t>al cincilea an consecutiv Borsec se află pe prima poziţie în topul brandurilor româneşti</w:t>
      </w:r>
      <w:r w:rsidRPr="00B62FED">
        <w:rPr>
          <w:sz w:val="24"/>
          <w:szCs w:val="24"/>
        </w:rPr>
        <w:t>) – sediul social în oraşul Borsec, judeţul Harghita</w:t>
      </w:r>
    </w:p>
    <w:p w:rsidR="00064502" w:rsidRPr="00B62FED" w:rsidRDefault="00064502" w:rsidP="00064502">
      <w:pPr>
        <w:spacing w:before="240" w:after="0"/>
        <w:ind w:left="720"/>
        <w:jc w:val="both"/>
        <w:rPr>
          <w:sz w:val="24"/>
          <w:szCs w:val="24"/>
          <w:lang w:val="ro-RO"/>
        </w:rPr>
      </w:pPr>
      <w:r w:rsidRPr="00B62FED">
        <w:rPr>
          <w:sz w:val="24"/>
          <w:szCs w:val="24"/>
          <w:lang w:val="ro-RO"/>
        </w:rPr>
        <w:t>21. Perla Harghitei – Miercurea Ciuc, judeţul Harghita</w:t>
      </w:r>
    </w:p>
    <w:p w:rsidR="00064502" w:rsidRPr="00B62FED" w:rsidRDefault="00064502" w:rsidP="00064502">
      <w:pPr>
        <w:spacing w:before="240" w:after="0"/>
        <w:ind w:left="720"/>
        <w:jc w:val="both"/>
        <w:rPr>
          <w:sz w:val="24"/>
          <w:szCs w:val="24"/>
          <w:lang w:val="ro-RO"/>
        </w:rPr>
      </w:pPr>
      <w:r w:rsidRPr="00B62FED">
        <w:rPr>
          <w:sz w:val="24"/>
          <w:szCs w:val="24"/>
          <w:lang w:val="ro-RO"/>
        </w:rPr>
        <w:t>34. Covalact – Sfântu Gheorghe, judeţul Covasna</w:t>
      </w:r>
    </w:p>
    <w:p w:rsidR="00064502" w:rsidRPr="00B62FED" w:rsidRDefault="00064502" w:rsidP="00064502">
      <w:pPr>
        <w:spacing w:before="240"/>
        <w:ind w:left="720"/>
        <w:jc w:val="both"/>
        <w:rPr>
          <w:sz w:val="24"/>
          <w:szCs w:val="24"/>
          <w:lang w:val="ro-RO"/>
        </w:rPr>
      </w:pPr>
      <w:r w:rsidRPr="00B62FED">
        <w:rPr>
          <w:sz w:val="24"/>
          <w:szCs w:val="24"/>
          <w:lang w:val="ro-RO"/>
        </w:rPr>
        <w:t>41. Zuzu – judeţul Alba</w:t>
      </w:r>
    </w:p>
    <w:p w:rsidR="00064502" w:rsidRPr="00B62FED" w:rsidRDefault="00064502" w:rsidP="00064502">
      <w:pPr>
        <w:ind w:left="720"/>
        <w:jc w:val="both"/>
        <w:rPr>
          <w:sz w:val="24"/>
          <w:szCs w:val="24"/>
          <w:lang w:val="ro-RO"/>
        </w:rPr>
      </w:pPr>
      <w:r w:rsidRPr="00B62FED">
        <w:rPr>
          <w:sz w:val="24"/>
          <w:szCs w:val="24"/>
          <w:lang w:val="ro-RO"/>
        </w:rPr>
        <w:t>49. Biborţeni – judeţul Covasna</w:t>
      </w:r>
    </w:p>
    <w:p w:rsidR="00064502" w:rsidRPr="00B62FED" w:rsidRDefault="00064502" w:rsidP="00064502">
      <w:pPr>
        <w:spacing w:after="0"/>
        <w:ind w:left="720"/>
        <w:jc w:val="both"/>
        <w:rPr>
          <w:sz w:val="24"/>
          <w:szCs w:val="24"/>
          <w:lang w:val="ro-RO"/>
        </w:rPr>
      </w:pPr>
      <w:r w:rsidRPr="00B62FED">
        <w:rPr>
          <w:sz w:val="24"/>
          <w:szCs w:val="24"/>
          <w:lang w:val="ro-RO"/>
        </w:rPr>
        <w:t>55. Bunătăţi de la Bunica - judeţul Covasna</w:t>
      </w:r>
    </w:p>
    <w:p w:rsidR="00064502" w:rsidRPr="00B62FED" w:rsidRDefault="00064502" w:rsidP="00064502">
      <w:pPr>
        <w:spacing w:before="240"/>
        <w:ind w:left="720"/>
        <w:jc w:val="both"/>
        <w:rPr>
          <w:sz w:val="24"/>
          <w:szCs w:val="24"/>
          <w:lang w:val="ro-RO"/>
        </w:rPr>
      </w:pPr>
      <w:r w:rsidRPr="00B62FED">
        <w:rPr>
          <w:sz w:val="24"/>
          <w:szCs w:val="24"/>
          <w:lang w:val="ro-RO"/>
        </w:rPr>
        <w:t>56. Pateu Bucegi – judeţul Sibiu</w:t>
      </w:r>
    </w:p>
    <w:p w:rsidR="00064502" w:rsidRPr="00B62FED" w:rsidRDefault="00064502" w:rsidP="00064502">
      <w:pPr>
        <w:ind w:left="720"/>
        <w:jc w:val="both"/>
        <w:rPr>
          <w:sz w:val="24"/>
          <w:szCs w:val="24"/>
          <w:lang w:val="ro-RO"/>
        </w:rPr>
      </w:pPr>
      <w:r w:rsidRPr="00B62FED">
        <w:rPr>
          <w:sz w:val="24"/>
          <w:szCs w:val="24"/>
          <w:lang w:val="ro-RO"/>
        </w:rPr>
        <w:t>58. Delaco – Codlea, judeţul Braşov</w:t>
      </w:r>
    </w:p>
    <w:p w:rsidR="00064502" w:rsidRPr="00B62FED" w:rsidRDefault="00064502" w:rsidP="00064502">
      <w:pPr>
        <w:ind w:left="720"/>
        <w:jc w:val="both"/>
        <w:rPr>
          <w:sz w:val="24"/>
          <w:szCs w:val="24"/>
          <w:lang w:val="ro-RO"/>
        </w:rPr>
      </w:pPr>
      <w:r w:rsidRPr="00B62FED">
        <w:rPr>
          <w:sz w:val="24"/>
          <w:szCs w:val="24"/>
          <w:lang w:val="ro-RO"/>
        </w:rPr>
        <w:t>68. Scandia - judeţul Sibiu</w:t>
      </w:r>
    </w:p>
    <w:p w:rsidR="00064502" w:rsidRPr="00B62FED" w:rsidRDefault="00064502" w:rsidP="00064502">
      <w:pPr>
        <w:ind w:left="720"/>
        <w:jc w:val="both"/>
        <w:rPr>
          <w:sz w:val="24"/>
          <w:szCs w:val="24"/>
          <w:lang w:val="ro-RO"/>
        </w:rPr>
      </w:pPr>
      <w:r w:rsidRPr="00B62FED">
        <w:rPr>
          <w:sz w:val="24"/>
          <w:szCs w:val="24"/>
          <w:lang w:val="ro-RO"/>
        </w:rPr>
        <w:t>84. Fulga - judeţul Alba</w:t>
      </w:r>
    </w:p>
    <w:p w:rsidR="00064502" w:rsidRPr="00B62FED" w:rsidRDefault="00064502" w:rsidP="00064502">
      <w:pPr>
        <w:ind w:left="720"/>
        <w:jc w:val="both"/>
        <w:rPr>
          <w:sz w:val="24"/>
          <w:szCs w:val="24"/>
          <w:lang w:val="ro-RO"/>
        </w:rPr>
      </w:pPr>
      <w:r w:rsidRPr="00B62FED">
        <w:rPr>
          <w:sz w:val="24"/>
          <w:szCs w:val="24"/>
          <w:lang w:val="ro-RO"/>
        </w:rPr>
        <w:t>86. Jidvei - judeţul Alba</w:t>
      </w:r>
    </w:p>
    <w:p w:rsidR="00064502" w:rsidRPr="00B62FED" w:rsidRDefault="00064502" w:rsidP="00064502">
      <w:pPr>
        <w:ind w:left="720"/>
        <w:jc w:val="both"/>
        <w:rPr>
          <w:sz w:val="24"/>
          <w:szCs w:val="24"/>
          <w:lang w:val="ro-RO"/>
        </w:rPr>
      </w:pPr>
      <w:r w:rsidRPr="00B62FED">
        <w:rPr>
          <w:sz w:val="24"/>
          <w:szCs w:val="24"/>
          <w:lang w:val="ro-RO"/>
        </w:rPr>
        <w:t>89. DeAlbalact - judeţul Alba</w:t>
      </w:r>
    </w:p>
    <w:p w:rsidR="00064502" w:rsidRPr="00B62FED" w:rsidRDefault="00064502" w:rsidP="00064502">
      <w:pPr>
        <w:ind w:left="720"/>
        <w:jc w:val="both"/>
        <w:rPr>
          <w:sz w:val="24"/>
          <w:szCs w:val="24"/>
          <w:lang w:val="ro-RO"/>
        </w:rPr>
      </w:pPr>
      <w:r w:rsidRPr="00B62FED">
        <w:rPr>
          <w:sz w:val="24"/>
          <w:szCs w:val="24"/>
          <w:lang w:val="ro-RO"/>
        </w:rPr>
        <w:t>90. Transavia - judeţul Alba</w:t>
      </w:r>
    </w:p>
    <w:p w:rsidR="00064502" w:rsidRPr="00064502" w:rsidRDefault="00064502" w:rsidP="00064502">
      <w:pPr>
        <w:ind w:left="720"/>
        <w:jc w:val="both"/>
        <w:rPr>
          <w:sz w:val="24"/>
          <w:szCs w:val="24"/>
          <w:lang w:val="ro-RO"/>
        </w:rPr>
      </w:pPr>
      <w:r w:rsidRPr="00B62FED">
        <w:rPr>
          <w:sz w:val="24"/>
          <w:szCs w:val="24"/>
          <w:lang w:val="ro-RO"/>
        </w:rPr>
        <w:t>93. Ciucas - judeţul Braşov</w:t>
      </w:r>
    </w:p>
    <w:p w:rsidR="00064502" w:rsidRDefault="00064502" w:rsidP="00064502">
      <w:pPr>
        <w:jc w:val="both"/>
        <w:rPr>
          <w:b/>
          <w:sz w:val="28"/>
          <w:szCs w:val="28"/>
          <w:lang w:val="ro-RO"/>
        </w:rPr>
      </w:pPr>
      <w:r>
        <w:rPr>
          <w:b/>
          <w:sz w:val="28"/>
          <w:szCs w:val="28"/>
          <w:lang w:val="ro-RO"/>
        </w:rPr>
        <w:t>Forţa de muncă din industria alimentară şi a bă</w:t>
      </w:r>
      <w:r w:rsidRPr="00B55876">
        <w:rPr>
          <w:b/>
          <w:sz w:val="28"/>
          <w:szCs w:val="28"/>
          <w:lang w:val="ro-RO"/>
        </w:rPr>
        <w:t>uturilor</w:t>
      </w:r>
    </w:p>
    <w:p w:rsidR="00064502" w:rsidRPr="001B6310" w:rsidRDefault="00064502" w:rsidP="00064502">
      <w:pPr>
        <w:jc w:val="both"/>
        <w:rPr>
          <w:sz w:val="24"/>
          <w:szCs w:val="24"/>
          <w:lang w:val="ro-RO"/>
        </w:rPr>
      </w:pPr>
      <w:r>
        <w:rPr>
          <w:sz w:val="24"/>
          <w:szCs w:val="24"/>
          <w:lang w:val="ro-RO"/>
        </w:rPr>
        <w:lastRenderedPageBreak/>
        <w:t>În perioada 2010 – 2014 numărul angajaţilor din industria alimentară şi a băuturilor a înregistrat creşteri în aproape toate judeţele Regiunii Centru (excepţie făcând judeţele Covasna şi Harghita) cât şi la nivel regional (de la 22691 de persoane care activau în industria alimentară şi a băuturilor în 2010 s-a ajuns la 26349 de persoane în 2014). Chiar şi la nivel naţional numărul mediu al angajaţilor</w:t>
      </w:r>
      <w:r w:rsidRPr="00457192">
        <w:rPr>
          <w:sz w:val="24"/>
          <w:szCs w:val="24"/>
          <w:lang w:val="ro-RO"/>
        </w:rPr>
        <w:t xml:space="preserve"> </w:t>
      </w:r>
      <w:r>
        <w:rPr>
          <w:sz w:val="24"/>
          <w:szCs w:val="24"/>
          <w:lang w:val="ro-RO"/>
        </w:rPr>
        <w:t>din industria alimentară şi a băuturilor a crescut în perioada 2010 - 2014, creşterea fiind de aproximativ 3 puncte procentuale, dar nu în acelaşi ritm, în Regiunea Centru creşterea a fost de peste 16 puncte procentuale în aceeaşi perioadă.</w:t>
      </w:r>
    </w:p>
    <w:p w:rsidR="00064502" w:rsidRPr="006D3A2F" w:rsidRDefault="00064502" w:rsidP="00064502">
      <w:pPr>
        <w:spacing w:after="0"/>
        <w:ind w:left="270"/>
        <w:jc w:val="center"/>
        <w:rPr>
          <w:rFonts w:cs="Arial-ItalicMT"/>
          <w:b/>
          <w:iCs/>
          <w:sz w:val="24"/>
          <w:szCs w:val="24"/>
          <w:lang w:val="ro-RO"/>
        </w:rPr>
      </w:pPr>
      <w:r>
        <w:rPr>
          <w:b/>
          <w:sz w:val="24"/>
          <w:szCs w:val="24"/>
          <w:lang w:val="ro-RO"/>
        </w:rPr>
        <w:t>Grafic 2.</w:t>
      </w:r>
      <w:r w:rsidRPr="006A49F5">
        <w:rPr>
          <w:b/>
          <w:sz w:val="24"/>
          <w:szCs w:val="24"/>
          <w:lang w:val="ro-RO"/>
        </w:rPr>
        <w:t xml:space="preserve"> </w:t>
      </w:r>
      <w:r w:rsidRPr="006D3A2F">
        <w:rPr>
          <w:rFonts w:cs="Arial-ItalicMT"/>
          <w:b/>
          <w:iCs/>
          <w:sz w:val="24"/>
          <w:szCs w:val="24"/>
          <w:lang w:val="ro-RO"/>
        </w:rPr>
        <w:t>Evoluţia numărului mediu de salariaţi din industria alimentară şi a băuturilor în judeţele Regiunii Centru</w:t>
      </w:r>
    </w:p>
    <w:p w:rsidR="00064502" w:rsidRDefault="00064502" w:rsidP="00064502">
      <w:pPr>
        <w:spacing w:after="0"/>
        <w:ind w:left="270"/>
        <w:jc w:val="center"/>
        <w:rPr>
          <w:rFonts w:cs="Arial-ItalicMT"/>
          <w:b/>
          <w:iCs/>
          <w:color w:val="1A1A1A"/>
          <w:sz w:val="24"/>
          <w:szCs w:val="24"/>
          <w:lang w:val="ro-RO"/>
        </w:rPr>
      </w:pPr>
      <w:r w:rsidRPr="006D3A2F">
        <w:rPr>
          <w:rFonts w:cs="Arial-ItalicMT"/>
          <w:b/>
          <w:iCs/>
          <w:noProof/>
          <w:color w:val="1A1A1A"/>
          <w:sz w:val="24"/>
          <w:szCs w:val="24"/>
        </w:rPr>
        <w:drawing>
          <wp:inline distT="0" distB="0" distL="0" distR="0">
            <wp:extent cx="5761355" cy="2419350"/>
            <wp:effectExtent l="19050" t="0" r="10795" b="0"/>
            <wp:docPr id="2"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4502" w:rsidRDefault="00064502" w:rsidP="00064502">
      <w:pPr>
        <w:jc w:val="both"/>
        <w:rPr>
          <w:lang w:val="ro-RO"/>
        </w:rPr>
      </w:pPr>
      <w:r w:rsidRPr="00E47620">
        <w:rPr>
          <w:b/>
          <w:lang w:val="ro-RO"/>
        </w:rPr>
        <w:t>Sursa:</w:t>
      </w:r>
      <w:r w:rsidRPr="00E47620">
        <w:rPr>
          <w:lang w:val="ro-RO"/>
        </w:rPr>
        <w:t xml:space="preserve"> date prelucrate după Institutul Național de Statistică</w:t>
      </w:r>
    </w:p>
    <w:p w:rsidR="00064502" w:rsidRPr="00457192" w:rsidRDefault="00064502" w:rsidP="00064502">
      <w:pPr>
        <w:spacing w:after="0"/>
        <w:jc w:val="center"/>
        <w:rPr>
          <w:b/>
          <w:sz w:val="24"/>
          <w:szCs w:val="24"/>
          <w:lang w:val="ro-RO"/>
        </w:rPr>
      </w:pPr>
      <w:r>
        <w:rPr>
          <w:b/>
          <w:sz w:val="24"/>
          <w:szCs w:val="24"/>
          <w:lang w:val="ro-RO"/>
        </w:rPr>
        <w:t>Grafic 3.</w:t>
      </w:r>
      <w:r w:rsidRPr="00457192">
        <w:rPr>
          <w:b/>
          <w:sz w:val="24"/>
          <w:szCs w:val="24"/>
          <w:lang w:val="ro-RO"/>
        </w:rPr>
        <w:t>Ponderea numărului mediu de angajaţi din industria alimentară şi a băuturilor în total industrie</w:t>
      </w:r>
    </w:p>
    <w:p w:rsidR="00064502" w:rsidRDefault="00064502" w:rsidP="00064502">
      <w:pPr>
        <w:spacing w:after="0"/>
        <w:jc w:val="center"/>
        <w:rPr>
          <w:sz w:val="18"/>
          <w:szCs w:val="18"/>
          <w:lang w:val="ro-RO"/>
        </w:rPr>
      </w:pPr>
      <w:r w:rsidRPr="00164BDD">
        <w:rPr>
          <w:noProof/>
          <w:sz w:val="18"/>
          <w:szCs w:val="18"/>
        </w:rPr>
        <w:drawing>
          <wp:inline distT="0" distB="0" distL="0" distR="0">
            <wp:extent cx="5761355" cy="2990850"/>
            <wp:effectExtent l="19050" t="0" r="10795" b="0"/>
            <wp:docPr id="3"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4502" w:rsidRDefault="00064502" w:rsidP="00064502">
      <w:pPr>
        <w:jc w:val="both"/>
        <w:rPr>
          <w:lang w:val="ro-RO"/>
        </w:rPr>
      </w:pPr>
      <w:r w:rsidRPr="00E47620">
        <w:rPr>
          <w:b/>
          <w:lang w:val="ro-RO"/>
        </w:rPr>
        <w:t>Sursa:</w:t>
      </w:r>
      <w:r w:rsidRPr="00E47620">
        <w:rPr>
          <w:lang w:val="ro-RO"/>
        </w:rPr>
        <w:t xml:space="preserve"> date prelucrate după Institutul Național de Statistică</w:t>
      </w:r>
    </w:p>
    <w:p w:rsidR="00064502" w:rsidRPr="005B0313" w:rsidRDefault="00064502" w:rsidP="00064502">
      <w:pPr>
        <w:jc w:val="both"/>
        <w:rPr>
          <w:rFonts w:cs="Arial-ItalicMT"/>
          <w:b/>
          <w:iCs/>
          <w:color w:val="1A1A1A"/>
          <w:sz w:val="24"/>
          <w:szCs w:val="24"/>
          <w:lang w:val="ro-RO"/>
        </w:rPr>
      </w:pPr>
      <w:r>
        <w:rPr>
          <w:sz w:val="24"/>
          <w:szCs w:val="24"/>
          <w:lang w:val="ro-RO"/>
        </w:rPr>
        <w:lastRenderedPageBreak/>
        <w:t xml:space="preserve">Analizând </w:t>
      </w:r>
      <w:r w:rsidRPr="00FA2AE8">
        <w:rPr>
          <w:b/>
          <w:sz w:val="24"/>
          <w:szCs w:val="24"/>
          <w:lang w:val="ro-RO"/>
        </w:rPr>
        <w:t>ponderea numărului mediu de angajaţi din industria alimentară şi a băuturilor în total industrie</w:t>
      </w:r>
      <w:r>
        <w:rPr>
          <w:sz w:val="24"/>
          <w:szCs w:val="24"/>
          <w:lang w:val="ro-RO"/>
        </w:rPr>
        <w:t xml:space="preserve">, în aceeaşi perioadă, se remarcă faptul ca această pondere a crescut în 5 dintre judeţele Regiunii Centru (doar la nivelul judeţului Covasna a scăzut) şi chiar şi la nivel regional. În judeţul </w:t>
      </w:r>
      <w:r w:rsidRPr="00FA2AE8">
        <w:rPr>
          <w:b/>
          <w:sz w:val="24"/>
          <w:szCs w:val="24"/>
          <w:lang w:val="ro-RO"/>
        </w:rPr>
        <w:t>Alba</w:t>
      </w:r>
      <w:r>
        <w:rPr>
          <w:sz w:val="24"/>
          <w:szCs w:val="24"/>
          <w:lang w:val="ro-RO"/>
        </w:rPr>
        <w:t xml:space="preserve"> se înregistrează </w:t>
      </w:r>
      <w:r w:rsidRPr="00164BDD">
        <w:rPr>
          <w:b/>
          <w:sz w:val="24"/>
          <w:szCs w:val="24"/>
          <w:lang w:val="ro-RO"/>
        </w:rPr>
        <w:t>cea mai mare creştere</w:t>
      </w:r>
      <w:r>
        <w:rPr>
          <w:b/>
          <w:sz w:val="24"/>
          <w:szCs w:val="24"/>
          <w:lang w:val="ro-RO"/>
        </w:rPr>
        <w:t xml:space="preserve"> </w:t>
      </w:r>
      <w:r>
        <w:rPr>
          <w:sz w:val="24"/>
          <w:szCs w:val="24"/>
          <w:lang w:val="ro-RO"/>
        </w:rPr>
        <w:t xml:space="preserve">de la nivel </w:t>
      </w:r>
      <w:r w:rsidRPr="000400AA">
        <w:rPr>
          <w:sz w:val="24"/>
          <w:szCs w:val="24"/>
          <w:lang w:val="ro-RO"/>
        </w:rPr>
        <w:t>regional în perioada 2010 – 2014</w:t>
      </w:r>
      <w:r w:rsidRPr="000400AA">
        <w:rPr>
          <w:b/>
          <w:sz w:val="24"/>
          <w:szCs w:val="24"/>
          <w:lang w:val="ro-RO"/>
        </w:rPr>
        <w:t>, de peste 2%</w:t>
      </w:r>
      <w:r w:rsidRPr="000400AA">
        <w:rPr>
          <w:sz w:val="24"/>
          <w:szCs w:val="24"/>
          <w:lang w:val="ro-RO"/>
        </w:rPr>
        <w:t xml:space="preserve">, iar în anul 2014 ponderea numărului mediu de angajaţi din industria alimentară şi a băuturilor în total industrie din </w:t>
      </w:r>
      <w:r w:rsidRPr="000400AA">
        <w:rPr>
          <w:b/>
          <w:sz w:val="24"/>
          <w:szCs w:val="24"/>
          <w:lang w:val="ro-RO"/>
        </w:rPr>
        <w:t>Regiunea Centru</w:t>
      </w:r>
      <w:r w:rsidRPr="000400AA">
        <w:rPr>
          <w:sz w:val="24"/>
          <w:szCs w:val="24"/>
          <w:lang w:val="ro-RO"/>
        </w:rPr>
        <w:t xml:space="preserve"> </w:t>
      </w:r>
      <w:r w:rsidRPr="000400AA">
        <w:rPr>
          <w:rFonts w:cs="Arial-ItalicMT"/>
          <w:b/>
          <w:iCs/>
          <w:color w:val="1A1A1A"/>
          <w:sz w:val="24"/>
          <w:szCs w:val="24"/>
          <w:lang w:val="ro-RO"/>
        </w:rPr>
        <w:t>depăşeşte ponderea acestora de la nivel naţional.</w:t>
      </w:r>
    </w:p>
    <w:p w:rsidR="00064502" w:rsidRPr="000400AA" w:rsidRDefault="00064502" w:rsidP="00064502">
      <w:pPr>
        <w:spacing w:after="0"/>
        <w:jc w:val="center"/>
        <w:rPr>
          <w:rFonts w:cs="Arial-ItalicMT"/>
          <w:b/>
          <w:iCs/>
          <w:color w:val="FF0000"/>
          <w:sz w:val="24"/>
          <w:szCs w:val="24"/>
          <w:lang w:val="ro-RO"/>
        </w:rPr>
      </w:pPr>
      <w:r>
        <w:rPr>
          <w:b/>
          <w:sz w:val="24"/>
          <w:szCs w:val="24"/>
          <w:lang w:val="ro-RO"/>
        </w:rPr>
        <w:t xml:space="preserve">Tabel 13  </w:t>
      </w:r>
      <w:r w:rsidRPr="000400AA">
        <w:rPr>
          <w:rFonts w:cs="Arial-ItalicMT"/>
          <w:b/>
          <w:iCs/>
          <w:sz w:val="24"/>
          <w:szCs w:val="24"/>
          <w:lang w:val="ro-RO"/>
        </w:rPr>
        <w:t xml:space="preserve">Numărul și ponderea salariaţilor din industria alimentară </w:t>
      </w:r>
      <w:r>
        <w:rPr>
          <w:rFonts w:cs="Arial-ItalicMT"/>
          <w:b/>
          <w:iCs/>
          <w:sz w:val="24"/>
          <w:szCs w:val="24"/>
          <w:lang w:val="ro-RO"/>
        </w:rPr>
        <w:t xml:space="preserve">şi a băuturilor </w:t>
      </w:r>
      <w:r w:rsidRPr="000400AA">
        <w:rPr>
          <w:rFonts w:cs="Arial-ItalicMT"/>
          <w:b/>
          <w:iCs/>
          <w:sz w:val="24"/>
          <w:szCs w:val="24"/>
          <w:lang w:val="ro-RO"/>
        </w:rPr>
        <w:t>în totalul salariaţilor din industrie</w:t>
      </w:r>
      <w:r>
        <w:rPr>
          <w:rFonts w:cs="Arial-ItalicMT"/>
          <w:b/>
          <w:iCs/>
          <w:sz w:val="24"/>
          <w:szCs w:val="24"/>
          <w:lang w:val="ro-RO"/>
        </w:rPr>
        <w:t xml:space="preserve"> prelucrătoare şi total industrie</w:t>
      </w:r>
      <w:r w:rsidRPr="000400AA">
        <w:rPr>
          <w:rFonts w:cs="Arial-ItalicMT"/>
          <w:b/>
          <w:iCs/>
          <w:sz w:val="24"/>
          <w:szCs w:val="24"/>
          <w:lang w:val="ro-RO"/>
        </w:rPr>
        <w:t xml:space="preserve"> (2014)</w:t>
      </w:r>
    </w:p>
    <w:tbl>
      <w:tblPr>
        <w:tblStyle w:val="Hyperlink"/>
        <w:tblW w:w="9294" w:type="dxa"/>
        <w:jc w:val="center"/>
        <w:tblLook w:val="04A0"/>
      </w:tblPr>
      <w:tblGrid>
        <w:gridCol w:w="3679"/>
        <w:gridCol w:w="911"/>
        <w:gridCol w:w="872"/>
        <w:gridCol w:w="1103"/>
        <w:gridCol w:w="1103"/>
        <w:gridCol w:w="852"/>
        <w:gridCol w:w="825"/>
      </w:tblGrid>
      <w:tr w:rsidR="00064502" w:rsidRPr="00AE3251" w:rsidTr="00064502">
        <w:trPr>
          <w:trHeight w:val="363"/>
          <w:jc w:val="center"/>
        </w:trPr>
        <w:tc>
          <w:tcPr>
            <w:tcW w:w="3679" w:type="dxa"/>
            <w:noWrap/>
            <w:hideMark/>
          </w:tcPr>
          <w:p w:rsidR="00064502" w:rsidRPr="00AE3251" w:rsidRDefault="00064502" w:rsidP="00064502">
            <w:pPr>
              <w:rPr>
                <w:rFonts w:ascii="Calibri" w:eastAsia="Times New Roman" w:hAnsi="Calibri" w:cs="Times New Roman"/>
                <w:color w:val="000000"/>
              </w:rPr>
            </w:pPr>
          </w:p>
        </w:tc>
        <w:tc>
          <w:tcPr>
            <w:tcW w:w="911" w:type="dxa"/>
            <w:hideMark/>
          </w:tcPr>
          <w:p w:rsidR="00064502" w:rsidRPr="00AE3251" w:rsidRDefault="00064502" w:rsidP="00064502">
            <w:pPr>
              <w:jc w:val="right"/>
              <w:rPr>
                <w:rFonts w:ascii="Calibri" w:eastAsia="Times New Roman" w:hAnsi="Calibri" w:cs="Times New Roman"/>
                <w:color w:val="000000"/>
              </w:rPr>
            </w:pPr>
            <w:r w:rsidRPr="00AE3251">
              <w:rPr>
                <w:rFonts w:ascii="Calibri" w:eastAsia="Times New Roman" w:hAnsi="Calibri" w:cs="Times New Roman"/>
                <w:color w:val="000000"/>
              </w:rPr>
              <w:t>Alba</w:t>
            </w:r>
          </w:p>
        </w:tc>
        <w:tc>
          <w:tcPr>
            <w:tcW w:w="872" w:type="dxa"/>
            <w:noWrap/>
            <w:hideMark/>
          </w:tcPr>
          <w:p w:rsidR="00064502" w:rsidRPr="00AE3251" w:rsidRDefault="00064502" w:rsidP="00064502">
            <w:pPr>
              <w:rPr>
                <w:rFonts w:ascii="Calibri" w:eastAsia="Times New Roman" w:hAnsi="Calibri" w:cs="Times New Roman"/>
                <w:color w:val="000000"/>
              </w:rPr>
            </w:pPr>
            <w:r>
              <w:rPr>
                <w:rFonts w:ascii="Calibri" w:eastAsia="Times New Roman" w:hAnsi="Calibri" w:cs="Times New Roman"/>
                <w:color w:val="000000"/>
              </w:rPr>
              <w:t>Braş</w:t>
            </w:r>
            <w:r w:rsidRPr="00AE3251">
              <w:rPr>
                <w:rFonts w:ascii="Calibri" w:eastAsia="Times New Roman" w:hAnsi="Calibri" w:cs="Times New Roman"/>
                <w:color w:val="000000"/>
              </w:rPr>
              <w:t>ov</w:t>
            </w:r>
          </w:p>
        </w:tc>
        <w:tc>
          <w:tcPr>
            <w:tcW w:w="1103" w:type="dxa"/>
            <w:noWrap/>
            <w:hideMark/>
          </w:tcPr>
          <w:p w:rsidR="00064502" w:rsidRPr="00AE3251" w:rsidRDefault="00064502" w:rsidP="00064502">
            <w:pPr>
              <w:rPr>
                <w:rFonts w:ascii="Calibri" w:eastAsia="Times New Roman" w:hAnsi="Calibri" w:cs="Times New Roman"/>
                <w:color w:val="000000"/>
              </w:rPr>
            </w:pPr>
            <w:r w:rsidRPr="00AE3251">
              <w:rPr>
                <w:rFonts w:ascii="Calibri" w:eastAsia="Times New Roman" w:hAnsi="Calibri" w:cs="Times New Roman"/>
                <w:color w:val="000000"/>
              </w:rPr>
              <w:t>Covasna</w:t>
            </w:r>
          </w:p>
        </w:tc>
        <w:tc>
          <w:tcPr>
            <w:tcW w:w="1103" w:type="dxa"/>
            <w:noWrap/>
            <w:hideMark/>
          </w:tcPr>
          <w:p w:rsidR="00064502" w:rsidRPr="00AE3251" w:rsidRDefault="00064502" w:rsidP="00064502">
            <w:pPr>
              <w:rPr>
                <w:rFonts w:ascii="Calibri" w:eastAsia="Times New Roman" w:hAnsi="Calibri" w:cs="Times New Roman"/>
                <w:color w:val="000000"/>
              </w:rPr>
            </w:pPr>
            <w:r w:rsidRPr="00AE3251">
              <w:rPr>
                <w:rFonts w:ascii="Calibri" w:eastAsia="Times New Roman" w:hAnsi="Calibri" w:cs="Times New Roman"/>
                <w:color w:val="000000"/>
              </w:rPr>
              <w:t>Harghita</w:t>
            </w:r>
          </w:p>
        </w:tc>
        <w:tc>
          <w:tcPr>
            <w:tcW w:w="852" w:type="dxa"/>
            <w:noWrap/>
            <w:hideMark/>
          </w:tcPr>
          <w:p w:rsidR="00064502" w:rsidRPr="00AE3251" w:rsidRDefault="00064502" w:rsidP="00064502">
            <w:pPr>
              <w:rPr>
                <w:rFonts w:ascii="Calibri" w:eastAsia="Times New Roman" w:hAnsi="Calibri" w:cs="Times New Roman"/>
                <w:color w:val="000000"/>
              </w:rPr>
            </w:pPr>
            <w:r w:rsidRPr="00AE3251">
              <w:rPr>
                <w:rFonts w:ascii="Calibri" w:eastAsia="Times New Roman" w:hAnsi="Calibri" w:cs="Times New Roman"/>
                <w:color w:val="000000"/>
              </w:rPr>
              <w:t>Mureş</w:t>
            </w:r>
          </w:p>
        </w:tc>
        <w:tc>
          <w:tcPr>
            <w:tcW w:w="774" w:type="dxa"/>
            <w:noWrap/>
            <w:hideMark/>
          </w:tcPr>
          <w:p w:rsidR="00064502" w:rsidRPr="00AE3251" w:rsidRDefault="00064502" w:rsidP="00064502">
            <w:pPr>
              <w:rPr>
                <w:rFonts w:ascii="Calibri" w:eastAsia="Times New Roman" w:hAnsi="Calibri" w:cs="Times New Roman"/>
                <w:color w:val="000000"/>
              </w:rPr>
            </w:pPr>
            <w:r w:rsidRPr="00AE3251">
              <w:rPr>
                <w:rFonts w:ascii="Calibri" w:eastAsia="Times New Roman" w:hAnsi="Calibri" w:cs="Times New Roman"/>
                <w:color w:val="000000"/>
              </w:rPr>
              <w:t>Sibiu</w:t>
            </w:r>
          </w:p>
        </w:tc>
      </w:tr>
      <w:tr w:rsidR="00064502" w:rsidRPr="00AE3251" w:rsidTr="00064502">
        <w:trPr>
          <w:trHeight w:val="600"/>
          <w:jc w:val="center"/>
        </w:trPr>
        <w:tc>
          <w:tcPr>
            <w:tcW w:w="3679" w:type="dxa"/>
            <w:hideMark/>
          </w:tcPr>
          <w:p w:rsidR="00064502" w:rsidRPr="00FA2AE8" w:rsidRDefault="00064502" w:rsidP="00064502">
            <w:pPr>
              <w:rPr>
                <w:rFonts w:ascii="Calibri" w:eastAsia="Times New Roman" w:hAnsi="Calibri" w:cs="Times New Roman"/>
                <w:color w:val="000000"/>
              </w:rPr>
            </w:pPr>
            <w:r w:rsidRPr="00FA2AE8">
              <w:rPr>
                <w:rFonts w:ascii="Calibri" w:eastAsia="Times New Roman" w:hAnsi="Calibri" w:cs="Times New Roman"/>
                <w:color w:val="000000"/>
              </w:rPr>
              <w:t>Numărul mediu al salariaţilor din industria alimentară</w:t>
            </w:r>
            <w:r>
              <w:rPr>
                <w:rFonts w:ascii="Calibri" w:eastAsia="Times New Roman" w:hAnsi="Calibri" w:cs="Times New Roman"/>
                <w:color w:val="000000"/>
              </w:rPr>
              <w:t xml:space="preserve"> şi a băuturilor</w:t>
            </w:r>
          </w:p>
        </w:tc>
        <w:tc>
          <w:tcPr>
            <w:tcW w:w="911"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5704</w:t>
            </w:r>
          </w:p>
        </w:tc>
        <w:tc>
          <w:tcPr>
            <w:tcW w:w="87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5423</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1923</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3803</w:t>
            </w:r>
          </w:p>
        </w:tc>
        <w:tc>
          <w:tcPr>
            <w:tcW w:w="85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4550</w:t>
            </w:r>
          </w:p>
        </w:tc>
        <w:tc>
          <w:tcPr>
            <w:tcW w:w="774"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4946</w:t>
            </w:r>
          </w:p>
        </w:tc>
      </w:tr>
      <w:tr w:rsidR="00064502" w:rsidRPr="00AE3251" w:rsidTr="00064502">
        <w:trPr>
          <w:trHeight w:val="543"/>
          <w:jc w:val="center"/>
        </w:trPr>
        <w:tc>
          <w:tcPr>
            <w:tcW w:w="3679" w:type="dxa"/>
            <w:hideMark/>
          </w:tcPr>
          <w:p w:rsidR="00064502" w:rsidRPr="00FA2AE8" w:rsidRDefault="00064502" w:rsidP="00064502">
            <w:pPr>
              <w:rPr>
                <w:rFonts w:ascii="Calibri" w:eastAsia="Times New Roman" w:hAnsi="Calibri" w:cs="Times New Roman"/>
                <w:color w:val="000000"/>
              </w:rPr>
            </w:pPr>
            <w:r w:rsidRPr="00FA2AE8">
              <w:rPr>
                <w:rFonts w:ascii="Calibri" w:eastAsia="Times New Roman" w:hAnsi="Calibri" w:cs="Times New Roman"/>
                <w:color w:val="000000"/>
              </w:rPr>
              <w:t>Numărul mediu al salariaţilor din industrie total</w:t>
            </w:r>
          </w:p>
        </w:tc>
        <w:tc>
          <w:tcPr>
            <w:tcW w:w="911"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32184</w:t>
            </w:r>
          </w:p>
        </w:tc>
        <w:tc>
          <w:tcPr>
            <w:tcW w:w="87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52149</w:t>
            </w:r>
          </w:p>
        </w:tc>
        <w:tc>
          <w:tcPr>
            <w:tcW w:w="1103" w:type="dxa"/>
            <w:vAlign w:val="center"/>
            <w:hideMark/>
          </w:tcPr>
          <w:p w:rsidR="00064502" w:rsidRPr="001B75EA" w:rsidRDefault="00064502" w:rsidP="00064502">
            <w:pPr>
              <w:jc w:val="center"/>
              <w:rPr>
                <w:b/>
                <w:color w:val="000000"/>
                <w:sz w:val="24"/>
                <w:szCs w:val="24"/>
              </w:rPr>
            </w:pPr>
            <w:r w:rsidRPr="001B75EA">
              <w:rPr>
                <w:b/>
                <w:color w:val="000000"/>
                <w:sz w:val="24"/>
                <w:szCs w:val="24"/>
              </w:rPr>
              <w:t>18727</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21134</w:t>
            </w:r>
          </w:p>
        </w:tc>
        <w:tc>
          <w:tcPr>
            <w:tcW w:w="85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40282</w:t>
            </w:r>
          </w:p>
        </w:tc>
        <w:tc>
          <w:tcPr>
            <w:tcW w:w="774" w:type="dxa"/>
            <w:vAlign w:val="center"/>
            <w:hideMark/>
          </w:tcPr>
          <w:p w:rsidR="00064502" w:rsidRPr="001B75EA" w:rsidRDefault="00064502" w:rsidP="00064502">
            <w:pPr>
              <w:jc w:val="center"/>
              <w:rPr>
                <w:b/>
                <w:color w:val="000000"/>
                <w:sz w:val="24"/>
                <w:szCs w:val="24"/>
              </w:rPr>
            </w:pPr>
            <w:r w:rsidRPr="001B75EA">
              <w:rPr>
                <w:b/>
                <w:color w:val="000000"/>
                <w:sz w:val="24"/>
                <w:szCs w:val="24"/>
              </w:rPr>
              <w:t>46200</w:t>
            </w:r>
          </w:p>
        </w:tc>
      </w:tr>
      <w:tr w:rsidR="00064502" w:rsidRPr="00AE3251" w:rsidTr="00064502">
        <w:trPr>
          <w:trHeight w:val="600"/>
          <w:jc w:val="center"/>
        </w:trPr>
        <w:tc>
          <w:tcPr>
            <w:tcW w:w="3679" w:type="dxa"/>
            <w:hideMark/>
          </w:tcPr>
          <w:p w:rsidR="00064502" w:rsidRDefault="00064502" w:rsidP="00064502">
            <w:pPr>
              <w:rPr>
                <w:rFonts w:ascii="Calibri" w:eastAsia="Times New Roman" w:hAnsi="Calibri" w:cs="Times New Roman"/>
                <w:color w:val="000000"/>
              </w:rPr>
            </w:pPr>
            <w:r w:rsidRPr="00FA2AE8">
              <w:rPr>
                <w:rFonts w:ascii="Calibri" w:eastAsia="Times New Roman" w:hAnsi="Calibri" w:cs="Times New Roman"/>
                <w:color w:val="000000"/>
              </w:rPr>
              <w:t>Numărul mediu al salariaţilor din industri</w:t>
            </w:r>
            <w:r>
              <w:rPr>
                <w:rFonts w:ascii="Calibri" w:eastAsia="Times New Roman" w:hAnsi="Calibri" w:cs="Times New Roman"/>
                <w:color w:val="000000"/>
              </w:rPr>
              <w:t>a prelucrătoare</w:t>
            </w:r>
          </w:p>
        </w:tc>
        <w:tc>
          <w:tcPr>
            <w:tcW w:w="911"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28462</w:t>
            </w:r>
          </w:p>
        </w:tc>
        <w:tc>
          <w:tcPr>
            <w:tcW w:w="87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46335</w:t>
            </w:r>
          </w:p>
        </w:tc>
        <w:tc>
          <w:tcPr>
            <w:tcW w:w="1103" w:type="dxa"/>
            <w:vAlign w:val="center"/>
            <w:hideMark/>
          </w:tcPr>
          <w:p w:rsidR="00064502" w:rsidRPr="001B75EA" w:rsidRDefault="00064502" w:rsidP="00064502">
            <w:pPr>
              <w:jc w:val="center"/>
              <w:rPr>
                <w:b/>
                <w:color w:val="000000"/>
                <w:sz w:val="24"/>
                <w:szCs w:val="24"/>
              </w:rPr>
            </w:pPr>
            <w:r w:rsidRPr="001B75EA">
              <w:rPr>
                <w:b/>
                <w:color w:val="000000"/>
                <w:sz w:val="24"/>
                <w:szCs w:val="24"/>
              </w:rPr>
              <w:t>17275</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18744</w:t>
            </w:r>
          </w:p>
        </w:tc>
        <w:tc>
          <w:tcPr>
            <w:tcW w:w="85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33365</w:t>
            </w:r>
          </w:p>
        </w:tc>
        <w:tc>
          <w:tcPr>
            <w:tcW w:w="774" w:type="dxa"/>
            <w:vAlign w:val="center"/>
            <w:hideMark/>
          </w:tcPr>
          <w:p w:rsidR="00064502" w:rsidRPr="001B75EA" w:rsidRDefault="00064502" w:rsidP="00064502">
            <w:pPr>
              <w:jc w:val="center"/>
              <w:rPr>
                <w:b/>
                <w:color w:val="000000"/>
                <w:sz w:val="24"/>
                <w:szCs w:val="24"/>
              </w:rPr>
            </w:pPr>
            <w:r w:rsidRPr="001B75EA">
              <w:rPr>
                <w:b/>
                <w:color w:val="000000"/>
                <w:sz w:val="24"/>
                <w:szCs w:val="24"/>
              </w:rPr>
              <w:t>40989</w:t>
            </w:r>
          </w:p>
        </w:tc>
      </w:tr>
      <w:tr w:rsidR="00064502" w:rsidRPr="00AE3251" w:rsidTr="00064502">
        <w:trPr>
          <w:trHeight w:val="300"/>
          <w:jc w:val="center"/>
        </w:trPr>
        <w:tc>
          <w:tcPr>
            <w:tcW w:w="3679" w:type="dxa"/>
            <w:noWrap/>
            <w:hideMark/>
          </w:tcPr>
          <w:p w:rsidR="00064502" w:rsidRPr="00AE3251" w:rsidRDefault="00064502" w:rsidP="00064502">
            <w:pPr>
              <w:rPr>
                <w:rFonts w:ascii="Calibri" w:eastAsia="Times New Roman" w:hAnsi="Calibri" w:cs="Times New Roman"/>
                <w:color w:val="000000"/>
              </w:rPr>
            </w:pPr>
            <w:r>
              <w:rPr>
                <w:rFonts w:ascii="Calibri" w:eastAsia="Times New Roman" w:hAnsi="Calibri" w:cs="Times New Roman"/>
                <w:color w:val="000000"/>
              </w:rPr>
              <w:t>%</w:t>
            </w:r>
            <w:r w:rsidRPr="00FA2AE8">
              <w:rPr>
                <w:rFonts w:ascii="Calibri" w:eastAsia="Times New Roman" w:hAnsi="Calibri" w:cs="Times New Roman"/>
                <w:color w:val="000000"/>
              </w:rPr>
              <w:t xml:space="preserve"> din industrie total</w:t>
            </w:r>
          </w:p>
        </w:tc>
        <w:tc>
          <w:tcPr>
            <w:tcW w:w="911"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17,7</w:t>
            </w:r>
          </w:p>
        </w:tc>
        <w:tc>
          <w:tcPr>
            <w:tcW w:w="87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10,4</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10,3</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18,0</w:t>
            </w:r>
          </w:p>
        </w:tc>
        <w:tc>
          <w:tcPr>
            <w:tcW w:w="85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11,3</w:t>
            </w:r>
          </w:p>
        </w:tc>
        <w:tc>
          <w:tcPr>
            <w:tcW w:w="774"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10,7</w:t>
            </w:r>
          </w:p>
        </w:tc>
      </w:tr>
      <w:tr w:rsidR="00064502" w:rsidRPr="00AE3251" w:rsidTr="00064502">
        <w:trPr>
          <w:trHeight w:val="300"/>
          <w:jc w:val="center"/>
        </w:trPr>
        <w:tc>
          <w:tcPr>
            <w:tcW w:w="3679" w:type="dxa"/>
            <w:noWrap/>
            <w:hideMark/>
          </w:tcPr>
          <w:p w:rsidR="00064502" w:rsidRDefault="00064502" w:rsidP="00064502">
            <w:pPr>
              <w:rPr>
                <w:rFonts w:ascii="Calibri" w:eastAsia="Times New Roman" w:hAnsi="Calibri" w:cs="Times New Roman"/>
                <w:color w:val="000000"/>
              </w:rPr>
            </w:pPr>
            <w:r>
              <w:rPr>
                <w:rFonts w:ascii="Calibri" w:eastAsia="Times New Roman" w:hAnsi="Calibri" w:cs="Times New Roman"/>
                <w:color w:val="000000"/>
              </w:rPr>
              <w:t>%</w:t>
            </w:r>
            <w:r w:rsidRPr="00FA2AE8">
              <w:rPr>
                <w:rFonts w:ascii="Calibri" w:eastAsia="Times New Roman" w:hAnsi="Calibri" w:cs="Times New Roman"/>
                <w:color w:val="000000"/>
              </w:rPr>
              <w:t xml:space="preserve"> din industri</w:t>
            </w:r>
            <w:r>
              <w:rPr>
                <w:rFonts w:ascii="Calibri" w:eastAsia="Times New Roman" w:hAnsi="Calibri" w:cs="Times New Roman"/>
                <w:color w:val="000000"/>
              </w:rPr>
              <w:t>a prelucrătoare</w:t>
            </w:r>
          </w:p>
        </w:tc>
        <w:tc>
          <w:tcPr>
            <w:tcW w:w="911"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20,0</w:t>
            </w:r>
          </w:p>
        </w:tc>
        <w:tc>
          <w:tcPr>
            <w:tcW w:w="87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11,7</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11,1</w:t>
            </w:r>
          </w:p>
        </w:tc>
        <w:tc>
          <w:tcPr>
            <w:tcW w:w="1103"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20,3</w:t>
            </w:r>
          </w:p>
        </w:tc>
        <w:tc>
          <w:tcPr>
            <w:tcW w:w="852"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13,6</w:t>
            </w:r>
          </w:p>
        </w:tc>
        <w:tc>
          <w:tcPr>
            <w:tcW w:w="774" w:type="dxa"/>
            <w:noWrap/>
            <w:vAlign w:val="center"/>
            <w:hideMark/>
          </w:tcPr>
          <w:p w:rsidR="00064502" w:rsidRPr="001B75EA" w:rsidRDefault="00064502" w:rsidP="00064502">
            <w:pPr>
              <w:jc w:val="center"/>
              <w:rPr>
                <w:b/>
                <w:color w:val="000000"/>
                <w:sz w:val="24"/>
                <w:szCs w:val="24"/>
              </w:rPr>
            </w:pPr>
            <w:r w:rsidRPr="001B75EA">
              <w:rPr>
                <w:b/>
                <w:color w:val="000000"/>
                <w:sz w:val="24"/>
                <w:szCs w:val="24"/>
              </w:rPr>
              <w:t>12,1</w:t>
            </w:r>
          </w:p>
        </w:tc>
      </w:tr>
    </w:tbl>
    <w:p w:rsidR="00064502" w:rsidRPr="000400AA" w:rsidRDefault="00064502" w:rsidP="00064502">
      <w:pPr>
        <w:jc w:val="both"/>
        <w:rPr>
          <w:sz w:val="24"/>
          <w:szCs w:val="24"/>
          <w:lang w:val="ro-RO"/>
        </w:rPr>
      </w:pPr>
      <w:r w:rsidRPr="000400AA">
        <w:rPr>
          <w:b/>
          <w:sz w:val="24"/>
          <w:szCs w:val="24"/>
          <w:lang w:val="ro-RO"/>
        </w:rPr>
        <w:t>Sursa:</w:t>
      </w:r>
      <w:r w:rsidRPr="000400AA">
        <w:rPr>
          <w:sz w:val="24"/>
          <w:szCs w:val="24"/>
          <w:lang w:val="ro-RO"/>
        </w:rPr>
        <w:t xml:space="preserve"> date prelucrate după Institutul Național de Statistică</w:t>
      </w:r>
    </w:p>
    <w:p w:rsidR="00064502" w:rsidRPr="00E47620" w:rsidRDefault="00064502" w:rsidP="00064502">
      <w:pPr>
        <w:jc w:val="both"/>
        <w:rPr>
          <w:rFonts w:cs="Arial-ItalicMT"/>
          <w:iCs/>
          <w:color w:val="1A1A1A"/>
          <w:sz w:val="24"/>
          <w:szCs w:val="24"/>
          <w:lang w:val="ro-RO"/>
        </w:rPr>
      </w:pPr>
      <w:r>
        <w:rPr>
          <w:rFonts w:cs="Arial-ItalicMT"/>
          <w:iCs/>
          <w:color w:val="1A1A1A"/>
          <w:sz w:val="24"/>
          <w:szCs w:val="24"/>
          <w:lang w:val="ro-RO"/>
        </w:rPr>
        <w:t>Cele mai mari ponderi ale</w:t>
      </w:r>
      <w:r w:rsidRPr="00B62FED">
        <w:rPr>
          <w:rFonts w:cs="Arial-ItalicMT"/>
          <w:iCs/>
          <w:color w:val="1A1A1A"/>
          <w:sz w:val="24"/>
          <w:szCs w:val="24"/>
          <w:lang w:val="ro-RO"/>
        </w:rPr>
        <w:t xml:space="preserve"> salariaţilor din in</w:t>
      </w:r>
      <w:r>
        <w:rPr>
          <w:rFonts w:cs="Arial-ItalicMT"/>
          <w:iCs/>
          <w:color w:val="1A1A1A"/>
          <w:sz w:val="24"/>
          <w:szCs w:val="24"/>
          <w:lang w:val="ro-RO"/>
        </w:rPr>
        <w:t>dustria alimentară raportaţi</w:t>
      </w:r>
      <w:r w:rsidRPr="00B62FED">
        <w:rPr>
          <w:rFonts w:cs="Arial-ItalicMT"/>
          <w:iCs/>
          <w:color w:val="1A1A1A"/>
          <w:sz w:val="24"/>
          <w:szCs w:val="24"/>
          <w:lang w:val="ro-RO"/>
        </w:rPr>
        <w:t xml:space="preserve"> la totalul salariaţilor din industrie</w:t>
      </w:r>
      <w:r>
        <w:rPr>
          <w:rFonts w:cs="Arial-ItalicMT"/>
          <w:iCs/>
          <w:color w:val="1A1A1A"/>
          <w:sz w:val="24"/>
          <w:szCs w:val="24"/>
          <w:lang w:val="ro-RO"/>
        </w:rPr>
        <w:t xml:space="preserve"> prelucrătoare sunt înregistrate </w:t>
      </w:r>
      <w:r w:rsidRPr="00FA2AE8">
        <w:rPr>
          <w:rFonts w:cs="Arial-ItalicMT"/>
          <w:b/>
          <w:iCs/>
          <w:color w:val="1A1A1A"/>
          <w:sz w:val="24"/>
          <w:szCs w:val="24"/>
          <w:lang w:val="ro-RO"/>
        </w:rPr>
        <w:t>în judeţele Alba</w:t>
      </w:r>
      <w:r>
        <w:rPr>
          <w:rFonts w:cs="Arial-ItalicMT"/>
          <w:iCs/>
          <w:color w:val="1A1A1A"/>
          <w:sz w:val="24"/>
          <w:szCs w:val="24"/>
          <w:lang w:val="ro-RO"/>
        </w:rPr>
        <w:t xml:space="preserve"> (20</w:t>
      </w:r>
      <w:r w:rsidRPr="00B62FED">
        <w:rPr>
          <w:rFonts w:cs="Arial-ItalicMT"/>
          <w:iCs/>
          <w:color w:val="1A1A1A"/>
          <w:sz w:val="24"/>
          <w:szCs w:val="24"/>
          <w:lang w:val="ro-RO"/>
        </w:rPr>
        <w:t xml:space="preserve">%) şi </w:t>
      </w:r>
      <w:r>
        <w:rPr>
          <w:rFonts w:cs="Arial-ItalicMT"/>
          <w:b/>
          <w:iCs/>
          <w:color w:val="1A1A1A"/>
          <w:sz w:val="24"/>
          <w:szCs w:val="24"/>
          <w:lang w:val="ro-RO"/>
        </w:rPr>
        <w:t>Harghita</w:t>
      </w:r>
      <w:r>
        <w:rPr>
          <w:rFonts w:cs="Arial-ItalicMT"/>
          <w:iCs/>
          <w:color w:val="1A1A1A"/>
          <w:sz w:val="24"/>
          <w:szCs w:val="24"/>
          <w:lang w:val="ro-RO"/>
        </w:rPr>
        <w:t xml:space="preserve"> (20,3</w:t>
      </w:r>
      <w:r w:rsidRPr="00B62FED">
        <w:rPr>
          <w:rFonts w:cs="Arial-ItalicMT"/>
          <w:iCs/>
          <w:color w:val="1A1A1A"/>
          <w:sz w:val="24"/>
          <w:szCs w:val="24"/>
          <w:lang w:val="ro-RO"/>
        </w:rPr>
        <w:t xml:space="preserve">%) </w:t>
      </w:r>
      <w:r>
        <w:rPr>
          <w:rFonts w:cs="Arial-ItalicMT"/>
          <w:iCs/>
          <w:color w:val="1A1A1A"/>
          <w:sz w:val="24"/>
          <w:szCs w:val="24"/>
          <w:lang w:val="ro-RO"/>
        </w:rPr>
        <w:t xml:space="preserve">depăşind </w:t>
      </w:r>
      <w:r w:rsidRPr="00B62FED">
        <w:rPr>
          <w:rFonts w:cs="Arial-ItalicMT"/>
          <w:iCs/>
          <w:color w:val="1A1A1A"/>
          <w:sz w:val="24"/>
          <w:szCs w:val="24"/>
          <w:lang w:val="ro-RO"/>
        </w:rPr>
        <w:t xml:space="preserve">atât </w:t>
      </w:r>
      <w:r w:rsidRPr="00FA2AE8">
        <w:rPr>
          <w:rFonts w:cs="Arial-ItalicMT"/>
          <w:b/>
          <w:iCs/>
          <w:color w:val="1A1A1A"/>
          <w:sz w:val="24"/>
          <w:szCs w:val="24"/>
          <w:lang w:val="ro-RO"/>
        </w:rPr>
        <w:t>nivelul regional</w:t>
      </w:r>
      <w:r w:rsidRPr="00B62FED">
        <w:rPr>
          <w:rFonts w:cs="Arial-ItalicMT"/>
          <w:iCs/>
          <w:color w:val="1A1A1A"/>
          <w:sz w:val="24"/>
          <w:szCs w:val="24"/>
          <w:lang w:val="ro-RO"/>
        </w:rPr>
        <w:t xml:space="preserve"> (1</w:t>
      </w:r>
      <w:r>
        <w:rPr>
          <w:rFonts w:cs="Arial-ItalicMT"/>
          <w:iCs/>
          <w:color w:val="1A1A1A"/>
          <w:sz w:val="24"/>
          <w:szCs w:val="24"/>
          <w:lang w:val="ro-RO"/>
        </w:rPr>
        <w:t>4,23</w:t>
      </w:r>
      <w:r w:rsidRPr="00B62FED">
        <w:rPr>
          <w:rFonts w:cs="Arial-ItalicMT"/>
          <w:iCs/>
          <w:color w:val="1A1A1A"/>
          <w:sz w:val="24"/>
          <w:szCs w:val="24"/>
          <w:lang w:val="ro-RO"/>
        </w:rPr>
        <w:t xml:space="preserve">%) cât şi </w:t>
      </w:r>
      <w:r w:rsidRPr="00FA2AE8">
        <w:rPr>
          <w:rFonts w:cs="Arial-ItalicMT"/>
          <w:b/>
          <w:iCs/>
          <w:color w:val="1A1A1A"/>
          <w:sz w:val="24"/>
          <w:szCs w:val="24"/>
          <w:lang w:val="ro-RO"/>
        </w:rPr>
        <w:t>nivelul naţional</w:t>
      </w:r>
      <w:r>
        <w:rPr>
          <w:rFonts w:cs="Arial-ItalicMT"/>
          <w:iCs/>
          <w:color w:val="1A1A1A"/>
          <w:sz w:val="24"/>
          <w:szCs w:val="24"/>
          <w:lang w:val="ro-RO"/>
        </w:rPr>
        <w:t xml:space="preserve"> (14,92%).</w:t>
      </w:r>
    </w:p>
    <w:p w:rsidR="00064502" w:rsidRPr="00B55876" w:rsidRDefault="00064502" w:rsidP="00064502">
      <w:pPr>
        <w:rPr>
          <w:b/>
          <w:sz w:val="28"/>
          <w:szCs w:val="28"/>
          <w:lang w:val="ro-RO"/>
        </w:rPr>
      </w:pPr>
      <w:r w:rsidRPr="00B55876">
        <w:rPr>
          <w:b/>
          <w:sz w:val="28"/>
          <w:szCs w:val="28"/>
          <w:lang w:val="ro-RO"/>
        </w:rPr>
        <w:t>Exporturile regionale de produse alimentare si agricole</w:t>
      </w:r>
    </w:p>
    <w:p w:rsidR="00064502" w:rsidRDefault="00064502" w:rsidP="00064502">
      <w:pPr>
        <w:jc w:val="both"/>
        <w:rPr>
          <w:sz w:val="24"/>
          <w:szCs w:val="24"/>
          <w:lang w:val="ro-RO"/>
        </w:rPr>
      </w:pPr>
      <w:r w:rsidRPr="00B62FED">
        <w:rPr>
          <w:sz w:val="24"/>
          <w:szCs w:val="24"/>
          <w:lang w:val="ro-RO"/>
        </w:rPr>
        <w:t xml:space="preserve">Ponderea exporturilor din industria alimentară în total exporturi nu este semnificativă, o explicaţie ar fi că producţia acoperă în mare parte consumul intern. </w:t>
      </w:r>
      <w:r w:rsidRPr="003304F7">
        <w:rPr>
          <w:b/>
          <w:sz w:val="24"/>
          <w:szCs w:val="24"/>
          <w:lang w:val="ro-RO"/>
        </w:rPr>
        <w:t xml:space="preserve">Balanţa comerciala este totuşi pozitivă. </w:t>
      </w:r>
      <w:r w:rsidRPr="003304F7">
        <w:rPr>
          <w:sz w:val="24"/>
          <w:szCs w:val="24"/>
          <w:lang w:val="ro-RO"/>
        </w:rPr>
        <w:t>Ju</w:t>
      </w:r>
      <w:r w:rsidRPr="00B62FED">
        <w:rPr>
          <w:sz w:val="24"/>
          <w:szCs w:val="24"/>
          <w:lang w:val="ro-RO"/>
        </w:rPr>
        <w:t>deţul Covasna este în topul clasamentului privind ponderea exporturilor din industria alimentara</w:t>
      </w:r>
      <w:r>
        <w:rPr>
          <w:sz w:val="24"/>
          <w:szCs w:val="24"/>
          <w:lang w:val="ro-RO"/>
        </w:rPr>
        <w:t>, în anul 2015,</w:t>
      </w:r>
      <w:r w:rsidRPr="00B62FED">
        <w:rPr>
          <w:sz w:val="24"/>
          <w:szCs w:val="24"/>
          <w:lang w:val="ro-RO"/>
        </w:rPr>
        <w:t xml:space="preserve"> depăşind de peste 3 ori nivelul naţional şi de 5 ori nivelul regional. Este urmat de judeţul </w:t>
      </w:r>
      <w:r>
        <w:rPr>
          <w:sz w:val="24"/>
          <w:szCs w:val="24"/>
          <w:lang w:val="ro-RO"/>
        </w:rPr>
        <w:t>Alba</w:t>
      </w:r>
      <w:r w:rsidRPr="00B62FED">
        <w:rPr>
          <w:sz w:val="24"/>
          <w:szCs w:val="24"/>
          <w:lang w:val="ro-RO"/>
        </w:rPr>
        <w:t xml:space="preserve"> şi de judeţul </w:t>
      </w:r>
      <w:r>
        <w:rPr>
          <w:sz w:val="24"/>
          <w:szCs w:val="24"/>
          <w:lang w:val="ro-RO"/>
        </w:rPr>
        <w:t>Harghita care nu depăşesc</w:t>
      </w:r>
      <w:r w:rsidRPr="00B62FED">
        <w:rPr>
          <w:sz w:val="24"/>
          <w:szCs w:val="24"/>
          <w:lang w:val="ro-RO"/>
        </w:rPr>
        <w:t xml:space="preserve"> ponderea naţională dar </w:t>
      </w:r>
      <w:r>
        <w:rPr>
          <w:sz w:val="24"/>
          <w:szCs w:val="24"/>
          <w:lang w:val="ro-RO"/>
        </w:rPr>
        <w:t>sunt</w:t>
      </w:r>
      <w:r w:rsidRPr="00B62FED">
        <w:rPr>
          <w:sz w:val="24"/>
          <w:szCs w:val="24"/>
          <w:lang w:val="ro-RO"/>
        </w:rPr>
        <w:t xml:space="preserve"> totuşi peste cea regională.</w:t>
      </w:r>
    </w:p>
    <w:p w:rsidR="00064502" w:rsidRPr="00340EC9" w:rsidRDefault="00064502" w:rsidP="00064502">
      <w:pPr>
        <w:spacing w:after="0"/>
        <w:rPr>
          <w:rFonts w:cs="Calibri"/>
          <w:sz w:val="24"/>
          <w:szCs w:val="24"/>
          <w:lang w:val="ro-RO"/>
        </w:rPr>
      </w:pPr>
      <w:r w:rsidRPr="00992D43">
        <w:rPr>
          <w:b/>
          <w:sz w:val="24"/>
          <w:szCs w:val="24"/>
          <w:lang w:val="ro-RO"/>
        </w:rPr>
        <w:t>Tabel</w:t>
      </w:r>
      <w:r>
        <w:rPr>
          <w:b/>
          <w:sz w:val="24"/>
          <w:szCs w:val="24"/>
          <w:lang w:val="ro-RO"/>
        </w:rPr>
        <w:t xml:space="preserve"> 14</w:t>
      </w:r>
      <w:r w:rsidRPr="00992D43">
        <w:rPr>
          <w:b/>
          <w:sz w:val="24"/>
          <w:szCs w:val="24"/>
          <w:lang w:val="ro-RO"/>
        </w:rPr>
        <w:t xml:space="preserve"> Evoluţia exporturilor (FOB) în perioada 2011-2015   </w:t>
      </w:r>
      <w:r>
        <w:rPr>
          <w:b/>
          <w:sz w:val="24"/>
          <w:szCs w:val="24"/>
          <w:lang w:val="ro-RO"/>
        </w:rPr>
        <w:t xml:space="preserve">                        </w:t>
      </w:r>
      <w:r w:rsidRPr="00992D43">
        <w:rPr>
          <w:b/>
          <w:sz w:val="24"/>
          <w:szCs w:val="24"/>
          <w:lang w:val="ro-RO"/>
        </w:rPr>
        <w:t xml:space="preserve"> </w:t>
      </w:r>
      <w:r>
        <w:rPr>
          <w:b/>
          <w:lang w:val="ro-RO"/>
        </w:rPr>
        <w:t xml:space="preserve">                 </w:t>
      </w:r>
      <w:r w:rsidRPr="00293C32">
        <w:rPr>
          <w:b/>
          <w:sz w:val="18"/>
          <w:szCs w:val="18"/>
          <w:lang w:val="ro-RO"/>
        </w:rPr>
        <w:t>-  mii euro-</w:t>
      </w:r>
    </w:p>
    <w:tbl>
      <w:tblPr>
        <w:tblStyle w:val="Hyperlink"/>
        <w:tblW w:w="10407" w:type="dxa"/>
        <w:tblInd w:w="-579" w:type="dxa"/>
        <w:tblLayout w:type="fixed"/>
        <w:tblLook w:val="04A0"/>
      </w:tblPr>
      <w:tblGrid>
        <w:gridCol w:w="378"/>
        <w:gridCol w:w="1350"/>
        <w:gridCol w:w="1080"/>
        <w:gridCol w:w="1044"/>
        <w:gridCol w:w="1080"/>
        <w:gridCol w:w="1152"/>
        <w:gridCol w:w="990"/>
        <w:gridCol w:w="1044"/>
        <w:gridCol w:w="1119"/>
        <w:gridCol w:w="1170"/>
      </w:tblGrid>
      <w:tr w:rsidR="00064502" w:rsidTr="00064502">
        <w:tc>
          <w:tcPr>
            <w:tcW w:w="378" w:type="dxa"/>
          </w:tcPr>
          <w:p w:rsidR="00064502" w:rsidRDefault="00064502" w:rsidP="00064502">
            <w:pPr>
              <w:rPr>
                <w:sz w:val="18"/>
                <w:szCs w:val="18"/>
              </w:rPr>
            </w:pPr>
          </w:p>
        </w:tc>
        <w:tc>
          <w:tcPr>
            <w:tcW w:w="1350" w:type="dxa"/>
          </w:tcPr>
          <w:p w:rsidR="00064502" w:rsidRDefault="00064502" w:rsidP="00064502">
            <w:pPr>
              <w:rPr>
                <w:sz w:val="18"/>
                <w:szCs w:val="18"/>
              </w:rPr>
            </w:pPr>
          </w:p>
        </w:tc>
        <w:tc>
          <w:tcPr>
            <w:tcW w:w="1080" w:type="dxa"/>
          </w:tcPr>
          <w:p w:rsidR="00064502" w:rsidRPr="00E97633" w:rsidRDefault="00064502" w:rsidP="00064502">
            <w:r w:rsidRPr="00E97633">
              <w:t>Alba</w:t>
            </w:r>
          </w:p>
        </w:tc>
        <w:tc>
          <w:tcPr>
            <w:tcW w:w="1044" w:type="dxa"/>
          </w:tcPr>
          <w:p w:rsidR="00064502" w:rsidRPr="00E97633" w:rsidRDefault="00064502" w:rsidP="00064502">
            <w:r w:rsidRPr="00E97633">
              <w:t>Braşov</w:t>
            </w:r>
          </w:p>
        </w:tc>
        <w:tc>
          <w:tcPr>
            <w:tcW w:w="1080" w:type="dxa"/>
          </w:tcPr>
          <w:p w:rsidR="00064502" w:rsidRPr="00E97633" w:rsidRDefault="00064502" w:rsidP="00064502">
            <w:r w:rsidRPr="00E97633">
              <w:t>Covasna</w:t>
            </w:r>
          </w:p>
        </w:tc>
        <w:tc>
          <w:tcPr>
            <w:tcW w:w="1152" w:type="dxa"/>
          </w:tcPr>
          <w:p w:rsidR="00064502" w:rsidRPr="00E97633" w:rsidRDefault="00064502" w:rsidP="00064502">
            <w:r w:rsidRPr="00E97633">
              <w:t>Harghita</w:t>
            </w:r>
          </w:p>
        </w:tc>
        <w:tc>
          <w:tcPr>
            <w:tcW w:w="990" w:type="dxa"/>
          </w:tcPr>
          <w:p w:rsidR="00064502" w:rsidRPr="00E97633" w:rsidRDefault="00064502" w:rsidP="00064502">
            <w:r w:rsidRPr="00E97633">
              <w:t>Mureş</w:t>
            </w:r>
          </w:p>
        </w:tc>
        <w:tc>
          <w:tcPr>
            <w:tcW w:w="1044" w:type="dxa"/>
          </w:tcPr>
          <w:p w:rsidR="00064502" w:rsidRPr="00E97633" w:rsidRDefault="00064502" w:rsidP="00064502">
            <w:r w:rsidRPr="00E97633">
              <w:t>Sibiu</w:t>
            </w:r>
          </w:p>
        </w:tc>
        <w:tc>
          <w:tcPr>
            <w:tcW w:w="1119" w:type="dxa"/>
          </w:tcPr>
          <w:p w:rsidR="00064502" w:rsidRPr="00E97633" w:rsidRDefault="00064502" w:rsidP="00064502">
            <w:r>
              <w:t>R</w:t>
            </w:r>
            <w:r w:rsidRPr="00E97633">
              <w:t>. Centru</w:t>
            </w:r>
          </w:p>
        </w:tc>
        <w:tc>
          <w:tcPr>
            <w:tcW w:w="1170" w:type="dxa"/>
          </w:tcPr>
          <w:p w:rsidR="00064502" w:rsidRPr="00E97633" w:rsidRDefault="00064502" w:rsidP="00064502">
            <w:r w:rsidRPr="00E97633">
              <w:t>România</w:t>
            </w:r>
          </w:p>
        </w:tc>
      </w:tr>
      <w:tr w:rsidR="00064502" w:rsidTr="00064502">
        <w:trPr>
          <w:trHeight w:val="561"/>
        </w:trPr>
        <w:tc>
          <w:tcPr>
            <w:tcW w:w="378" w:type="dxa"/>
            <w:vMerge w:val="restart"/>
            <w:textDirection w:val="btLr"/>
            <w:vAlign w:val="center"/>
          </w:tcPr>
          <w:p w:rsidR="00064502" w:rsidRDefault="00064502" w:rsidP="00064502">
            <w:pPr>
              <w:ind w:left="113" w:right="113"/>
              <w:jc w:val="center"/>
              <w:rPr>
                <w:rFonts w:ascii="Calibri" w:hAnsi="Calibri"/>
              </w:rPr>
            </w:pPr>
            <w:r>
              <w:rPr>
                <w:rFonts w:ascii="Calibri" w:hAnsi="Calibri"/>
              </w:rPr>
              <w:lastRenderedPageBreak/>
              <w:t>2011</w:t>
            </w:r>
          </w:p>
        </w:tc>
        <w:tc>
          <w:tcPr>
            <w:tcW w:w="1350" w:type="dxa"/>
          </w:tcPr>
          <w:p w:rsidR="00064502" w:rsidRPr="00742BED" w:rsidRDefault="00064502" w:rsidP="00064502">
            <w:pPr>
              <w:rPr>
                <w:rFonts w:ascii="Calibri" w:hAnsi="Calibri"/>
              </w:rPr>
            </w:pPr>
            <w:r w:rsidRPr="00742BED">
              <w:rPr>
                <w:rFonts w:ascii="Calibri" w:hAnsi="Calibri"/>
              </w:rPr>
              <w:t>Industria Alimentară</w:t>
            </w:r>
            <w:r>
              <w:rPr>
                <w:rStyle w:val="Referinnotdesubsol"/>
                <w:rFonts w:ascii="Calibri" w:hAnsi="Calibri"/>
              </w:rPr>
              <w:footnoteReference w:id="11"/>
            </w:r>
          </w:p>
        </w:tc>
        <w:tc>
          <w:tcPr>
            <w:tcW w:w="1080" w:type="dxa"/>
          </w:tcPr>
          <w:p w:rsidR="00064502" w:rsidRPr="004F19E1" w:rsidRDefault="00064502" w:rsidP="00064502">
            <w:pPr>
              <w:rPr>
                <w:rFonts w:ascii="Calibri" w:hAnsi="Calibri"/>
                <w:b/>
                <w:color w:val="000000"/>
              </w:rPr>
            </w:pPr>
            <w:r w:rsidRPr="004F19E1">
              <w:rPr>
                <w:rFonts w:ascii="Calibri" w:hAnsi="Calibri"/>
                <w:b/>
                <w:color w:val="000000"/>
              </w:rPr>
              <w:t>22441</w:t>
            </w:r>
          </w:p>
        </w:tc>
        <w:tc>
          <w:tcPr>
            <w:tcW w:w="1044" w:type="dxa"/>
          </w:tcPr>
          <w:p w:rsidR="00064502" w:rsidRPr="004F19E1" w:rsidRDefault="00064502" w:rsidP="00064502">
            <w:pPr>
              <w:rPr>
                <w:rFonts w:ascii="Calibri" w:hAnsi="Calibri"/>
                <w:b/>
                <w:color w:val="000000"/>
              </w:rPr>
            </w:pPr>
            <w:r w:rsidRPr="004F19E1">
              <w:rPr>
                <w:rFonts w:ascii="Calibri" w:hAnsi="Calibri"/>
                <w:b/>
                <w:color w:val="000000"/>
              </w:rPr>
              <w:t>39261</w:t>
            </w:r>
          </w:p>
        </w:tc>
        <w:tc>
          <w:tcPr>
            <w:tcW w:w="1080" w:type="dxa"/>
          </w:tcPr>
          <w:p w:rsidR="00064502" w:rsidRPr="004F19E1" w:rsidRDefault="00064502" w:rsidP="00064502">
            <w:pPr>
              <w:rPr>
                <w:rFonts w:ascii="Calibri" w:hAnsi="Calibri"/>
                <w:b/>
                <w:color w:val="000000"/>
              </w:rPr>
            </w:pPr>
            <w:r w:rsidRPr="004F19E1">
              <w:rPr>
                <w:rFonts w:ascii="Calibri" w:hAnsi="Calibri"/>
                <w:b/>
                <w:color w:val="000000"/>
              </w:rPr>
              <w:t>19828</w:t>
            </w:r>
          </w:p>
        </w:tc>
        <w:tc>
          <w:tcPr>
            <w:tcW w:w="1152" w:type="dxa"/>
          </w:tcPr>
          <w:p w:rsidR="00064502" w:rsidRPr="004F19E1" w:rsidRDefault="00064502" w:rsidP="00064502">
            <w:pPr>
              <w:rPr>
                <w:rFonts w:ascii="Calibri" w:hAnsi="Calibri"/>
                <w:b/>
                <w:color w:val="000000"/>
              </w:rPr>
            </w:pPr>
            <w:r w:rsidRPr="004F19E1">
              <w:rPr>
                <w:rFonts w:ascii="Calibri" w:hAnsi="Calibri"/>
                <w:b/>
                <w:color w:val="000000"/>
              </w:rPr>
              <w:t>9677</w:t>
            </w:r>
          </w:p>
        </w:tc>
        <w:tc>
          <w:tcPr>
            <w:tcW w:w="990" w:type="dxa"/>
          </w:tcPr>
          <w:p w:rsidR="00064502" w:rsidRPr="004F19E1" w:rsidRDefault="00064502" w:rsidP="00064502">
            <w:pPr>
              <w:rPr>
                <w:rFonts w:ascii="Calibri" w:hAnsi="Calibri"/>
                <w:b/>
                <w:color w:val="000000"/>
              </w:rPr>
            </w:pPr>
            <w:r w:rsidRPr="004F19E1">
              <w:rPr>
                <w:rFonts w:ascii="Calibri" w:hAnsi="Calibri"/>
                <w:b/>
                <w:color w:val="000000"/>
              </w:rPr>
              <w:t>11786</w:t>
            </w:r>
          </w:p>
        </w:tc>
        <w:tc>
          <w:tcPr>
            <w:tcW w:w="1044" w:type="dxa"/>
          </w:tcPr>
          <w:p w:rsidR="00064502" w:rsidRPr="004F19E1" w:rsidRDefault="00064502" w:rsidP="00064502">
            <w:pPr>
              <w:rPr>
                <w:rFonts w:ascii="Calibri" w:hAnsi="Calibri"/>
                <w:b/>
                <w:color w:val="000000"/>
              </w:rPr>
            </w:pPr>
            <w:r w:rsidRPr="004F19E1">
              <w:rPr>
                <w:rFonts w:ascii="Calibri" w:hAnsi="Calibri"/>
                <w:b/>
                <w:color w:val="000000"/>
              </w:rPr>
              <w:t>10281</w:t>
            </w:r>
          </w:p>
        </w:tc>
        <w:tc>
          <w:tcPr>
            <w:tcW w:w="1119" w:type="dxa"/>
          </w:tcPr>
          <w:p w:rsidR="00064502" w:rsidRPr="004F19E1" w:rsidRDefault="00064502" w:rsidP="00064502">
            <w:pPr>
              <w:rPr>
                <w:rFonts w:ascii="Calibri" w:hAnsi="Calibri"/>
                <w:b/>
                <w:color w:val="000000"/>
              </w:rPr>
            </w:pPr>
            <w:r w:rsidRPr="004F19E1">
              <w:rPr>
                <w:rFonts w:ascii="Calibri" w:hAnsi="Calibri"/>
                <w:b/>
                <w:color w:val="000000"/>
              </w:rPr>
              <w:t>113274</w:t>
            </w:r>
          </w:p>
        </w:tc>
        <w:tc>
          <w:tcPr>
            <w:tcW w:w="1170" w:type="dxa"/>
          </w:tcPr>
          <w:p w:rsidR="00064502" w:rsidRPr="004F19E1" w:rsidRDefault="00064502" w:rsidP="00064502">
            <w:pPr>
              <w:rPr>
                <w:rFonts w:ascii="Calibri" w:hAnsi="Calibri"/>
                <w:b/>
                <w:color w:val="000000"/>
              </w:rPr>
            </w:pPr>
            <w:r w:rsidRPr="004F19E1">
              <w:rPr>
                <w:rFonts w:ascii="Calibri" w:hAnsi="Calibri"/>
                <w:b/>
                <w:color w:val="000000"/>
              </w:rPr>
              <w:t>1652781</w:t>
            </w:r>
          </w:p>
        </w:tc>
      </w:tr>
      <w:tr w:rsidR="00064502" w:rsidTr="00064502">
        <w:tc>
          <w:tcPr>
            <w:tcW w:w="378" w:type="dxa"/>
            <w:vMerge/>
            <w:textDirection w:val="btLr"/>
            <w:vAlign w:val="center"/>
          </w:tcPr>
          <w:p w:rsidR="00064502" w:rsidRDefault="00064502" w:rsidP="00064502">
            <w:pPr>
              <w:ind w:left="113" w:right="113"/>
              <w:jc w:val="center"/>
              <w:rPr>
                <w:rFonts w:ascii="Calibri" w:hAnsi="Calibri"/>
              </w:rPr>
            </w:pPr>
          </w:p>
        </w:tc>
        <w:tc>
          <w:tcPr>
            <w:tcW w:w="1350" w:type="dxa"/>
          </w:tcPr>
          <w:p w:rsidR="00064502" w:rsidRPr="00742BED" w:rsidRDefault="00064502" w:rsidP="00064502">
            <w:pPr>
              <w:rPr>
                <w:rFonts w:ascii="Calibri" w:hAnsi="Calibri"/>
              </w:rPr>
            </w:pPr>
            <w:r w:rsidRPr="00742BED">
              <w:rPr>
                <w:rFonts w:ascii="Calibri" w:hAnsi="Calibri"/>
              </w:rPr>
              <w:t>Total  exporturi</w:t>
            </w:r>
          </w:p>
        </w:tc>
        <w:tc>
          <w:tcPr>
            <w:tcW w:w="1080" w:type="dxa"/>
          </w:tcPr>
          <w:p w:rsidR="00064502" w:rsidRPr="004F19E1" w:rsidRDefault="00064502" w:rsidP="00064502">
            <w:pPr>
              <w:rPr>
                <w:rFonts w:ascii="Calibri" w:hAnsi="Calibri"/>
                <w:b/>
                <w:color w:val="000000"/>
              </w:rPr>
            </w:pPr>
            <w:r w:rsidRPr="004F19E1">
              <w:rPr>
                <w:rFonts w:ascii="Calibri" w:hAnsi="Calibri"/>
                <w:b/>
                <w:color w:val="000000"/>
              </w:rPr>
              <w:t>888568</w:t>
            </w:r>
          </w:p>
        </w:tc>
        <w:tc>
          <w:tcPr>
            <w:tcW w:w="1044" w:type="dxa"/>
          </w:tcPr>
          <w:p w:rsidR="00064502" w:rsidRPr="004F19E1" w:rsidRDefault="00064502" w:rsidP="00064502">
            <w:pPr>
              <w:rPr>
                <w:rFonts w:ascii="Calibri" w:hAnsi="Calibri"/>
                <w:b/>
                <w:color w:val="000000"/>
              </w:rPr>
            </w:pPr>
            <w:r w:rsidRPr="004F19E1">
              <w:rPr>
                <w:rFonts w:ascii="Calibri" w:hAnsi="Calibri"/>
                <w:b/>
                <w:color w:val="000000"/>
              </w:rPr>
              <w:t>1836115</w:t>
            </w:r>
          </w:p>
        </w:tc>
        <w:tc>
          <w:tcPr>
            <w:tcW w:w="1080" w:type="dxa"/>
          </w:tcPr>
          <w:p w:rsidR="00064502" w:rsidRPr="004F19E1" w:rsidRDefault="00064502" w:rsidP="00064502">
            <w:pPr>
              <w:rPr>
                <w:rFonts w:ascii="Calibri" w:hAnsi="Calibri"/>
                <w:b/>
                <w:color w:val="000000"/>
              </w:rPr>
            </w:pPr>
            <w:r w:rsidRPr="004F19E1">
              <w:rPr>
                <w:rFonts w:ascii="Calibri" w:hAnsi="Calibri"/>
                <w:b/>
                <w:color w:val="000000"/>
              </w:rPr>
              <w:t>276101</w:t>
            </w:r>
          </w:p>
        </w:tc>
        <w:tc>
          <w:tcPr>
            <w:tcW w:w="1152" w:type="dxa"/>
          </w:tcPr>
          <w:p w:rsidR="00064502" w:rsidRPr="004F19E1" w:rsidRDefault="00064502" w:rsidP="00064502">
            <w:pPr>
              <w:rPr>
                <w:rFonts w:ascii="Calibri" w:hAnsi="Calibri"/>
                <w:b/>
                <w:color w:val="000000"/>
              </w:rPr>
            </w:pPr>
            <w:r w:rsidRPr="004F19E1">
              <w:rPr>
                <w:rFonts w:ascii="Calibri" w:hAnsi="Calibri"/>
                <w:b/>
                <w:color w:val="000000"/>
              </w:rPr>
              <w:t>276884</w:t>
            </w:r>
          </w:p>
        </w:tc>
        <w:tc>
          <w:tcPr>
            <w:tcW w:w="990" w:type="dxa"/>
          </w:tcPr>
          <w:p w:rsidR="00064502" w:rsidRPr="004F19E1" w:rsidRDefault="00064502" w:rsidP="00064502">
            <w:pPr>
              <w:rPr>
                <w:rFonts w:ascii="Calibri" w:hAnsi="Calibri"/>
                <w:b/>
                <w:color w:val="000000"/>
              </w:rPr>
            </w:pPr>
            <w:r w:rsidRPr="004F19E1">
              <w:rPr>
                <w:rFonts w:ascii="Calibri" w:hAnsi="Calibri"/>
                <w:b/>
                <w:color w:val="000000"/>
              </w:rPr>
              <w:t>748393</w:t>
            </w:r>
          </w:p>
        </w:tc>
        <w:tc>
          <w:tcPr>
            <w:tcW w:w="1044" w:type="dxa"/>
          </w:tcPr>
          <w:p w:rsidR="00064502" w:rsidRPr="004F19E1" w:rsidRDefault="00064502" w:rsidP="00064502">
            <w:pPr>
              <w:rPr>
                <w:rFonts w:ascii="Calibri" w:hAnsi="Calibri"/>
                <w:b/>
                <w:color w:val="000000"/>
              </w:rPr>
            </w:pPr>
            <w:r w:rsidRPr="004F19E1">
              <w:rPr>
                <w:rFonts w:ascii="Calibri" w:hAnsi="Calibri"/>
                <w:b/>
                <w:color w:val="000000"/>
              </w:rPr>
              <w:t>1773672</w:t>
            </w:r>
          </w:p>
        </w:tc>
        <w:tc>
          <w:tcPr>
            <w:tcW w:w="1119" w:type="dxa"/>
          </w:tcPr>
          <w:p w:rsidR="00064502" w:rsidRPr="004F19E1" w:rsidRDefault="00064502" w:rsidP="00064502">
            <w:pPr>
              <w:rPr>
                <w:rFonts w:ascii="Calibri" w:hAnsi="Calibri"/>
                <w:b/>
                <w:color w:val="000000"/>
              </w:rPr>
            </w:pPr>
            <w:r w:rsidRPr="004F19E1">
              <w:rPr>
                <w:rFonts w:ascii="Calibri" w:hAnsi="Calibri"/>
                <w:b/>
                <w:color w:val="000000"/>
              </w:rPr>
              <w:t>5799733</w:t>
            </w:r>
          </w:p>
        </w:tc>
        <w:tc>
          <w:tcPr>
            <w:tcW w:w="1170" w:type="dxa"/>
          </w:tcPr>
          <w:p w:rsidR="00064502" w:rsidRPr="004F19E1" w:rsidRDefault="00064502" w:rsidP="00064502">
            <w:pPr>
              <w:rPr>
                <w:rFonts w:ascii="Calibri" w:hAnsi="Calibri"/>
                <w:b/>
                <w:color w:val="000000"/>
              </w:rPr>
            </w:pPr>
            <w:r w:rsidRPr="004F19E1">
              <w:rPr>
                <w:rFonts w:ascii="Calibri" w:hAnsi="Calibri"/>
                <w:b/>
                <w:color w:val="000000"/>
              </w:rPr>
              <w:t>45291535</w:t>
            </w:r>
          </w:p>
        </w:tc>
      </w:tr>
      <w:tr w:rsidR="00064502" w:rsidTr="00064502">
        <w:tc>
          <w:tcPr>
            <w:tcW w:w="378" w:type="dxa"/>
            <w:vMerge/>
            <w:textDirection w:val="btLr"/>
            <w:vAlign w:val="center"/>
          </w:tcPr>
          <w:p w:rsidR="00064502" w:rsidRDefault="00064502" w:rsidP="00064502">
            <w:pPr>
              <w:ind w:left="113" w:right="113"/>
              <w:jc w:val="center"/>
              <w:rPr>
                <w:rFonts w:ascii="Calibri" w:hAnsi="Calibri"/>
              </w:rPr>
            </w:pPr>
          </w:p>
        </w:tc>
        <w:tc>
          <w:tcPr>
            <w:tcW w:w="1350" w:type="dxa"/>
          </w:tcPr>
          <w:p w:rsidR="00064502" w:rsidRPr="00742BED" w:rsidRDefault="00064502" w:rsidP="00064502">
            <w:pPr>
              <w:rPr>
                <w:rFonts w:ascii="Calibri" w:hAnsi="Calibri"/>
              </w:rPr>
            </w:pPr>
            <w:r w:rsidRPr="00742BED">
              <w:rPr>
                <w:rFonts w:ascii="Calibri" w:hAnsi="Calibri"/>
              </w:rPr>
              <w:t>%</w:t>
            </w:r>
          </w:p>
        </w:tc>
        <w:tc>
          <w:tcPr>
            <w:tcW w:w="1080" w:type="dxa"/>
          </w:tcPr>
          <w:p w:rsidR="00064502" w:rsidRPr="004F19E1" w:rsidRDefault="00064502" w:rsidP="00064502">
            <w:pPr>
              <w:rPr>
                <w:rFonts w:ascii="Calibri" w:hAnsi="Calibri"/>
                <w:b/>
                <w:color w:val="000000"/>
              </w:rPr>
            </w:pPr>
            <w:r w:rsidRPr="004F19E1">
              <w:rPr>
                <w:rFonts w:ascii="Calibri" w:hAnsi="Calibri"/>
                <w:b/>
                <w:color w:val="000000"/>
              </w:rPr>
              <w:t>2.5</w:t>
            </w:r>
          </w:p>
        </w:tc>
        <w:tc>
          <w:tcPr>
            <w:tcW w:w="1044" w:type="dxa"/>
          </w:tcPr>
          <w:p w:rsidR="00064502" w:rsidRPr="004F19E1" w:rsidRDefault="00064502" w:rsidP="00064502">
            <w:pPr>
              <w:rPr>
                <w:rFonts w:ascii="Calibri" w:hAnsi="Calibri"/>
                <w:b/>
                <w:color w:val="000000"/>
              </w:rPr>
            </w:pPr>
            <w:r w:rsidRPr="004F19E1">
              <w:rPr>
                <w:rFonts w:ascii="Calibri" w:hAnsi="Calibri"/>
                <w:b/>
                <w:color w:val="000000"/>
              </w:rPr>
              <w:t>2.1</w:t>
            </w:r>
          </w:p>
        </w:tc>
        <w:tc>
          <w:tcPr>
            <w:tcW w:w="1080" w:type="dxa"/>
          </w:tcPr>
          <w:p w:rsidR="00064502" w:rsidRPr="004F19E1" w:rsidRDefault="00064502" w:rsidP="00064502">
            <w:pPr>
              <w:rPr>
                <w:rFonts w:ascii="Calibri" w:hAnsi="Calibri"/>
                <w:b/>
                <w:color w:val="000000"/>
              </w:rPr>
            </w:pPr>
            <w:r w:rsidRPr="004F19E1">
              <w:rPr>
                <w:rFonts w:ascii="Calibri" w:hAnsi="Calibri"/>
                <w:b/>
                <w:color w:val="000000"/>
              </w:rPr>
              <w:t>7.2</w:t>
            </w:r>
          </w:p>
        </w:tc>
        <w:tc>
          <w:tcPr>
            <w:tcW w:w="1152" w:type="dxa"/>
          </w:tcPr>
          <w:p w:rsidR="00064502" w:rsidRPr="004F19E1" w:rsidRDefault="00064502" w:rsidP="00064502">
            <w:pPr>
              <w:rPr>
                <w:rFonts w:ascii="Calibri" w:hAnsi="Calibri"/>
                <w:b/>
                <w:color w:val="000000"/>
              </w:rPr>
            </w:pPr>
            <w:r w:rsidRPr="004F19E1">
              <w:rPr>
                <w:rFonts w:ascii="Calibri" w:hAnsi="Calibri"/>
                <w:b/>
                <w:color w:val="000000"/>
              </w:rPr>
              <w:t>3.5</w:t>
            </w:r>
          </w:p>
        </w:tc>
        <w:tc>
          <w:tcPr>
            <w:tcW w:w="990" w:type="dxa"/>
          </w:tcPr>
          <w:p w:rsidR="00064502" w:rsidRPr="004F19E1" w:rsidRDefault="00064502" w:rsidP="00064502">
            <w:pPr>
              <w:rPr>
                <w:rFonts w:ascii="Calibri" w:hAnsi="Calibri"/>
                <w:b/>
                <w:color w:val="000000"/>
              </w:rPr>
            </w:pPr>
            <w:r w:rsidRPr="004F19E1">
              <w:rPr>
                <w:rFonts w:ascii="Calibri" w:hAnsi="Calibri"/>
                <w:b/>
                <w:color w:val="000000"/>
              </w:rPr>
              <w:t>1.6</w:t>
            </w:r>
          </w:p>
        </w:tc>
        <w:tc>
          <w:tcPr>
            <w:tcW w:w="1044" w:type="dxa"/>
          </w:tcPr>
          <w:p w:rsidR="00064502" w:rsidRPr="004F19E1" w:rsidRDefault="00064502" w:rsidP="00064502">
            <w:pPr>
              <w:rPr>
                <w:rFonts w:ascii="Calibri" w:hAnsi="Calibri"/>
                <w:b/>
                <w:color w:val="000000"/>
              </w:rPr>
            </w:pPr>
            <w:r w:rsidRPr="004F19E1">
              <w:rPr>
                <w:rFonts w:ascii="Calibri" w:hAnsi="Calibri"/>
                <w:b/>
                <w:color w:val="000000"/>
              </w:rPr>
              <w:t>0.6</w:t>
            </w:r>
          </w:p>
        </w:tc>
        <w:tc>
          <w:tcPr>
            <w:tcW w:w="1119" w:type="dxa"/>
          </w:tcPr>
          <w:p w:rsidR="00064502" w:rsidRPr="004F19E1" w:rsidRDefault="00064502" w:rsidP="00064502">
            <w:pPr>
              <w:rPr>
                <w:rFonts w:ascii="Calibri" w:hAnsi="Calibri"/>
                <w:b/>
                <w:color w:val="000000"/>
              </w:rPr>
            </w:pPr>
            <w:r w:rsidRPr="004F19E1">
              <w:rPr>
                <w:rFonts w:ascii="Calibri" w:hAnsi="Calibri"/>
                <w:b/>
                <w:color w:val="000000"/>
              </w:rPr>
              <w:t>2.0</w:t>
            </w:r>
          </w:p>
        </w:tc>
        <w:tc>
          <w:tcPr>
            <w:tcW w:w="1170" w:type="dxa"/>
          </w:tcPr>
          <w:p w:rsidR="00064502" w:rsidRPr="004F19E1" w:rsidRDefault="00064502" w:rsidP="00064502">
            <w:pPr>
              <w:rPr>
                <w:rFonts w:ascii="Calibri" w:hAnsi="Calibri"/>
                <w:b/>
                <w:color w:val="000000"/>
              </w:rPr>
            </w:pPr>
            <w:r w:rsidRPr="004F19E1">
              <w:rPr>
                <w:rFonts w:ascii="Calibri" w:hAnsi="Calibri"/>
                <w:b/>
                <w:color w:val="000000"/>
              </w:rPr>
              <w:t>3.6</w:t>
            </w:r>
          </w:p>
        </w:tc>
      </w:tr>
      <w:tr w:rsidR="00064502" w:rsidTr="00064502">
        <w:trPr>
          <w:trHeight w:val="435"/>
        </w:trPr>
        <w:tc>
          <w:tcPr>
            <w:tcW w:w="378" w:type="dxa"/>
            <w:vMerge w:val="restart"/>
            <w:textDirection w:val="btLr"/>
            <w:vAlign w:val="center"/>
          </w:tcPr>
          <w:p w:rsidR="00064502" w:rsidRPr="00742BED" w:rsidRDefault="00064502" w:rsidP="00064502">
            <w:pPr>
              <w:ind w:left="113" w:right="113"/>
              <w:jc w:val="center"/>
              <w:rPr>
                <w:rFonts w:ascii="Calibri" w:hAnsi="Calibri"/>
              </w:rPr>
            </w:pPr>
            <w:r>
              <w:rPr>
                <w:rFonts w:ascii="Calibri" w:hAnsi="Calibri"/>
              </w:rPr>
              <w:t>2013</w:t>
            </w:r>
          </w:p>
        </w:tc>
        <w:tc>
          <w:tcPr>
            <w:tcW w:w="1350" w:type="dxa"/>
          </w:tcPr>
          <w:p w:rsidR="00064502" w:rsidRPr="00742BED" w:rsidRDefault="00064502" w:rsidP="00064502">
            <w:pPr>
              <w:rPr>
                <w:rFonts w:ascii="Calibri" w:hAnsi="Calibri"/>
              </w:rPr>
            </w:pPr>
            <w:r w:rsidRPr="00742BED">
              <w:rPr>
                <w:rFonts w:ascii="Calibri" w:hAnsi="Calibri"/>
              </w:rPr>
              <w:t>Industria Alimentară</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36644</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60532</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42353</w:t>
            </w:r>
          </w:p>
          <w:p w:rsidR="00064502" w:rsidRPr="003A33BC" w:rsidRDefault="00064502" w:rsidP="00064502">
            <w:pPr>
              <w:rPr>
                <w:b/>
              </w:rPr>
            </w:pPr>
          </w:p>
        </w:tc>
        <w:tc>
          <w:tcPr>
            <w:tcW w:w="1152" w:type="dxa"/>
          </w:tcPr>
          <w:p w:rsidR="00064502" w:rsidRPr="003A33BC" w:rsidRDefault="00064502" w:rsidP="00064502">
            <w:pPr>
              <w:rPr>
                <w:rFonts w:ascii="Calibri" w:hAnsi="Calibri"/>
                <w:b/>
                <w:color w:val="000000"/>
              </w:rPr>
            </w:pPr>
            <w:r w:rsidRPr="003A33BC">
              <w:rPr>
                <w:rFonts w:ascii="Calibri" w:hAnsi="Calibri"/>
                <w:b/>
                <w:color w:val="000000"/>
              </w:rPr>
              <w:t>12675</w:t>
            </w:r>
          </w:p>
          <w:p w:rsidR="00064502" w:rsidRPr="003A33BC" w:rsidRDefault="00064502" w:rsidP="00064502">
            <w:pPr>
              <w:rPr>
                <w:b/>
              </w:rPr>
            </w:pPr>
          </w:p>
        </w:tc>
        <w:tc>
          <w:tcPr>
            <w:tcW w:w="990" w:type="dxa"/>
          </w:tcPr>
          <w:p w:rsidR="00064502" w:rsidRPr="003A33BC" w:rsidRDefault="00064502" w:rsidP="00064502">
            <w:pPr>
              <w:rPr>
                <w:rFonts w:ascii="Calibri" w:hAnsi="Calibri"/>
                <w:b/>
                <w:color w:val="000000"/>
              </w:rPr>
            </w:pPr>
            <w:r w:rsidRPr="003A33BC">
              <w:rPr>
                <w:rFonts w:ascii="Calibri" w:hAnsi="Calibri"/>
                <w:b/>
                <w:color w:val="000000"/>
              </w:rPr>
              <w:t>17045</w:t>
            </w:r>
          </w:p>
          <w:p w:rsidR="00064502" w:rsidRPr="003A33BC" w:rsidRDefault="00064502" w:rsidP="00064502">
            <w:pPr>
              <w:rPr>
                <w:b/>
              </w:rPr>
            </w:pP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17309</w:t>
            </w:r>
          </w:p>
          <w:p w:rsidR="00064502" w:rsidRPr="003A33BC" w:rsidRDefault="00064502" w:rsidP="00064502">
            <w:pPr>
              <w:rPr>
                <w:b/>
              </w:rPr>
            </w:pPr>
          </w:p>
        </w:tc>
        <w:tc>
          <w:tcPr>
            <w:tcW w:w="1119" w:type="dxa"/>
          </w:tcPr>
          <w:p w:rsidR="00064502" w:rsidRPr="003A33BC" w:rsidRDefault="00064502" w:rsidP="00064502">
            <w:pPr>
              <w:rPr>
                <w:rFonts w:ascii="Calibri" w:hAnsi="Calibri"/>
                <w:b/>
                <w:color w:val="000000"/>
              </w:rPr>
            </w:pPr>
            <w:r w:rsidRPr="003A33BC">
              <w:rPr>
                <w:rFonts w:ascii="Calibri" w:hAnsi="Calibri"/>
                <w:b/>
                <w:color w:val="000000"/>
              </w:rPr>
              <w:t>186558</w:t>
            </w:r>
          </w:p>
          <w:p w:rsidR="00064502" w:rsidRPr="003A33BC" w:rsidRDefault="00064502" w:rsidP="00064502">
            <w:pPr>
              <w:rPr>
                <w:b/>
              </w:rPr>
            </w:pPr>
          </w:p>
        </w:tc>
        <w:tc>
          <w:tcPr>
            <w:tcW w:w="1170" w:type="dxa"/>
          </w:tcPr>
          <w:p w:rsidR="00064502" w:rsidRPr="003A33BC" w:rsidRDefault="00064502" w:rsidP="00064502">
            <w:pPr>
              <w:rPr>
                <w:rFonts w:ascii="Calibri" w:hAnsi="Calibri"/>
                <w:b/>
                <w:color w:val="000000"/>
              </w:rPr>
            </w:pPr>
            <w:r w:rsidRPr="003A33BC">
              <w:rPr>
                <w:rFonts w:ascii="Calibri" w:hAnsi="Calibri"/>
                <w:b/>
                <w:color w:val="000000"/>
              </w:rPr>
              <w:t>2024019</w:t>
            </w:r>
          </w:p>
          <w:p w:rsidR="00064502" w:rsidRPr="003A33BC" w:rsidRDefault="00064502" w:rsidP="00064502">
            <w:pPr>
              <w:rPr>
                <w:b/>
              </w:rPr>
            </w:pPr>
          </w:p>
        </w:tc>
      </w:tr>
      <w:tr w:rsidR="00064502" w:rsidTr="00064502">
        <w:trPr>
          <w:trHeight w:val="516"/>
        </w:trPr>
        <w:tc>
          <w:tcPr>
            <w:tcW w:w="378" w:type="dxa"/>
            <w:vMerge/>
            <w:vAlign w:val="center"/>
          </w:tcPr>
          <w:p w:rsidR="00064502" w:rsidRPr="00742BED" w:rsidRDefault="00064502" w:rsidP="00064502">
            <w:pPr>
              <w:jc w:val="center"/>
              <w:rPr>
                <w:rFonts w:ascii="Calibri" w:hAnsi="Calibri"/>
              </w:rPr>
            </w:pPr>
          </w:p>
        </w:tc>
        <w:tc>
          <w:tcPr>
            <w:tcW w:w="1350" w:type="dxa"/>
          </w:tcPr>
          <w:p w:rsidR="00064502" w:rsidRPr="00742BED" w:rsidRDefault="00064502" w:rsidP="00064502">
            <w:pPr>
              <w:rPr>
                <w:rFonts w:ascii="Calibri" w:hAnsi="Calibri"/>
              </w:rPr>
            </w:pPr>
            <w:r w:rsidRPr="00742BED">
              <w:rPr>
                <w:rFonts w:ascii="Calibri" w:hAnsi="Calibri"/>
              </w:rPr>
              <w:t>Total  exporturi</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1073057</w:t>
            </w:r>
          </w:p>
          <w:p w:rsidR="00064502" w:rsidRPr="003A33BC" w:rsidRDefault="00064502" w:rsidP="00064502">
            <w:pPr>
              <w:rPr>
                <w:rFonts w:ascii="Calibri" w:hAnsi="Calibri"/>
                <w:b/>
                <w:color w:val="000000"/>
              </w:rPr>
            </w:pP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2281850</w:t>
            </w:r>
          </w:p>
          <w:p w:rsidR="00064502" w:rsidRPr="003A33BC" w:rsidRDefault="00064502" w:rsidP="00064502">
            <w:pPr>
              <w:rPr>
                <w:rFonts w:ascii="Calibri" w:hAnsi="Calibri"/>
                <w:b/>
                <w:color w:val="000000"/>
              </w:rPr>
            </w:pP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306492</w:t>
            </w:r>
          </w:p>
          <w:p w:rsidR="00064502" w:rsidRPr="003A33BC" w:rsidRDefault="00064502" w:rsidP="00064502">
            <w:pPr>
              <w:rPr>
                <w:rFonts w:ascii="Calibri" w:hAnsi="Calibri"/>
                <w:b/>
                <w:color w:val="000000"/>
              </w:rPr>
            </w:pPr>
          </w:p>
        </w:tc>
        <w:tc>
          <w:tcPr>
            <w:tcW w:w="1152" w:type="dxa"/>
          </w:tcPr>
          <w:p w:rsidR="00064502" w:rsidRPr="003A33BC" w:rsidRDefault="00064502" w:rsidP="00064502">
            <w:pPr>
              <w:rPr>
                <w:rFonts w:ascii="Calibri" w:hAnsi="Calibri"/>
                <w:b/>
                <w:color w:val="000000"/>
              </w:rPr>
            </w:pPr>
            <w:r w:rsidRPr="003A33BC">
              <w:rPr>
                <w:rFonts w:ascii="Calibri" w:hAnsi="Calibri"/>
                <w:b/>
                <w:color w:val="000000"/>
              </w:rPr>
              <w:t>298522</w:t>
            </w:r>
          </w:p>
          <w:p w:rsidR="00064502" w:rsidRPr="003A33BC" w:rsidRDefault="00064502" w:rsidP="00064502">
            <w:pPr>
              <w:rPr>
                <w:rFonts w:ascii="Calibri" w:hAnsi="Calibri"/>
                <w:b/>
                <w:color w:val="000000"/>
              </w:rPr>
            </w:pPr>
          </w:p>
        </w:tc>
        <w:tc>
          <w:tcPr>
            <w:tcW w:w="990" w:type="dxa"/>
          </w:tcPr>
          <w:p w:rsidR="00064502" w:rsidRPr="003A33BC" w:rsidRDefault="00064502" w:rsidP="00064502">
            <w:pPr>
              <w:rPr>
                <w:rFonts w:ascii="Calibri" w:hAnsi="Calibri"/>
                <w:b/>
                <w:color w:val="000000"/>
              </w:rPr>
            </w:pPr>
            <w:r w:rsidRPr="003A33BC">
              <w:rPr>
                <w:rFonts w:ascii="Calibri" w:hAnsi="Calibri"/>
                <w:b/>
                <w:color w:val="000000"/>
              </w:rPr>
              <w:t>828243</w:t>
            </w:r>
          </w:p>
          <w:p w:rsidR="00064502" w:rsidRPr="003A33BC" w:rsidRDefault="00064502" w:rsidP="00064502">
            <w:pPr>
              <w:rPr>
                <w:rFonts w:ascii="Calibri" w:hAnsi="Calibri"/>
                <w:b/>
                <w:color w:val="000000"/>
              </w:rPr>
            </w:pP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2004919</w:t>
            </w:r>
          </w:p>
          <w:p w:rsidR="00064502" w:rsidRPr="003A33BC" w:rsidRDefault="00064502" w:rsidP="00064502">
            <w:pPr>
              <w:rPr>
                <w:rFonts w:ascii="Calibri" w:hAnsi="Calibri"/>
                <w:b/>
                <w:color w:val="000000"/>
              </w:rPr>
            </w:pPr>
          </w:p>
        </w:tc>
        <w:tc>
          <w:tcPr>
            <w:tcW w:w="1119" w:type="dxa"/>
          </w:tcPr>
          <w:p w:rsidR="00064502" w:rsidRPr="003A33BC" w:rsidRDefault="00064502" w:rsidP="00064502">
            <w:pPr>
              <w:rPr>
                <w:rFonts w:ascii="Calibri" w:hAnsi="Calibri"/>
                <w:b/>
                <w:color w:val="000000"/>
              </w:rPr>
            </w:pPr>
            <w:r w:rsidRPr="003A33BC">
              <w:rPr>
                <w:rFonts w:ascii="Calibri" w:hAnsi="Calibri"/>
                <w:b/>
                <w:color w:val="000000"/>
              </w:rPr>
              <w:t>6793083</w:t>
            </w:r>
          </w:p>
          <w:p w:rsidR="00064502" w:rsidRPr="003A33BC" w:rsidRDefault="00064502" w:rsidP="00064502">
            <w:pPr>
              <w:rPr>
                <w:rFonts w:ascii="Calibri" w:hAnsi="Calibri"/>
                <w:b/>
                <w:color w:val="000000"/>
              </w:rPr>
            </w:pPr>
          </w:p>
        </w:tc>
        <w:tc>
          <w:tcPr>
            <w:tcW w:w="1170" w:type="dxa"/>
          </w:tcPr>
          <w:p w:rsidR="00064502" w:rsidRPr="003A33BC" w:rsidRDefault="00064502" w:rsidP="00064502">
            <w:pPr>
              <w:rPr>
                <w:rFonts w:ascii="Calibri" w:hAnsi="Calibri"/>
                <w:b/>
                <w:color w:val="000000"/>
              </w:rPr>
            </w:pPr>
            <w:r w:rsidRPr="003A33BC">
              <w:rPr>
                <w:rFonts w:ascii="Calibri" w:hAnsi="Calibri"/>
                <w:b/>
                <w:color w:val="000000"/>
              </w:rPr>
              <w:t>49564230</w:t>
            </w:r>
          </w:p>
          <w:p w:rsidR="00064502" w:rsidRPr="003A33BC" w:rsidRDefault="00064502" w:rsidP="00064502">
            <w:pPr>
              <w:rPr>
                <w:rFonts w:ascii="Calibri" w:hAnsi="Calibri"/>
                <w:b/>
                <w:color w:val="000000"/>
              </w:rPr>
            </w:pPr>
          </w:p>
        </w:tc>
      </w:tr>
      <w:tr w:rsidR="00064502" w:rsidTr="00064502">
        <w:tc>
          <w:tcPr>
            <w:tcW w:w="378" w:type="dxa"/>
            <w:vMerge/>
            <w:vAlign w:val="center"/>
          </w:tcPr>
          <w:p w:rsidR="00064502" w:rsidRPr="00742BED" w:rsidRDefault="00064502" w:rsidP="00064502">
            <w:pPr>
              <w:jc w:val="center"/>
              <w:rPr>
                <w:rFonts w:ascii="Calibri" w:hAnsi="Calibri"/>
              </w:rPr>
            </w:pPr>
          </w:p>
        </w:tc>
        <w:tc>
          <w:tcPr>
            <w:tcW w:w="1350" w:type="dxa"/>
          </w:tcPr>
          <w:p w:rsidR="00064502" w:rsidRPr="00742BED" w:rsidRDefault="00064502" w:rsidP="00064502">
            <w:pPr>
              <w:rPr>
                <w:rFonts w:ascii="Calibri" w:hAnsi="Calibri"/>
              </w:rPr>
            </w:pPr>
            <w:r w:rsidRPr="00742BED">
              <w:rPr>
                <w:rFonts w:ascii="Calibri" w:hAnsi="Calibri"/>
              </w:rPr>
              <w:t>%</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3,4</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2,7</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13,8</w:t>
            </w:r>
          </w:p>
        </w:tc>
        <w:tc>
          <w:tcPr>
            <w:tcW w:w="1152" w:type="dxa"/>
          </w:tcPr>
          <w:p w:rsidR="00064502" w:rsidRPr="003A33BC" w:rsidRDefault="00064502" w:rsidP="00064502">
            <w:pPr>
              <w:rPr>
                <w:rFonts w:ascii="Calibri" w:hAnsi="Calibri"/>
                <w:b/>
                <w:color w:val="000000"/>
              </w:rPr>
            </w:pPr>
            <w:r w:rsidRPr="003A33BC">
              <w:rPr>
                <w:rFonts w:ascii="Calibri" w:hAnsi="Calibri"/>
                <w:b/>
                <w:color w:val="000000"/>
              </w:rPr>
              <w:t>4,2</w:t>
            </w:r>
          </w:p>
        </w:tc>
        <w:tc>
          <w:tcPr>
            <w:tcW w:w="990" w:type="dxa"/>
          </w:tcPr>
          <w:p w:rsidR="00064502" w:rsidRPr="003A33BC" w:rsidRDefault="00064502" w:rsidP="00064502">
            <w:pPr>
              <w:rPr>
                <w:rFonts w:ascii="Calibri" w:hAnsi="Calibri"/>
                <w:b/>
                <w:color w:val="000000"/>
              </w:rPr>
            </w:pPr>
            <w:r w:rsidRPr="003A33BC">
              <w:rPr>
                <w:rFonts w:ascii="Calibri" w:hAnsi="Calibri"/>
                <w:b/>
                <w:color w:val="000000"/>
              </w:rPr>
              <w:t>2,1</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1</w:t>
            </w:r>
          </w:p>
        </w:tc>
        <w:tc>
          <w:tcPr>
            <w:tcW w:w="1119" w:type="dxa"/>
          </w:tcPr>
          <w:p w:rsidR="00064502" w:rsidRPr="003A33BC" w:rsidRDefault="00064502" w:rsidP="00064502">
            <w:pPr>
              <w:rPr>
                <w:rFonts w:ascii="Calibri" w:hAnsi="Calibri"/>
                <w:b/>
                <w:color w:val="000000"/>
              </w:rPr>
            </w:pPr>
            <w:r w:rsidRPr="003A33BC">
              <w:rPr>
                <w:rFonts w:ascii="Calibri" w:hAnsi="Calibri"/>
                <w:b/>
                <w:color w:val="000000"/>
              </w:rPr>
              <w:t>2,7</w:t>
            </w:r>
          </w:p>
        </w:tc>
        <w:tc>
          <w:tcPr>
            <w:tcW w:w="1170" w:type="dxa"/>
          </w:tcPr>
          <w:p w:rsidR="00064502" w:rsidRPr="003A33BC" w:rsidRDefault="00064502" w:rsidP="00064502">
            <w:pPr>
              <w:rPr>
                <w:rFonts w:ascii="Calibri" w:hAnsi="Calibri"/>
                <w:b/>
                <w:color w:val="000000"/>
              </w:rPr>
            </w:pPr>
            <w:r w:rsidRPr="003A33BC">
              <w:rPr>
                <w:rFonts w:ascii="Calibri" w:hAnsi="Calibri"/>
                <w:b/>
                <w:color w:val="000000"/>
              </w:rPr>
              <w:t>4,1</w:t>
            </w:r>
          </w:p>
        </w:tc>
      </w:tr>
      <w:tr w:rsidR="00064502" w:rsidTr="00064502">
        <w:tc>
          <w:tcPr>
            <w:tcW w:w="378" w:type="dxa"/>
            <w:vMerge w:val="restart"/>
            <w:textDirection w:val="btLr"/>
            <w:vAlign w:val="center"/>
          </w:tcPr>
          <w:p w:rsidR="00064502" w:rsidRPr="00742BED" w:rsidRDefault="00064502" w:rsidP="00064502">
            <w:pPr>
              <w:ind w:left="113" w:right="113"/>
              <w:jc w:val="center"/>
              <w:rPr>
                <w:rFonts w:ascii="Calibri" w:hAnsi="Calibri"/>
              </w:rPr>
            </w:pPr>
            <w:r>
              <w:rPr>
                <w:rFonts w:ascii="Calibri" w:hAnsi="Calibri"/>
              </w:rPr>
              <w:t>2015</w:t>
            </w:r>
          </w:p>
        </w:tc>
        <w:tc>
          <w:tcPr>
            <w:tcW w:w="1350" w:type="dxa"/>
          </w:tcPr>
          <w:p w:rsidR="00064502" w:rsidRPr="00742BED" w:rsidRDefault="00064502" w:rsidP="00064502">
            <w:pPr>
              <w:rPr>
                <w:rFonts w:ascii="Calibri" w:hAnsi="Calibri"/>
              </w:rPr>
            </w:pPr>
            <w:r w:rsidRPr="00742BED">
              <w:rPr>
                <w:rFonts w:ascii="Calibri" w:hAnsi="Calibri"/>
              </w:rPr>
              <w:t>Industria Alimentară</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40016</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51958</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49098</w:t>
            </w:r>
          </w:p>
        </w:tc>
        <w:tc>
          <w:tcPr>
            <w:tcW w:w="1152" w:type="dxa"/>
          </w:tcPr>
          <w:p w:rsidR="00064502" w:rsidRPr="003A33BC" w:rsidRDefault="00064502" w:rsidP="00064502">
            <w:pPr>
              <w:rPr>
                <w:rFonts w:ascii="Calibri" w:hAnsi="Calibri"/>
                <w:b/>
                <w:color w:val="000000"/>
              </w:rPr>
            </w:pPr>
            <w:r w:rsidRPr="003A33BC">
              <w:rPr>
                <w:rFonts w:ascii="Calibri" w:hAnsi="Calibri"/>
                <w:b/>
                <w:color w:val="000000"/>
              </w:rPr>
              <w:t>7665</w:t>
            </w:r>
          </w:p>
        </w:tc>
        <w:tc>
          <w:tcPr>
            <w:tcW w:w="990" w:type="dxa"/>
          </w:tcPr>
          <w:p w:rsidR="00064502" w:rsidRPr="003A33BC" w:rsidRDefault="00064502" w:rsidP="00064502">
            <w:pPr>
              <w:rPr>
                <w:rFonts w:ascii="Calibri" w:hAnsi="Calibri"/>
                <w:b/>
                <w:color w:val="000000"/>
              </w:rPr>
            </w:pPr>
            <w:r w:rsidRPr="003A33BC">
              <w:rPr>
                <w:rFonts w:ascii="Calibri" w:hAnsi="Calibri"/>
                <w:b/>
                <w:color w:val="000000"/>
              </w:rPr>
              <w:t>12511</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24748</w:t>
            </w:r>
          </w:p>
        </w:tc>
        <w:tc>
          <w:tcPr>
            <w:tcW w:w="1119" w:type="dxa"/>
          </w:tcPr>
          <w:p w:rsidR="00064502" w:rsidRPr="003A33BC" w:rsidRDefault="00064502" w:rsidP="00064502">
            <w:pPr>
              <w:rPr>
                <w:rFonts w:ascii="Calibri" w:hAnsi="Calibri"/>
                <w:b/>
                <w:color w:val="000000"/>
              </w:rPr>
            </w:pPr>
            <w:r w:rsidRPr="003A33BC">
              <w:rPr>
                <w:rFonts w:ascii="Calibri" w:hAnsi="Calibri"/>
                <w:b/>
                <w:color w:val="000000"/>
              </w:rPr>
              <w:t>185996</w:t>
            </w:r>
          </w:p>
        </w:tc>
        <w:tc>
          <w:tcPr>
            <w:tcW w:w="1170" w:type="dxa"/>
          </w:tcPr>
          <w:p w:rsidR="00064502" w:rsidRPr="003A33BC" w:rsidRDefault="00064502" w:rsidP="00064502">
            <w:pPr>
              <w:rPr>
                <w:rFonts w:ascii="Calibri" w:hAnsi="Calibri"/>
                <w:b/>
                <w:color w:val="000000"/>
              </w:rPr>
            </w:pPr>
            <w:r w:rsidRPr="003A33BC">
              <w:rPr>
                <w:rFonts w:ascii="Calibri" w:hAnsi="Calibri"/>
                <w:b/>
                <w:color w:val="000000"/>
              </w:rPr>
              <w:t>2598444</w:t>
            </w:r>
          </w:p>
        </w:tc>
      </w:tr>
      <w:tr w:rsidR="00064502" w:rsidTr="00064502">
        <w:tc>
          <w:tcPr>
            <w:tcW w:w="378" w:type="dxa"/>
            <w:vMerge/>
          </w:tcPr>
          <w:p w:rsidR="00064502" w:rsidRPr="00742BED" w:rsidRDefault="00064502" w:rsidP="00064502">
            <w:pPr>
              <w:rPr>
                <w:rFonts w:ascii="Calibri" w:hAnsi="Calibri"/>
              </w:rPr>
            </w:pPr>
          </w:p>
        </w:tc>
        <w:tc>
          <w:tcPr>
            <w:tcW w:w="1350" w:type="dxa"/>
          </w:tcPr>
          <w:p w:rsidR="00064502" w:rsidRPr="00742BED" w:rsidRDefault="00064502" w:rsidP="00064502">
            <w:pPr>
              <w:rPr>
                <w:rFonts w:ascii="Calibri" w:hAnsi="Calibri"/>
              </w:rPr>
            </w:pPr>
            <w:r w:rsidRPr="00742BED">
              <w:rPr>
                <w:rFonts w:ascii="Calibri" w:hAnsi="Calibri"/>
              </w:rPr>
              <w:t>Total  exporturi</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1023541</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2788931</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295449</w:t>
            </w:r>
          </w:p>
        </w:tc>
        <w:tc>
          <w:tcPr>
            <w:tcW w:w="1152" w:type="dxa"/>
          </w:tcPr>
          <w:p w:rsidR="00064502" w:rsidRPr="003A33BC" w:rsidRDefault="00064502" w:rsidP="00064502">
            <w:pPr>
              <w:rPr>
                <w:rFonts w:ascii="Calibri" w:hAnsi="Calibri"/>
                <w:b/>
                <w:color w:val="000000"/>
              </w:rPr>
            </w:pPr>
            <w:r w:rsidRPr="003A33BC">
              <w:rPr>
                <w:rFonts w:ascii="Calibri" w:hAnsi="Calibri"/>
                <w:b/>
                <w:color w:val="000000"/>
              </w:rPr>
              <w:t>303389</w:t>
            </w:r>
          </w:p>
        </w:tc>
        <w:tc>
          <w:tcPr>
            <w:tcW w:w="990" w:type="dxa"/>
          </w:tcPr>
          <w:p w:rsidR="00064502" w:rsidRPr="003A33BC" w:rsidRDefault="00064502" w:rsidP="00064502">
            <w:pPr>
              <w:rPr>
                <w:rFonts w:ascii="Calibri" w:hAnsi="Calibri"/>
                <w:b/>
                <w:color w:val="000000"/>
              </w:rPr>
            </w:pPr>
            <w:r w:rsidRPr="003A33BC">
              <w:rPr>
                <w:rFonts w:ascii="Calibri" w:hAnsi="Calibri"/>
                <w:b/>
                <w:color w:val="000000"/>
              </w:rPr>
              <w:t>936454</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2304351</w:t>
            </w:r>
          </w:p>
        </w:tc>
        <w:tc>
          <w:tcPr>
            <w:tcW w:w="1119" w:type="dxa"/>
          </w:tcPr>
          <w:p w:rsidR="00064502" w:rsidRPr="003A33BC" w:rsidRDefault="00064502" w:rsidP="00064502">
            <w:pPr>
              <w:rPr>
                <w:rFonts w:ascii="Calibri" w:hAnsi="Calibri"/>
                <w:b/>
                <w:color w:val="000000"/>
              </w:rPr>
            </w:pPr>
            <w:r w:rsidRPr="003A33BC">
              <w:rPr>
                <w:rFonts w:ascii="Calibri" w:hAnsi="Calibri"/>
                <w:b/>
                <w:color w:val="000000"/>
              </w:rPr>
              <w:t>7652115</w:t>
            </w:r>
          </w:p>
        </w:tc>
        <w:tc>
          <w:tcPr>
            <w:tcW w:w="1170" w:type="dxa"/>
          </w:tcPr>
          <w:p w:rsidR="00064502" w:rsidRPr="003A33BC" w:rsidRDefault="00064502" w:rsidP="00064502">
            <w:pPr>
              <w:rPr>
                <w:rFonts w:ascii="Calibri" w:hAnsi="Calibri"/>
                <w:b/>
                <w:color w:val="000000"/>
              </w:rPr>
            </w:pPr>
            <w:r w:rsidRPr="003A33BC">
              <w:rPr>
                <w:rFonts w:ascii="Calibri" w:hAnsi="Calibri"/>
                <w:b/>
                <w:color w:val="000000"/>
              </w:rPr>
              <w:t>54598298</w:t>
            </w:r>
          </w:p>
        </w:tc>
      </w:tr>
      <w:tr w:rsidR="00064502" w:rsidTr="00064502">
        <w:tc>
          <w:tcPr>
            <w:tcW w:w="378" w:type="dxa"/>
            <w:vMerge/>
          </w:tcPr>
          <w:p w:rsidR="00064502" w:rsidRPr="00742BED" w:rsidRDefault="00064502" w:rsidP="00064502">
            <w:pPr>
              <w:rPr>
                <w:rFonts w:ascii="Calibri" w:hAnsi="Calibri"/>
              </w:rPr>
            </w:pPr>
          </w:p>
        </w:tc>
        <w:tc>
          <w:tcPr>
            <w:tcW w:w="1350" w:type="dxa"/>
          </w:tcPr>
          <w:p w:rsidR="00064502" w:rsidRPr="00742BED" w:rsidRDefault="00064502" w:rsidP="00064502">
            <w:pPr>
              <w:rPr>
                <w:rFonts w:ascii="Calibri" w:hAnsi="Calibri"/>
              </w:rPr>
            </w:pPr>
            <w:r w:rsidRPr="00742BED">
              <w:rPr>
                <w:rFonts w:ascii="Calibri" w:hAnsi="Calibri"/>
              </w:rPr>
              <w:t>%</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3.9</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1.9</w:t>
            </w:r>
          </w:p>
        </w:tc>
        <w:tc>
          <w:tcPr>
            <w:tcW w:w="1080" w:type="dxa"/>
          </w:tcPr>
          <w:p w:rsidR="00064502" w:rsidRPr="003A33BC" w:rsidRDefault="00064502" w:rsidP="00064502">
            <w:pPr>
              <w:rPr>
                <w:rFonts w:ascii="Calibri" w:hAnsi="Calibri"/>
                <w:b/>
                <w:color w:val="000000"/>
              </w:rPr>
            </w:pPr>
            <w:r w:rsidRPr="003A33BC">
              <w:rPr>
                <w:rFonts w:ascii="Calibri" w:hAnsi="Calibri"/>
                <w:b/>
                <w:color w:val="000000"/>
              </w:rPr>
              <w:t>16.6</w:t>
            </w:r>
          </w:p>
        </w:tc>
        <w:tc>
          <w:tcPr>
            <w:tcW w:w="1152" w:type="dxa"/>
          </w:tcPr>
          <w:p w:rsidR="00064502" w:rsidRPr="003A33BC" w:rsidRDefault="00064502" w:rsidP="00064502">
            <w:pPr>
              <w:rPr>
                <w:rFonts w:ascii="Calibri" w:hAnsi="Calibri"/>
                <w:b/>
                <w:color w:val="000000"/>
              </w:rPr>
            </w:pPr>
            <w:r w:rsidRPr="003A33BC">
              <w:rPr>
                <w:rFonts w:ascii="Calibri" w:hAnsi="Calibri"/>
                <w:b/>
                <w:color w:val="000000"/>
              </w:rPr>
              <w:t>2.5</w:t>
            </w:r>
          </w:p>
        </w:tc>
        <w:tc>
          <w:tcPr>
            <w:tcW w:w="990" w:type="dxa"/>
          </w:tcPr>
          <w:p w:rsidR="00064502" w:rsidRPr="003A33BC" w:rsidRDefault="00064502" w:rsidP="00064502">
            <w:pPr>
              <w:rPr>
                <w:rFonts w:ascii="Calibri" w:hAnsi="Calibri"/>
                <w:b/>
                <w:color w:val="000000"/>
              </w:rPr>
            </w:pPr>
            <w:r w:rsidRPr="003A33BC">
              <w:rPr>
                <w:rFonts w:ascii="Calibri" w:hAnsi="Calibri"/>
                <w:b/>
                <w:color w:val="000000"/>
              </w:rPr>
              <w:t>1.3</w:t>
            </w:r>
          </w:p>
        </w:tc>
        <w:tc>
          <w:tcPr>
            <w:tcW w:w="1044" w:type="dxa"/>
          </w:tcPr>
          <w:p w:rsidR="00064502" w:rsidRPr="003A33BC" w:rsidRDefault="00064502" w:rsidP="00064502">
            <w:pPr>
              <w:rPr>
                <w:rFonts w:ascii="Calibri" w:hAnsi="Calibri"/>
                <w:b/>
                <w:color w:val="000000"/>
              </w:rPr>
            </w:pPr>
            <w:r w:rsidRPr="003A33BC">
              <w:rPr>
                <w:rFonts w:ascii="Calibri" w:hAnsi="Calibri"/>
                <w:b/>
                <w:color w:val="000000"/>
              </w:rPr>
              <w:t>1.1</w:t>
            </w:r>
          </w:p>
        </w:tc>
        <w:tc>
          <w:tcPr>
            <w:tcW w:w="1119" w:type="dxa"/>
          </w:tcPr>
          <w:p w:rsidR="00064502" w:rsidRPr="003A33BC" w:rsidRDefault="00064502" w:rsidP="00064502">
            <w:pPr>
              <w:rPr>
                <w:rFonts w:ascii="Calibri" w:hAnsi="Calibri"/>
                <w:b/>
                <w:color w:val="000000"/>
              </w:rPr>
            </w:pPr>
            <w:r w:rsidRPr="003A33BC">
              <w:rPr>
                <w:rFonts w:ascii="Calibri" w:hAnsi="Calibri"/>
                <w:b/>
                <w:color w:val="000000"/>
              </w:rPr>
              <w:t>2.4</w:t>
            </w:r>
          </w:p>
        </w:tc>
        <w:tc>
          <w:tcPr>
            <w:tcW w:w="1170" w:type="dxa"/>
          </w:tcPr>
          <w:p w:rsidR="00064502" w:rsidRPr="003A33BC" w:rsidRDefault="00064502" w:rsidP="00064502">
            <w:pPr>
              <w:rPr>
                <w:rFonts w:ascii="Calibri" w:hAnsi="Calibri"/>
                <w:b/>
                <w:color w:val="000000"/>
              </w:rPr>
            </w:pPr>
            <w:r w:rsidRPr="003A33BC">
              <w:rPr>
                <w:rFonts w:ascii="Calibri" w:hAnsi="Calibri"/>
                <w:b/>
                <w:color w:val="000000"/>
              </w:rPr>
              <w:t>4.8</w:t>
            </w:r>
          </w:p>
        </w:tc>
      </w:tr>
    </w:tbl>
    <w:p w:rsidR="00064502" w:rsidRPr="00910C44" w:rsidRDefault="00064502" w:rsidP="00064502">
      <w:pPr>
        <w:jc w:val="both"/>
        <w:rPr>
          <w:rFonts w:cs="Arial-ItalicMT"/>
          <w:b/>
          <w:iCs/>
          <w:color w:val="1A1A1A"/>
          <w:lang w:val="ro-RO"/>
        </w:rPr>
      </w:pPr>
      <w:r w:rsidRPr="00910C44">
        <w:rPr>
          <w:rFonts w:cs="Arial-ItalicMT"/>
          <w:b/>
          <w:iCs/>
          <w:color w:val="1A1A1A"/>
          <w:lang w:val="ro-RO"/>
        </w:rPr>
        <w:t>Sursă date: INS</w:t>
      </w:r>
    </w:p>
    <w:p w:rsidR="00064502" w:rsidRDefault="00064502" w:rsidP="00064502">
      <w:pPr>
        <w:jc w:val="both"/>
        <w:rPr>
          <w:rFonts w:cs="Calibri"/>
          <w:sz w:val="24"/>
          <w:szCs w:val="24"/>
          <w:lang w:val="ro-RO"/>
        </w:rPr>
      </w:pPr>
      <w:r>
        <w:rPr>
          <w:rFonts w:cs="Calibri"/>
          <w:sz w:val="24"/>
          <w:szCs w:val="24"/>
          <w:lang w:val="ro-RO"/>
        </w:rPr>
        <w:t>Dacă analizăm evoluţia balanţei comerciale pentru întreg sectorul agroalimentar</w:t>
      </w:r>
      <w:r>
        <w:rPr>
          <w:rStyle w:val="Referinnotdesubsol"/>
          <w:rFonts w:cs="Calibri"/>
          <w:sz w:val="24"/>
          <w:szCs w:val="24"/>
        </w:rPr>
        <w:footnoteReference w:id="12"/>
      </w:r>
      <w:r>
        <w:rPr>
          <w:rFonts w:cs="Calibri"/>
          <w:sz w:val="24"/>
          <w:szCs w:val="24"/>
          <w:lang w:val="ro-RO"/>
        </w:rPr>
        <w:t xml:space="preserve"> l</w:t>
      </w:r>
      <w:r w:rsidRPr="00FA4FBD">
        <w:rPr>
          <w:rFonts w:cs="Calibri"/>
          <w:sz w:val="24"/>
          <w:szCs w:val="24"/>
          <w:lang w:val="ro-RO"/>
        </w:rPr>
        <w:t>a nivelul Regiunii Centru</w:t>
      </w:r>
      <w:r>
        <w:rPr>
          <w:rFonts w:cs="Calibri"/>
          <w:sz w:val="24"/>
          <w:szCs w:val="24"/>
          <w:lang w:val="ro-RO"/>
        </w:rPr>
        <w:t xml:space="preserve">, vom observa că aceasta se menţine deficitară spre deosebire de situaţia </w:t>
      </w:r>
      <w:r w:rsidRPr="00FA4FBD">
        <w:rPr>
          <w:rFonts w:cs="Calibri"/>
          <w:sz w:val="24"/>
          <w:szCs w:val="24"/>
          <w:lang w:val="ro-RO"/>
        </w:rPr>
        <w:t>balanţ</w:t>
      </w:r>
      <w:r>
        <w:rPr>
          <w:rFonts w:cs="Calibri"/>
          <w:sz w:val="24"/>
          <w:szCs w:val="24"/>
          <w:lang w:val="ro-RO"/>
        </w:rPr>
        <w:t>ei</w:t>
      </w:r>
      <w:r w:rsidRPr="00FA4FBD">
        <w:rPr>
          <w:rFonts w:cs="Calibri"/>
          <w:sz w:val="24"/>
          <w:szCs w:val="24"/>
          <w:lang w:val="ro-RO"/>
        </w:rPr>
        <w:t xml:space="preserve"> comercial</w:t>
      </w:r>
      <w:r>
        <w:rPr>
          <w:rFonts w:cs="Calibri"/>
          <w:sz w:val="24"/>
          <w:szCs w:val="24"/>
          <w:lang w:val="ro-RO"/>
        </w:rPr>
        <w:t>e</w:t>
      </w:r>
      <w:r w:rsidRPr="00FA4FBD">
        <w:rPr>
          <w:rFonts w:cs="Calibri"/>
          <w:sz w:val="24"/>
          <w:szCs w:val="24"/>
          <w:lang w:val="ro-RO"/>
        </w:rPr>
        <w:t xml:space="preserve"> </w:t>
      </w:r>
      <w:r>
        <w:rPr>
          <w:rFonts w:cs="Calibri"/>
          <w:sz w:val="24"/>
          <w:szCs w:val="24"/>
          <w:lang w:val="ro-RO"/>
        </w:rPr>
        <w:t>generale care</w:t>
      </w:r>
      <w:r w:rsidRPr="00FA4FBD">
        <w:rPr>
          <w:rFonts w:cs="Calibri"/>
          <w:sz w:val="24"/>
          <w:szCs w:val="24"/>
          <w:lang w:val="ro-RO"/>
        </w:rPr>
        <w:t xml:space="preserve"> a fost pozitivă şi în creştere de la un an la altul pe ap</w:t>
      </w:r>
      <w:r>
        <w:rPr>
          <w:rFonts w:cs="Calibri"/>
          <w:sz w:val="24"/>
          <w:szCs w:val="24"/>
          <w:lang w:val="ro-RO"/>
        </w:rPr>
        <w:t xml:space="preserve">roape toată perioada luată în considerare. </w:t>
      </w:r>
      <w:r w:rsidRPr="00FA4FBD">
        <w:rPr>
          <w:rFonts w:cs="Calibri"/>
          <w:sz w:val="24"/>
          <w:szCs w:val="24"/>
          <w:lang w:val="ro-RO"/>
        </w:rPr>
        <w:t>Judeţele Alba şi Sibiu</w:t>
      </w:r>
      <w:r>
        <w:rPr>
          <w:rFonts w:cs="Calibri"/>
          <w:sz w:val="24"/>
          <w:szCs w:val="24"/>
          <w:lang w:val="ro-RO"/>
        </w:rPr>
        <w:t xml:space="preserve"> sunt singurele din regiune care au avut </w:t>
      </w:r>
      <w:r w:rsidRPr="00FA4FBD">
        <w:rPr>
          <w:rFonts w:cs="Calibri"/>
          <w:sz w:val="24"/>
          <w:szCs w:val="24"/>
          <w:lang w:val="ro-RO"/>
        </w:rPr>
        <w:t>balanţa comercială</w:t>
      </w:r>
      <w:r>
        <w:rPr>
          <w:rFonts w:cs="Calibri"/>
          <w:sz w:val="24"/>
          <w:szCs w:val="24"/>
          <w:lang w:val="ro-RO"/>
        </w:rPr>
        <w:t xml:space="preserve"> pozitivă</w:t>
      </w:r>
      <w:r w:rsidRPr="00FA4FBD">
        <w:rPr>
          <w:rFonts w:cs="Calibri"/>
          <w:sz w:val="24"/>
          <w:szCs w:val="24"/>
          <w:lang w:val="ro-RO"/>
        </w:rPr>
        <w:t xml:space="preserve"> pentru toate categoriile de bunuri</w:t>
      </w:r>
      <w:r>
        <w:rPr>
          <w:rFonts w:cs="Calibri"/>
          <w:sz w:val="24"/>
          <w:szCs w:val="24"/>
          <w:lang w:val="ro-RO"/>
        </w:rPr>
        <w:t xml:space="preserve"> pe toată perioada 2011 – 2015, iar Sibiul este singurul judeţ din regiune unde valoarea exporturilor de produse agroalimentare depăşeşte valoarea importurilor în toţi anii supuşi analizei. În judeţul Covasna din anul 2012 până în prezent valoarea exportului de produse agroalimentare depăşeşte valoarea importurilor iar din anul 2013 acest judeţ a înregistrat doar valori pozitive şi  în ceea ce priveşte </w:t>
      </w:r>
      <w:r w:rsidRPr="00FA4FBD">
        <w:rPr>
          <w:rFonts w:cs="Calibri"/>
          <w:sz w:val="24"/>
          <w:szCs w:val="24"/>
          <w:lang w:val="ro-RO"/>
        </w:rPr>
        <w:t>balanţa comercială pentru toate categoriile de bunuri</w:t>
      </w:r>
      <w:r>
        <w:rPr>
          <w:rFonts w:cs="Calibri"/>
          <w:sz w:val="24"/>
          <w:szCs w:val="24"/>
          <w:lang w:val="ro-RO"/>
        </w:rPr>
        <w:t>.</w:t>
      </w:r>
    </w:p>
    <w:p w:rsidR="00064502" w:rsidRPr="000F1C1F" w:rsidRDefault="00064502" w:rsidP="00064502">
      <w:pPr>
        <w:spacing w:after="0"/>
        <w:jc w:val="both"/>
        <w:rPr>
          <w:rFonts w:cs="Calibri"/>
          <w:sz w:val="24"/>
          <w:szCs w:val="24"/>
          <w:lang w:val="ro-RO"/>
        </w:rPr>
      </w:pPr>
      <w:r w:rsidRPr="0053389F">
        <w:rPr>
          <w:b/>
          <w:sz w:val="24"/>
          <w:szCs w:val="24"/>
          <w:lang w:val="ro-RO"/>
        </w:rPr>
        <w:t xml:space="preserve">Tabel </w:t>
      </w:r>
      <w:r>
        <w:rPr>
          <w:b/>
          <w:sz w:val="24"/>
          <w:szCs w:val="24"/>
          <w:lang w:val="ro-RO"/>
        </w:rPr>
        <w:t xml:space="preserve">15  </w:t>
      </w:r>
      <w:r>
        <w:rPr>
          <w:rFonts w:cs="Calibri"/>
          <w:b/>
          <w:sz w:val="24"/>
          <w:szCs w:val="24"/>
          <w:lang w:val="ro-RO"/>
        </w:rPr>
        <w:t>Balanţa comercială</w:t>
      </w:r>
      <w:r w:rsidRPr="000F1C1F">
        <w:rPr>
          <w:rFonts w:cs="Calibri"/>
          <w:b/>
          <w:sz w:val="24"/>
          <w:szCs w:val="24"/>
          <w:lang w:val="ro-RO"/>
        </w:rPr>
        <w:t xml:space="preserve"> </w:t>
      </w:r>
      <w:r>
        <w:rPr>
          <w:rFonts w:cs="Calibri"/>
          <w:b/>
          <w:sz w:val="24"/>
          <w:szCs w:val="24"/>
          <w:lang w:val="ro-RO"/>
        </w:rPr>
        <w:t>la nivelul Regiunii Centru în perioada 2011</w:t>
      </w:r>
      <w:r w:rsidRPr="000F1C1F">
        <w:rPr>
          <w:rFonts w:cs="Calibri"/>
          <w:b/>
          <w:sz w:val="24"/>
          <w:szCs w:val="24"/>
          <w:lang w:val="ro-RO"/>
        </w:rPr>
        <w:t>-2015</w:t>
      </w:r>
      <w:r>
        <w:rPr>
          <w:rFonts w:cs="Calibri"/>
          <w:b/>
          <w:sz w:val="24"/>
          <w:szCs w:val="24"/>
          <w:lang w:val="ro-RO"/>
        </w:rPr>
        <w:t xml:space="preserve"> </w:t>
      </w:r>
      <w:r>
        <w:rPr>
          <w:b/>
          <w:sz w:val="24"/>
          <w:szCs w:val="24"/>
          <w:lang w:val="ro-RO"/>
        </w:rPr>
        <w:t xml:space="preserve">    </w:t>
      </w:r>
      <w:r>
        <w:rPr>
          <w:sz w:val="24"/>
          <w:szCs w:val="24"/>
          <w:lang w:val="ro-RO"/>
        </w:rPr>
        <w:t xml:space="preserve">     </w:t>
      </w:r>
      <w:r>
        <w:rPr>
          <w:b/>
          <w:sz w:val="20"/>
          <w:szCs w:val="20"/>
          <w:lang w:val="ro-RO"/>
        </w:rPr>
        <w:t>-m</w:t>
      </w:r>
      <w:r w:rsidRPr="0053389F">
        <w:rPr>
          <w:b/>
          <w:sz w:val="20"/>
          <w:szCs w:val="20"/>
          <w:lang w:val="ro-RO"/>
        </w:rPr>
        <w:t xml:space="preserve">ii </w:t>
      </w:r>
      <w:r>
        <w:rPr>
          <w:b/>
          <w:sz w:val="20"/>
          <w:szCs w:val="20"/>
          <w:lang w:val="ro-RO"/>
        </w:rPr>
        <w:t>euro</w:t>
      </w:r>
      <w:r w:rsidRPr="0053389F">
        <w:rPr>
          <w:b/>
          <w:sz w:val="20"/>
          <w:szCs w:val="20"/>
          <w:lang w:val="ro-RO"/>
        </w:rPr>
        <w:t>-</w:t>
      </w:r>
    </w:p>
    <w:tbl>
      <w:tblPr>
        <w:tblStyle w:val="Referinnotdefinal"/>
        <w:tblW w:w="8548" w:type="dxa"/>
        <w:tblInd w:w="276" w:type="dxa"/>
        <w:tblLook w:val="04A0"/>
      </w:tblPr>
      <w:tblGrid>
        <w:gridCol w:w="1088"/>
        <w:gridCol w:w="2500"/>
        <w:gridCol w:w="992"/>
        <w:gridCol w:w="992"/>
        <w:gridCol w:w="992"/>
        <w:gridCol w:w="992"/>
        <w:gridCol w:w="992"/>
      </w:tblGrid>
      <w:tr w:rsidR="00064502" w:rsidRPr="00FA4FBD" w:rsidTr="00064502">
        <w:trPr>
          <w:trHeight w:val="300"/>
        </w:trPr>
        <w:tc>
          <w:tcPr>
            <w:tcW w:w="3588" w:type="dxa"/>
            <w:gridSpan w:val="2"/>
            <w:noWrap/>
            <w:vAlign w:val="center"/>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Anul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2011</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2012</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2013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2014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2015</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Regiunea Centru</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221920</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303606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840679</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895897</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777096</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-175710</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-142244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-140576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-190205</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-210532</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lastRenderedPageBreak/>
              <w:t>Alba</w:t>
            </w:r>
          </w:p>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 </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450238</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480623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569611</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534107</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415511</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-33279</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-27123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-15940</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-18688</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-16336</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Bra</w:t>
            </w:r>
            <w:r>
              <w:rPr>
                <w:rFonts w:ascii="Calibri" w:eastAsia="Times New Roman" w:hAnsi="Calibri" w:cs="Times New Roman"/>
                <w:color w:val="000000"/>
                <w:lang w:val="ro-RO"/>
              </w:rPr>
              <w:t>ş</w:t>
            </w:r>
            <w:r w:rsidRPr="00FA4FBD">
              <w:rPr>
                <w:rFonts w:ascii="Calibri" w:eastAsia="Times New Roman" w:hAnsi="Calibri" w:cs="Times New Roman"/>
                <w:color w:val="000000"/>
                <w:lang w:val="ro-RO"/>
              </w:rPr>
              <w:t>ov</w:t>
            </w:r>
          </w:p>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 </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-5534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34530</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169801</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124063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196256</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-43007</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-27551</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-33104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-55755</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-52134</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Covasna</w:t>
            </w:r>
          </w:p>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 </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-58996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-11383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729</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50406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19722</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-2061</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8925</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22035</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27077</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12646</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Harghita</w:t>
            </w:r>
          </w:p>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 </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-81824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-82934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-16813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-32999</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-70159</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-20092</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-26086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-25026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-33099</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-31668</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Pr>
                <w:rFonts w:ascii="Calibri" w:eastAsia="Times New Roman" w:hAnsi="Calibri" w:cs="Times New Roman"/>
                <w:color w:val="000000"/>
                <w:lang w:val="ro-RO"/>
              </w:rPr>
              <w:t>Mureş</w:t>
            </w:r>
          </w:p>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 </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-278631</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-207108</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-74712</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-128343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-175747</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-61214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-59972</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-83043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-101566</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-122653</w:t>
            </w:r>
          </w:p>
        </w:tc>
      </w:tr>
      <w:tr w:rsidR="00064502" w:rsidRPr="00FA4FBD" w:rsidTr="00064502">
        <w:trPr>
          <w:trHeight w:val="300"/>
        </w:trPr>
        <w:tc>
          <w:tcPr>
            <w:tcW w:w="1088" w:type="dxa"/>
            <w:vMerge w:val="restart"/>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Sibiu</w:t>
            </w:r>
          </w:p>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 </w:t>
            </w: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Total</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196667</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89878</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192063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348663</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391513</w:t>
            </w:r>
          </w:p>
        </w:tc>
      </w:tr>
      <w:tr w:rsidR="00064502" w:rsidRPr="00FA4FBD" w:rsidTr="00064502">
        <w:trPr>
          <w:trHeight w:val="300"/>
        </w:trPr>
        <w:tc>
          <w:tcPr>
            <w:tcW w:w="1088" w:type="dxa"/>
            <w:vMerge/>
            <w:noWrap/>
            <w:hideMark/>
          </w:tcPr>
          <w:p w:rsidR="00064502" w:rsidRPr="00FA4FBD" w:rsidRDefault="00064502" w:rsidP="00064502">
            <w:pPr>
              <w:rPr>
                <w:rFonts w:ascii="Calibri" w:eastAsia="Times New Roman" w:hAnsi="Calibri" w:cs="Times New Roman"/>
                <w:color w:val="000000"/>
                <w:lang w:val="ro-RO"/>
              </w:rPr>
            </w:pPr>
          </w:p>
        </w:tc>
        <w:tc>
          <w:tcPr>
            <w:tcW w:w="2500" w:type="dxa"/>
            <w:noWrap/>
            <w:hideMark/>
          </w:tcPr>
          <w:p w:rsidR="00064502" w:rsidRPr="00FA4FBD" w:rsidRDefault="00064502" w:rsidP="00064502">
            <w:pPr>
              <w:rPr>
                <w:rFonts w:ascii="Calibri" w:eastAsia="Times New Roman" w:hAnsi="Calibri" w:cs="Times New Roman"/>
                <w:color w:val="000000"/>
                <w:lang w:val="ro-RO"/>
              </w:rPr>
            </w:pPr>
            <w:r w:rsidRPr="00FA4FBD">
              <w:rPr>
                <w:rFonts w:ascii="Calibri" w:eastAsia="Times New Roman" w:hAnsi="Calibri" w:cs="Times New Roman"/>
                <w:color w:val="000000"/>
                <w:lang w:val="ro-RO"/>
              </w:rPr>
              <w:t>Produse agroalimentare</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113369</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156184</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197287</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186388</w:t>
            </w:r>
          </w:p>
        </w:tc>
        <w:tc>
          <w:tcPr>
            <w:tcW w:w="992" w:type="dxa"/>
            <w:noWrap/>
            <w:hideMark/>
          </w:tcPr>
          <w:p w:rsidR="00064502" w:rsidRPr="00FA4FBD" w:rsidRDefault="00064502" w:rsidP="00064502">
            <w:pPr>
              <w:jc w:val="right"/>
              <w:rPr>
                <w:rFonts w:ascii="Calibri" w:eastAsia="Times New Roman" w:hAnsi="Calibri" w:cs="Times New Roman"/>
                <w:color w:val="000000"/>
                <w:lang w:val="ro-RO"/>
              </w:rPr>
            </w:pPr>
            <w:r w:rsidRPr="00FA4FBD">
              <w:rPr>
                <w:rFonts w:ascii="Calibri" w:eastAsia="Times New Roman" w:hAnsi="Calibri" w:cs="Times New Roman"/>
                <w:color w:val="000000"/>
                <w:lang w:val="ro-RO"/>
              </w:rPr>
              <w:t>181272</w:t>
            </w:r>
          </w:p>
        </w:tc>
      </w:tr>
    </w:tbl>
    <w:p w:rsidR="00064502" w:rsidRPr="00340EC9" w:rsidRDefault="00064502" w:rsidP="00064502">
      <w:pPr>
        <w:jc w:val="both"/>
        <w:rPr>
          <w:b/>
          <w:sz w:val="20"/>
          <w:szCs w:val="20"/>
          <w:lang w:val="ro-RO"/>
        </w:rPr>
      </w:pPr>
      <w:r w:rsidRPr="00E47620">
        <w:rPr>
          <w:b/>
          <w:lang w:val="ro-RO"/>
        </w:rPr>
        <w:t xml:space="preserve">Sursa: </w:t>
      </w:r>
      <w:r w:rsidRPr="00E47620">
        <w:rPr>
          <w:lang w:val="ro-RO"/>
        </w:rPr>
        <w:t>Institutul Național de Statistică</w:t>
      </w:r>
      <w:r w:rsidRPr="00E47620">
        <w:rPr>
          <w:rFonts w:cs="Calibri"/>
          <w:lang w:val="ro-RO"/>
        </w:rPr>
        <w:t xml:space="preserve"> </w:t>
      </w:r>
      <w:r>
        <w:rPr>
          <w:rFonts w:cs="Calibri"/>
          <w:lang w:val="ro-RO"/>
        </w:rPr>
        <w:t xml:space="preserve">                                           </w:t>
      </w:r>
    </w:p>
    <w:p w:rsidR="00064502" w:rsidRDefault="00064502" w:rsidP="00064502">
      <w:pPr>
        <w:jc w:val="both"/>
        <w:rPr>
          <w:rFonts w:eastAsia="Times New Roman" w:cs="Times New Roman"/>
          <w:b/>
          <w:sz w:val="28"/>
          <w:szCs w:val="28"/>
          <w:lang w:val="ro-RO" w:eastAsia="ar-SA"/>
        </w:rPr>
      </w:pPr>
      <w:r>
        <w:rPr>
          <w:rFonts w:eastAsia="Times New Roman" w:cs="Times New Roman"/>
          <w:b/>
          <w:sz w:val="28"/>
          <w:szCs w:val="28"/>
          <w:lang w:val="ro-RO" w:eastAsia="ar-SA"/>
        </w:rPr>
        <w:t>S</w:t>
      </w:r>
      <w:r w:rsidRPr="00391656">
        <w:rPr>
          <w:rFonts w:eastAsia="Times New Roman" w:cs="Times New Roman"/>
          <w:b/>
          <w:sz w:val="28"/>
          <w:szCs w:val="28"/>
          <w:lang w:val="ro-RO" w:eastAsia="ar-SA"/>
        </w:rPr>
        <w:t>tructuri de sprijinire a afacerilor</w:t>
      </w:r>
      <w:r>
        <w:rPr>
          <w:rFonts w:eastAsia="Times New Roman" w:cs="Times New Roman"/>
          <w:b/>
          <w:sz w:val="28"/>
          <w:szCs w:val="28"/>
          <w:lang w:val="ro-RO" w:eastAsia="ar-SA"/>
        </w:rPr>
        <w:t xml:space="preserve"> din sectorul agroalimentar</w:t>
      </w:r>
    </w:p>
    <w:p w:rsidR="00064502" w:rsidRPr="00B62FED" w:rsidRDefault="00064502" w:rsidP="00064502">
      <w:pPr>
        <w:jc w:val="both"/>
        <w:rPr>
          <w:sz w:val="24"/>
          <w:szCs w:val="24"/>
          <w:lang w:val="ro-RO"/>
        </w:rPr>
      </w:pPr>
      <w:r w:rsidRPr="00B62FED">
        <w:rPr>
          <w:rFonts w:eastAsia="Times New Roman" w:cs="Times New Roman"/>
          <w:sz w:val="24"/>
          <w:szCs w:val="24"/>
          <w:lang w:val="ro-RO" w:eastAsia="ar-SA"/>
        </w:rPr>
        <w:t xml:space="preserve">În contextul </w:t>
      </w:r>
      <w:r w:rsidRPr="00B62FED">
        <w:rPr>
          <w:rFonts w:eastAsia="Times New Roman" w:cs="Times New Roman"/>
          <w:b/>
          <w:sz w:val="24"/>
          <w:szCs w:val="24"/>
          <w:lang w:val="ro-RO" w:eastAsia="ar-SA"/>
        </w:rPr>
        <w:t xml:space="preserve">dezvoltării industriei </w:t>
      </w:r>
      <w:r>
        <w:rPr>
          <w:rFonts w:eastAsia="Times New Roman" w:cs="Times New Roman"/>
          <w:b/>
          <w:sz w:val="24"/>
          <w:szCs w:val="24"/>
          <w:lang w:val="ro-RO" w:eastAsia="ar-SA"/>
        </w:rPr>
        <w:t>agro</w:t>
      </w:r>
      <w:r w:rsidRPr="00B62FED">
        <w:rPr>
          <w:rFonts w:eastAsia="Times New Roman" w:cs="Times New Roman"/>
          <w:b/>
          <w:sz w:val="24"/>
          <w:szCs w:val="24"/>
          <w:lang w:val="ro-RO" w:eastAsia="ar-SA"/>
        </w:rPr>
        <w:t>alimentare la nivel regional</w:t>
      </w:r>
      <w:r w:rsidRPr="00B62FED">
        <w:rPr>
          <w:rFonts w:eastAsia="Times New Roman" w:cs="Times New Roman"/>
          <w:sz w:val="24"/>
          <w:szCs w:val="24"/>
          <w:lang w:val="ro-RO" w:eastAsia="ar-SA"/>
        </w:rPr>
        <w:t xml:space="preserve"> </w:t>
      </w:r>
      <w:r w:rsidRPr="00B62FED">
        <w:rPr>
          <w:sz w:val="24"/>
          <w:szCs w:val="24"/>
          <w:lang w:val="ro-RO"/>
        </w:rPr>
        <w:t xml:space="preserve">Asociaţia întreprinzătorilor mici şi mijlocii din judeţul Covasna (ASIMCOV) a pus bazele primului cluster agroalimentar, </w:t>
      </w:r>
      <w:r w:rsidRPr="00B62FED">
        <w:rPr>
          <w:rFonts w:eastAsia="Times New Roman" w:cs="Times New Roman"/>
          <w:b/>
          <w:sz w:val="24"/>
          <w:szCs w:val="24"/>
          <w:lang w:val="ro-RO" w:eastAsia="ar-SA"/>
        </w:rPr>
        <w:t>AGROFOOD Regional Cluster</w:t>
      </w:r>
      <w:r w:rsidRPr="00B62FED">
        <w:rPr>
          <w:rFonts w:eastAsia="Times New Roman" w:cs="Times New Roman"/>
          <w:sz w:val="24"/>
          <w:szCs w:val="24"/>
          <w:lang w:val="ro-RO" w:eastAsia="ar-SA"/>
        </w:rPr>
        <w:t xml:space="preserve">. </w:t>
      </w:r>
      <w:r w:rsidRPr="00B62FED">
        <w:rPr>
          <w:rFonts w:cs="Tahoma"/>
          <w:sz w:val="24"/>
          <w:szCs w:val="24"/>
          <w:shd w:val="clear" w:color="auto" w:fill="FFFFFF"/>
          <w:lang w:val="ro-RO"/>
        </w:rPr>
        <w:t xml:space="preserve">Clusterul </w:t>
      </w:r>
      <w:r w:rsidRPr="00B62FED">
        <w:rPr>
          <w:rFonts w:eastAsia="Times New Roman" w:cs="Times New Roman"/>
          <w:sz w:val="24"/>
          <w:szCs w:val="24"/>
          <w:lang w:val="ro-RO" w:eastAsia="ar-SA"/>
        </w:rPr>
        <w:t>AGROFOOD</w:t>
      </w:r>
      <w:r w:rsidRPr="00B62FED">
        <w:rPr>
          <w:rFonts w:cs="Tahoma"/>
          <w:sz w:val="24"/>
          <w:szCs w:val="24"/>
          <w:shd w:val="clear" w:color="auto" w:fill="FFFFFF"/>
          <w:lang w:val="ro-RO"/>
        </w:rPr>
        <w:t xml:space="preserve"> este format din mai multe entităţi, instituţii şi organizaţii: pro</w:t>
      </w:r>
      <w:r w:rsidRPr="00B62FED">
        <w:rPr>
          <w:rFonts w:cs="Tahoma"/>
          <w:sz w:val="24"/>
          <w:szCs w:val="24"/>
          <w:shd w:val="clear" w:color="auto" w:fill="FFFFFF"/>
          <w:lang w:val="ro-RO"/>
        </w:rPr>
        <w:softHyphen/>
        <w:t>ducători din industria cărnii, laptelui, pa</w:t>
      </w:r>
      <w:r w:rsidRPr="00B62FED">
        <w:rPr>
          <w:rFonts w:cs="Tahoma"/>
          <w:sz w:val="24"/>
          <w:szCs w:val="24"/>
          <w:shd w:val="clear" w:color="auto" w:fill="FFFFFF"/>
          <w:lang w:val="ro-RO"/>
        </w:rPr>
        <w:softHyphen/>
        <w:t xml:space="preserve">nificaţiei şi îmbutelierii apelor minerale, agricultori, dar şi centre de cercetare şi inovare, instituţii de specialitate, universităţi, asociaţii profesionale, instituţii bancare şi de consultanţă şi autorităţi publice locale. Clusterul a fost înfiinţat la data </w:t>
      </w:r>
      <w:r w:rsidRPr="00B62FED">
        <w:rPr>
          <w:sz w:val="24"/>
          <w:szCs w:val="24"/>
          <w:shd w:val="clear" w:color="auto" w:fill="FFFFFF"/>
          <w:lang w:val="ro-RO"/>
        </w:rPr>
        <w:t xml:space="preserve">24.05.2011 şi are </w:t>
      </w:r>
      <w:r w:rsidRPr="00B62FED">
        <w:rPr>
          <w:b/>
          <w:sz w:val="24"/>
          <w:szCs w:val="24"/>
          <w:shd w:val="clear" w:color="auto" w:fill="FFFFFF"/>
          <w:lang w:val="ro-RO"/>
        </w:rPr>
        <w:t>56 de membri</w:t>
      </w:r>
      <w:r>
        <w:rPr>
          <w:b/>
          <w:sz w:val="24"/>
          <w:szCs w:val="24"/>
          <w:shd w:val="clear" w:color="auto" w:fill="FFFFFF"/>
          <w:lang w:val="ro-RO"/>
        </w:rPr>
        <w:t>,</w:t>
      </w:r>
      <w:r w:rsidRPr="00B62FED">
        <w:rPr>
          <w:sz w:val="24"/>
          <w:szCs w:val="24"/>
          <w:shd w:val="clear" w:color="auto" w:fill="FFFFFF"/>
          <w:lang w:val="ro-RO"/>
        </w:rPr>
        <w:t xml:space="preserve"> din care 26 provin din domeniul economic, 20 instituţii/organizaţii, 4 </w:t>
      </w:r>
      <w:r w:rsidRPr="00B62FED">
        <w:rPr>
          <w:rFonts w:cs="Tahoma"/>
          <w:sz w:val="24"/>
          <w:szCs w:val="24"/>
          <w:shd w:val="clear" w:color="auto" w:fill="FFFFFF"/>
          <w:lang w:val="ro-RO"/>
        </w:rPr>
        <w:t>centre de cercetare şi inovare/universităţi şi 6 autorităţi.</w:t>
      </w:r>
    </w:p>
    <w:p w:rsidR="00064502" w:rsidRDefault="00064502" w:rsidP="00064502">
      <w:pPr>
        <w:jc w:val="both"/>
        <w:rPr>
          <w:sz w:val="24"/>
          <w:szCs w:val="24"/>
          <w:shd w:val="clear" w:color="auto" w:fill="FFFFFF"/>
          <w:lang w:val="ro-RO"/>
        </w:rPr>
      </w:pPr>
      <w:r w:rsidRPr="00B62FED">
        <w:rPr>
          <w:b/>
          <w:sz w:val="24"/>
          <w:szCs w:val="24"/>
          <w:shd w:val="clear" w:color="auto" w:fill="FFFFFF"/>
          <w:lang w:val="ro-RO"/>
        </w:rPr>
        <w:t>Scopul</w:t>
      </w:r>
      <w:r>
        <w:rPr>
          <w:sz w:val="24"/>
          <w:szCs w:val="24"/>
          <w:shd w:val="clear" w:color="auto" w:fill="FFFFFF"/>
          <w:lang w:val="ro-RO"/>
        </w:rPr>
        <w:t xml:space="preserve"> c</w:t>
      </w:r>
      <w:r w:rsidRPr="00B62FED">
        <w:rPr>
          <w:sz w:val="24"/>
          <w:szCs w:val="24"/>
          <w:shd w:val="clear" w:color="auto" w:fill="FFFFFF"/>
          <w:lang w:val="ro-RO"/>
        </w:rPr>
        <w:t xml:space="preserve">lusterului regional al produselor şi a industriei agroalimentare, AgroFood, a fost </w:t>
      </w:r>
      <w:r w:rsidRPr="00B62FED">
        <w:rPr>
          <w:b/>
          <w:sz w:val="24"/>
          <w:szCs w:val="24"/>
          <w:shd w:val="clear" w:color="auto" w:fill="FFFFFF"/>
          <w:lang w:val="ro-RO"/>
        </w:rPr>
        <w:t>realizarea unui parteneriat larg pentru susţinerea întreprinderilor agroalimentare, pentru creşterea competitivităţii acestora</w:t>
      </w:r>
      <w:r w:rsidRPr="00B62FED">
        <w:rPr>
          <w:sz w:val="24"/>
          <w:szCs w:val="24"/>
          <w:shd w:val="clear" w:color="auto" w:fill="FFFFFF"/>
          <w:lang w:val="ro-RO"/>
        </w:rPr>
        <w:t>, unde capacităţile de cercetare-dezvoltare pot fi concentrate cu ajutorul cunoştinţelor partajate, de la descoperirea ideii la introducerea produsului pe piaţă. În cadrul acestui parteneriat trebuiesc armonizate interesele antreprenorilor, instituţiilor de cercetare, autorităţilor locale în primul rând în regiunea noastră dar şi în asociaţiile de clustere naţionale şi internaţionale</w:t>
      </w:r>
      <w:r>
        <w:rPr>
          <w:sz w:val="24"/>
          <w:szCs w:val="24"/>
          <w:shd w:val="clear" w:color="auto" w:fill="FFFFFF"/>
          <w:lang w:val="ro-RO"/>
        </w:rPr>
        <w:t>.</w:t>
      </w:r>
    </w:p>
    <w:p w:rsidR="00064502" w:rsidRDefault="00064502" w:rsidP="00064502">
      <w:pPr>
        <w:jc w:val="both"/>
        <w:rPr>
          <w:sz w:val="24"/>
          <w:szCs w:val="24"/>
          <w:shd w:val="clear" w:color="auto" w:fill="FFFFFF"/>
          <w:lang w:val="ro-RO"/>
        </w:rPr>
      </w:pPr>
      <w:r>
        <w:rPr>
          <w:sz w:val="24"/>
          <w:szCs w:val="24"/>
          <w:shd w:val="clear" w:color="auto" w:fill="FFFFFF"/>
          <w:lang w:val="ro-RO"/>
        </w:rPr>
        <w:t xml:space="preserve">Un alt cluster din regiunea noastră care poate şi el să contribuie indirect la dezvoltarea industriei agroalimentare este </w:t>
      </w:r>
      <w:r w:rsidRPr="002107A7">
        <w:rPr>
          <w:b/>
          <w:sz w:val="24"/>
          <w:szCs w:val="24"/>
          <w:shd w:val="clear" w:color="auto" w:fill="FFFFFF"/>
          <w:lang w:val="ro-RO"/>
        </w:rPr>
        <w:t>Clusterul Inovativ Regional Ambalaje-Tipografie-Design</w:t>
      </w:r>
      <w:r>
        <w:rPr>
          <w:sz w:val="24"/>
          <w:szCs w:val="24"/>
          <w:shd w:val="clear" w:color="auto" w:fill="FFFFFF"/>
          <w:lang w:val="ro-RO"/>
        </w:rPr>
        <w:t xml:space="preserve">. </w:t>
      </w:r>
      <w:r w:rsidRPr="002107A7">
        <w:rPr>
          <w:sz w:val="24"/>
          <w:szCs w:val="24"/>
          <w:shd w:val="clear" w:color="auto" w:fill="FFFFFF"/>
          <w:lang w:val="ro-RO"/>
        </w:rPr>
        <w:t>A</w:t>
      </w:r>
      <w:r>
        <w:rPr>
          <w:sz w:val="24"/>
          <w:szCs w:val="24"/>
          <w:shd w:val="clear" w:color="auto" w:fill="FFFFFF"/>
          <w:lang w:val="ro-RO"/>
        </w:rPr>
        <w:t>cesta s-a</w:t>
      </w:r>
      <w:r w:rsidRPr="002107A7">
        <w:rPr>
          <w:sz w:val="24"/>
          <w:szCs w:val="24"/>
          <w:shd w:val="clear" w:color="auto" w:fill="FFFFFF"/>
          <w:lang w:val="ro-RO"/>
        </w:rPr>
        <w:t xml:space="preserve"> înfiinţ</w:t>
      </w:r>
      <w:r>
        <w:rPr>
          <w:sz w:val="24"/>
          <w:szCs w:val="24"/>
          <w:shd w:val="clear" w:color="auto" w:fill="FFFFFF"/>
          <w:lang w:val="ro-RO"/>
        </w:rPr>
        <w:t>at în anul</w:t>
      </w:r>
      <w:r w:rsidRPr="002107A7">
        <w:rPr>
          <w:sz w:val="24"/>
          <w:szCs w:val="24"/>
          <w:shd w:val="clear" w:color="auto" w:fill="FFFFFF"/>
          <w:lang w:val="ro-RO"/>
        </w:rPr>
        <w:t xml:space="preserve"> 2012</w:t>
      </w:r>
      <w:r>
        <w:rPr>
          <w:sz w:val="24"/>
          <w:szCs w:val="24"/>
          <w:shd w:val="clear" w:color="auto" w:fill="FFFFFF"/>
          <w:lang w:val="ro-RO"/>
        </w:rPr>
        <w:t xml:space="preserve"> având ca membrii </w:t>
      </w:r>
      <w:r w:rsidRPr="002107A7">
        <w:rPr>
          <w:sz w:val="24"/>
          <w:szCs w:val="24"/>
          <w:shd w:val="clear" w:color="auto" w:fill="FFFFFF"/>
          <w:lang w:val="ro-RO"/>
        </w:rPr>
        <w:t xml:space="preserve">producători de ambalaje, tipografii, firme </w:t>
      </w:r>
      <w:r w:rsidRPr="002107A7">
        <w:rPr>
          <w:sz w:val="24"/>
          <w:szCs w:val="24"/>
          <w:shd w:val="clear" w:color="auto" w:fill="FFFFFF"/>
          <w:lang w:val="ro-RO"/>
        </w:rPr>
        <w:lastRenderedPageBreak/>
        <w:t>de desing, profesionişti, întreprinderi cu formă juridică care reprezintă interes comun.</w:t>
      </w:r>
      <w:r>
        <w:rPr>
          <w:sz w:val="24"/>
          <w:szCs w:val="24"/>
          <w:shd w:val="clear" w:color="auto" w:fill="FFFFFF"/>
          <w:lang w:val="ro-RO"/>
        </w:rPr>
        <w:t xml:space="preserve"> Acest cluster poate contribui la dezvoltarea industriei agroalimentare deoarece c</w:t>
      </w:r>
      <w:r w:rsidRPr="002107A7">
        <w:rPr>
          <w:sz w:val="24"/>
          <w:szCs w:val="24"/>
          <w:shd w:val="clear" w:color="auto" w:fill="FFFFFF"/>
          <w:lang w:val="ro-RO"/>
        </w:rPr>
        <w:t xml:space="preserve">ultura de consum caută inovaţia </w:t>
      </w:r>
      <w:r>
        <w:rPr>
          <w:sz w:val="24"/>
          <w:szCs w:val="24"/>
          <w:shd w:val="clear" w:color="auto" w:fill="FFFFFF"/>
          <w:lang w:val="ro-RO"/>
        </w:rPr>
        <w:t>în permanenţă</w:t>
      </w:r>
      <w:r w:rsidRPr="002107A7">
        <w:rPr>
          <w:sz w:val="24"/>
          <w:szCs w:val="24"/>
          <w:shd w:val="clear" w:color="auto" w:fill="FFFFFF"/>
          <w:lang w:val="ro-RO"/>
        </w:rPr>
        <w:t xml:space="preserve">. </w:t>
      </w:r>
      <w:r>
        <w:rPr>
          <w:sz w:val="24"/>
          <w:szCs w:val="24"/>
          <w:shd w:val="clear" w:color="auto" w:fill="FFFFFF"/>
          <w:lang w:val="ro-RO"/>
        </w:rPr>
        <w:t>Datorită dezvoltării din</w:t>
      </w:r>
      <w:r w:rsidRPr="002107A7">
        <w:rPr>
          <w:sz w:val="24"/>
          <w:szCs w:val="24"/>
          <w:shd w:val="clear" w:color="auto" w:fill="FFFFFF"/>
          <w:lang w:val="ro-RO"/>
        </w:rPr>
        <w:t xml:space="preserve"> ultimii a</w:t>
      </w:r>
      <w:r>
        <w:rPr>
          <w:sz w:val="24"/>
          <w:szCs w:val="24"/>
          <w:shd w:val="clear" w:color="auto" w:fill="FFFFFF"/>
          <w:lang w:val="ro-RO"/>
        </w:rPr>
        <w:t>ni</w:t>
      </w:r>
      <w:r w:rsidRPr="002107A7">
        <w:rPr>
          <w:sz w:val="24"/>
          <w:szCs w:val="24"/>
          <w:shd w:val="clear" w:color="auto" w:fill="FFFFFF"/>
          <w:lang w:val="ro-RO"/>
        </w:rPr>
        <w:t xml:space="preserve"> clienţii solicită calitate superioară pentru promovarea produselor. Pentru un produs de succes nu mai ajunge doar calitatea în sine a produsului. Designul atractiv, formele inovative, materialele funcţionale toate sunt elemente importante.</w:t>
      </w:r>
      <w:r>
        <w:rPr>
          <w:sz w:val="24"/>
          <w:szCs w:val="24"/>
          <w:shd w:val="clear" w:color="auto" w:fill="FFFFFF"/>
          <w:lang w:val="ro-RO"/>
        </w:rPr>
        <w:t xml:space="preserve"> Ambalajul are numeroase roluri: </w:t>
      </w:r>
      <w:r w:rsidRPr="002107A7">
        <w:rPr>
          <w:sz w:val="24"/>
          <w:szCs w:val="24"/>
          <w:shd w:val="clear" w:color="auto" w:fill="FFFFFF"/>
          <w:lang w:val="ro-RO"/>
        </w:rPr>
        <w:t xml:space="preserve">ar trebui să ajute la poziţionarea produsului, să-i exprime personalitatea şi totodată să </w:t>
      </w:r>
      <w:r>
        <w:rPr>
          <w:sz w:val="24"/>
          <w:szCs w:val="24"/>
          <w:shd w:val="clear" w:color="auto" w:fill="FFFFFF"/>
          <w:lang w:val="ro-RO"/>
        </w:rPr>
        <w:t>asigure siguranţa sau condiţiile de igienă a produsului</w:t>
      </w:r>
      <w:r w:rsidRPr="002107A7">
        <w:rPr>
          <w:sz w:val="24"/>
          <w:szCs w:val="24"/>
          <w:shd w:val="clear" w:color="auto" w:fill="FFFFFF"/>
          <w:lang w:val="ro-RO"/>
        </w:rPr>
        <w:t xml:space="preserve">. </w:t>
      </w:r>
      <w:r>
        <w:rPr>
          <w:sz w:val="24"/>
          <w:szCs w:val="24"/>
          <w:shd w:val="clear" w:color="auto" w:fill="FFFFFF"/>
          <w:lang w:val="ro-RO"/>
        </w:rPr>
        <w:t>Designul ambalajului</w:t>
      </w:r>
      <w:r w:rsidRPr="002107A7">
        <w:rPr>
          <w:sz w:val="24"/>
          <w:szCs w:val="24"/>
          <w:shd w:val="clear" w:color="auto" w:fill="FFFFFF"/>
          <w:lang w:val="ro-RO"/>
        </w:rPr>
        <w:t xml:space="preserve"> a devenit o mo</w:t>
      </w:r>
      <w:r>
        <w:rPr>
          <w:sz w:val="24"/>
          <w:szCs w:val="24"/>
          <w:shd w:val="clear" w:color="auto" w:fill="FFFFFF"/>
          <w:lang w:val="ro-RO"/>
        </w:rPr>
        <w:t xml:space="preserve">dalitate importantă de vânzare, </w:t>
      </w:r>
      <w:r w:rsidRPr="002107A7">
        <w:rPr>
          <w:sz w:val="24"/>
          <w:szCs w:val="24"/>
          <w:shd w:val="clear" w:color="auto" w:fill="FFFFFF"/>
          <w:lang w:val="ro-RO"/>
        </w:rPr>
        <w:t>materiale moderne de împachetare</w:t>
      </w:r>
      <w:r>
        <w:rPr>
          <w:sz w:val="24"/>
          <w:szCs w:val="24"/>
          <w:shd w:val="clear" w:color="auto" w:fill="FFFFFF"/>
          <w:lang w:val="ro-RO"/>
        </w:rPr>
        <w:t xml:space="preserve"> folosite</w:t>
      </w:r>
      <w:r w:rsidRPr="002107A7">
        <w:rPr>
          <w:sz w:val="24"/>
          <w:szCs w:val="24"/>
          <w:shd w:val="clear" w:color="auto" w:fill="FFFFFF"/>
          <w:lang w:val="ro-RO"/>
        </w:rPr>
        <w:t>, un ambalaj curat, frumos şi atrăgător poate stimula semnificativ vânzarea produselor.</w:t>
      </w:r>
    </w:p>
    <w:p w:rsidR="00064502" w:rsidRDefault="00064502" w:rsidP="00064502">
      <w:pPr>
        <w:jc w:val="both"/>
        <w:rPr>
          <w:sz w:val="24"/>
          <w:szCs w:val="24"/>
          <w:shd w:val="clear" w:color="auto" w:fill="FFFFFF"/>
          <w:lang w:val="ro-RO"/>
        </w:rPr>
      </w:pPr>
      <w:r>
        <w:rPr>
          <w:sz w:val="24"/>
          <w:szCs w:val="24"/>
          <w:shd w:val="clear" w:color="auto" w:fill="FFFFFF"/>
          <w:lang w:val="ro-RO"/>
        </w:rPr>
        <w:t>Tot pentru sprijinirea afacerilor din sectorul agroalimentar a fost creat în Alba Iulia un centru</w:t>
      </w:r>
      <w:r w:rsidRPr="001E7ADA">
        <w:rPr>
          <w:sz w:val="24"/>
          <w:szCs w:val="24"/>
          <w:shd w:val="clear" w:color="auto" w:fill="FFFFFF"/>
          <w:lang w:val="ro-RO"/>
        </w:rPr>
        <w:t xml:space="preserve"> de informare tehnologică</w:t>
      </w:r>
      <w:r>
        <w:rPr>
          <w:sz w:val="24"/>
          <w:szCs w:val="24"/>
          <w:shd w:val="clear" w:color="auto" w:fill="FFFFFF"/>
          <w:lang w:val="ro-RO"/>
        </w:rPr>
        <w:t xml:space="preserve">. </w:t>
      </w:r>
      <w:r w:rsidRPr="001E7ADA">
        <w:rPr>
          <w:b/>
          <w:sz w:val="24"/>
          <w:szCs w:val="24"/>
          <w:shd w:val="clear" w:color="auto" w:fill="FFFFFF"/>
          <w:lang w:val="ro-RO"/>
        </w:rPr>
        <w:t>Centrul de Informare Tehnologică – CIT ALBATECH</w:t>
      </w:r>
      <w:r>
        <w:rPr>
          <w:sz w:val="24"/>
          <w:szCs w:val="24"/>
          <w:shd w:val="clear" w:color="auto" w:fill="FFFFFF"/>
          <w:lang w:val="ro-RO"/>
        </w:rPr>
        <w:t xml:space="preserve"> </w:t>
      </w:r>
      <w:r>
        <w:rPr>
          <w:rFonts w:ascii="Calibri" w:hAnsi="Calibri" w:cs="Calibri"/>
          <w:sz w:val="24"/>
          <w:szCs w:val="24"/>
          <w:shd w:val="clear" w:color="auto" w:fill="FFFFFF"/>
          <w:lang w:val="ro-RO"/>
        </w:rPr>
        <w:t>are ca domeniu de activitate t</w:t>
      </w:r>
      <w:r w:rsidRPr="001E7ADA">
        <w:rPr>
          <w:rFonts w:ascii="Calibri" w:hAnsi="Calibri" w:cs="Calibri"/>
          <w:sz w:val="24"/>
          <w:szCs w:val="24"/>
          <w:shd w:val="clear" w:color="auto" w:fill="FFFFFF"/>
          <w:lang w:val="ro-RO"/>
        </w:rPr>
        <w:t>ehnologia informației, industria agroalimentară, biotehnologii pentru protecția mediului</w:t>
      </w:r>
      <w:r>
        <w:rPr>
          <w:rFonts w:ascii="Calibri" w:hAnsi="Calibri" w:cs="Calibri"/>
          <w:sz w:val="24"/>
          <w:szCs w:val="24"/>
          <w:shd w:val="clear" w:color="auto" w:fill="FFFFFF"/>
          <w:lang w:val="ro-RO"/>
        </w:rPr>
        <w:t xml:space="preserve">, </w:t>
      </w:r>
      <w:r>
        <w:rPr>
          <w:sz w:val="24"/>
          <w:szCs w:val="24"/>
          <w:shd w:val="clear" w:color="auto" w:fill="FFFFFF"/>
          <w:lang w:val="ro-RO"/>
        </w:rPr>
        <w:t>nu are</w:t>
      </w:r>
      <w:r w:rsidRPr="001E7ADA">
        <w:rPr>
          <w:sz w:val="24"/>
          <w:szCs w:val="24"/>
          <w:shd w:val="clear" w:color="auto" w:fill="FFFFFF"/>
          <w:lang w:val="ro-RO"/>
        </w:rPr>
        <w:t xml:space="preserve"> personalitate juridică</w:t>
      </w:r>
      <w:r>
        <w:rPr>
          <w:sz w:val="24"/>
          <w:szCs w:val="24"/>
          <w:shd w:val="clear" w:color="auto" w:fill="FFFFFF"/>
          <w:lang w:val="ro-RO"/>
        </w:rPr>
        <w:t xml:space="preserve"> şi activează</w:t>
      </w:r>
      <w:r w:rsidRPr="001E7ADA">
        <w:rPr>
          <w:sz w:val="24"/>
          <w:szCs w:val="24"/>
          <w:shd w:val="clear" w:color="auto" w:fill="FFFFFF"/>
          <w:lang w:val="ro-RO"/>
        </w:rPr>
        <w:t xml:space="preserve"> în cadrul Camerei de Comerț și Industrie Alba</w:t>
      </w:r>
      <w:r>
        <w:rPr>
          <w:sz w:val="24"/>
          <w:szCs w:val="24"/>
          <w:shd w:val="clear" w:color="auto" w:fill="FFFFFF"/>
          <w:lang w:val="ro-RO"/>
        </w:rPr>
        <w:t>.</w:t>
      </w:r>
    </w:p>
    <w:p w:rsidR="00064502" w:rsidRPr="00CE64F1" w:rsidRDefault="00064502" w:rsidP="00064502">
      <w:pPr>
        <w:rPr>
          <w:b/>
          <w:sz w:val="28"/>
          <w:szCs w:val="28"/>
          <w:shd w:val="clear" w:color="auto" w:fill="FFFFFF"/>
          <w:lang w:val="ro-RO"/>
        </w:rPr>
      </w:pPr>
      <w:r w:rsidRPr="00CE64F1">
        <w:rPr>
          <w:b/>
          <w:sz w:val="28"/>
          <w:szCs w:val="28"/>
          <w:shd w:val="clear" w:color="auto" w:fill="FFFFFF"/>
          <w:lang w:val="ro-RO"/>
        </w:rPr>
        <w:t>Produse şi reţete culinare originare din Regiunea Centru recunoscute la nivel european</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Pentru i</w:t>
      </w:r>
      <w:r w:rsidRPr="002A6A14">
        <w:rPr>
          <w:rFonts w:eastAsia="Times New Roman" w:cs="Times New Roman"/>
          <w:sz w:val="24"/>
          <w:szCs w:val="24"/>
          <w:lang w:val="ro-RO" w:eastAsia="ar-SA"/>
        </w:rPr>
        <w:t xml:space="preserve">mplementarea politicilor agricole la nivel local </w:t>
      </w:r>
      <w:r>
        <w:rPr>
          <w:rFonts w:eastAsia="Times New Roman" w:cs="Times New Roman"/>
          <w:sz w:val="24"/>
          <w:szCs w:val="24"/>
          <w:lang w:val="ro-RO" w:eastAsia="ar-SA"/>
        </w:rPr>
        <w:t>s-au creat aşa numitele s</w:t>
      </w:r>
      <w:r w:rsidRPr="006F616E">
        <w:rPr>
          <w:rFonts w:eastAsia="Times New Roman" w:cs="Times New Roman"/>
          <w:sz w:val="24"/>
          <w:szCs w:val="24"/>
          <w:lang w:val="ro-RO" w:eastAsia="ar-SA"/>
        </w:rPr>
        <w:t>cheme de calitate la nivel naţional şi european</w:t>
      </w:r>
      <w:r>
        <w:rPr>
          <w:rFonts w:eastAsia="Times New Roman" w:cs="Times New Roman"/>
          <w:sz w:val="24"/>
          <w:szCs w:val="24"/>
          <w:lang w:val="ro-RO" w:eastAsia="ar-SA"/>
        </w:rPr>
        <w:t xml:space="preserve">: </w:t>
      </w:r>
      <w:r w:rsidRPr="006F616E">
        <w:rPr>
          <w:rFonts w:eastAsia="Times New Roman" w:cs="Times New Roman"/>
          <w:b/>
          <w:sz w:val="24"/>
          <w:szCs w:val="24"/>
          <w:lang w:val="ro-RO" w:eastAsia="ar-SA"/>
        </w:rPr>
        <w:t xml:space="preserve">produs </w:t>
      </w:r>
      <w:r w:rsidRPr="005F4A26">
        <w:rPr>
          <w:rFonts w:eastAsia="Times New Roman" w:cs="Times New Roman"/>
          <w:b/>
          <w:sz w:val="24"/>
          <w:szCs w:val="24"/>
          <w:lang w:val="ro-RO" w:eastAsia="ar-SA"/>
        </w:rPr>
        <w:t>tradiţional, rețeta consacrată românească,</w:t>
      </w:r>
      <w:r w:rsidRPr="005F4A26">
        <w:rPr>
          <w:rFonts w:eastAsia="Times New Roman" w:cs="Times New Roman"/>
          <w:sz w:val="24"/>
          <w:szCs w:val="24"/>
          <w:lang w:val="ro-RO" w:eastAsia="ar-SA"/>
        </w:rPr>
        <w:t xml:space="preserve"> </w:t>
      </w:r>
      <w:r>
        <w:rPr>
          <w:rFonts w:eastAsia="Times New Roman" w:cs="Times New Roman"/>
          <w:b/>
          <w:sz w:val="24"/>
          <w:szCs w:val="24"/>
          <w:lang w:val="ro-RO" w:eastAsia="ar-SA"/>
        </w:rPr>
        <w:t xml:space="preserve">denumire de origine </w:t>
      </w:r>
      <w:r w:rsidRPr="006F616E">
        <w:rPr>
          <w:rFonts w:eastAsia="Times New Roman" w:cs="Times New Roman"/>
          <w:b/>
          <w:sz w:val="24"/>
          <w:szCs w:val="24"/>
          <w:lang w:val="ro-RO" w:eastAsia="ar-SA"/>
        </w:rPr>
        <w:t>protejat</w:t>
      </w:r>
      <w:r>
        <w:rPr>
          <w:rFonts w:eastAsia="Times New Roman" w:cs="Times New Roman"/>
          <w:b/>
          <w:sz w:val="24"/>
          <w:szCs w:val="24"/>
          <w:lang w:val="ro-RO" w:eastAsia="ar-SA"/>
        </w:rPr>
        <w:t>ă (DOP)</w:t>
      </w:r>
      <w:r>
        <w:rPr>
          <w:rFonts w:eastAsia="Times New Roman" w:cs="Times New Roman"/>
          <w:sz w:val="24"/>
          <w:szCs w:val="24"/>
          <w:lang w:val="ro-RO" w:eastAsia="ar-SA"/>
        </w:rPr>
        <w:t xml:space="preserve">, </w:t>
      </w:r>
      <w:r w:rsidRPr="006F616E">
        <w:rPr>
          <w:rFonts w:eastAsia="Times New Roman" w:cs="Times New Roman"/>
          <w:b/>
          <w:sz w:val="24"/>
          <w:szCs w:val="24"/>
          <w:lang w:val="ro-RO" w:eastAsia="ar-SA"/>
        </w:rPr>
        <w:t>indicaţie geografică protejată</w:t>
      </w:r>
      <w:r>
        <w:rPr>
          <w:rFonts w:eastAsia="Times New Roman" w:cs="Times New Roman"/>
          <w:b/>
          <w:sz w:val="24"/>
          <w:szCs w:val="24"/>
          <w:lang w:val="ro-RO" w:eastAsia="ar-SA"/>
        </w:rPr>
        <w:t xml:space="preserve"> (IGP)</w:t>
      </w:r>
      <w:r>
        <w:rPr>
          <w:rFonts w:eastAsia="Times New Roman" w:cs="Times New Roman"/>
          <w:sz w:val="24"/>
          <w:szCs w:val="24"/>
          <w:lang w:val="ro-RO" w:eastAsia="ar-SA"/>
        </w:rPr>
        <w:t xml:space="preserve">, </w:t>
      </w:r>
      <w:r w:rsidRPr="006F616E">
        <w:rPr>
          <w:rFonts w:eastAsia="Times New Roman" w:cs="Times New Roman"/>
          <w:b/>
          <w:sz w:val="24"/>
          <w:szCs w:val="24"/>
          <w:lang w:val="ro-RO" w:eastAsia="ar-SA"/>
        </w:rPr>
        <w:t>specialitate tradiţională garantată</w:t>
      </w:r>
      <w:r>
        <w:rPr>
          <w:rFonts w:eastAsia="Times New Roman" w:cs="Times New Roman"/>
          <w:b/>
          <w:sz w:val="24"/>
          <w:szCs w:val="24"/>
          <w:lang w:val="ro-RO" w:eastAsia="ar-SA"/>
        </w:rPr>
        <w:t xml:space="preserve"> (STG)</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PRODUS TRADIŢIONAL este un p</w:t>
      </w:r>
      <w:r w:rsidRPr="004A69E1">
        <w:rPr>
          <w:rFonts w:eastAsia="Times New Roman" w:cs="Times New Roman"/>
          <w:sz w:val="24"/>
          <w:szCs w:val="24"/>
          <w:lang w:val="ro-RO" w:eastAsia="ar-SA"/>
        </w:rPr>
        <w:t>rodus alimentar fabricat pe teritor</w:t>
      </w:r>
      <w:r>
        <w:rPr>
          <w:rFonts w:eastAsia="Times New Roman" w:cs="Times New Roman"/>
          <w:sz w:val="24"/>
          <w:szCs w:val="24"/>
          <w:lang w:val="ro-RO" w:eastAsia="ar-SA"/>
        </w:rPr>
        <w:t xml:space="preserve">iul naţional şi pentru care se </w:t>
      </w:r>
      <w:r w:rsidRPr="004A69E1">
        <w:rPr>
          <w:rFonts w:eastAsia="Times New Roman" w:cs="Times New Roman"/>
          <w:sz w:val="24"/>
          <w:szCs w:val="24"/>
          <w:lang w:val="ro-RO" w:eastAsia="ar-SA"/>
        </w:rPr>
        <w:t>utilizează materii prime locale; care nu are în compoziţia lui aditivi alimentari; care prezintă o reţetă tradiţională; un mod de producţie şi/sau de prelucrare şi un procedeu tehnologic tradiţional şi care se distinge de alte produse similare aparţinând aceleiaşi categorii (din proiectul de ordin care este în avizare)</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5F4A26">
        <w:rPr>
          <w:rFonts w:eastAsia="Times New Roman" w:cs="Times New Roman"/>
          <w:sz w:val="24"/>
          <w:szCs w:val="24"/>
          <w:lang w:val="ro-RO" w:eastAsia="ar-SA"/>
        </w:rPr>
        <w:t>REȚETA CONSACRATĂ ROMÂNEASCĂ reprezintă produsul alimentar românesc fabricat cu respectarea compoziției utilizate cu mai mult de 30 de ani înainte de data intrării în vigoare a Ordinului privind atestarea produselor alimentare obținute conform rețetelor consacrate românești (2 aprilie 2014), la care operatorii din sectorul alimentar aderă voluntar în vederea înregistrării în Registrul Național al Rețetelor Consacrate (RNRC).</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DENUMIRE DE ORIGINE PROTEJATA primeşte un p</w:t>
      </w:r>
      <w:r w:rsidRPr="004A69E1">
        <w:rPr>
          <w:rFonts w:eastAsia="Times New Roman" w:cs="Times New Roman"/>
          <w:sz w:val="24"/>
          <w:szCs w:val="24"/>
          <w:lang w:val="ro-RO" w:eastAsia="ar-SA"/>
        </w:rPr>
        <w:t>rodus originar dintr-un anumit loc, regiu</w:t>
      </w:r>
      <w:r>
        <w:rPr>
          <w:rFonts w:eastAsia="Times New Roman" w:cs="Times New Roman"/>
          <w:sz w:val="24"/>
          <w:szCs w:val="24"/>
          <w:lang w:val="ro-RO" w:eastAsia="ar-SA"/>
        </w:rPr>
        <w:t>ne, în cazuri excepţionale ţară, c</w:t>
      </w:r>
      <w:r w:rsidRPr="004A69E1">
        <w:rPr>
          <w:rFonts w:eastAsia="Times New Roman" w:cs="Times New Roman"/>
          <w:sz w:val="24"/>
          <w:szCs w:val="24"/>
          <w:lang w:val="ro-RO" w:eastAsia="ar-SA"/>
        </w:rPr>
        <w:t>alitatea sau caracteristicile produsului se datorează mediului geografic cu fac</w:t>
      </w:r>
      <w:r>
        <w:rPr>
          <w:rFonts w:eastAsia="Times New Roman" w:cs="Times New Roman"/>
          <w:sz w:val="24"/>
          <w:szCs w:val="24"/>
          <w:lang w:val="ro-RO" w:eastAsia="ar-SA"/>
        </w:rPr>
        <w:t>tori naturali şi umani proprii şi e</w:t>
      </w:r>
      <w:r w:rsidRPr="004A69E1">
        <w:rPr>
          <w:rFonts w:eastAsia="Times New Roman" w:cs="Times New Roman"/>
          <w:sz w:val="24"/>
          <w:szCs w:val="24"/>
          <w:lang w:val="ro-RO" w:eastAsia="ar-SA"/>
        </w:rPr>
        <w:t>tapele de producţie se desfăşoară, toate, în zona geografică delimitată</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INDICAŢIE GEOGRAFICĂ PROTEJATĂ primeşte un p</w:t>
      </w:r>
      <w:r w:rsidRPr="004A69E1">
        <w:rPr>
          <w:rFonts w:eastAsia="Times New Roman" w:cs="Times New Roman"/>
          <w:sz w:val="24"/>
          <w:szCs w:val="24"/>
          <w:lang w:val="ro-RO" w:eastAsia="ar-SA"/>
        </w:rPr>
        <w:t>rodus originar dintr-u</w:t>
      </w:r>
      <w:r>
        <w:rPr>
          <w:rFonts w:eastAsia="Times New Roman" w:cs="Times New Roman"/>
          <w:sz w:val="24"/>
          <w:szCs w:val="24"/>
          <w:lang w:val="ro-RO" w:eastAsia="ar-SA"/>
        </w:rPr>
        <w:t xml:space="preserve">n anumit loc, regiune sau ţară, o </w:t>
      </w:r>
      <w:r w:rsidRPr="004A69E1">
        <w:rPr>
          <w:rFonts w:eastAsia="Times New Roman" w:cs="Times New Roman"/>
          <w:sz w:val="24"/>
          <w:szCs w:val="24"/>
          <w:lang w:val="ro-RO" w:eastAsia="ar-SA"/>
        </w:rPr>
        <w:t xml:space="preserve">anumită calitate, reputaţie sau o altă caracteristică poate fi atribuită în principal </w:t>
      </w:r>
      <w:r w:rsidRPr="004A69E1">
        <w:rPr>
          <w:rFonts w:eastAsia="Times New Roman" w:cs="Times New Roman"/>
          <w:sz w:val="24"/>
          <w:szCs w:val="24"/>
          <w:lang w:val="ro-RO" w:eastAsia="ar-SA"/>
        </w:rPr>
        <w:lastRenderedPageBreak/>
        <w:t>o</w:t>
      </w:r>
      <w:r>
        <w:rPr>
          <w:rFonts w:eastAsia="Times New Roman" w:cs="Times New Roman"/>
          <w:sz w:val="24"/>
          <w:szCs w:val="24"/>
          <w:lang w:val="ro-RO" w:eastAsia="ar-SA"/>
        </w:rPr>
        <w:t>riginii geografice a produsului</w:t>
      </w:r>
      <w:r w:rsidRPr="004A69E1">
        <w:rPr>
          <w:rFonts w:eastAsia="Times New Roman" w:cs="Times New Roman"/>
          <w:sz w:val="24"/>
          <w:szCs w:val="24"/>
          <w:lang w:val="ro-RO" w:eastAsia="ar-SA"/>
        </w:rPr>
        <w:t xml:space="preserve"> şi</w:t>
      </w:r>
      <w:r>
        <w:rPr>
          <w:rFonts w:eastAsia="Times New Roman" w:cs="Times New Roman"/>
          <w:sz w:val="24"/>
          <w:szCs w:val="24"/>
          <w:lang w:val="ro-RO" w:eastAsia="ar-SA"/>
        </w:rPr>
        <w:t xml:space="preserve"> c</w:t>
      </w:r>
      <w:r w:rsidRPr="004A69E1">
        <w:rPr>
          <w:rFonts w:eastAsia="Times New Roman" w:cs="Times New Roman"/>
          <w:sz w:val="24"/>
          <w:szCs w:val="24"/>
          <w:lang w:val="ro-RO" w:eastAsia="ar-SA"/>
        </w:rPr>
        <w:t>el puţin una dintre etapele de producţie se desfăşoară în zona geografică delimitată</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4A69E1">
        <w:rPr>
          <w:rFonts w:eastAsia="Times New Roman" w:cs="Times New Roman"/>
          <w:sz w:val="24"/>
          <w:szCs w:val="24"/>
          <w:lang w:val="ro-RO" w:eastAsia="ar-SA"/>
        </w:rPr>
        <w:t>SPEC</w:t>
      </w:r>
      <w:r>
        <w:rPr>
          <w:rFonts w:eastAsia="Times New Roman" w:cs="Times New Roman"/>
          <w:sz w:val="24"/>
          <w:szCs w:val="24"/>
          <w:lang w:val="ro-RO" w:eastAsia="ar-SA"/>
        </w:rPr>
        <w:t>IALITATE TRADIŢIONALĂ GARANTATĂ primeşte p</w:t>
      </w:r>
      <w:r w:rsidRPr="004A69E1">
        <w:rPr>
          <w:rFonts w:eastAsia="Times New Roman" w:cs="Times New Roman"/>
          <w:sz w:val="24"/>
          <w:szCs w:val="24"/>
          <w:lang w:val="ro-RO" w:eastAsia="ar-SA"/>
        </w:rPr>
        <w:t xml:space="preserve">rodusul </w:t>
      </w:r>
      <w:r>
        <w:rPr>
          <w:rFonts w:eastAsia="Times New Roman" w:cs="Times New Roman"/>
          <w:sz w:val="24"/>
          <w:szCs w:val="24"/>
          <w:lang w:val="ro-RO" w:eastAsia="ar-SA"/>
        </w:rPr>
        <w:t xml:space="preserve">ce </w:t>
      </w:r>
      <w:r w:rsidRPr="004A69E1">
        <w:rPr>
          <w:rFonts w:eastAsia="Times New Roman" w:cs="Times New Roman"/>
          <w:sz w:val="24"/>
          <w:szCs w:val="24"/>
          <w:lang w:val="ro-RO" w:eastAsia="ar-SA"/>
        </w:rPr>
        <w:t>rezultă în urma unui proces de producţie, de prelucrare sau a unei compoziţii care corespunde practicii tradiţionale pentru produsul sau</w:t>
      </w:r>
      <w:r>
        <w:rPr>
          <w:rFonts w:eastAsia="Times New Roman" w:cs="Times New Roman"/>
          <w:sz w:val="24"/>
          <w:szCs w:val="24"/>
          <w:lang w:val="ro-RO" w:eastAsia="ar-SA"/>
        </w:rPr>
        <w:t xml:space="preserve"> alimentul respectiv; p</w:t>
      </w:r>
      <w:r w:rsidRPr="004A69E1">
        <w:rPr>
          <w:rFonts w:eastAsia="Times New Roman" w:cs="Times New Roman"/>
          <w:sz w:val="24"/>
          <w:szCs w:val="24"/>
          <w:lang w:val="ro-RO" w:eastAsia="ar-SA"/>
        </w:rPr>
        <w:t>rodus specific sau aliment produs din materii prime sau ingrediente utilizate în mod tradiţional</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977EEB">
        <w:rPr>
          <w:rFonts w:eastAsia="Times New Roman" w:cs="Times New Roman"/>
          <w:sz w:val="24"/>
          <w:szCs w:val="24"/>
          <w:lang w:val="ro-RO" w:eastAsia="ar-SA"/>
        </w:rPr>
        <w:t xml:space="preserve">Din totalul de </w:t>
      </w:r>
      <w:r w:rsidRPr="00944796">
        <w:rPr>
          <w:rFonts w:eastAsia="Times New Roman" w:cs="Times New Roman"/>
          <w:b/>
          <w:sz w:val="24"/>
          <w:szCs w:val="24"/>
          <w:lang w:val="ro-RO" w:eastAsia="ar-SA"/>
        </w:rPr>
        <w:t>542 de produse tradiţionale</w:t>
      </w:r>
      <w:r w:rsidRPr="00977EEB">
        <w:rPr>
          <w:rFonts w:eastAsia="Times New Roman" w:cs="Times New Roman"/>
          <w:sz w:val="24"/>
          <w:szCs w:val="24"/>
          <w:lang w:val="ro-RO" w:eastAsia="ar-SA"/>
        </w:rPr>
        <w:t xml:space="preserve"> din Registrul Naţional al Produselor Tradiţionale (RNPT) conform ordinului nr. 724 din 29 iulie 2013 privind atestarea produselor tradiţionale, atestate până în luna august 2016, aproximativ </w:t>
      </w:r>
      <w:r w:rsidRPr="00944796">
        <w:rPr>
          <w:rFonts w:eastAsia="Times New Roman" w:cs="Times New Roman"/>
          <w:b/>
          <w:sz w:val="24"/>
          <w:szCs w:val="24"/>
          <w:lang w:val="ro-RO" w:eastAsia="ar-SA"/>
        </w:rPr>
        <w:t>45%, adică 242 de produse tradiţionale, sunt din cele şase judeţe ale Regiunii Centru</w:t>
      </w:r>
      <w:r w:rsidRPr="00977EEB">
        <w:rPr>
          <w:rFonts w:eastAsia="Times New Roman" w:cs="Times New Roman"/>
          <w:sz w:val="24"/>
          <w:szCs w:val="24"/>
          <w:lang w:val="ro-RO" w:eastAsia="ar-SA"/>
        </w:rPr>
        <w:t xml:space="preserve">. Cel mai mare este deţinut de </w:t>
      </w:r>
      <w:r w:rsidRPr="00944796">
        <w:rPr>
          <w:rFonts w:eastAsia="Times New Roman" w:cs="Times New Roman"/>
          <w:b/>
          <w:sz w:val="24"/>
          <w:szCs w:val="24"/>
          <w:lang w:val="ro-RO" w:eastAsia="ar-SA"/>
        </w:rPr>
        <w:t>produsele din carne (104)</w:t>
      </w:r>
      <w:r w:rsidRPr="00977EEB">
        <w:rPr>
          <w:rFonts w:eastAsia="Times New Roman" w:cs="Times New Roman"/>
          <w:sz w:val="24"/>
          <w:szCs w:val="24"/>
          <w:lang w:val="ro-RO" w:eastAsia="ar-SA"/>
        </w:rPr>
        <w:t xml:space="preserve">, urmat de produsele din lapte (60), produsele de panificaţie şi patiserie (52). </w:t>
      </w:r>
      <w:r>
        <w:rPr>
          <w:rFonts w:eastAsia="Times New Roman" w:cs="Times New Roman"/>
          <w:sz w:val="24"/>
          <w:szCs w:val="24"/>
          <w:lang w:val="ro-RO" w:eastAsia="ar-SA"/>
        </w:rPr>
        <w:t xml:space="preserve">Judeţul cu cele mai multe produse tradiţionale înregistrate este </w:t>
      </w:r>
      <w:r w:rsidRPr="00944796">
        <w:rPr>
          <w:rFonts w:eastAsia="Times New Roman" w:cs="Times New Roman"/>
          <w:b/>
          <w:sz w:val="24"/>
          <w:szCs w:val="24"/>
          <w:lang w:val="ro-RO" w:eastAsia="ar-SA"/>
        </w:rPr>
        <w:t>Braşovul (158 de produse tradiţionale înregistrate)</w:t>
      </w:r>
      <w:r>
        <w:rPr>
          <w:rFonts w:eastAsia="Times New Roman" w:cs="Times New Roman"/>
          <w:sz w:val="24"/>
          <w:szCs w:val="24"/>
          <w:lang w:val="ro-RO" w:eastAsia="ar-SA"/>
        </w:rPr>
        <w:t>, urmat de judeţul Alba (48 de produse tradiţionale înregistrate) şi judeţul Covasna (21 de produse tradiţionale înregistrate).</w:t>
      </w:r>
    </w:p>
    <w:p w:rsidR="00064502" w:rsidRPr="0073222F"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 xml:space="preserve">Din anul 2014 până în prezent (iulie 2016) la nivel naţional s-au înregistrat </w:t>
      </w:r>
      <w:r w:rsidRPr="00B6201F">
        <w:rPr>
          <w:rFonts w:eastAsia="Times New Roman" w:cs="Times New Roman"/>
          <w:b/>
          <w:sz w:val="24"/>
          <w:szCs w:val="24"/>
          <w:lang w:val="ro-RO" w:eastAsia="ar-SA"/>
        </w:rPr>
        <w:t>116 reţete consacrate româneşti</w:t>
      </w:r>
      <w:r>
        <w:rPr>
          <w:rFonts w:eastAsia="Times New Roman" w:cs="Times New Roman"/>
          <w:b/>
          <w:sz w:val="24"/>
          <w:szCs w:val="24"/>
          <w:lang w:val="ro-RO" w:eastAsia="ar-SA"/>
        </w:rPr>
        <w:t xml:space="preserve"> </w:t>
      </w:r>
      <w:r w:rsidRPr="00B6201F">
        <w:rPr>
          <w:rFonts w:eastAsia="Times New Roman" w:cs="Times New Roman"/>
          <w:sz w:val="24"/>
          <w:szCs w:val="24"/>
          <w:lang w:val="ro-RO" w:eastAsia="ar-SA"/>
        </w:rPr>
        <w:t>din care 21</w:t>
      </w:r>
      <w:r>
        <w:rPr>
          <w:rFonts w:eastAsia="Times New Roman" w:cs="Times New Roman"/>
          <w:sz w:val="24"/>
          <w:szCs w:val="24"/>
          <w:lang w:val="ro-RO" w:eastAsia="ar-SA"/>
        </w:rPr>
        <w:t xml:space="preserve"> au fost înregistrate de firme cu sediul social pe teritoriul Regiunii Centru. Cele mai multe produse sunt din lapte (9 produse) sau din carne (9 produse)  urmate de produsele de panificaţie. Printre </w:t>
      </w:r>
      <w:r w:rsidRPr="003A31B1">
        <w:rPr>
          <w:rFonts w:eastAsia="Times New Roman" w:cs="Times New Roman"/>
          <w:b/>
          <w:sz w:val="24"/>
          <w:szCs w:val="24"/>
          <w:lang w:val="ro-RO" w:eastAsia="ar-SA"/>
        </w:rPr>
        <w:t>firmele care şi-au înregistrat produsele</w:t>
      </w:r>
      <w:r>
        <w:rPr>
          <w:rFonts w:eastAsia="Times New Roman" w:cs="Times New Roman"/>
          <w:sz w:val="24"/>
          <w:szCs w:val="24"/>
          <w:lang w:val="ro-RO" w:eastAsia="ar-SA"/>
        </w:rPr>
        <w:t xml:space="preserve"> în</w:t>
      </w:r>
      <w:r w:rsidRPr="005F4A26">
        <w:rPr>
          <w:rFonts w:eastAsia="Times New Roman" w:cs="Times New Roman"/>
          <w:sz w:val="24"/>
          <w:szCs w:val="24"/>
          <w:lang w:val="ro-RO" w:eastAsia="ar-SA"/>
        </w:rPr>
        <w:t xml:space="preserve"> Registrul Național al Rețetelor Consacrate</w:t>
      </w:r>
      <w:r>
        <w:rPr>
          <w:rFonts w:eastAsia="Times New Roman" w:cs="Times New Roman"/>
          <w:sz w:val="24"/>
          <w:szCs w:val="24"/>
          <w:lang w:val="ro-RO" w:eastAsia="ar-SA"/>
        </w:rPr>
        <w:t xml:space="preserve"> se numără: </w:t>
      </w:r>
      <w:r w:rsidRPr="0073222F">
        <w:rPr>
          <w:rFonts w:eastAsia="Times New Roman" w:cs="Times New Roman"/>
          <w:sz w:val="24"/>
          <w:szCs w:val="24"/>
          <w:lang w:val="ro-RO" w:eastAsia="ar-SA"/>
        </w:rPr>
        <w:t>S.C. SCANDIA FOOD</w:t>
      </w:r>
      <w:r>
        <w:rPr>
          <w:rFonts w:eastAsia="Times New Roman" w:cs="Times New Roman"/>
          <w:sz w:val="24"/>
          <w:szCs w:val="24"/>
          <w:lang w:val="ro-RO" w:eastAsia="ar-SA"/>
        </w:rPr>
        <w:t xml:space="preserve"> </w:t>
      </w:r>
      <w:r w:rsidRPr="0073222F">
        <w:rPr>
          <w:rFonts w:eastAsia="Times New Roman" w:cs="Times New Roman"/>
          <w:sz w:val="24"/>
          <w:szCs w:val="24"/>
          <w:lang w:val="ro-RO" w:eastAsia="ar-SA"/>
        </w:rPr>
        <w:t xml:space="preserve">S.R.L. </w:t>
      </w:r>
      <w:r>
        <w:rPr>
          <w:rFonts w:eastAsia="Times New Roman" w:cs="Times New Roman"/>
          <w:sz w:val="24"/>
          <w:szCs w:val="24"/>
          <w:lang w:val="ro-RO" w:eastAsia="ar-SA"/>
        </w:rPr>
        <w:t xml:space="preserve">(jud. Sibiu), </w:t>
      </w:r>
      <w:r w:rsidRPr="0073222F">
        <w:rPr>
          <w:rFonts w:eastAsia="Times New Roman" w:cs="Times New Roman"/>
          <w:sz w:val="24"/>
          <w:szCs w:val="24"/>
          <w:lang w:val="ro-RO" w:eastAsia="ar-SA"/>
        </w:rPr>
        <w:t>Î.I. BENDIC ILIE</w:t>
      </w:r>
      <w:r>
        <w:rPr>
          <w:rFonts w:eastAsia="Times New Roman" w:cs="Times New Roman"/>
          <w:sz w:val="24"/>
          <w:szCs w:val="24"/>
          <w:lang w:val="ro-RO" w:eastAsia="ar-SA"/>
        </w:rPr>
        <w:t xml:space="preserve"> </w:t>
      </w:r>
      <w:r w:rsidRPr="0073222F">
        <w:rPr>
          <w:rFonts w:eastAsia="Times New Roman" w:cs="Times New Roman"/>
          <w:sz w:val="24"/>
          <w:szCs w:val="24"/>
          <w:lang w:val="ro-RO" w:eastAsia="ar-SA"/>
        </w:rPr>
        <w:t>CĂLIN</w:t>
      </w:r>
      <w:r>
        <w:rPr>
          <w:rFonts w:eastAsia="Times New Roman" w:cs="Times New Roman"/>
          <w:sz w:val="24"/>
          <w:szCs w:val="24"/>
          <w:lang w:val="ro-RO" w:eastAsia="ar-SA"/>
        </w:rPr>
        <w:t xml:space="preserve"> (jud. Sibiu),</w:t>
      </w:r>
      <w:r w:rsidRPr="0073222F">
        <w:t xml:space="preserve"> </w:t>
      </w:r>
      <w:r w:rsidRPr="0073222F">
        <w:rPr>
          <w:rFonts w:eastAsia="Times New Roman" w:cs="Times New Roman"/>
          <w:sz w:val="24"/>
          <w:szCs w:val="24"/>
          <w:lang w:val="ro-RO" w:eastAsia="ar-SA"/>
        </w:rPr>
        <w:t>S.C. MIRDATOD</w:t>
      </w:r>
      <w:r>
        <w:rPr>
          <w:rFonts w:eastAsia="Times New Roman" w:cs="Times New Roman"/>
          <w:sz w:val="24"/>
          <w:szCs w:val="24"/>
          <w:lang w:val="ro-RO" w:eastAsia="ar-SA"/>
        </w:rPr>
        <w:t xml:space="preserve"> </w:t>
      </w:r>
      <w:r w:rsidRPr="0073222F">
        <w:rPr>
          <w:rFonts w:eastAsia="Times New Roman" w:cs="Times New Roman"/>
          <w:sz w:val="24"/>
          <w:szCs w:val="24"/>
          <w:lang w:val="ro-RO" w:eastAsia="ar-SA"/>
        </w:rPr>
        <w:t>PROD S.R.L</w:t>
      </w:r>
      <w:r>
        <w:rPr>
          <w:rFonts w:eastAsia="Times New Roman" w:cs="Times New Roman"/>
          <w:sz w:val="24"/>
          <w:szCs w:val="24"/>
          <w:lang w:val="ro-RO" w:eastAsia="ar-SA"/>
        </w:rPr>
        <w:t xml:space="preserve"> (jud. Mureş),</w:t>
      </w:r>
      <w:r w:rsidRPr="003A31B1">
        <w:t xml:space="preserve"> </w:t>
      </w:r>
      <w:r w:rsidRPr="003A31B1">
        <w:rPr>
          <w:rFonts w:eastAsia="Times New Roman" w:cs="Times New Roman"/>
          <w:sz w:val="24"/>
          <w:szCs w:val="24"/>
          <w:lang w:val="ro-RO" w:eastAsia="ar-SA"/>
        </w:rPr>
        <w:t>S.C.BOMILACT</w:t>
      </w:r>
      <w:r>
        <w:rPr>
          <w:rFonts w:eastAsia="Times New Roman" w:cs="Times New Roman"/>
          <w:sz w:val="24"/>
          <w:szCs w:val="24"/>
          <w:lang w:val="ro-RO" w:eastAsia="ar-SA"/>
        </w:rPr>
        <w:t xml:space="preserve"> </w:t>
      </w:r>
      <w:r w:rsidRPr="003A31B1">
        <w:rPr>
          <w:rFonts w:eastAsia="Times New Roman" w:cs="Times New Roman"/>
          <w:sz w:val="24"/>
          <w:szCs w:val="24"/>
          <w:lang w:val="ro-RO" w:eastAsia="ar-SA"/>
        </w:rPr>
        <w:t xml:space="preserve">MĂDĂRAȘ S.R.L. </w:t>
      </w:r>
      <w:r>
        <w:rPr>
          <w:rFonts w:eastAsia="Times New Roman" w:cs="Times New Roman"/>
          <w:sz w:val="24"/>
          <w:szCs w:val="24"/>
          <w:lang w:val="ro-RO" w:eastAsia="ar-SA"/>
        </w:rPr>
        <w:t xml:space="preserve">(jud. Harghita), </w:t>
      </w:r>
      <w:r w:rsidRPr="003A31B1">
        <w:rPr>
          <w:rFonts w:eastAsia="Times New Roman" w:cs="Times New Roman"/>
          <w:sz w:val="24"/>
          <w:szCs w:val="24"/>
          <w:lang w:val="ro-RO" w:eastAsia="ar-SA"/>
        </w:rPr>
        <w:t>S.C.</w:t>
      </w:r>
      <w:r>
        <w:rPr>
          <w:rFonts w:eastAsia="Times New Roman" w:cs="Times New Roman"/>
          <w:sz w:val="24"/>
          <w:szCs w:val="24"/>
          <w:lang w:val="ro-RO" w:eastAsia="ar-SA"/>
        </w:rPr>
        <w:t xml:space="preserve"> </w:t>
      </w:r>
      <w:r w:rsidRPr="003A31B1">
        <w:rPr>
          <w:rFonts w:eastAsia="Times New Roman" w:cs="Times New Roman"/>
          <w:sz w:val="24"/>
          <w:szCs w:val="24"/>
          <w:lang w:val="ro-RO" w:eastAsia="ar-SA"/>
        </w:rPr>
        <w:t>INDUSTRIALIZAREA</w:t>
      </w:r>
      <w:r>
        <w:rPr>
          <w:rFonts w:eastAsia="Times New Roman" w:cs="Times New Roman"/>
          <w:sz w:val="24"/>
          <w:szCs w:val="24"/>
          <w:lang w:val="ro-RO" w:eastAsia="ar-SA"/>
        </w:rPr>
        <w:t xml:space="preserve"> </w:t>
      </w:r>
      <w:r w:rsidRPr="003A31B1">
        <w:rPr>
          <w:rFonts w:eastAsia="Times New Roman" w:cs="Times New Roman"/>
          <w:sz w:val="24"/>
          <w:szCs w:val="24"/>
          <w:lang w:val="ro-RO" w:eastAsia="ar-SA"/>
        </w:rPr>
        <w:t>LAPTELUI MUREȘ</w:t>
      </w:r>
      <w:r>
        <w:rPr>
          <w:rFonts w:eastAsia="Times New Roman" w:cs="Times New Roman"/>
          <w:sz w:val="24"/>
          <w:szCs w:val="24"/>
          <w:lang w:val="ro-RO" w:eastAsia="ar-SA"/>
        </w:rPr>
        <w:t xml:space="preserve"> </w:t>
      </w:r>
      <w:r w:rsidRPr="003A31B1">
        <w:rPr>
          <w:rFonts w:eastAsia="Times New Roman" w:cs="Times New Roman"/>
          <w:sz w:val="24"/>
          <w:szCs w:val="24"/>
          <w:lang w:val="ro-RO" w:eastAsia="ar-SA"/>
        </w:rPr>
        <w:t xml:space="preserve">S.A. </w:t>
      </w:r>
      <w:r>
        <w:rPr>
          <w:rFonts w:eastAsia="Times New Roman" w:cs="Times New Roman"/>
          <w:sz w:val="24"/>
          <w:szCs w:val="24"/>
          <w:lang w:val="ro-RO" w:eastAsia="ar-SA"/>
        </w:rPr>
        <w:t xml:space="preserve">(jud. Mureş), </w:t>
      </w:r>
      <w:r w:rsidRPr="0073222F">
        <w:rPr>
          <w:rFonts w:eastAsia="Times New Roman" w:cs="Times New Roman"/>
          <w:sz w:val="24"/>
          <w:szCs w:val="24"/>
          <w:lang w:val="ro-RO" w:eastAsia="ar-SA"/>
        </w:rPr>
        <w:t>S.C. SIMPA S.A.</w:t>
      </w:r>
      <w:r>
        <w:rPr>
          <w:rFonts w:eastAsia="Times New Roman" w:cs="Times New Roman"/>
          <w:sz w:val="24"/>
          <w:szCs w:val="24"/>
          <w:lang w:val="ro-RO" w:eastAsia="ar-SA"/>
        </w:rPr>
        <w:t xml:space="preserve"> (jud. Sibiu), </w:t>
      </w:r>
      <w:r w:rsidRPr="0073222F">
        <w:rPr>
          <w:rFonts w:eastAsia="Times New Roman" w:cs="Times New Roman"/>
          <w:sz w:val="24"/>
          <w:szCs w:val="24"/>
          <w:lang w:val="ro-RO" w:eastAsia="ar-SA"/>
        </w:rPr>
        <w:t>S.C. SITEMANI S.R.L.</w:t>
      </w:r>
      <w:r>
        <w:rPr>
          <w:rFonts w:eastAsia="Times New Roman" w:cs="Times New Roman"/>
          <w:sz w:val="24"/>
          <w:szCs w:val="24"/>
          <w:lang w:val="ro-RO" w:eastAsia="ar-SA"/>
        </w:rPr>
        <w:t xml:space="preserve"> (jud. Braşov), </w:t>
      </w:r>
      <w:r w:rsidRPr="0073222F">
        <w:rPr>
          <w:rFonts w:eastAsia="Times New Roman" w:cs="Times New Roman"/>
          <w:sz w:val="24"/>
          <w:szCs w:val="24"/>
          <w:lang w:val="ro-RO" w:eastAsia="ar-SA"/>
        </w:rPr>
        <w:t>S.C. SANLACTA S.A.</w:t>
      </w:r>
      <w:r>
        <w:rPr>
          <w:rFonts w:eastAsia="Times New Roman" w:cs="Times New Roman"/>
          <w:sz w:val="24"/>
          <w:szCs w:val="24"/>
          <w:lang w:val="ro-RO" w:eastAsia="ar-SA"/>
        </w:rPr>
        <w:t xml:space="preserve"> (jud. Mureş) şi S.C. PÎINEA DE CASĂ </w:t>
      </w:r>
      <w:r w:rsidRPr="0073222F">
        <w:rPr>
          <w:rFonts w:eastAsia="Times New Roman" w:cs="Times New Roman"/>
          <w:sz w:val="24"/>
          <w:szCs w:val="24"/>
          <w:lang w:val="ro-RO" w:eastAsia="ar-SA"/>
        </w:rPr>
        <w:t xml:space="preserve">S.R.L. </w:t>
      </w:r>
      <w:r>
        <w:rPr>
          <w:rFonts w:eastAsia="Times New Roman" w:cs="Times New Roman"/>
          <w:sz w:val="24"/>
          <w:szCs w:val="24"/>
          <w:lang w:val="ro-RO" w:eastAsia="ar-SA"/>
        </w:rPr>
        <w:t>(jud. Mureş).</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 xml:space="preserve">În ceea ce priveşte </w:t>
      </w:r>
      <w:r w:rsidRPr="00405322">
        <w:rPr>
          <w:rFonts w:eastAsia="Times New Roman" w:cs="Times New Roman"/>
          <w:b/>
          <w:sz w:val="24"/>
          <w:szCs w:val="24"/>
          <w:lang w:val="ro-RO" w:eastAsia="ar-SA"/>
        </w:rPr>
        <w:t>produsele alimentare cu Indicaţie Geografică</w:t>
      </w:r>
      <w:r>
        <w:rPr>
          <w:rFonts w:eastAsia="Times New Roman" w:cs="Times New Roman"/>
          <w:sz w:val="24"/>
          <w:szCs w:val="24"/>
          <w:lang w:val="ro-RO" w:eastAsia="ar-SA"/>
        </w:rPr>
        <w:t>,</w:t>
      </w:r>
      <w:r w:rsidRPr="00405322">
        <w:rPr>
          <w:rFonts w:eastAsia="Times New Roman" w:cs="Times New Roman"/>
          <w:sz w:val="24"/>
          <w:szCs w:val="24"/>
          <w:lang w:val="ro-RO" w:eastAsia="ar-SA"/>
        </w:rPr>
        <w:t xml:space="preserve"> </w:t>
      </w:r>
      <w:r>
        <w:rPr>
          <w:rFonts w:eastAsia="Times New Roman" w:cs="Times New Roman"/>
          <w:sz w:val="24"/>
          <w:szCs w:val="24"/>
          <w:lang w:val="ro-RO" w:eastAsia="ar-SA"/>
        </w:rPr>
        <w:t>Romania are</w:t>
      </w:r>
      <w:r w:rsidRPr="004A69E1">
        <w:rPr>
          <w:rFonts w:eastAsia="Times New Roman" w:cs="Times New Roman"/>
          <w:sz w:val="24"/>
          <w:szCs w:val="24"/>
          <w:lang w:val="ro-RO" w:eastAsia="ar-SA"/>
        </w:rPr>
        <w:t xml:space="preserve"> la ora actu</w:t>
      </w:r>
      <w:r>
        <w:rPr>
          <w:rFonts w:eastAsia="Times New Roman" w:cs="Times New Roman"/>
          <w:sz w:val="24"/>
          <w:szCs w:val="24"/>
          <w:lang w:val="ro-RO" w:eastAsia="ar-SA"/>
        </w:rPr>
        <w:t>ală</w:t>
      </w:r>
      <w:r w:rsidRPr="004A69E1">
        <w:rPr>
          <w:rFonts w:eastAsia="Times New Roman" w:cs="Times New Roman"/>
          <w:sz w:val="24"/>
          <w:szCs w:val="24"/>
          <w:lang w:val="ro-RO" w:eastAsia="ar-SA"/>
        </w:rPr>
        <w:t xml:space="preserve"> </w:t>
      </w:r>
      <w:r>
        <w:rPr>
          <w:rFonts w:eastAsia="Times New Roman" w:cs="Times New Roman"/>
          <w:sz w:val="24"/>
          <w:szCs w:val="24"/>
          <w:lang w:val="ro-RO" w:eastAsia="ar-SA"/>
        </w:rPr>
        <w:t xml:space="preserve">(august 2016) </w:t>
      </w:r>
      <w:r w:rsidRPr="004A69E1">
        <w:rPr>
          <w:rFonts w:eastAsia="Times New Roman" w:cs="Times New Roman"/>
          <w:sz w:val="24"/>
          <w:szCs w:val="24"/>
          <w:lang w:val="ro-RO" w:eastAsia="ar-SA"/>
        </w:rPr>
        <w:t>trei produse recunoscute la nivel european</w:t>
      </w:r>
      <w:r>
        <w:rPr>
          <w:rFonts w:eastAsia="Times New Roman" w:cs="Times New Roman"/>
          <w:sz w:val="24"/>
          <w:szCs w:val="24"/>
          <w:lang w:val="ro-RO" w:eastAsia="ar-SA"/>
        </w:rPr>
        <w:t>, două dintre acestea avându-şi originile pe teritoriul Regiunii Centru. Produsele</w:t>
      </w:r>
      <w:r w:rsidRPr="004A69E1">
        <w:rPr>
          <w:rFonts w:eastAsia="Times New Roman" w:cs="Times New Roman"/>
          <w:sz w:val="24"/>
          <w:szCs w:val="24"/>
          <w:lang w:val="ro-RO" w:eastAsia="ar-SA"/>
        </w:rPr>
        <w:t xml:space="preserve"> omologa</w:t>
      </w:r>
      <w:r>
        <w:rPr>
          <w:rFonts w:eastAsia="Times New Roman" w:cs="Times New Roman"/>
          <w:sz w:val="24"/>
          <w:szCs w:val="24"/>
          <w:lang w:val="ro-RO" w:eastAsia="ar-SA"/>
        </w:rPr>
        <w:t xml:space="preserve">te la nivel european sunt </w:t>
      </w:r>
      <w:r w:rsidRPr="00405322">
        <w:rPr>
          <w:rFonts w:eastAsia="Times New Roman" w:cs="Times New Roman"/>
          <w:b/>
          <w:sz w:val="24"/>
          <w:szCs w:val="24"/>
          <w:lang w:val="ro-RO" w:eastAsia="ar-SA"/>
        </w:rPr>
        <w:t>Salamul de Sibiu</w:t>
      </w:r>
      <w:r>
        <w:rPr>
          <w:rFonts w:eastAsia="Times New Roman" w:cs="Times New Roman"/>
          <w:sz w:val="24"/>
          <w:szCs w:val="24"/>
          <w:lang w:val="ro-RO" w:eastAsia="ar-SA"/>
        </w:rPr>
        <w:t xml:space="preserve"> ca produs cu Indicaţie Geografica (IGP) şi </w:t>
      </w:r>
      <w:r w:rsidRPr="00405322">
        <w:rPr>
          <w:rFonts w:eastAsia="Times New Roman" w:cs="Times New Roman"/>
          <w:b/>
          <w:sz w:val="24"/>
          <w:szCs w:val="24"/>
          <w:lang w:val="ro-RO" w:eastAsia="ar-SA"/>
        </w:rPr>
        <w:t>Brânza Telemea de Ibăneşti</w:t>
      </w:r>
      <w:r w:rsidRPr="004A69E1">
        <w:rPr>
          <w:rFonts w:eastAsia="Times New Roman" w:cs="Times New Roman"/>
          <w:sz w:val="24"/>
          <w:szCs w:val="24"/>
          <w:lang w:val="ro-RO" w:eastAsia="ar-SA"/>
        </w:rPr>
        <w:t xml:space="preserve"> ca produs cu Denumire de Origine Protejata (DOP).</w:t>
      </w:r>
      <w:r>
        <w:rPr>
          <w:rFonts w:eastAsia="Times New Roman" w:cs="Times New Roman"/>
          <w:sz w:val="24"/>
          <w:szCs w:val="24"/>
          <w:lang w:val="ro-RO" w:eastAsia="ar-SA"/>
        </w:rPr>
        <w:t xml:space="preserve"> De asemenea, este în curs de analiză, la Comisia Europeană, documentaţia pentru î</w:t>
      </w:r>
      <w:r w:rsidRPr="00405322">
        <w:rPr>
          <w:rFonts w:eastAsia="Times New Roman" w:cs="Times New Roman"/>
          <w:sz w:val="24"/>
          <w:szCs w:val="24"/>
          <w:lang w:val="ro-RO" w:eastAsia="ar-SA"/>
        </w:rPr>
        <w:t>nregistrare conform sistemelor de c</w:t>
      </w:r>
      <w:r>
        <w:rPr>
          <w:rFonts w:eastAsia="Times New Roman" w:cs="Times New Roman"/>
          <w:sz w:val="24"/>
          <w:szCs w:val="24"/>
          <w:lang w:val="ro-RO" w:eastAsia="ar-SA"/>
        </w:rPr>
        <w:t xml:space="preserve">alitate europene a unui alt produs cu origini în Regiunea Centru şi anume </w:t>
      </w:r>
      <w:r w:rsidRPr="00405322">
        <w:rPr>
          <w:rFonts w:eastAsia="Times New Roman" w:cs="Times New Roman"/>
          <w:b/>
          <w:sz w:val="24"/>
          <w:szCs w:val="24"/>
          <w:lang w:val="ro-RO" w:eastAsia="ar-SA"/>
        </w:rPr>
        <w:t xml:space="preserve">Novac afumat </w:t>
      </w:r>
      <w:r>
        <w:rPr>
          <w:rFonts w:eastAsia="Times New Roman" w:cs="Times New Roman"/>
          <w:b/>
          <w:sz w:val="24"/>
          <w:szCs w:val="24"/>
          <w:lang w:val="ro-RO" w:eastAsia="ar-SA"/>
        </w:rPr>
        <w:t>din Ţara Bâ</w:t>
      </w:r>
      <w:r w:rsidRPr="00405322">
        <w:rPr>
          <w:rFonts w:eastAsia="Times New Roman" w:cs="Times New Roman"/>
          <w:b/>
          <w:sz w:val="24"/>
          <w:szCs w:val="24"/>
          <w:lang w:val="ro-RO" w:eastAsia="ar-SA"/>
        </w:rPr>
        <w:t>rsei</w:t>
      </w:r>
      <w:r>
        <w:rPr>
          <w:rFonts w:eastAsia="Times New Roman" w:cs="Times New Roman"/>
          <w:sz w:val="24"/>
          <w:szCs w:val="24"/>
          <w:lang w:val="ro-RO" w:eastAsia="ar-SA"/>
        </w:rPr>
        <w:t xml:space="preserve"> ca produs cu Indicaţie Geografica (</w:t>
      </w:r>
      <w:r w:rsidRPr="00405322">
        <w:rPr>
          <w:rFonts w:eastAsia="Times New Roman" w:cs="Times New Roman"/>
          <w:sz w:val="24"/>
          <w:szCs w:val="24"/>
          <w:lang w:val="ro-RO" w:eastAsia="ar-SA"/>
        </w:rPr>
        <w:t>IGP</w:t>
      </w:r>
      <w:r>
        <w:rPr>
          <w:rFonts w:eastAsia="Times New Roman" w:cs="Times New Roman"/>
          <w:sz w:val="24"/>
          <w:szCs w:val="24"/>
          <w:lang w:val="ro-RO" w:eastAsia="ar-SA"/>
        </w:rPr>
        <w:t>)</w:t>
      </w:r>
      <w:r w:rsidRPr="00405322">
        <w:rPr>
          <w:rFonts w:eastAsia="Times New Roman" w:cs="Times New Roman"/>
          <w:sz w:val="24"/>
          <w:szCs w:val="24"/>
          <w:lang w:val="ro-RO" w:eastAsia="ar-SA"/>
        </w:rPr>
        <w:t>.</w:t>
      </w:r>
    </w:p>
    <w:p w:rsidR="00064502" w:rsidRPr="001810AB" w:rsidRDefault="00064502" w:rsidP="00064502">
      <w:pPr>
        <w:jc w:val="both"/>
        <w:rPr>
          <w:rFonts w:eastAsia="Times New Roman" w:cs="Times New Roman"/>
          <w:b/>
          <w:sz w:val="28"/>
          <w:szCs w:val="28"/>
          <w:lang w:val="ro-RO" w:eastAsia="ar-SA"/>
        </w:rPr>
      </w:pPr>
      <w:r>
        <w:rPr>
          <w:rFonts w:eastAsia="Times New Roman" w:cs="Times New Roman"/>
          <w:b/>
          <w:sz w:val="28"/>
          <w:szCs w:val="28"/>
          <w:lang w:val="ro-RO" w:eastAsia="ar-SA"/>
        </w:rPr>
        <w:t xml:space="preserve">Dinamizarea sectorului agroalimentar din Regiunea Centru prin organizarea de târguri, expoziţii, festivaluri </w:t>
      </w:r>
      <w:r w:rsidRPr="00391656">
        <w:rPr>
          <w:rFonts w:eastAsia="Times New Roman" w:cs="Times New Roman"/>
          <w:b/>
          <w:sz w:val="28"/>
          <w:szCs w:val="28"/>
          <w:lang w:val="ro-RO" w:eastAsia="ar-SA"/>
        </w:rPr>
        <w:t>culinare şi agricole</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Pe teritoriul Regiunii Centru se desfăşoară diferite evenimente culinare şi agricole (târguri, expoziţii, festivaluri, concursuri etc..), cu scopul de a promova produsele locale şi micii întreprinzători locali dar şi de a atrage turişti.</w:t>
      </w:r>
    </w:p>
    <w:p w:rsidR="00064502" w:rsidRDefault="00064502" w:rsidP="00064502">
      <w:pPr>
        <w:jc w:val="both"/>
        <w:rPr>
          <w:rFonts w:eastAsia="Times New Roman" w:cs="Times New Roman"/>
          <w:sz w:val="24"/>
          <w:szCs w:val="24"/>
          <w:lang w:val="ro-RO" w:eastAsia="ar-SA"/>
        </w:rPr>
      </w:pPr>
      <w:r>
        <w:rPr>
          <w:rFonts w:eastAsia="Times New Roman" w:cs="Times New Roman"/>
          <w:sz w:val="24"/>
          <w:szCs w:val="24"/>
          <w:lang w:val="ro-RO" w:eastAsia="ar-SA"/>
        </w:rPr>
        <w:t xml:space="preserve">Evenimente din judeţul </w:t>
      </w:r>
      <w:r w:rsidRPr="00EB4A5C">
        <w:rPr>
          <w:rFonts w:eastAsia="Times New Roman" w:cs="Times New Roman"/>
          <w:b/>
          <w:sz w:val="24"/>
          <w:szCs w:val="24"/>
          <w:lang w:val="ro-RO" w:eastAsia="ar-SA"/>
        </w:rPr>
        <w:t>Alba</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FE768A">
        <w:rPr>
          <w:rFonts w:eastAsia="Times New Roman" w:cs="Times New Roman"/>
          <w:b/>
          <w:sz w:val="24"/>
          <w:szCs w:val="24"/>
          <w:lang w:val="ro-RO" w:eastAsia="ar-SA"/>
        </w:rPr>
        <w:lastRenderedPageBreak/>
        <w:t>Târgul apicol „Sărbătoarea mierii”</w:t>
      </w:r>
      <w:r w:rsidRPr="00FE768A">
        <w:rPr>
          <w:rFonts w:eastAsia="Times New Roman" w:cs="Times New Roman"/>
          <w:sz w:val="24"/>
          <w:szCs w:val="24"/>
          <w:lang w:val="ro-RO" w:eastAsia="ar-SA"/>
        </w:rPr>
        <w:t xml:space="preserve">, </w:t>
      </w:r>
      <w:r>
        <w:rPr>
          <w:rFonts w:eastAsia="Times New Roman" w:cs="Times New Roman"/>
          <w:sz w:val="24"/>
          <w:szCs w:val="24"/>
          <w:lang w:val="ro-RO" w:eastAsia="ar-SA"/>
        </w:rPr>
        <w:t>ce are loc la Blaj, reuneşte p</w:t>
      </w:r>
      <w:r w:rsidRPr="00FE768A">
        <w:rPr>
          <w:rFonts w:eastAsia="Times New Roman" w:cs="Times New Roman"/>
          <w:sz w:val="24"/>
          <w:szCs w:val="24"/>
          <w:lang w:val="ro-RO" w:eastAsia="ar-SA"/>
        </w:rPr>
        <w:t>roducători de miere din toată țara pentru a pune în vânzare produsele lor: specialități de miere, polen, pastură, propolis, rețete naturiste. De asemenea, târgul prezintă echipamente și utilaje apicole.</w:t>
      </w:r>
    </w:p>
    <w:p w:rsidR="00064502" w:rsidRDefault="00064502" w:rsidP="00064502">
      <w:pPr>
        <w:jc w:val="both"/>
        <w:rPr>
          <w:rFonts w:eastAsia="Times New Roman" w:cs="Times New Roman"/>
          <w:sz w:val="24"/>
          <w:szCs w:val="24"/>
          <w:lang w:val="ro-RO" w:eastAsia="ar-SA"/>
        </w:rPr>
      </w:pPr>
      <w:r w:rsidRPr="00FE768A">
        <w:rPr>
          <w:rFonts w:eastAsia="Times New Roman" w:cs="Times New Roman"/>
          <w:b/>
          <w:sz w:val="24"/>
          <w:szCs w:val="24"/>
          <w:lang w:val="ro-RO" w:eastAsia="ar-SA"/>
        </w:rPr>
        <w:t>Gala vinului</w:t>
      </w:r>
      <w:r>
        <w:rPr>
          <w:rFonts w:eastAsia="Times New Roman" w:cs="Times New Roman"/>
          <w:sz w:val="24"/>
          <w:szCs w:val="24"/>
          <w:lang w:val="ro-RO" w:eastAsia="ar-SA"/>
        </w:rPr>
        <w:t xml:space="preserve"> e</w:t>
      </w:r>
      <w:r w:rsidRPr="00FE768A">
        <w:rPr>
          <w:rFonts w:eastAsia="Times New Roman" w:cs="Times New Roman"/>
          <w:sz w:val="24"/>
          <w:szCs w:val="24"/>
          <w:lang w:val="ro-RO" w:eastAsia="ar-SA"/>
        </w:rPr>
        <w:t xml:space="preserve">ste o celebrare a vinurilor județului Alba, care </w:t>
      </w:r>
      <w:r>
        <w:rPr>
          <w:rFonts w:eastAsia="Times New Roman" w:cs="Times New Roman"/>
          <w:sz w:val="24"/>
          <w:szCs w:val="24"/>
          <w:lang w:val="ro-RO" w:eastAsia="ar-SA"/>
        </w:rPr>
        <w:t>promovează</w:t>
      </w:r>
      <w:r w:rsidRPr="00FE768A">
        <w:rPr>
          <w:rFonts w:eastAsia="Times New Roman" w:cs="Times New Roman"/>
          <w:sz w:val="24"/>
          <w:szCs w:val="24"/>
          <w:lang w:val="ro-RO" w:eastAsia="ar-SA"/>
        </w:rPr>
        <w:t xml:space="preserve"> imaginea și gustul județului. Micii producători participă la un concurs de vinuri, care va avea ca rezultat desemnarea vinului reprezentativ pentru judeţ. Pe lângă concursul la care participă peste 50 de producători mici, în categoria „vinurile judeţului” vor fi incluse şi două produse ale celui mai mare producător din România – compania Jidvei, respectiv a Domeniilor Boieru – Ciumbrud, inclus la categoria producătorilor medii.</w:t>
      </w:r>
    </w:p>
    <w:p w:rsidR="00064502" w:rsidRDefault="00064502" w:rsidP="00064502">
      <w:pPr>
        <w:jc w:val="both"/>
        <w:rPr>
          <w:rFonts w:eastAsia="Times New Roman" w:cs="Times New Roman"/>
          <w:sz w:val="24"/>
          <w:szCs w:val="24"/>
          <w:lang w:val="ro-RO" w:eastAsia="ar-SA"/>
        </w:rPr>
      </w:pPr>
      <w:r w:rsidRPr="00A803B9">
        <w:rPr>
          <w:rFonts w:eastAsia="Times New Roman" w:cs="Times New Roman"/>
          <w:b/>
          <w:sz w:val="24"/>
          <w:szCs w:val="24"/>
          <w:lang w:val="ro-RO" w:eastAsia="ar-SA"/>
        </w:rPr>
        <w:t>Gustos de Alba</w:t>
      </w:r>
      <w:r>
        <w:rPr>
          <w:rFonts w:eastAsia="Times New Roman" w:cs="Times New Roman"/>
          <w:sz w:val="24"/>
          <w:szCs w:val="24"/>
          <w:lang w:val="ro-RO" w:eastAsia="ar-SA"/>
        </w:rPr>
        <w:t xml:space="preserve"> are loc la Alba Iulia şi </w:t>
      </w:r>
      <w:r w:rsidRPr="00A803B9">
        <w:rPr>
          <w:rFonts w:eastAsia="Times New Roman" w:cs="Times New Roman"/>
          <w:sz w:val="24"/>
          <w:szCs w:val="24"/>
          <w:lang w:val="ro-RO" w:eastAsia="ar-SA"/>
        </w:rPr>
        <w:t xml:space="preserve">este dedicat promovării producătorilor din industria alimentară locală, precum şi valorificării tradiţiilor culinare din această zonă. Sunt prezentate mâncăruri tradiţionale, precum şi renumitele vinuri ale judeţului Alba. Din program nu </w:t>
      </w:r>
      <w:r>
        <w:rPr>
          <w:rFonts w:eastAsia="Times New Roman" w:cs="Times New Roman"/>
          <w:sz w:val="24"/>
          <w:szCs w:val="24"/>
          <w:lang w:val="ro-RO" w:eastAsia="ar-SA"/>
        </w:rPr>
        <w:t xml:space="preserve">lipsesc </w:t>
      </w:r>
      <w:r w:rsidRPr="00A803B9">
        <w:rPr>
          <w:rFonts w:eastAsia="Times New Roman" w:cs="Times New Roman"/>
          <w:sz w:val="24"/>
          <w:szCs w:val="24"/>
          <w:lang w:val="ro-RO" w:eastAsia="ar-SA"/>
        </w:rPr>
        <w:t>concursurile, degustările și momentele culturale.</w:t>
      </w:r>
    </w:p>
    <w:p w:rsidR="00064502" w:rsidRDefault="00064502" w:rsidP="00064502">
      <w:pPr>
        <w:jc w:val="both"/>
        <w:rPr>
          <w:rFonts w:eastAsia="Times New Roman" w:cs="Times New Roman"/>
          <w:sz w:val="24"/>
          <w:szCs w:val="24"/>
          <w:lang w:val="ro-RO" w:eastAsia="ar-SA"/>
        </w:rPr>
      </w:pPr>
      <w:r w:rsidRPr="00A803B9">
        <w:rPr>
          <w:rFonts w:eastAsia="Times New Roman" w:cs="Times New Roman"/>
          <w:sz w:val="24"/>
          <w:szCs w:val="24"/>
          <w:lang w:val="ro-RO" w:eastAsia="ar-SA"/>
        </w:rPr>
        <w:t xml:space="preserve">Târgul </w:t>
      </w:r>
      <w:r w:rsidRPr="00A803B9">
        <w:rPr>
          <w:rFonts w:eastAsia="Times New Roman" w:cs="Times New Roman"/>
          <w:b/>
          <w:sz w:val="24"/>
          <w:szCs w:val="24"/>
          <w:lang w:val="ro-RO" w:eastAsia="ar-SA"/>
        </w:rPr>
        <w:t>Apulum Agraria</w:t>
      </w:r>
      <w:r w:rsidRPr="00A803B9">
        <w:rPr>
          <w:rFonts w:eastAsia="Times New Roman" w:cs="Times New Roman"/>
          <w:sz w:val="24"/>
          <w:szCs w:val="24"/>
          <w:lang w:val="ro-RO" w:eastAsia="ar-SA"/>
        </w:rPr>
        <w:t xml:space="preserve"> constă într-o mare expoziție de produse culinare tradiţionale şi ecologice, incluzând concursuri cu premii, degustări de vinuri, ateliere de vinuri, ateliere de bucătărie și spectacole. În cadrul târgului sunt organizate expoziţii cu vânzare de produse alimentare, standuri cu legume, fructe, expoziţii de animale, păsări şi animale mici, expoziţie de unelte, utilaje şi echipamente agricole.</w:t>
      </w:r>
    </w:p>
    <w:p w:rsidR="00064502" w:rsidRDefault="00064502" w:rsidP="00064502">
      <w:pPr>
        <w:jc w:val="both"/>
        <w:rPr>
          <w:rFonts w:eastAsia="Times New Roman" w:cs="Times New Roman"/>
          <w:sz w:val="24"/>
          <w:szCs w:val="24"/>
          <w:lang w:val="ro-RO" w:eastAsia="ar-SA"/>
        </w:rPr>
      </w:pPr>
      <w:r w:rsidRPr="00EB4A5C">
        <w:rPr>
          <w:rFonts w:eastAsia="Times New Roman" w:cs="Times New Roman"/>
          <w:b/>
          <w:sz w:val="24"/>
          <w:szCs w:val="24"/>
          <w:lang w:val="ro-RO" w:eastAsia="ar-SA"/>
        </w:rPr>
        <w:t xml:space="preserve">Wine </w:t>
      </w:r>
      <w:r w:rsidRPr="00497C00">
        <w:rPr>
          <w:rFonts w:eastAsia="Times New Roman" w:cs="Times New Roman"/>
          <w:b/>
          <w:sz w:val="24"/>
          <w:szCs w:val="24"/>
          <w:lang w:val="ro-RO" w:eastAsia="ar-SA"/>
        </w:rPr>
        <w:t>Christmas</w:t>
      </w:r>
      <w:r w:rsidRPr="00EB4A5C">
        <w:rPr>
          <w:rFonts w:eastAsia="Times New Roman" w:cs="Times New Roman"/>
          <w:b/>
          <w:sz w:val="24"/>
          <w:szCs w:val="24"/>
          <w:lang w:val="ro-RO" w:eastAsia="ar-SA"/>
        </w:rPr>
        <w:t xml:space="preserve"> Festival</w:t>
      </w:r>
      <w:r>
        <w:rPr>
          <w:rFonts w:eastAsia="Times New Roman" w:cs="Times New Roman"/>
          <w:sz w:val="24"/>
          <w:szCs w:val="24"/>
          <w:lang w:val="ro-RO" w:eastAsia="ar-SA"/>
        </w:rPr>
        <w:t xml:space="preserve"> </w:t>
      </w:r>
      <w:r w:rsidRPr="00A803B9">
        <w:rPr>
          <w:rFonts w:eastAsia="Times New Roman" w:cs="Times New Roman"/>
          <w:sz w:val="24"/>
          <w:szCs w:val="24"/>
          <w:lang w:val="ro-RO" w:eastAsia="ar-SA"/>
        </w:rPr>
        <w:t xml:space="preserve">este târgul în care cele patru podgorii ale județului își vor prezenta cele mai bune vinuri. </w:t>
      </w:r>
      <w:r>
        <w:rPr>
          <w:rFonts w:eastAsia="Times New Roman" w:cs="Times New Roman"/>
          <w:sz w:val="24"/>
          <w:szCs w:val="24"/>
          <w:lang w:val="ro-RO" w:eastAsia="ar-SA"/>
        </w:rPr>
        <w:t>P</w:t>
      </w:r>
      <w:r w:rsidRPr="00A803B9">
        <w:rPr>
          <w:rFonts w:eastAsia="Times New Roman" w:cs="Times New Roman"/>
          <w:sz w:val="24"/>
          <w:szCs w:val="24"/>
          <w:lang w:val="ro-RO" w:eastAsia="ar-SA"/>
        </w:rPr>
        <w:t xml:space="preserve">ublicul este așteptat în Piața Mihai Viteazul, din cetatea Alba Iuliei, unde căruțe pline de lumini de Crăciun </w:t>
      </w:r>
      <w:r>
        <w:rPr>
          <w:rFonts w:eastAsia="Times New Roman" w:cs="Times New Roman"/>
          <w:sz w:val="24"/>
          <w:szCs w:val="24"/>
          <w:lang w:val="ro-RO" w:eastAsia="ar-SA"/>
        </w:rPr>
        <w:t>servesc</w:t>
      </w:r>
      <w:r w:rsidRPr="00A803B9">
        <w:rPr>
          <w:rFonts w:eastAsia="Times New Roman" w:cs="Times New Roman"/>
          <w:sz w:val="24"/>
          <w:szCs w:val="24"/>
          <w:lang w:val="ro-RO" w:eastAsia="ar-SA"/>
        </w:rPr>
        <w:t xml:space="preserve"> vin de cea mai bună calitate. De asemenea, târgul îi așteaptă, pe vizitatori, cu concerte în cetate.</w:t>
      </w:r>
    </w:p>
    <w:p w:rsidR="00064502" w:rsidRPr="008B4B35" w:rsidRDefault="00064502" w:rsidP="00064502">
      <w:pPr>
        <w:jc w:val="both"/>
        <w:rPr>
          <w:rFonts w:eastAsia="Times New Roman" w:cs="Times New Roman"/>
          <w:sz w:val="24"/>
          <w:szCs w:val="24"/>
          <w:lang w:val="ro-RO" w:eastAsia="ar-SA"/>
        </w:rPr>
      </w:pPr>
      <w:r w:rsidRPr="00EB4A5C">
        <w:rPr>
          <w:rFonts w:eastAsia="Times New Roman" w:cs="Times New Roman"/>
          <w:sz w:val="24"/>
          <w:szCs w:val="24"/>
          <w:lang w:val="ro-RO" w:eastAsia="ar-SA"/>
        </w:rPr>
        <w:t xml:space="preserve">Evenimente din judeţul </w:t>
      </w:r>
      <w:r>
        <w:rPr>
          <w:rFonts w:eastAsia="Times New Roman" w:cs="Times New Roman"/>
          <w:b/>
          <w:sz w:val="24"/>
          <w:szCs w:val="24"/>
          <w:lang w:val="ro-RO" w:eastAsia="ar-SA"/>
        </w:rPr>
        <w:t>Braşov</w:t>
      </w:r>
      <w:r w:rsidRPr="00EB4A5C">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8B4B35">
        <w:rPr>
          <w:rFonts w:eastAsia="Times New Roman" w:cs="Times New Roman"/>
          <w:b/>
          <w:sz w:val="24"/>
          <w:szCs w:val="24"/>
          <w:lang w:val="ro-RO" w:eastAsia="ar-SA"/>
        </w:rPr>
        <w:t>Concurs de arta culinară</w:t>
      </w:r>
      <w:r>
        <w:rPr>
          <w:rFonts w:eastAsia="Times New Roman" w:cs="Times New Roman"/>
          <w:sz w:val="24"/>
          <w:szCs w:val="24"/>
          <w:lang w:val="ro-RO" w:eastAsia="ar-SA"/>
        </w:rPr>
        <w:t xml:space="preserve"> î</w:t>
      </w:r>
      <w:r w:rsidRPr="008B4B35">
        <w:rPr>
          <w:rFonts w:eastAsia="Times New Roman" w:cs="Times New Roman"/>
          <w:sz w:val="24"/>
          <w:szCs w:val="24"/>
          <w:lang w:val="ro-RO" w:eastAsia="ar-SA"/>
        </w:rPr>
        <w:t>n cadrul “Business Days Brasov”</w:t>
      </w:r>
      <w:r>
        <w:rPr>
          <w:rFonts w:eastAsia="Times New Roman" w:cs="Times New Roman"/>
          <w:sz w:val="24"/>
          <w:szCs w:val="24"/>
          <w:lang w:val="ro-RO" w:eastAsia="ar-SA"/>
        </w:rPr>
        <w:t xml:space="preserve">. </w:t>
      </w:r>
      <w:r w:rsidRPr="008B4B35">
        <w:rPr>
          <w:rFonts w:eastAsia="Times New Roman" w:cs="Times New Roman"/>
          <w:sz w:val="24"/>
          <w:szCs w:val="24"/>
          <w:lang w:val="ro-RO" w:eastAsia="ar-SA"/>
        </w:rPr>
        <w:t>Scopu</w:t>
      </w:r>
      <w:r>
        <w:rPr>
          <w:rFonts w:eastAsia="Times New Roman" w:cs="Times New Roman"/>
          <w:sz w:val="24"/>
          <w:szCs w:val="24"/>
          <w:lang w:val="ro-RO" w:eastAsia="ar-SA"/>
        </w:rPr>
        <w:t>l concursului este promovarea mâncării sănătoase, calitatea bucătăriilor din regiunea Brasov şi î</w:t>
      </w:r>
      <w:r w:rsidRPr="008B4B35">
        <w:rPr>
          <w:rFonts w:eastAsia="Times New Roman" w:cs="Times New Roman"/>
          <w:sz w:val="24"/>
          <w:szCs w:val="24"/>
          <w:lang w:val="ro-RO" w:eastAsia="ar-SA"/>
        </w:rPr>
        <w:t>mprejurimi.</w:t>
      </w:r>
      <w:r>
        <w:rPr>
          <w:rFonts w:eastAsia="Times New Roman" w:cs="Times New Roman"/>
          <w:sz w:val="24"/>
          <w:szCs w:val="24"/>
          <w:lang w:val="ro-RO" w:eastAsia="ar-SA"/>
        </w:rPr>
        <w:t xml:space="preserve"> Evenimentul dă ocazia participanţilor de a-şi promova compania ş</w:t>
      </w:r>
      <w:r w:rsidRPr="008B4B35">
        <w:rPr>
          <w:rFonts w:eastAsia="Times New Roman" w:cs="Times New Roman"/>
          <w:sz w:val="24"/>
          <w:szCs w:val="24"/>
          <w:lang w:val="ro-RO" w:eastAsia="ar-SA"/>
        </w:rPr>
        <w:t>i produsele.</w:t>
      </w:r>
    </w:p>
    <w:p w:rsidR="00064502" w:rsidRDefault="00064502" w:rsidP="00064502">
      <w:pPr>
        <w:jc w:val="both"/>
        <w:rPr>
          <w:rFonts w:eastAsia="Times New Roman" w:cs="Times New Roman"/>
          <w:sz w:val="24"/>
          <w:szCs w:val="24"/>
          <w:lang w:val="ro-RO" w:eastAsia="ar-SA"/>
        </w:rPr>
      </w:pPr>
      <w:r w:rsidRPr="00D86D2B">
        <w:rPr>
          <w:rFonts w:eastAsia="Times New Roman" w:cs="Times New Roman"/>
          <w:b/>
          <w:sz w:val="24"/>
          <w:szCs w:val="24"/>
          <w:lang w:val="ro-RO" w:eastAsia="ar-SA"/>
        </w:rPr>
        <w:t>Oktoberfest Brașov</w:t>
      </w:r>
      <w:r>
        <w:rPr>
          <w:rFonts w:eastAsia="Times New Roman" w:cs="Times New Roman"/>
          <w:sz w:val="24"/>
          <w:szCs w:val="24"/>
          <w:lang w:val="ro-RO" w:eastAsia="ar-SA"/>
        </w:rPr>
        <w:t xml:space="preserve"> este un eveniment cu tradiție germană adoptat</w:t>
      </w:r>
      <w:r w:rsidRPr="008B4B35">
        <w:rPr>
          <w:rFonts w:eastAsia="Times New Roman" w:cs="Times New Roman"/>
          <w:sz w:val="24"/>
          <w:szCs w:val="24"/>
          <w:lang w:val="ro-RO" w:eastAsia="ar-SA"/>
        </w:rPr>
        <w:t xml:space="preserve"> după modelul autentic bavarez</w:t>
      </w:r>
      <w:r>
        <w:rPr>
          <w:rFonts w:eastAsia="Times New Roman" w:cs="Times New Roman"/>
          <w:sz w:val="24"/>
          <w:szCs w:val="24"/>
          <w:lang w:val="ro-RO" w:eastAsia="ar-SA"/>
        </w:rPr>
        <w:t xml:space="preserve">. Principalele atracţii ale evenimentului sunt </w:t>
      </w:r>
      <w:r w:rsidRPr="00D86D2B">
        <w:rPr>
          <w:rFonts w:eastAsia="Times New Roman" w:cs="Times New Roman"/>
          <w:sz w:val="24"/>
          <w:szCs w:val="24"/>
          <w:lang w:val="ro-RO" w:eastAsia="ar-SA"/>
        </w:rPr>
        <w:t>specialități</w:t>
      </w:r>
      <w:r>
        <w:rPr>
          <w:rFonts w:eastAsia="Times New Roman" w:cs="Times New Roman"/>
          <w:sz w:val="24"/>
          <w:szCs w:val="24"/>
          <w:lang w:val="ro-RO" w:eastAsia="ar-SA"/>
        </w:rPr>
        <w:t>le</w:t>
      </w:r>
      <w:r w:rsidRPr="00D86D2B">
        <w:rPr>
          <w:rFonts w:eastAsia="Times New Roman" w:cs="Times New Roman"/>
          <w:sz w:val="24"/>
          <w:szCs w:val="24"/>
          <w:lang w:val="ro-RO" w:eastAsia="ar-SA"/>
        </w:rPr>
        <w:t xml:space="preserve"> culi</w:t>
      </w:r>
      <w:r>
        <w:rPr>
          <w:rFonts w:eastAsia="Times New Roman" w:cs="Times New Roman"/>
          <w:sz w:val="24"/>
          <w:szCs w:val="24"/>
          <w:lang w:val="ro-RO" w:eastAsia="ar-SA"/>
        </w:rPr>
        <w:t>nare bavareze şi berea nefiltrată.</w:t>
      </w:r>
    </w:p>
    <w:p w:rsidR="00064502" w:rsidRDefault="00064502" w:rsidP="00064502">
      <w:pPr>
        <w:jc w:val="both"/>
        <w:rPr>
          <w:rFonts w:eastAsia="Times New Roman" w:cs="Times New Roman"/>
          <w:b/>
          <w:sz w:val="24"/>
          <w:szCs w:val="24"/>
          <w:lang w:val="ro-RO" w:eastAsia="ar-SA"/>
        </w:rPr>
      </w:pPr>
      <w:r w:rsidRPr="00F8751A">
        <w:rPr>
          <w:rFonts w:eastAsia="Times New Roman" w:cs="Times New Roman"/>
          <w:b/>
          <w:sz w:val="24"/>
          <w:szCs w:val="24"/>
          <w:lang w:val="ro-RO" w:eastAsia="ar-SA"/>
        </w:rPr>
        <w:t xml:space="preserve">”Festivalul clătitelor” </w:t>
      </w:r>
      <w:r w:rsidRPr="00F8751A">
        <w:rPr>
          <w:rFonts w:eastAsia="Times New Roman" w:cs="Times New Roman"/>
          <w:sz w:val="24"/>
          <w:szCs w:val="24"/>
          <w:lang w:val="ro-RO" w:eastAsia="ar-SA"/>
        </w:rPr>
        <w:t xml:space="preserve">sau ”Fasching”, după denumirea săsească, </w:t>
      </w:r>
      <w:r>
        <w:rPr>
          <w:rFonts w:eastAsia="Times New Roman" w:cs="Times New Roman"/>
          <w:sz w:val="24"/>
          <w:szCs w:val="24"/>
          <w:lang w:val="ro-RO" w:eastAsia="ar-SA"/>
        </w:rPr>
        <w:t xml:space="preserve">sărbătoarea </w:t>
      </w:r>
      <w:r w:rsidRPr="00F8751A">
        <w:rPr>
          <w:rFonts w:eastAsia="Times New Roman" w:cs="Times New Roman"/>
          <w:sz w:val="24"/>
          <w:szCs w:val="24"/>
          <w:lang w:val="ro-RO" w:eastAsia="ar-SA"/>
        </w:rPr>
        <w:t>organizată în comuna Prejmer, județul Brașov</w:t>
      </w:r>
      <w:r>
        <w:rPr>
          <w:rFonts w:eastAsia="Times New Roman" w:cs="Times New Roman"/>
          <w:sz w:val="24"/>
          <w:szCs w:val="24"/>
          <w:lang w:val="ro-RO" w:eastAsia="ar-SA"/>
        </w:rPr>
        <w:t xml:space="preserve"> </w:t>
      </w:r>
      <w:r w:rsidRPr="00F8751A">
        <w:rPr>
          <w:rFonts w:eastAsia="Times New Roman" w:cs="Times New Roman"/>
          <w:sz w:val="24"/>
          <w:szCs w:val="24"/>
          <w:lang w:val="ro-RO" w:eastAsia="ar-SA"/>
        </w:rPr>
        <w:t>este o s</w:t>
      </w:r>
      <w:r>
        <w:rPr>
          <w:rFonts w:eastAsia="Times New Roman" w:cs="Times New Roman"/>
          <w:sz w:val="24"/>
          <w:szCs w:val="24"/>
          <w:lang w:val="ro-RO" w:eastAsia="ar-SA"/>
        </w:rPr>
        <w:t>ă</w:t>
      </w:r>
      <w:r w:rsidRPr="00F8751A">
        <w:rPr>
          <w:rFonts w:eastAsia="Times New Roman" w:cs="Times New Roman"/>
          <w:sz w:val="24"/>
          <w:szCs w:val="24"/>
          <w:lang w:val="ro-RO" w:eastAsia="ar-SA"/>
        </w:rPr>
        <w:t>rb</w:t>
      </w:r>
      <w:r>
        <w:rPr>
          <w:rFonts w:eastAsia="Times New Roman" w:cs="Times New Roman"/>
          <w:sz w:val="24"/>
          <w:szCs w:val="24"/>
          <w:lang w:val="ro-RO" w:eastAsia="ar-SA"/>
        </w:rPr>
        <w:t>ătoare populară ce marchează trecerea de la iarnă la primăvară. Tinerii plecă prin sat, costumaţi în mire şi mireasă, preot, ţigani şi ţigănci, sperietori, mergând în fruntea căruţei în care se află soba pe care se pregă</w:t>
      </w:r>
      <w:r w:rsidRPr="00F8751A">
        <w:rPr>
          <w:rFonts w:eastAsia="Times New Roman" w:cs="Times New Roman"/>
          <w:sz w:val="24"/>
          <w:szCs w:val="24"/>
          <w:lang w:val="ro-RO" w:eastAsia="ar-SA"/>
        </w:rPr>
        <w:t>t</w:t>
      </w:r>
      <w:r>
        <w:rPr>
          <w:rFonts w:eastAsia="Times New Roman" w:cs="Times New Roman"/>
          <w:sz w:val="24"/>
          <w:szCs w:val="24"/>
          <w:lang w:val="ro-RO" w:eastAsia="ar-SA"/>
        </w:rPr>
        <w:t>esc clătite. Cu această ocazie, î</w:t>
      </w:r>
      <w:r w:rsidRPr="00F8751A">
        <w:rPr>
          <w:rFonts w:eastAsia="Times New Roman" w:cs="Times New Roman"/>
          <w:sz w:val="24"/>
          <w:szCs w:val="24"/>
          <w:lang w:val="ro-RO" w:eastAsia="ar-SA"/>
        </w:rPr>
        <w:t>ntregul sat este invitat la b</w:t>
      </w:r>
      <w:r>
        <w:rPr>
          <w:rFonts w:eastAsia="Times New Roman" w:cs="Times New Roman"/>
          <w:sz w:val="24"/>
          <w:szCs w:val="24"/>
          <w:lang w:val="ro-RO" w:eastAsia="ar-SA"/>
        </w:rPr>
        <w:t>alul mascat, care se organizează în aceeaşi seară. Aici, toată lumea vine îmbrăcată în cele mai tră</w:t>
      </w:r>
      <w:r w:rsidRPr="00F8751A">
        <w:rPr>
          <w:rFonts w:eastAsia="Times New Roman" w:cs="Times New Roman"/>
          <w:sz w:val="24"/>
          <w:szCs w:val="24"/>
          <w:lang w:val="ro-RO" w:eastAsia="ar-SA"/>
        </w:rPr>
        <w:t>snite</w:t>
      </w:r>
      <w:r>
        <w:rPr>
          <w:rFonts w:eastAsia="Times New Roman" w:cs="Times New Roman"/>
          <w:sz w:val="24"/>
          <w:szCs w:val="24"/>
          <w:lang w:val="ro-RO" w:eastAsia="ar-SA"/>
        </w:rPr>
        <w:t xml:space="preserve"> costume, iar petrecerea durează până în zori, cu muzica, dans ş</w:t>
      </w:r>
      <w:r w:rsidRPr="00F8751A">
        <w:rPr>
          <w:rFonts w:eastAsia="Times New Roman" w:cs="Times New Roman"/>
          <w:sz w:val="24"/>
          <w:szCs w:val="24"/>
          <w:lang w:val="ro-RO" w:eastAsia="ar-SA"/>
        </w:rPr>
        <w:t>i concursuri.</w:t>
      </w:r>
    </w:p>
    <w:p w:rsidR="00064502" w:rsidRDefault="00064502" w:rsidP="00064502">
      <w:pPr>
        <w:jc w:val="both"/>
        <w:rPr>
          <w:rFonts w:eastAsia="Times New Roman" w:cs="Times New Roman"/>
          <w:sz w:val="24"/>
          <w:szCs w:val="24"/>
          <w:lang w:val="ro-RO" w:eastAsia="ar-SA"/>
        </w:rPr>
      </w:pPr>
      <w:r w:rsidRPr="00980E95">
        <w:rPr>
          <w:rFonts w:eastAsia="Times New Roman" w:cs="Times New Roman"/>
          <w:b/>
          <w:sz w:val="24"/>
          <w:szCs w:val="24"/>
          <w:lang w:val="ro-RO" w:eastAsia="ar-SA"/>
        </w:rPr>
        <w:lastRenderedPageBreak/>
        <w:t>Vegetarian Culinary Cup</w:t>
      </w:r>
      <w:r>
        <w:rPr>
          <w:rFonts w:eastAsia="Times New Roman" w:cs="Times New Roman"/>
          <w:sz w:val="24"/>
          <w:szCs w:val="24"/>
          <w:lang w:val="ro-RO" w:eastAsia="ar-SA"/>
        </w:rPr>
        <w:t xml:space="preserve"> organizat de </w:t>
      </w:r>
      <w:r w:rsidRPr="00980E95">
        <w:rPr>
          <w:rFonts w:eastAsia="Times New Roman" w:cs="Times New Roman"/>
          <w:sz w:val="24"/>
          <w:szCs w:val="24"/>
          <w:lang w:val="ro-RO" w:eastAsia="ar-SA"/>
        </w:rPr>
        <w:t>Asociaţia Culturală Euro Est Alternativ (ACEEA), organizaţie profesională membră în World Association of Chefs Societies, şi Euro Toques România</w:t>
      </w:r>
      <w:r>
        <w:rPr>
          <w:rFonts w:eastAsia="Times New Roman" w:cs="Times New Roman"/>
          <w:sz w:val="24"/>
          <w:szCs w:val="24"/>
          <w:lang w:val="ro-RO" w:eastAsia="ar-SA"/>
        </w:rPr>
        <w:t xml:space="preserve">. </w:t>
      </w:r>
      <w:r w:rsidRPr="00980E95">
        <w:rPr>
          <w:rFonts w:eastAsia="Times New Roman" w:cs="Times New Roman"/>
          <w:sz w:val="24"/>
          <w:szCs w:val="24"/>
          <w:lang w:val="ro-RO" w:eastAsia="ar-SA"/>
        </w:rPr>
        <w:t xml:space="preserve"> </w:t>
      </w:r>
      <w:r>
        <w:rPr>
          <w:rFonts w:eastAsia="Times New Roman" w:cs="Times New Roman"/>
          <w:sz w:val="24"/>
          <w:szCs w:val="24"/>
          <w:lang w:val="ro-RO" w:eastAsia="ar-SA"/>
        </w:rPr>
        <w:t>Este vorba de un c</w:t>
      </w:r>
      <w:r w:rsidRPr="00980E95">
        <w:rPr>
          <w:rFonts w:eastAsia="Times New Roman" w:cs="Times New Roman"/>
          <w:sz w:val="24"/>
          <w:szCs w:val="24"/>
          <w:lang w:val="ro-RO" w:eastAsia="ar-SA"/>
        </w:rPr>
        <w:t xml:space="preserve">oncurs de artă culinară </w:t>
      </w:r>
      <w:r>
        <w:rPr>
          <w:rFonts w:eastAsia="Times New Roman" w:cs="Times New Roman"/>
          <w:sz w:val="24"/>
          <w:szCs w:val="24"/>
          <w:lang w:val="ro-RO" w:eastAsia="ar-SA"/>
        </w:rPr>
        <w:t>şi de cofetărie.</w:t>
      </w:r>
    </w:p>
    <w:p w:rsidR="00064502" w:rsidRDefault="00064502" w:rsidP="00064502">
      <w:pPr>
        <w:jc w:val="both"/>
        <w:rPr>
          <w:rFonts w:eastAsia="Times New Roman" w:cs="Times New Roman"/>
          <w:sz w:val="24"/>
          <w:szCs w:val="24"/>
          <w:lang w:val="ro-RO" w:eastAsia="ar-SA"/>
        </w:rPr>
      </w:pPr>
      <w:r w:rsidRPr="00F23D87">
        <w:rPr>
          <w:rFonts w:eastAsia="Times New Roman" w:cs="Times New Roman"/>
          <w:b/>
          <w:sz w:val="24"/>
          <w:szCs w:val="24"/>
          <w:lang w:val="ro-RO" w:eastAsia="ar-SA"/>
        </w:rPr>
        <w:t>Festivalul culinar "Braşovul în bucate"</w:t>
      </w:r>
      <w:r>
        <w:rPr>
          <w:rFonts w:eastAsia="Times New Roman" w:cs="Times New Roman"/>
          <w:sz w:val="24"/>
          <w:szCs w:val="24"/>
          <w:lang w:val="ro-RO" w:eastAsia="ar-SA"/>
        </w:rPr>
        <w:t xml:space="preserve"> un festival culinar inedit</w:t>
      </w:r>
      <w:r w:rsidRPr="00980E95">
        <w:rPr>
          <w:rFonts w:eastAsia="Times New Roman" w:cs="Times New Roman"/>
          <w:sz w:val="24"/>
          <w:szCs w:val="24"/>
          <w:lang w:val="ro-RO" w:eastAsia="ar-SA"/>
        </w:rPr>
        <w:t xml:space="preserve">, cele mai apreciate restaurante din Brașov își </w:t>
      </w:r>
      <w:r>
        <w:rPr>
          <w:rFonts w:eastAsia="Times New Roman" w:cs="Times New Roman"/>
          <w:sz w:val="24"/>
          <w:szCs w:val="24"/>
          <w:lang w:val="ro-RO" w:eastAsia="ar-SA"/>
        </w:rPr>
        <w:t>mută bucătăriile în stradă. B</w:t>
      </w:r>
      <w:r w:rsidRPr="00F23D87">
        <w:rPr>
          <w:rFonts w:eastAsia="Times New Roman" w:cs="Times New Roman"/>
          <w:sz w:val="24"/>
          <w:szCs w:val="24"/>
          <w:lang w:val="ro-RO" w:eastAsia="ar-SA"/>
        </w:rPr>
        <w:t>rașovenii și turiș</w:t>
      </w:r>
      <w:r>
        <w:rPr>
          <w:rFonts w:eastAsia="Times New Roman" w:cs="Times New Roman"/>
          <w:sz w:val="24"/>
          <w:szCs w:val="24"/>
          <w:lang w:val="ro-RO" w:eastAsia="ar-SA"/>
        </w:rPr>
        <w:t xml:space="preserve">tii sunt așteptați </w:t>
      </w:r>
      <w:r w:rsidRPr="00F23D87">
        <w:rPr>
          <w:rFonts w:eastAsia="Times New Roman" w:cs="Times New Roman"/>
          <w:sz w:val="24"/>
          <w:szCs w:val="24"/>
          <w:lang w:val="ro-RO" w:eastAsia="ar-SA"/>
        </w:rPr>
        <w:t>cu mâncăruri delicioase, lecții de gătit, demonstrații culinare și degustări de vin. Mâncarea va fi servită pe terasele personalizate ale restaurantelor participante,</w:t>
      </w:r>
      <w:r>
        <w:rPr>
          <w:rFonts w:eastAsia="Times New Roman" w:cs="Times New Roman"/>
          <w:sz w:val="24"/>
          <w:szCs w:val="24"/>
          <w:lang w:val="ro-RO" w:eastAsia="ar-SA"/>
        </w:rPr>
        <w:t xml:space="preserve"> iar</w:t>
      </w:r>
      <w:r w:rsidRPr="00F23D87">
        <w:rPr>
          <w:rFonts w:eastAsia="Times New Roman" w:cs="Times New Roman"/>
          <w:sz w:val="24"/>
          <w:szCs w:val="24"/>
          <w:lang w:val="ro-RO" w:eastAsia="ar-SA"/>
        </w:rPr>
        <w:t xml:space="preserve"> participanţii sunt invitați să își voteze restaurantul preferat</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F8751A">
        <w:rPr>
          <w:rFonts w:eastAsia="Times New Roman" w:cs="Times New Roman"/>
          <w:b/>
          <w:sz w:val="24"/>
          <w:szCs w:val="24"/>
          <w:lang w:val="ro-RO" w:eastAsia="ar-SA"/>
        </w:rPr>
        <w:t>Festivalul „Răvăşitul oilor”</w:t>
      </w:r>
      <w:r>
        <w:rPr>
          <w:rFonts w:eastAsia="Times New Roman" w:cs="Times New Roman"/>
          <w:sz w:val="24"/>
          <w:szCs w:val="24"/>
          <w:lang w:val="ro-RO" w:eastAsia="ar-SA"/>
        </w:rPr>
        <w:t xml:space="preserve"> era la î</w:t>
      </w:r>
      <w:r w:rsidRPr="00F8751A">
        <w:rPr>
          <w:rFonts w:eastAsia="Times New Roman" w:cs="Times New Roman"/>
          <w:sz w:val="24"/>
          <w:szCs w:val="24"/>
          <w:lang w:val="ro-RO" w:eastAsia="ar-SA"/>
        </w:rPr>
        <w:t>nceputuri doar</w:t>
      </w:r>
      <w:r>
        <w:rPr>
          <w:rFonts w:eastAsia="Times New Roman" w:cs="Times New Roman"/>
          <w:sz w:val="24"/>
          <w:szCs w:val="24"/>
          <w:lang w:val="ro-RO" w:eastAsia="ar-SA"/>
        </w:rPr>
        <w:t xml:space="preserve"> un eveniment</w:t>
      </w:r>
      <w:r w:rsidRPr="00F8751A">
        <w:rPr>
          <w:rFonts w:eastAsia="Times New Roman" w:cs="Times New Roman"/>
          <w:sz w:val="24"/>
          <w:szCs w:val="24"/>
          <w:lang w:val="ro-RO" w:eastAsia="ar-SA"/>
        </w:rPr>
        <w:t xml:space="preserve"> </w:t>
      </w:r>
      <w:r>
        <w:rPr>
          <w:rFonts w:eastAsia="Times New Roman" w:cs="Times New Roman"/>
          <w:sz w:val="24"/>
          <w:szCs w:val="24"/>
          <w:lang w:val="ro-RO" w:eastAsia="ar-SA"/>
        </w:rPr>
        <w:t>pentru cei din zonă</w:t>
      </w:r>
      <w:r w:rsidRPr="00F8751A">
        <w:rPr>
          <w:rFonts w:eastAsia="Times New Roman" w:cs="Times New Roman"/>
          <w:sz w:val="24"/>
          <w:szCs w:val="24"/>
          <w:lang w:val="ro-RO" w:eastAsia="ar-SA"/>
        </w:rPr>
        <w:t xml:space="preserve">, apoi aria s-a extins </w:t>
      </w:r>
      <w:r>
        <w:rPr>
          <w:rFonts w:eastAsia="Times New Roman" w:cs="Times New Roman"/>
          <w:sz w:val="24"/>
          <w:szCs w:val="24"/>
          <w:lang w:val="ro-RO" w:eastAsia="ar-SA"/>
        </w:rPr>
        <w:t>până astăzi câ</w:t>
      </w:r>
      <w:r w:rsidRPr="00F8751A">
        <w:rPr>
          <w:rFonts w:eastAsia="Times New Roman" w:cs="Times New Roman"/>
          <w:sz w:val="24"/>
          <w:szCs w:val="24"/>
          <w:lang w:val="ro-RO" w:eastAsia="ar-SA"/>
        </w:rPr>
        <w:t>nd nu mai e doar un eveniment</w:t>
      </w:r>
      <w:r>
        <w:rPr>
          <w:rFonts w:eastAsia="Times New Roman" w:cs="Times New Roman"/>
          <w:sz w:val="24"/>
          <w:szCs w:val="24"/>
          <w:lang w:val="ro-RO" w:eastAsia="ar-SA"/>
        </w:rPr>
        <w:t xml:space="preserve"> naţional</w:t>
      </w:r>
      <w:r w:rsidRPr="00F8751A">
        <w:rPr>
          <w:rFonts w:eastAsia="Times New Roman" w:cs="Times New Roman"/>
          <w:sz w:val="24"/>
          <w:szCs w:val="24"/>
          <w:lang w:val="ro-RO" w:eastAsia="ar-SA"/>
        </w:rPr>
        <w:t xml:space="preserve"> ci unul de care au auzit </w:t>
      </w:r>
      <w:r>
        <w:rPr>
          <w:rFonts w:eastAsia="Times New Roman" w:cs="Times New Roman"/>
          <w:sz w:val="24"/>
          <w:szCs w:val="24"/>
          <w:lang w:val="ro-RO" w:eastAsia="ar-SA"/>
        </w:rPr>
        <w:t>ş</w:t>
      </w:r>
      <w:r w:rsidRPr="00F8751A">
        <w:rPr>
          <w:rFonts w:eastAsia="Times New Roman" w:cs="Times New Roman"/>
          <w:sz w:val="24"/>
          <w:szCs w:val="24"/>
          <w:lang w:val="ro-RO" w:eastAsia="ar-SA"/>
        </w:rPr>
        <w:t xml:space="preserve">i iubitorii </w:t>
      </w:r>
      <w:r>
        <w:rPr>
          <w:rFonts w:eastAsia="Times New Roman" w:cs="Times New Roman"/>
          <w:sz w:val="24"/>
          <w:szCs w:val="24"/>
          <w:lang w:val="ro-RO" w:eastAsia="ar-SA"/>
        </w:rPr>
        <w:t xml:space="preserve">de "slow-food" din alte ţări. </w:t>
      </w:r>
      <w:r w:rsidRPr="00CE341F">
        <w:rPr>
          <w:rFonts w:eastAsia="Times New Roman" w:cs="Times New Roman"/>
          <w:sz w:val="24"/>
          <w:szCs w:val="24"/>
          <w:lang w:val="ro-RO" w:eastAsia="ar-SA"/>
        </w:rPr>
        <w:t>To</w:t>
      </w:r>
      <w:r>
        <w:rPr>
          <w:rFonts w:eastAsia="Times New Roman" w:cs="Times New Roman"/>
          <w:sz w:val="24"/>
          <w:szCs w:val="24"/>
          <w:lang w:val="ro-RO" w:eastAsia="ar-SA"/>
        </w:rPr>
        <w:t>ţi gospodarii se întrec î</w:t>
      </w:r>
      <w:r w:rsidRPr="00CE341F">
        <w:rPr>
          <w:rFonts w:eastAsia="Times New Roman" w:cs="Times New Roman"/>
          <w:sz w:val="24"/>
          <w:szCs w:val="24"/>
          <w:lang w:val="ro-RO" w:eastAsia="ar-SA"/>
        </w:rPr>
        <w:t xml:space="preserve">n mai multe concursuri: de animale, cea mai frumoasa oaie, </w:t>
      </w:r>
      <w:r>
        <w:rPr>
          <w:rFonts w:eastAsia="Times New Roman" w:cs="Times New Roman"/>
          <w:sz w:val="24"/>
          <w:szCs w:val="24"/>
          <w:lang w:val="ro-RO" w:eastAsia="ar-SA"/>
        </w:rPr>
        <w:t>berbeci, câini de stână, cai, catâri de povară, vite, tauri ş</w:t>
      </w:r>
      <w:r w:rsidRPr="00CE341F">
        <w:rPr>
          <w:rFonts w:eastAsia="Times New Roman" w:cs="Times New Roman"/>
          <w:sz w:val="24"/>
          <w:szCs w:val="24"/>
          <w:lang w:val="ro-RO" w:eastAsia="ar-SA"/>
        </w:rPr>
        <w:t>i desigur cele mai bune produse: pastram</w:t>
      </w:r>
      <w:r>
        <w:rPr>
          <w:rFonts w:eastAsia="Times New Roman" w:cs="Times New Roman"/>
          <w:sz w:val="24"/>
          <w:szCs w:val="24"/>
          <w:lang w:val="ro-RO" w:eastAsia="ar-SA"/>
        </w:rPr>
        <w:t>ă</w:t>
      </w:r>
      <w:r w:rsidRPr="00CE341F">
        <w:rPr>
          <w:rFonts w:eastAsia="Times New Roman" w:cs="Times New Roman"/>
          <w:sz w:val="24"/>
          <w:szCs w:val="24"/>
          <w:lang w:val="ro-RO" w:eastAsia="ar-SA"/>
        </w:rPr>
        <w:t>, re</w:t>
      </w:r>
      <w:r>
        <w:rPr>
          <w:rFonts w:eastAsia="Times New Roman" w:cs="Times New Roman"/>
          <w:sz w:val="24"/>
          <w:szCs w:val="24"/>
          <w:lang w:val="ro-RO" w:eastAsia="ar-SA"/>
        </w:rPr>
        <w:t>numitul burduf de Bran, burduf în coajă</w:t>
      </w:r>
      <w:r w:rsidRPr="00CE341F">
        <w:rPr>
          <w:rFonts w:eastAsia="Times New Roman" w:cs="Times New Roman"/>
          <w:sz w:val="24"/>
          <w:szCs w:val="24"/>
          <w:lang w:val="ro-RO" w:eastAsia="ar-SA"/>
        </w:rPr>
        <w:t xml:space="preserve"> de brad,</w:t>
      </w:r>
      <w:r>
        <w:rPr>
          <w:rFonts w:eastAsia="Times New Roman" w:cs="Times New Roman"/>
          <w:sz w:val="24"/>
          <w:szCs w:val="24"/>
          <w:lang w:val="ro-RO" w:eastAsia="ar-SA"/>
        </w:rPr>
        <w:t xml:space="preserve"> nu lips</w:t>
      </w:r>
      <w:r w:rsidRPr="00CE341F">
        <w:rPr>
          <w:rFonts w:eastAsia="Times New Roman" w:cs="Times New Roman"/>
          <w:sz w:val="24"/>
          <w:szCs w:val="24"/>
          <w:lang w:val="ro-RO" w:eastAsia="ar-SA"/>
        </w:rPr>
        <w:t>e</w:t>
      </w:r>
      <w:r>
        <w:rPr>
          <w:rFonts w:eastAsia="Times New Roman" w:cs="Times New Roman"/>
          <w:sz w:val="24"/>
          <w:szCs w:val="24"/>
          <w:lang w:val="ro-RO" w:eastAsia="ar-SA"/>
        </w:rPr>
        <w:t>şte nici ţuica de prune şi mai nou spectacole folclorice.</w:t>
      </w:r>
    </w:p>
    <w:p w:rsidR="00064502" w:rsidRDefault="00064502" w:rsidP="00064502">
      <w:pPr>
        <w:jc w:val="both"/>
        <w:rPr>
          <w:rFonts w:eastAsia="Times New Roman" w:cs="Times New Roman"/>
          <w:sz w:val="24"/>
          <w:szCs w:val="24"/>
          <w:lang w:val="ro-RO" w:eastAsia="ar-SA"/>
        </w:rPr>
      </w:pPr>
      <w:r w:rsidRPr="00F8751A">
        <w:rPr>
          <w:rFonts w:eastAsia="Times New Roman" w:cs="Times New Roman"/>
          <w:b/>
          <w:sz w:val="24"/>
          <w:szCs w:val="24"/>
          <w:lang w:val="ro-RO" w:eastAsia="ar-SA"/>
        </w:rPr>
        <w:t>Festivalul</w:t>
      </w:r>
      <w:r w:rsidRPr="00F23D87">
        <w:rPr>
          <w:rFonts w:eastAsia="Times New Roman" w:cs="Times New Roman"/>
          <w:sz w:val="24"/>
          <w:szCs w:val="24"/>
          <w:lang w:val="ro-RO" w:eastAsia="ar-SA"/>
        </w:rPr>
        <w:t xml:space="preserve"> „</w:t>
      </w:r>
      <w:r w:rsidRPr="00F23D87">
        <w:rPr>
          <w:rFonts w:eastAsia="Times New Roman" w:cs="Times New Roman"/>
          <w:b/>
          <w:sz w:val="24"/>
          <w:szCs w:val="24"/>
          <w:lang w:val="ro-RO" w:eastAsia="ar-SA"/>
        </w:rPr>
        <w:t>Un’te duci tu mielule?”</w:t>
      </w:r>
      <w:r w:rsidRPr="00F23D87">
        <w:rPr>
          <w:rFonts w:eastAsia="Times New Roman" w:cs="Times New Roman"/>
          <w:sz w:val="24"/>
          <w:szCs w:val="24"/>
          <w:lang w:val="ro-RO" w:eastAsia="ar-SA"/>
        </w:rPr>
        <w:t xml:space="preserve"> a devenit o tradiţie la Bran şi atrage în fiecare an mii de t</w:t>
      </w:r>
      <w:r>
        <w:rPr>
          <w:rFonts w:eastAsia="Times New Roman" w:cs="Times New Roman"/>
          <w:sz w:val="24"/>
          <w:szCs w:val="24"/>
          <w:lang w:val="ro-RO" w:eastAsia="ar-SA"/>
        </w:rPr>
        <w:t>urişti. În cadrul evenimentului</w:t>
      </w:r>
      <w:r w:rsidRPr="00F23D87">
        <w:rPr>
          <w:rFonts w:eastAsia="Times New Roman" w:cs="Times New Roman"/>
          <w:sz w:val="24"/>
          <w:szCs w:val="24"/>
          <w:lang w:val="ro-RO" w:eastAsia="ar-SA"/>
        </w:rPr>
        <w:t xml:space="preserve"> vor avea loc expoziţii culinare, dar şi concursuri între gospodari. Sâmbătă şi duminică, 30 şi 31 mai, braşovenii şi turiştii vor putea vedea o expoziţie cu degustare de produse tradiţionale, vor asista la vopsitul şi încondeiatul ouălor pentru ziua de Rusalii, frământatul şi copul cozonacului, pâinii, precum şi a plăcintei baciului. Nu vor li</w:t>
      </w:r>
      <w:r>
        <w:rPr>
          <w:rFonts w:eastAsia="Times New Roman" w:cs="Times New Roman"/>
          <w:sz w:val="24"/>
          <w:szCs w:val="24"/>
          <w:lang w:val="ro-RO" w:eastAsia="ar-SA"/>
        </w:rPr>
        <w:t>psi nici berbecuţii la proţap.</w:t>
      </w:r>
    </w:p>
    <w:p w:rsidR="00064502" w:rsidRDefault="00064502" w:rsidP="00064502">
      <w:pPr>
        <w:jc w:val="both"/>
        <w:rPr>
          <w:rFonts w:eastAsia="Times New Roman" w:cs="Times New Roman"/>
          <w:sz w:val="24"/>
          <w:szCs w:val="24"/>
          <w:lang w:val="ro-RO" w:eastAsia="ar-SA"/>
        </w:rPr>
      </w:pPr>
    </w:p>
    <w:p w:rsidR="00064502" w:rsidRDefault="00064502" w:rsidP="00064502">
      <w:pPr>
        <w:jc w:val="both"/>
        <w:rPr>
          <w:rFonts w:eastAsia="Times New Roman" w:cs="Times New Roman"/>
          <w:sz w:val="24"/>
          <w:szCs w:val="24"/>
          <w:lang w:val="ro-RO" w:eastAsia="ar-SA"/>
        </w:rPr>
      </w:pPr>
    </w:p>
    <w:p w:rsidR="00064502" w:rsidRPr="00F23D87" w:rsidRDefault="00064502" w:rsidP="00064502">
      <w:pPr>
        <w:jc w:val="both"/>
        <w:rPr>
          <w:rFonts w:eastAsia="Times New Roman" w:cs="Times New Roman"/>
          <w:sz w:val="24"/>
          <w:szCs w:val="24"/>
          <w:lang w:val="ro-RO" w:eastAsia="ar-SA"/>
        </w:rPr>
      </w:pPr>
      <w:r w:rsidRPr="00EB4A5C">
        <w:rPr>
          <w:rFonts w:eastAsia="Times New Roman" w:cs="Times New Roman"/>
          <w:sz w:val="24"/>
          <w:szCs w:val="24"/>
          <w:lang w:val="ro-RO" w:eastAsia="ar-SA"/>
        </w:rPr>
        <w:t xml:space="preserve">Evenimente din judeţul </w:t>
      </w:r>
      <w:r>
        <w:rPr>
          <w:rFonts w:eastAsia="Times New Roman" w:cs="Times New Roman"/>
          <w:b/>
          <w:sz w:val="24"/>
          <w:szCs w:val="24"/>
          <w:lang w:val="ro-RO" w:eastAsia="ar-SA"/>
        </w:rPr>
        <w:t>Covasna</w:t>
      </w:r>
      <w:r w:rsidRPr="00EB4A5C">
        <w:rPr>
          <w:rFonts w:eastAsia="Times New Roman" w:cs="Times New Roman"/>
          <w:sz w:val="24"/>
          <w:szCs w:val="24"/>
          <w:lang w:val="ro-RO" w:eastAsia="ar-SA"/>
        </w:rPr>
        <w:t>:</w:t>
      </w:r>
    </w:p>
    <w:p w:rsidR="00064502" w:rsidRPr="00F23D87" w:rsidRDefault="00064502" w:rsidP="00064502">
      <w:pPr>
        <w:jc w:val="both"/>
        <w:rPr>
          <w:rFonts w:eastAsia="Times New Roman" w:cs="Times New Roman"/>
          <w:sz w:val="24"/>
          <w:szCs w:val="24"/>
          <w:lang w:val="ro-RO" w:eastAsia="ar-SA"/>
        </w:rPr>
      </w:pPr>
      <w:r w:rsidRPr="00CE341F">
        <w:rPr>
          <w:rFonts w:eastAsia="Times New Roman" w:cs="Times New Roman"/>
          <w:b/>
          <w:sz w:val="24"/>
          <w:szCs w:val="24"/>
          <w:lang w:val="ro-RO" w:eastAsia="ar-SA"/>
        </w:rPr>
        <w:t>Festivalul Internaţional</w:t>
      </w:r>
      <w:r w:rsidRPr="00CE341F">
        <w:rPr>
          <w:rFonts w:eastAsia="Times New Roman" w:cs="Times New Roman"/>
          <w:sz w:val="24"/>
          <w:szCs w:val="24"/>
          <w:lang w:val="ro-RO" w:eastAsia="ar-SA"/>
        </w:rPr>
        <w:t xml:space="preserve"> </w:t>
      </w:r>
      <w:r w:rsidRPr="00CE341F">
        <w:rPr>
          <w:rFonts w:eastAsia="Times New Roman" w:cs="Times New Roman"/>
          <w:b/>
          <w:sz w:val="24"/>
          <w:szCs w:val="24"/>
          <w:lang w:val="ro-RO" w:eastAsia="ar-SA"/>
        </w:rPr>
        <w:t>Pomana Porcului de la Balvanyos</w:t>
      </w:r>
      <w:r w:rsidRPr="00CE341F">
        <w:rPr>
          <w:rFonts w:eastAsia="Times New Roman" w:cs="Times New Roman"/>
          <w:sz w:val="24"/>
          <w:szCs w:val="24"/>
          <w:lang w:val="ro-RO" w:eastAsia="ar-SA"/>
        </w:rPr>
        <w:t xml:space="preserve">, în Covasna, între 7 şi 9 februarie, ocazie cu care va fi organizat un concurs de tăiere a </w:t>
      </w:r>
      <w:r>
        <w:rPr>
          <w:rFonts w:eastAsia="Times New Roman" w:cs="Times New Roman"/>
          <w:sz w:val="24"/>
          <w:szCs w:val="24"/>
          <w:lang w:val="ro-RO" w:eastAsia="ar-SA"/>
        </w:rPr>
        <w:t>porcilo</w:t>
      </w:r>
      <w:r w:rsidRPr="00CE341F">
        <w:rPr>
          <w:rFonts w:eastAsia="Times New Roman" w:cs="Times New Roman"/>
          <w:sz w:val="24"/>
          <w:szCs w:val="24"/>
          <w:lang w:val="ro-RO" w:eastAsia="ar-SA"/>
        </w:rPr>
        <w:t>r şi de pregătire contracronometru de bunătăţi.</w:t>
      </w:r>
    </w:p>
    <w:p w:rsidR="00064502" w:rsidRDefault="00064502" w:rsidP="00064502">
      <w:pPr>
        <w:jc w:val="both"/>
        <w:rPr>
          <w:rFonts w:eastAsia="Times New Roman" w:cs="Times New Roman"/>
          <w:sz w:val="24"/>
          <w:szCs w:val="24"/>
          <w:lang w:val="ro-RO" w:eastAsia="ar-SA"/>
        </w:rPr>
      </w:pPr>
      <w:r w:rsidRPr="00CE341F">
        <w:rPr>
          <w:rFonts w:eastAsia="Times New Roman" w:cs="Times New Roman"/>
          <w:b/>
          <w:sz w:val="24"/>
          <w:szCs w:val="24"/>
          <w:lang w:val="ro-RO" w:eastAsia="ar-SA"/>
        </w:rPr>
        <w:t>Festivalul gastronomic</w:t>
      </w:r>
      <w:r w:rsidRPr="00F8751A">
        <w:rPr>
          <w:rFonts w:eastAsia="Times New Roman" w:cs="Times New Roman"/>
          <w:sz w:val="24"/>
          <w:szCs w:val="24"/>
          <w:lang w:val="ro-RO" w:eastAsia="ar-SA"/>
        </w:rPr>
        <w:t xml:space="preserve"> </w:t>
      </w:r>
      <w:r w:rsidRPr="00CE341F">
        <w:rPr>
          <w:rFonts w:eastAsia="Times New Roman" w:cs="Times New Roman"/>
          <w:b/>
          <w:sz w:val="24"/>
          <w:szCs w:val="24"/>
          <w:lang w:val="ro-RO" w:eastAsia="ar-SA"/>
        </w:rPr>
        <w:t>Parada Cârnaților</w:t>
      </w:r>
      <w:r w:rsidRPr="00F8751A">
        <w:rPr>
          <w:rFonts w:eastAsia="Times New Roman" w:cs="Times New Roman"/>
          <w:sz w:val="24"/>
          <w:szCs w:val="24"/>
          <w:lang w:val="ro-RO" w:eastAsia="ar-SA"/>
        </w:rPr>
        <w:t xml:space="preserve">, organizat de către Asociația Întreprinzătorilor, </w:t>
      </w:r>
      <w:r>
        <w:rPr>
          <w:rFonts w:eastAsia="Times New Roman" w:cs="Times New Roman"/>
          <w:sz w:val="24"/>
          <w:szCs w:val="24"/>
          <w:lang w:val="ro-RO" w:eastAsia="ar-SA"/>
        </w:rPr>
        <w:t xml:space="preserve">în Sfântu – Gheorghe, la care </w:t>
      </w:r>
      <w:r w:rsidRPr="00F8751A">
        <w:rPr>
          <w:rFonts w:eastAsia="Times New Roman" w:cs="Times New Roman"/>
          <w:sz w:val="24"/>
          <w:szCs w:val="24"/>
          <w:lang w:val="ro-RO" w:eastAsia="ar-SA"/>
        </w:rPr>
        <w:t>participă 60-80 de echipe formate din 3-5 concurenți, din țară și străinătate</w:t>
      </w:r>
      <w:r>
        <w:rPr>
          <w:rFonts w:eastAsia="Times New Roman" w:cs="Times New Roman"/>
          <w:sz w:val="24"/>
          <w:szCs w:val="24"/>
          <w:lang w:val="ro-RO" w:eastAsia="ar-SA"/>
        </w:rPr>
        <w:t>. E</w:t>
      </w:r>
      <w:r w:rsidRPr="00CE341F">
        <w:rPr>
          <w:rFonts w:eastAsia="Times New Roman" w:cs="Times New Roman"/>
          <w:sz w:val="24"/>
          <w:szCs w:val="24"/>
          <w:lang w:val="ro-RO" w:eastAsia="ar-SA"/>
        </w:rPr>
        <w:t>ste de departe cel mai mare şi renumit festival din judeţ</w:t>
      </w:r>
      <w:r>
        <w:rPr>
          <w:rFonts w:eastAsia="Times New Roman" w:cs="Times New Roman"/>
          <w:sz w:val="24"/>
          <w:szCs w:val="24"/>
          <w:lang w:val="ro-RO" w:eastAsia="ar-SA"/>
        </w:rPr>
        <w:t>, l</w:t>
      </w:r>
      <w:r w:rsidRPr="00CE341F">
        <w:rPr>
          <w:rFonts w:eastAsia="Times New Roman" w:cs="Times New Roman"/>
          <w:sz w:val="24"/>
          <w:szCs w:val="24"/>
          <w:lang w:val="ro-RO" w:eastAsia="ar-SA"/>
        </w:rPr>
        <w:t>a acest festival se prepară în medie o jumătate de kilometru de cârnaţi. Juriul premiază nu doar gustul cârnaţilor, ci şi prestaţiile echipelor, adică buna dispoziţie şi ospitalitatea, felul în care sunt îmbrăcate, îşi prezintă bucatele, le asortează cu aperitive, murături şi băutură.</w:t>
      </w:r>
    </w:p>
    <w:p w:rsidR="00064502" w:rsidRDefault="00064502" w:rsidP="00064502">
      <w:pPr>
        <w:jc w:val="both"/>
        <w:rPr>
          <w:rFonts w:eastAsia="Times New Roman" w:cs="Times New Roman"/>
          <w:sz w:val="24"/>
          <w:szCs w:val="24"/>
          <w:lang w:val="ro-RO" w:eastAsia="ar-SA"/>
        </w:rPr>
      </w:pPr>
      <w:r w:rsidRPr="0059665C">
        <w:rPr>
          <w:rFonts w:eastAsia="Times New Roman" w:cs="Times New Roman"/>
          <w:b/>
          <w:sz w:val="24"/>
          <w:szCs w:val="24"/>
          <w:lang w:val="ro-RO" w:eastAsia="ar-SA"/>
        </w:rPr>
        <w:t>Festivalul racilor</w:t>
      </w:r>
      <w:r w:rsidRPr="0059665C">
        <w:rPr>
          <w:rFonts w:eastAsia="Times New Roman" w:cs="Times New Roman"/>
          <w:sz w:val="24"/>
          <w:szCs w:val="24"/>
          <w:lang w:val="ro-RO" w:eastAsia="ar-SA"/>
        </w:rPr>
        <w:t xml:space="preserve"> </w:t>
      </w:r>
      <w:r>
        <w:rPr>
          <w:rFonts w:eastAsia="Times New Roman" w:cs="Times New Roman"/>
          <w:sz w:val="24"/>
          <w:szCs w:val="24"/>
          <w:lang w:val="ro-RO" w:eastAsia="ar-SA"/>
        </w:rPr>
        <w:t>di</w:t>
      </w:r>
      <w:r w:rsidRPr="0059665C">
        <w:rPr>
          <w:rFonts w:eastAsia="Times New Roman" w:cs="Times New Roman"/>
          <w:sz w:val="24"/>
          <w:szCs w:val="24"/>
          <w:lang w:val="ro-RO" w:eastAsia="ar-SA"/>
        </w:rPr>
        <w:t>n localitatea Chichiş,</w:t>
      </w:r>
      <w:r>
        <w:rPr>
          <w:rFonts w:eastAsia="Times New Roman" w:cs="Times New Roman"/>
          <w:sz w:val="24"/>
          <w:szCs w:val="24"/>
          <w:lang w:val="ro-RO" w:eastAsia="ar-SA"/>
        </w:rPr>
        <w:t xml:space="preserve"> unde</w:t>
      </w:r>
      <w:r w:rsidRPr="0059665C">
        <w:rPr>
          <w:rFonts w:eastAsia="Times New Roman" w:cs="Times New Roman"/>
          <w:sz w:val="24"/>
          <w:szCs w:val="24"/>
          <w:lang w:val="ro-RO" w:eastAsia="ar-SA"/>
        </w:rPr>
        <w:t xml:space="preserve"> se află unul dintre cele mai mari parcuri sportive şi de agrement din ţară – Natura Parc. Bălţile de aici au fost populate cu peşti, dar şi cu raci, prin urmare turiştii pot învăţa cum se pescuiesc racii, dar şi cum se prepară.</w:t>
      </w:r>
      <w:r>
        <w:rPr>
          <w:rFonts w:eastAsia="Times New Roman" w:cs="Times New Roman"/>
          <w:sz w:val="24"/>
          <w:szCs w:val="24"/>
          <w:lang w:val="ro-RO" w:eastAsia="ar-SA"/>
        </w:rPr>
        <w:t xml:space="preserve"> </w:t>
      </w:r>
      <w:r w:rsidRPr="0059665C">
        <w:rPr>
          <w:rFonts w:eastAsia="Times New Roman" w:cs="Times New Roman"/>
          <w:sz w:val="24"/>
          <w:szCs w:val="24"/>
          <w:lang w:val="ro-RO" w:eastAsia="ar-SA"/>
        </w:rPr>
        <w:t xml:space="preserve">Pentru a </w:t>
      </w:r>
      <w:r w:rsidRPr="0059665C">
        <w:rPr>
          <w:rFonts w:eastAsia="Times New Roman" w:cs="Times New Roman"/>
          <w:sz w:val="24"/>
          <w:szCs w:val="24"/>
          <w:lang w:val="ro-RO" w:eastAsia="ar-SA"/>
        </w:rPr>
        <w:lastRenderedPageBreak/>
        <w:t>atrage tu</w:t>
      </w:r>
      <w:r>
        <w:rPr>
          <w:rFonts w:eastAsia="Times New Roman" w:cs="Times New Roman"/>
          <w:sz w:val="24"/>
          <w:szCs w:val="24"/>
          <w:lang w:val="ro-RO" w:eastAsia="ar-SA"/>
        </w:rPr>
        <w:t>riştii, gazdele au organizat</w:t>
      </w:r>
      <w:r w:rsidRPr="0059665C">
        <w:rPr>
          <w:rFonts w:eastAsia="Times New Roman" w:cs="Times New Roman"/>
          <w:sz w:val="24"/>
          <w:szCs w:val="24"/>
          <w:lang w:val="ro-RO" w:eastAsia="ar-SA"/>
        </w:rPr>
        <w:t xml:space="preserve"> un festival al racilor, prilej cu care au fiert peste o tonă de raci într-un ceaun uriaş.</w:t>
      </w:r>
    </w:p>
    <w:p w:rsidR="00064502" w:rsidRDefault="00064502" w:rsidP="00064502">
      <w:pPr>
        <w:jc w:val="both"/>
        <w:rPr>
          <w:rFonts w:eastAsia="Times New Roman" w:cs="Times New Roman"/>
          <w:sz w:val="24"/>
          <w:szCs w:val="24"/>
          <w:lang w:val="ro-RO" w:eastAsia="ar-SA"/>
        </w:rPr>
      </w:pPr>
      <w:r w:rsidRPr="0059665C">
        <w:rPr>
          <w:rFonts w:eastAsia="Times New Roman" w:cs="Times New Roman"/>
          <w:b/>
          <w:sz w:val="24"/>
          <w:szCs w:val="24"/>
          <w:lang w:val="ro-RO" w:eastAsia="ar-SA"/>
        </w:rPr>
        <w:t>Festivalul ouălor roşii</w:t>
      </w:r>
      <w:r>
        <w:rPr>
          <w:rFonts w:eastAsia="Times New Roman" w:cs="Times New Roman"/>
          <w:sz w:val="24"/>
          <w:szCs w:val="24"/>
          <w:lang w:val="ro-RO" w:eastAsia="ar-SA"/>
        </w:rPr>
        <w:t xml:space="preserve"> este o tradiţie ca î</w:t>
      </w:r>
      <w:r w:rsidRPr="0059665C">
        <w:rPr>
          <w:rFonts w:eastAsia="Times New Roman" w:cs="Times New Roman"/>
          <w:sz w:val="24"/>
          <w:szCs w:val="24"/>
          <w:lang w:val="ro-RO" w:eastAsia="ar-SA"/>
        </w:rPr>
        <w:t>n cea de-a treia zi de Paşte, în localitatea Brădet, lângă Întorsura Buzăului,</w:t>
      </w:r>
      <w:r w:rsidRPr="0059665C">
        <w:t xml:space="preserve"> </w:t>
      </w:r>
      <w:r>
        <w:rPr>
          <w:rFonts w:eastAsia="Times New Roman" w:cs="Times New Roman"/>
          <w:sz w:val="24"/>
          <w:szCs w:val="24"/>
          <w:lang w:val="ro-RO" w:eastAsia="ar-SA"/>
        </w:rPr>
        <w:t>g</w:t>
      </w:r>
      <w:r w:rsidRPr="0059665C">
        <w:rPr>
          <w:rFonts w:eastAsia="Times New Roman" w:cs="Times New Roman"/>
          <w:sz w:val="24"/>
          <w:szCs w:val="24"/>
          <w:lang w:val="ro-RO" w:eastAsia="ar-SA"/>
        </w:rPr>
        <w:t>ospodinele pregătesc coşuri cu cozonac, pască şi ouă roşii, dornice să arate cât sunt de pricepute în bucătărie</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59665C">
        <w:rPr>
          <w:rFonts w:eastAsia="Times New Roman" w:cs="Times New Roman"/>
          <w:b/>
          <w:sz w:val="24"/>
          <w:szCs w:val="24"/>
          <w:lang w:val="ro-RO" w:eastAsia="ar-SA"/>
        </w:rPr>
        <w:t>Festivalul ciocolate</w:t>
      </w:r>
      <w:r>
        <w:rPr>
          <w:rFonts w:eastAsia="Times New Roman" w:cs="Times New Roman"/>
          <w:b/>
          <w:sz w:val="24"/>
          <w:szCs w:val="24"/>
          <w:lang w:val="ro-RO" w:eastAsia="ar-SA"/>
        </w:rPr>
        <w:t xml:space="preserve">i sau </w:t>
      </w:r>
      <w:r w:rsidRPr="0059665C">
        <w:rPr>
          <w:rFonts w:eastAsia="Times New Roman" w:cs="Times New Roman"/>
          <w:b/>
          <w:sz w:val="24"/>
          <w:szCs w:val="24"/>
          <w:lang w:val="ro-RO" w:eastAsia="ar-SA"/>
        </w:rPr>
        <w:t>festivalul ”Chocofest”</w:t>
      </w:r>
      <w:r w:rsidRPr="0059665C">
        <w:rPr>
          <w:rFonts w:eastAsia="Times New Roman" w:cs="Times New Roman"/>
          <w:sz w:val="24"/>
          <w:szCs w:val="24"/>
          <w:lang w:val="ro-RO" w:eastAsia="ar-SA"/>
        </w:rPr>
        <w:t xml:space="preserve"> iniţiat de Camera de Comerţ şi Industrie Covasna, şi-a propus încă de la bun început să aducă la Sfântu Gheorghe producători consacraţi de dulciuri din ţară şi străinătate, dar şi mici producători locali, care prepară produse după reţete proprii ori tradiţionale.</w:t>
      </w:r>
      <w:r>
        <w:rPr>
          <w:rFonts w:eastAsia="Times New Roman" w:cs="Times New Roman"/>
          <w:sz w:val="24"/>
          <w:szCs w:val="24"/>
          <w:lang w:val="ro-RO" w:eastAsia="ar-SA"/>
        </w:rPr>
        <w:t xml:space="preserve"> </w:t>
      </w:r>
      <w:r w:rsidRPr="0059665C">
        <w:rPr>
          <w:rFonts w:eastAsia="Times New Roman" w:cs="Times New Roman"/>
          <w:sz w:val="24"/>
          <w:szCs w:val="24"/>
          <w:lang w:val="ro-RO" w:eastAsia="ar-SA"/>
        </w:rPr>
        <w:t>Pe lângă prezent</w:t>
      </w:r>
      <w:r>
        <w:rPr>
          <w:rFonts w:eastAsia="Times New Roman" w:cs="Times New Roman"/>
          <w:sz w:val="24"/>
          <w:szCs w:val="24"/>
          <w:lang w:val="ro-RO" w:eastAsia="ar-SA"/>
        </w:rPr>
        <w:t>ări şi degustări de ciocolată</w:t>
      </w:r>
      <w:r w:rsidRPr="0059665C">
        <w:rPr>
          <w:rFonts w:eastAsia="Times New Roman" w:cs="Times New Roman"/>
          <w:sz w:val="24"/>
          <w:szCs w:val="24"/>
          <w:lang w:val="ro-RO" w:eastAsia="ar-SA"/>
        </w:rPr>
        <w:t xml:space="preserve"> au fost organizate concursuri, o expoziţie de istorie mondială a ciocolatei, demonstraţii de sculptură în ciocolată şi confecţionare de </w:t>
      </w:r>
      <w:r>
        <w:rPr>
          <w:rFonts w:eastAsia="Times New Roman" w:cs="Times New Roman"/>
          <w:sz w:val="24"/>
          <w:szCs w:val="24"/>
          <w:lang w:val="ro-RO" w:eastAsia="ar-SA"/>
        </w:rPr>
        <w:t>figurine.</w:t>
      </w:r>
    </w:p>
    <w:p w:rsidR="00064502" w:rsidRDefault="00064502" w:rsidP="00064502">
      <w:pPr>
        <w:jc w:val="both"/>
        <w:rPr>
          <w:rFonts w:eastAsia="Times New Roman" w:cs="Times New Roman"/>
          <w:sz w:val="24"/>
          <w:szCs w:val="24"/>
          <w:lang w:val="ro-RO" w:eastAsia="ar-SA"/>
        </w:rPr>
      </w:pPr>
      <w:r w:rsidRPr="00EB4A5C">
        <w:rPr>
          <w:rFonts w:eastAsia="Times New Roman" w:cs="Times New Roman"/>
          <w:sz w:val="24"/>
          <w:szCs w:val="24"/>
          <w:lang w:val="ro-RO" w:eastAsia="ar-SA"/>
        </w:rPr>
        <w:t xml:space="preserve">Evenimente din judeţul </w:t>
      </w:r>
      <w:r w:rsidRPr="00B22E78">
        <w:rPr>
          <w:rFonts w:eastAsia="Times New Roman" w:cs="Times New Roman"/>
          <w:b/>
          <w:sz w:val="24"/>
          <w:szCs w:val="24"/>
          <w:lang w:val="ro-RO" w:eastAsia="ar-SA"/>
        </w:rPr>
        <w:t>Harghita</w:t>
      </w:r>
      <w:r w:rsidRPr="00EB4A5C">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B22E78">
        <w:rPr>
          <w:rFonts w:eastAsia="Times New Roman" w:cs="Times New Roman"/>
          <w:b/>
          <w:sz w:val="24"/>
          <w:szCs w:val="24"/>
          <w:lang w:val="ro-RO" w:eastAsia="ar-SA"/>
        </w:rPr>
        <w:t>Festivalul Cartofului</w:t>
      </w:r>
      <w:r w:rsidRPr="00B22E78">
        <w:rPr>
          <w:rFonts w:eastAsia="Times New Roman" w:cs="Times New Roman"/>
          <w:sz w:val="24"/>
          <w:szCs w:val="24"/>
          <w:lang w:val="ro-RO" w:eastAsia="ar-SA"/>
        </w:rPr>
        <w:t>, a  fost inițial conceput ca un concurs de gătit, dar astăzi a devenit un program diversificat, care oferă nu numai impresii gastronomice, ci și târguri ale meșteșugarilor și spectacole susținute de numeroși artiști de marcă. Parcul Central din Miercurea Ciuc se umple, în aceasta perioadă, cu mirosul plăcut al preparatelor pe bază de cartofi și atrage, atât locuitorii orașului, cât și turiștii, la o degustare a delicio</w:t>
      </w:r>
      <w:r>
        <w:rPr>
          <w:rFonts w:eastAsia="Times New Roman" w:cs="Times New Roman"/>
          <w:sz w:val="24"/>
          <w:szCs w:val="24"/>
          <w:lang w:val="ro-RO" w:eastAsia="ar-SA"/>
        </w:rPr>
        <w:t>a</w:t>
      </w:r>
      <w:r w:rsidRPr="00B22E78">
        <w:rPr>
          <w:rFonts w:eastAsia="Times New Roman" w:cs="Times New Roman"/>
          <w:sz w:val="24"/>
          <w:szCs w:val="24"/>
          <w:lang w:val="ro-RO" w:eastAsia="ar-SA"/>
        </w:rPr>
        <w:t>selor mâncăruri.</w:t>
      </w:r>
    </w:p>
    <w:p w:rsidR="00064502" w:rsidRDefault="00064502" w:rsidP="00064502">
      <w:pPr>
        <w:jc w:val="both"/>
        <w:rPr>
          <w:rFonts w:eastAsia="Times New Roman" w:cs="Times New Roman"/>
          <w:sz w:val="24"/>
          <w:szCs w:val="24"/>
          <w:lang w:val="ro-RO" w:eastAsia="ar-SA"/>
        </w:rPr>
      </w:pPr>
      <w:r w:rsidRPr="00B22E78">
        <w:rPr>
          <w:rFonts w:eastAsia="Times New Roman" w:cs="Times New Roman"/>
          <w:b/>
          <w:sz w:val="24"/>
          <w:szCs w:val="24"/>
          <w:lang w:val="ro-RO" w:eastAsia="ar-SA"/>
        </w:rPr>
        <w:t>Festivalul Mămăligii</w:t>
      </w:r>
      <w:r w:rsidRPr="00B22E78">
        <w:rPr>
          <w:rFonts w:eastAsia="Times New Roman" w:cs="Times New Roman"/>
          <w:sz w:val="24"/>
          <w:szCs w:val="24"/>
          <w:lang w:val="ro-RO" w:eastAsia="ar-SA"/>
        </w:rPr>
        <w:t xml:space="preserve"> </w:t>
      </w:r>
      <w:r>
        <w:rPr>
          <w:rFonts w:eastAsia="Times New Roman" w:cs="Times New Roman"/>
          <w:sz w:val="24"/>
          <w:szCs w:val="24"/>
          <w:lang w:val="ro-RO" w:eastAsia="ar-SA"/>
        </w:rPr>
        <w:t>are loc l</w:t>
      </w:r>
      <w:r w:rsidRPr="00B22E78">
        <w:rPr>
          <w:rFonts w:eastAsia="Times New Roman" w:cs="Times New Roman"/>
          <w:sz w:val="24"/>
          <w:szCs w:val="24"/>
          <w:lang w:val="ro-RO" w:eastAsia="ar-SA"/>
        </w:rPr>
        <w:t xml:space="preserve">a Valea Rece, în Harghita, </w:t>
      </w:r>
      <w:r>
        <w:rPr>
          <w:rFonts w:eastAsia="Times New Roman" w:cs="Times New Roman"/>
          <w:sz w:val="24"/>
          <w:szCs w:val="24"/>
          <w:lang w:val="ro-RO" w:eastAsia="ar-SA"/>
        </w:rPr>
        <w:t>o</w:t>
      </w:r>
      <w:r w:rsidRPr="00B22E78">
        <w:rPr>
          <w:rFonts w:eastAsia="Times New Roman" w:cs="Times New Roman"/>
          <w:sz w:val="24"/>
          <w:szCs w:val="24"/>
          <w:lang w:val="ro-RO" w:eastAsia="ar-SA"/>
        </w:rPr>
        <w:t>cazie pentru</w:t>
      </w:r>
      <w:r>
        <w:rPr>
          <w:rFonts w:eastAsia="Times New Roman" w:cs="Times New Roman"/>
          <w:sz w:val="24"/>
          <w:szCs w:val="24"/>
          <w:lang w:val="ro-RO" w:eastAsia="ar-SA"/>
        </w:rPr>
        <w:t xml:space="preserve"> a descoperi zeci de reţete cu tradiţie</w:t>
      </w:r>
      <w:r w:rsidRPr="00B22E78">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B22E78">
        <w:rPr>
          <w:rFonts w:eastAsia="Times New Roman" w:cs="Times New Roman"/>
          <w:sz w:val="24"/>
          <w:szCs w:val="24"/>
          <w:lang w:val="ro-RO" w:eastAsia="ar-SA"/>
        </w:rPr>
        <w:t>Festivalul a fost organizat de proprietarii de pensiuni din Valea Rece. Ei au adus ceaunele şi mălaiul, iar participanţii reţetele proprii, brânză, jumări şi alte bunătăţi ce merg bine cu mămăligă.</w:t>
      </w:r>
    </w:p>
    <w:p w:rsidR="00064502" w:rsidRDefault="00064502" w:rsidP="00064502">
      <w:pPr>
        <w:jc w:val="both"/>
        <w:rPr>
          <w:rFonts w:eastAsia="Times New Roman" w:cs="Times New Roman"/>
          <w:sz w:val="24"/>
          <w:szCs w:val="24"/>
          <w:lang w:val="ro-RO" w:eastAsia="ar-SA"/>
        </w:rPr>
      </w:pPr>
      <w:r w:rsidRPr="00B22E78">
        <w:rPr>
          <w:rFonts w:eastAsia="Times New Roman" w:cs="Times New Roman"/>
          <w:b/>
          <w:sz w:val="24"/>
          <w:szCs w:val="24"/>
          <w:lang w:val="ro-RO" w:eastAsia="ar-SA"/>
        </w:rPr>
        <w:t>Festivalul Mierii</w:t>
      </w:r>
      <w:r w:rsidRPr="00B22E78">
        <w:rPr>
          <w:rFonts w:eastAsia="Times New Roman" w:cs="Times New Roman"/>
          <w:sz w:val="24"/>
          <w:szCs w:val="24"/>
          <w:lang w:val="ro-RO" w:eastAsia="ar-SA"/>
        </w:rPr>
        <w:t xml:space="preserve"> </w:t>
      </w:r>
      <w:r>
        <w:rPr>
          <w:rFonts w:eastAsia="Times New Roman" w:cs="Times New Roman"/>
          <w:sz w:val="24"/>
          <w:szCs w:val="24"/>
          <w:lang w:val="ro-RO" w:eastAsia="ar-SA"/>
        </w:rPr>
        <w:t xml:space="preserve">de </w:t>
      </w:r>
      <w:r w:rsidRPr="00B22E78">
        <w:rPr>
          <w:rFonts w:eastAsia="Times New Roman" w:cs="Times New Roman"/>
          <w:sz w:val="24"/>
          <w:szCs w:val="24"/>
          <w:lang w:val="ro-RO" w:eastAsia="ar-SA"/>
        </w:rPr>
        <w:t>la Miercurea-Ciuc</w:t>
      </w:r>
      <w:r>
        <w:rPr>
          <w:rFonts w:eastAsia="Times New Roman" w:cs="Times New Roman"/>
          <w:sz w:val="24"/>
          <w:szCs w:val="24"/>
          <w:lang w:val="ro-RO" w:eastAsia="ar-SA"/>
        </w:rPr>
        <w:t xml:space="preserve"> reuneşte z</w:t>
      </w:r>
      <w:r w:rsidRPr="00B22E78">
        <w:rPr>
          <w:rFonts w:eastAsia="Times New Roman" w:cs="Times New Roman"/>
          <w:sz w:val="24"/>
          <w:szCs w:val="24"/>
          <w:lang w:val="ro-RO" w:eastAsia="ar-SA"/>
        </w:rPr>
        <w:t>eci de apicultori din România şi Ungaria</w:t>
      </w:r>
      <w:r>
        <w:rPr>
          <w:rFonts w:eastAsia="Times New Roman" w:cs="Times New Roman"/>
          <w:sz w:val="24"/>
          <w:szCs w:val="24"/>
          <w:lang w:val="ro-RO" w:eastAsia="ar-SA"/>
        </w:rPr>
        <w:t xml:space="preserve">. Festivalul </w:t>
      </w:r>
      <w:r w:rsidRPr="00B22E78">
        <w:rPr>
          <w:rFonts w:eastAsia="Times New Roman" w:cs="Times New Roman"/>
          <w:sz w:val="24"/>
          <w:szCs w:val="24"/>
          <w:lang w:val="ro-RO" w:eastAsia="ar-SA"/>
        </w:rPr>
        <w:t>are rolul de a-i încuraja pe oameni să consume cât mai multe produse apicole, cunoscute pentru calităţile benefice pentru sănătate.</w:t>
      </w:r>
      <w:r>
        <w:rPr>
          <w:rFonts w:eastAsia="Times New Roman" w:cs="Times New Roman"/>
          <w:sz w:val="24"/>
          <w:szCs w:val="24"/>
          <w:lang w:val="ro-RO" w:eastAsia="ar-SA"/>
        </w:rPr>
        <w:t xml:space="preserve"> A</w:t>
      </w:r>
      <w:r w:rsidRPr="00B22E78">
        <w:rPr>
          <w:rFonts w:eastAsia="Times New Roman" w:cs="Times New Roman"/>
          <w:sz w:val="24"/>
          <w:szCs w:val="24"/>
          <w:lang w:val="ro-RO" w:eastAsia="ar-SA"/>
        </w:rPr>
        <w:t xml:space="preserve">picultorii, îmbrăcaţi în „cavaleri ai mierii”, au pornit într-un marş prin oraş, </w:t>
      </w:r>
      <w:r>
        <w:rPr>
          <w:rFonts w:eastAsia="Times New Roman" w:cs="Times New Roman"/>
          <w:sz w:val="24"/>
          <w:szCs w:val="24"/>
          <w:lang w:val="ro-RO" w:eastAsia="ar-SA"/>
        </w:rPr>
        <w:t xml:space="preserve">ei fiind însoţiţi de </w:t>
      </w:r>
      <w:r w:rsidRPr="00B22E78">
        <w:rPr>
          <w:rFonts w:eastAsia="Times New Roman" w:cs="Times New Roman"/>
          <w:sz w:val="24"/>
          <w:szCs w:val="24"/>
          <w:lang w:val="ro-RO" w:eastAsia="ar-SA"/>
        </w:rPr>
        <w:t>fetiţe îmbrăcate în albinuţe</w:t>
      </w:r>
      <w:r>
        <w:rPr>
          <w:rFonts w:eastAsia="Times New Roman" w:cs="Times New Roman"/>
          <w:sz w:val="24"/>
          <w:szCs w:val="24"/>
          <w:lang w:val="ro-RO" w:eastAsia="ar-SA"/>
        </w:rPr>
        <w:t xml:space="preserve">. </w:t>
      </w:r>
      <w:r w:rsidRPr="00B22E78">
        <w:rPr>
          <w:rFonts w:eastAsia="Times New Roman" w:cs="Times New Roman"/>
          <w:sz w:val="24"/>
          <w:szCs w:val="24"/>
          <w:lang w:val="ro-RO" w:eastAsia="ar-SA"/>
        </w:rPr>
        <w:t xml:space="preserve">Produsele apicole oferite consumatorilor la Festivalul Mierii </w:t>
      </w:r>
      <w:r>
        <w:rPr>
          <w:rFonts w:eastAsia="Times New Roman" w:cs="Times New Roman"/>
          <w:sz w:val="24"/>
          <w:szCs w:val="24"/>
          <w:lang w:val="ro-RO" w:eastAsia="ar-SA"/>
        </w:rPr>
        <w:t>sunt</w:t>
      </w:r>
      <w:r w:rsidRPr="00B22E78">
        <w:rPr>
          <w:rFonts w:eastAsia="Times New Roman" w:cs="Times New Roman"/>
          <w:sz w:val="24"/>
          <w:szCs w:val="24"/>
          <w:lang w:val="ro-RO" w:eastAsia="ar-SA"/>
        </w:rPr>
        <w:t xml:space="preserve"> diverse, de la miere de brad, de zmeură, de floarea soarelui sau de rapiţă, până la propolis, lăptişor de matcă, păstură, fagure sau cosmetice pe bază de miere.</w:t>
      </w:r>
    </w:p>
    <w:p w:rsidR="00064502" w:rsidRDefault="00064502" w:rsidP="00064502">
      <w:pPr>
        <w:jc w:val="both"/>
        <w:rPr>
          <w:rFonts w:eastAsia="Times New Roman" w:cs="Times New Roman"/>
          <w:sz w:val="24"/>
          <w:szCs w:val="24"/>
          <w:lang w:val="ro-RO" w:eastAsia="ar-SA"/>
        </w:rPr>
      </w:pPr>
      <w:r w:rsidRPr="00C871B7">
        <w:rPr>
          <w:rFonts w:eastAsia="Times New Roman" w:cs="Times New Roman"/>
          <w:b/>
          <w:sz w:val="24"/>
          <w:szCs w:val="24"/>
          <w:lang w:val="ro-RO" w:eastAsia="ar-SA"/>
        </w:rPr>
        <w:t xml:space="preserve">Festivalul Cepei la Siculeni </w:t>
      </w:r>
      <w:r w:rsidRPr="00C871B7">
        <w:rPr>
          <w:rFonts w:eastAsia="Times New Roman" w:cs="Times New Roman"/>
          <w:sz w:val="24"/>
          <w:szCs w:val="24"/>
          <w:lang w:val="ro-RO" w:eastAsia="ar-SA"/>
        </w:rPr>
        <w:t>este unul dintre multele f</w:t>
      </w:r>
      <w:r>
        <w:rPr>
          <w:rFonts w:eastAsia="Times New Roman" w:cs="Times New Roman"/>
          <w:sz w:val="24"/>
          <w:szCs w:val="24"/>
          <w:lang w:val="ro-RO" w:eastAsia="ar-SA"/>
        </w:rPr>
        <w:t>estivaluri gastronomice din judeţul Hraghita</w:t>
      </w:r>
      <w:r w:rsidRPr="00C871B7">
        <w:rPr>
          <w:rFonts w:eastAsia="Times New Roman" w:cs="Times New Roman"/>
          <w:sz w:val="24"/>
          <w:szCs w:val="24"/>
          <w:lang w:val="ro-RO" w:eastAsia="ar-SA"/>
        </w:rPr>
        <w:t xml:space="preserve"> care dă prilej producătorilor şi meşteşugarilor autohtoni să-şi prezinte produsele.</w:t>
      </w:r>
    </w:p>
    <w:p w:rsidR="00064502" w:rsidRDefault="00064502" w:rsidP="00064502">
      <w:pPr>
        <w:jc w:val="both"/>
        <w:rPr>
          <w:rFonts w:eastAsia="Times New Roman" w:cs="Times New Roman"/>
          <w:sz w:val="24"/>
          <w:szCs w:val="24"/>
          <w:lang w:val="ro-RO" w:eastAsia="ar-SA"/>
        </w:rPr>
      </w:pPr>
      <w:r w:rsidRPr="00C871B7">
        <w:rPr>
          <w:rFonts w:eastAsia="Times New Roman" w:cs="Times New Roman"/>
          <w:b/>
          <w:sz w:val="24"/>
          <w:szCs w:val="24"/>
          <w:lang w:val="ro-RO" w:eastAsia="ar-SA"/>
        </w:rPr>
        <w:t xml:space="preserve">Festivalul Colacului Secuiesc </w:t>
      </w:r>
      <w:r w:rsidRPr="00C871B7">
        <w:rPr>
          <w:rFonts w:eastAsia="Times New Roman" w:cs="Times New Roman"/>
          <w:sz w:val="24"/>
          <w:szCs w:val="24"/>
          <w:lang w:val="ro-RO" w:eastAsia="ar-SA"/>
        </w:rPr>
        <w:t xml:space="preserve">de la Dănești </w:t>
      </w:r>
      <w:r>
        <w:rPr>
          <w:rFonts w:eastAsia="Times New Roman" w:cs="Times New Roman"/>
          <w:sz w:val="24"/>
          <w:szCs w:val="24"/>
          <w:lang w:val="ro-RO" w:eastAsia="ar-SA"/>
        </w:rPr>
        <w:t>reuneşte mulţi</w:t>
      </w:r>
      <w:r w:rsidRPr="00C871B7">
        <w:rPr>
          <w:rFonts w:eastAsia="Times New Roman" w:cs="Times New Roman"/>
          <w:sz w:val="24"/>
          <w:szCs w:val="24"/>
          <w:lang w:val="ro-RO" w:eastAsia="ar-SA"/>
        </w:rPr>
        <w:t xml:space="preserve"> tineri </w:t>
      </w:r>
      <w:r>
        <w:rPr>
          <w:rFonts w:eastAsia="Times New Roman" w:cs="Times New Roman"/>
          <w:sz w:val="24"/>
          <w:szCs w:val="24"/>
          <w:lang w:val="ro-RO" w:eastAsia="ar-SA"/>
        </w:rPr>
        <w:t>cu</w:t>
      </w:r>
      <w:r w:rsidRPr="00C871B7">
        <w:rPr>
          <w:rFonts w:eastAsia="Times New Roman" w:cs="Times New Roman"/>
          <w:sz w:val="24"/>
          <w:szCs w:val="24"/>
          <w:lang w:val="ro-RO" w:eastAsia="ar-SA"/>
        </w:rPr>
        <w:t xml:space="preserve"> dorința de a duce mai departe tradiția culinară a zonei.</w:t>
      </w:r>
      <w:r>
        <w:rPr>
          <w:rFonts w:eastAsia="Times New Roman" w:cs="Times New Roman"/>
          <w:sz w:val="24"/>
          <w:szCs w:val="24"/>
          <w:lang w:val="ro-RO" w:eastAsia="ar-SA"/>
        </w:rPr>
        <w:t xml:space="preserve"> Tinerii sunt sfătuiţi</w:t>
      </w:r>
      <w:r w:rsidRPr="00C871B7">
        <w:rPr>
          <w:rFonts w:eastAsia="Times New Roman" w:cs="Times New Roman"/>
          <w:sz w:val="24"/>
          <w:szCs w:val="24"/>
          <w:lang w:val="ro-RO" w:eastAsia="ar-SA"/>
        </w:rPr>
        <w:t xml:space="preserve"> de </w:t>
      </w:r>
      <w:r>
        <w:rPr>
          <w:rFonts w:eastAsia="Times New Roman" w:cs="Times New Roman"/>
          <w:sz w:val="24"/>
          <w:szCs w:val="24"/>
          <w:lang w:val="ro-RO" w:eastAsia="ar-SA"/>
        </w:rPr>
        <w:t>doamnele mai în vârstă</w:t>
      </w:r>
      <w:r w:rsidRPr="00C871B7">
        <w:rPr>
          <w:rFonts w:eastAsia="Times New Roman" w:cs="Times New Roman"/>
          <w:sz w:val="24"/>
          <w:szCs w:val="24"/>
          <w:lang w:val="ro-RO" w:eastAsia="ar-SA"/>
        </w:rPr>
        <w:t xml:space="preserve">, dar </w:t>
      </w:r>
      <w:r>
        <w:rPr>
          <w:rFonts w:eastAsia="Times New Roman" w:cs="Times New Roman"/>
          <w:sz w:val="24"/>
          <w:szCs w:val="24"/>
          <w:lang w:val="ro-RO" w:eastAsia="ar-SA"/>
        </w:rPr>
        <w:t xml:space="preserve">acestea </w:t>
      </w:r>
      <w:r w:rsidRPr="00C871B7">
        <w:rPr>
          <w:rFonts w:eastAsia="Times New Roman" w:cs="Times New Roman"/>
          <w:sz w:val="24"/>
          <w:szCs w:val="24"/>
          <w:lang w:val="ro-RO" w:eastAsia="ar-SA"/>
        </w:rPr>
        <w:t>nu au avut voie să se implice efectiv în prepararea tradiționalului produs de patiserie al zonei.</w:t>
      </w:r>
    </w:p>
    <w:p w:rsidR="00064502" w:rsidRDefault="00064502" w:rsidP="00064502">
      <w:pPr>
        <w:jc w:val="both"/>
        <w:rPr>
          <w:rFonts w:eastAsia="Times New Roman" w:cs="Times New Roman"/>
          <w:sz w:val="24"/>
          <w:szCs w:val="24"/>
          <w:lang w:val="ro-RO" w:eastAsia="ar-SA"/>
        </w:rPr>
      </w:pPr>
      <w:r w:rsidRPr="00EB4A5C">
        <w:rPr>
          <w:rFonts w:eastAsia="Times New Roman" w:cs="Times New Roman"/>
          <w:sz w:val="24"/>
          <w:szCs w:val="24"/>
          <w:lang w:val="ro-RO" w:eastAsia="ar-SA"/>
        </w:rPr>
        <w:t xml:space="preserve">Evenimente din judeţul </w:t>
      </w:r>
      <w:r>
        <w:rPr>
          <w:rFonts w:eastAsia="Times New Roman" w:cs="Times New Roman"/>
          <w:b/>
          <w:sz w:val="24"/>
          <w:szCs w:val="24"/>
          <w:lang w:val="ro-RO" w:eastAsia="ar-SA"/>
        </w:rPr>
        <w:t>Mureş</w:t>
      </w:r>
      <w:r w:rsidRPr="00EB4A5C">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5E2876">
        <w:rPr>
          <w:rFonts w:eastAsia="Times New Roman" w:cs="Times New Roman"/>
          <w:b/>
          <w:sz w:val="24"/>
          <w:szCs w:val="24"/>
          <w:lang w:val="ro-RO" w:eastAsia="ar-SA"/>
        </w:rPr>
        <w:lastRenderedPageBreak/>
        <w:t>Festivalul vinului şi a artei meşteşugăreşti</w:t>
      </w:r>
      <w:r>
        <w:rPr>
          <w:rFonts w:eastAsia="Times New Roman" w:cs="Times New Roman"/>
          <w:sz w:val="24"/>
          <w:szCs w:val="24"/>
          <w:lang w:val="ro-RO" w:eastAsia="ar-SA"/>
        </w:rPr>
        <w:t xml:space="preserve"> ce are loc la Târgu Mureş reuneşte bucate de toamna, expoziţ</w:t>
      </w:r>
      <w:r w:rsidRPr="00AB6008">
        <w:rPr>
          <w:rFonts w:eastAsia="Times New Roman" w:cs="Times New Roman"/>
          <w:sz w:val="24"/>
          <w:szCs w:val="24"/>
          <w:lang w:val="ro-RO" w:eastAsia="ar-SA"/>
        </w:rPr>
        <w:t xml:space="preserve">ii de fructe, de vinuri, concursuri, </w:t>
      </w:r>
      <w:r>
        <w:rPr>
          <w:rFonts w:eastAsia="Times New Roman" w:cs="Times New Roman"/>
          <w:sz w:val="24"/>
          <w:szCs w:val="24"/>
          <w:lang w:val="ro-RO" w:eastAsia="ar-SA"/>
        </w:rPr>
        <w:t>cât şi artiş</w:t>
      </w:r>
      <w:r w:rsidRPr="00AB6008">
        <w:rPr>
          <w:rFonts w:eastAsia="Times New Roman" w:cs="Times New Roman"/>
          <w:sz w:val="24"/>
          <w:szCs w:val="24"/>
          <w:lang w:val="ro-RO" w:eastAsia="ar-SA"/>
        </w:rPr>
        <w:t>ti celebri.</w:t>
      </w:r>
    </w:p>
    <w:p w:rsidR="00064502" w:rsidRPr="005E2876" w:rsidRDefault="00064502" w:rsidP="00064502">
      <w:pPr>
        <w:jc w:val="both"/>
        <w:rPr>
          <w:rFonts w:eastAsia="Times New Roman" w:cs="Times New Roman"/>
          <w:b/>
          <w:sz w:val="24"/>
          <w:szCs w:val="24"/>
          <w:lang w:val="ro-RO" w:eastAsia="ar-SA"/>
        </w:rPr>
      </w:pPr>
      <w:r>
        <w:rPr>
          <w:rFonts w:eastAsia="Times New Roman" w:cs="Times New Roman"/>
          <w:b/>
          <w:sz w:val="24"/>
          <w:szCs w:val="24"/>
          <w:lang w:val="ro-RO" w:eastAsia="ar-SA"/>
        </w:rPr>
        <w:t>Expoziţia</w:t>
      </w:r>
      <w:r w:rsidRPr="005E2876">
        <w:rPr>
          <w:rFonts w:eastAsia="Times New Roman" w:cs="Times New Roman"/>
          <w:b/>
          <w:sz w:val="24"/>
          <w:szCs w:val="24"/>
          <w:lang w:val="ro-RO" w:eastAsia="ar-SA"/>
        </w:rPr>
        <w:t xml:space="preserve"> de taurine </w:t>
      </w:r>
      <w:r w:rsidRPr="005E2876">
        <w:rPr>
          <w:rFonts w:eastAsia="Times New Roman" w:cs="Times New Roman"/>
          <w:sz w:val="24"/>
          <w:szCs w:val="24"/>
          <w:lang w:val="ro-RO" w:eastAsia="ar-SA"/>
        </w:rPr>
        <w:t>din Sărmaşu aduce în judeţul Mureş</w:t>
      </w:r>
      <w:r>
        <w:rPr>
          <w:rFonts w:eastAsia="Times New Roman" w:cs="Times New Roman"/>
          <w:sz w:val="24"/>
          <w:szCs w:val="24"/>
          <w:lang w:val="ro-RO" w:eastAsia="ar-SA"/>
        </w:rPr>
        <w:t xml:space="preserve"> peste 150 de crescă</w:t>
      </w:r>
      <w:r w:rsidRPr="005E2876">
        <w:rPr>
          <w:rFonts w:eastAsia="Times New Roman" w:cs="Times New Roman"/>
          <w:sz w:val="24"/>
          <w:szCs w:val="24"/>
          <w:lang w:val="ro-RO" w:eastAsia="ar-SA"/>
        </w:rPr>
        <w:t>tori de taurine</w:t>
      </w:r>
      <w:r>
        <w:rPr>
          <w:rFonts w:eastAsia="Times New Roman" w:cs="Times New Roman"/>
          <w:sz w:val="24"/>
          <w:szCs w:val="24"/>
          <w:lang w:val="ro-RO" w:eastAsia="ar-SA"/>
        </w:rPr>
        <w:t xml:space="preserve"> din România. La acest concurs sunt premiate atât taurinele cât şi crescătorii.</w:t>
      </w:r>
    </w:p>
    <w:p w:rsidR="00064502" w:rsidRDefault="00064502" w:rsidP="00064502">
      <w:pPr>
        <w:jc w:val="both"/>
        <w:rPr>
          <w:rFonts w:eastAsia="Times New Roman" w:cs="Times New Roman"/>
          <w:sz w:val="24"/>
          <w:szCs w:val="24"/>
          <w:lang w:val="ro-RO" w:eastAsia="ar-SA"/>
        </w:rPr>
      </w:pPr>
      <w:r w:rsidRPr="005E2876">
        <w:rPr>
          <w:rFonts w:eastAsia="Times New Roman" w:cs="Times New Roman"/>
          <w:b/>
          <w:sz w:val="24"/>
          <w:szCs w:val="24"/>
          <w:lang w:val="ro-RO" w:eastAsia="ar-SA"/>
        </w:rPr>
        <w:t>Târgul tradiţional „Sărbătoarea Mărului”</w:t>
      </w:r>
      <w:r>
        <w:rPr>
          <w:rFonts w:eastAsia="Times New Roman" w:cs="Times New Roman"/>
          <w:sz w:val="24"/>
          <w:szCs w:val="24"/>
          <w:lang w:val="ro-RO" w:eastAsia="ar-SA"/>
        </w:rPr>
        <w:t xml:space="preserve"> organizat în comuna Batoş </w:t>
      </w:r>
      <w:r w:rsidRPr="005E2876">
        <w:rPr>
          <w:rFonts w:eastAsia="Times New Roman" w:cs="Times New Roman"/>
          <w:sz w:val="24"/>
          <w:szCs w:val="24"/>
          <w:lang w:val="ro-RO" w:eastAsia="ar-SA"/>
        </w:rPr>
        <w:t>de</w:t>
      </w:r>
      <w:r>
        <w:rPr>
          <w:rFonts w:eastAsia="Times New Roman" w:cs="Times New Roman"/>
          <w:sz w:val="24"/>
          <w:szCs w:val="24"/>
          <w:lang w:val="ro-RO" w:eastAsia="ar-SA"/>
        </w:rPr>
        <w:t xml:space="preserve"> către</w:t>
      </w:r>
      <w:r w:rsidRPr="005E2876">
        <w:rPr>
          <w:rFonts w:eastAsia="Times New Roman" w:cs="Times New Roman"/>
          <w:sz w:val="24"/>
          <w:szCs w:val="24"/>
          <w:lang w:val="ro-RO" w:eastAsia="ar-SA"/>
        </w:rPr>
        <w:t xml:space="preserve"> Consiliul Local </w:t>
      </w:r>
      <w:r>
        <w:rPr>
          <w:rFonts w:eastAsia="Times New Roman" w:cs="Times New Roman"/>
          <w:sz w:val="24"/>
          <w:szCs w:val="24"/>
          <w:lang w:val="ro-RO" w:eastAsia="ar-SA"/>
        </w:rPr>
        <w:t>ş</w:t>
      </w:r>
      <w:r w:rsidRPr="005E2876">
        <w:rPr>
          <w:rFonts w:eastAsia="Times New Roman" w:cs="Times New Roman"/>
          <w:sz w:val="24"/>
          <w:szCs w:val="24"/>
          <w:lang w:val="ro-RO" w:eastAsia="ar-SA"/>
        </w:rPr>
        <w:t>i prim</w:t>
      </w:r>
      <w:r>
        <w:rPr>
          <w:rFonts w:eastAsia="Times New Roman" w:cs="Times New Roman"/>
          <w:sz w:val="24"/>
          <w:szCs w:val="24"/>
          <w:lang w:val="ro-RO" w:eastAsia="ar-SA"/>
        </w:rPr>
        <w:t>ă</w:t>
      </w:r>
      <w:r w:rsidRPr="005E2876">
        <w:rPr>
          <w:rFonts w:eastAsia="Times New Roman" w:cs="Times New Roman"/>
          <w:sz w:val="24"/>
          <w:szCs w:val="24"/>
          <w:lang w:val="ro-RO" w:eastAsia="ar-SA"/>
        </w:rPr>
        <w:t xml:space="preserve">ria </w:t>
      </w:r>
      <w:r>
        <w:rPr>
          <w:rFonts w:eastAsia="Times New Roman" w:cs="Times New Roman"/>
          <w:sz w:val="24"/>
          <w:szCs w:val="24"/>
          <w:lang w:val="ro-RO" w:eastAsia="ar-SA"/>
        </w:rPr>
        <w:t>Batos, Asociatia ”Mă</w:t>
      </w:r>
      <w:r w:rsidRPr="005E2876">
        <w:rPr>
          <w:rFonts w:eastAsia="Times New Roman" w:cs="Times New Roman"/>
          <w:sz w:val="24"/>
          <w:szCs w:val="24"/>
          <w:lang w:val="ro-RO" w:eastAsia="ar-SA"/>
        </w:rPr>
        <w:t>r</w:t>
      </w:r>
      <w:r>
        <w:rPr>
          <w:rFonts w:eastAsia="Times New Roman" w:cs="Times New Roman"/>
          <w:sz w:val="24"/>
          <w:szCs w:val="24"/>
          <w:lang w:val="ro-RO" w:eastAsia="ar-SA"/>
        </w:rPr>
        <w:t>ul de Aur” si Grupul producă</w:t>
      </w:r>
      <w:r w:rsidRPr="005E2876">
        <w:rPr>
          <w:rFonts w:eastAsia="Times New Roman" w:cs="Times New Roman"/>
          <w:sz w:val="24"/>
          <w:szCs w:val="24"/>
          <w:lang w:val="ro-RO" w:eastAsia="ar-SA"/>
        </w:rPr>
        <w:t>torilor de mere Dedrad-Batos</w:t>
      </w:r>
      <w:r>
        <w:rPr>
          <w:rFonts w:eastAsia="Times New Roman" w:cs="Times New Roman"/>
          <w:sz w:val="24"/>
          <w:szCs w:val="24"/>
          <w:lang w:val="ro-RO" w:eastAsia="ar-SA"/>
        </w:rPr>
        <w:t>. Producă</w:t>
      </w:r>
      <w:r w:rsidRPr="005E2876">
        <w:rPr>
          <w:rFonts w:eastAsia="Times New Roman" w:cs="Times New Roman"/>
          <w:sz w:val="24"/>
          <w:szCs w:val="24"/>
          <w:lang w:val="ro-RO" w:eastAsia="ar-SA"/>
        </w:rPr>
        <w:t>tori</w:t>
      </w:r>
      <w:r>
        <w:rPr>
          <w:rFonts w:eastAsia="Times New Roman" w:cs="Times New Roman"/>
          <w:sz w:val="24"/>
          <w:szCs w:val="24"/>
          <w:lang w:val="ro-RO" w:eastAsia="ar-SA"/>
        </w:rPr>
        <w:t>i tradiţionali aduc cu ei pe lângă celebrele mere ş</w:t>
      </w:r>
      <w:r w:rsidRPr="005E2876">
        <w:rPr>
          <w:rFonts w:eastAsia="Times New Roman" w:cs="Times New Roman"/>
          <w:sz w:val="24"/>
          <w:szCs w:val="24"/>
          <w:lang w:val="ro-RO" w:eastAsia="ar-SA"/>
        </w:rPr>
        <w:t>i alte produse ec</w:t>
      </w:r>
      <w:r>
        <w:rPr>
          <w:rFonts w:eastAsia="Times New Roman" w:cs="Times New Roman"/>
          <w:sz w:val="24"/>
          <w:szCs w:val="24"/>
          <w:lang w:val="ro-RO" w:eastAsia="ar-SA"/>
        </w:rPr>
        <w:t>ologice cum ar fi miere, vin, oţet, struguri, dulceaţă şi</w:t>
      </w:r>
      <w:r w:rsidRPr="005E2876">
        <w:rPr>
          <w:rFonts w:eastAsia="Times New Roman" w:cs="Times New Roman"/>
          <w:sz w:val="24"/>
          <w:szCs w:val="24"/>
          <w:lang w:val="ro-RO" w:eastAsia="ar-SA"/>
        </w:rPr>
        <w:t xml:space="preserve"> compoturi.</w:t>
      </w:r>
    </w:p>
    <w:p w:rsidR="00064502" w:rsidRDefault="00064502" w:rsidP="00064502">
      <w:pPr>
        <w:jc w:val="both"/>
        <w:rPr>
          <w:rFonts w:eastAsia="Times New Roman" w:cs="Times New Roman"/>
          <w:sz w:val="24"/>
          <w:szCs w:val="24"/>
          <w:lang w:val="ro-RO" w:eastAsia="ar-SA"/>
        </w:rPr>
      </w:pPr>
      <w:r w:rsidRPr="005E2876">
        <w:rPr>
          <w:rFonts w:eastAsia="Times New Roman" w:cs="Times New Roman"/>
          <w:b/>
          <w:sz w:val="24"/>
          <w:szCs w:val="24"/>
          <w:lang w:val="ro-RO" w:eastAsia="ar-SA"/>
        </w:rPr>
        <w:t>Târgul tradiţional al cireşelor</w:t>
      </w:r>
      <w:r>
        <w:rPr>
          <w:rFonts w:eastAsia="Times New Roman" w:cs="Times New Roman"/>
          <w:sz w:val="24"/>
          <w:szCs w:val="24"/>
          <w:lang w:val="ro-RO" w:eastAsia="ar-SA"/>
        </w:rPr>
        <w:t xml:space="preserve"> de la Brâncoveneşti este un festival cu o tradiţie de peste 100 de ani de</w:t>
      </w:r>
      <w:r w:rsidRPr="009E0F4A">
        <w:rPr>
          <w:rFonts w:eastAsia="Times New Roman" w:cs="Times New Roman"/>
          <w:sz w:val="24"/>
          <w:szCs w:val="24"/>
          <w:lang w:val="ro-RO" w:eastAsia="ar-SA"/>
        </w:rPr>
        <w:t xml:space="preserve"> dansuri şi cântece populare româneşti şi maghiare.</w:t>
      </w:r>
    </w:p>
    <w:p w:rsidR="00064502" w:rsidRDefault="00064502" w:rsidP="00064502">
      <w:pPr>
        <w:jc w:val="both"/>
        <w:rPr>
          <w:rFonts w:eastAsia="Times New Roman" w:cs="Times New Roman"/>
          <w:sz w:val="24"/>
          <w:szCs w:val="24"/>
          <w:lang w:val="ro-RO" w:eastAsia="ar-SA"/>
        </w:rPr>
      </w:pPr>
      <w:r w:rsidRPr="009E0F4A">
        <w:rPr>
          <w:rFonts w:eastAsia="Times New Roman" w:cs="Times New Roman"/>
          <w:b/>
          <w:sz w:val="24"/>
          <w:szCs w:val="24"/>
          <w:lang w:val="ro-RO" w:eastAsia="ar-SA"/>
        </w:rPr>
        <w:t>GastroPan</w:t>
      </w:r>
      <w:r>
        <w:rPr>
          <w:rFonts w:eastAsia="Times New Roman" w:cs="Times New Roman"/>
          <w:sz w:val="24"/>
          <w:szCs w:val="24"/>
          <w:lang w:val="ro-RO" w:eastAsia="ar-SA"/>
        </w:rPr>
        <w:t xml:space="preserve"> este </w:t>
      </w:r>
      <w:r w:rsidRPr="009E0F4A">
        <w:rPr>
          <w:rFonts w:eastAsia="Times New Roman" w:cs="Times New Roman"/>
          <w:sz w:val="24"/>
          <w:szCs w:val="24"/>
          <w:lang w:val="ro-RO" w:eastAsia="ar-SA"/>
        </w:rPr>
        <w:t>cea mai mare expoziţie de profil din România</w:t>
      </w:r>
      <w:r>
        <w:rPr>
          <w:rFonts w:eastAsia="Times New Roman" w:cs="Times New Roman"/>
          <w:sz w:val="24"/>
          <w:szCs w:val="24"/>
          <w:lang w:val="ro-RO" w:eastAsia="ar-SA"/>
        </w:rPr>
        <w:t xml:space="preserve">. </w:t>
      </w:r>
      <w:r w:rsidRPr="009E0F4A">
        <w:rPr>
          <w:rFonts w:eastAsia="Times New Roman" w:cs="Times New Roman"/>
          <w:sz w:val="24"/>
          <w:szCs w:val="24"/>
          <w:lang w:val="ro-RO" w:eastAsia="ar-SA"/>
        </w:rPr>
        <w:t xml:space="preserve">La Concursurile GastroPan </w:t>
      </w:r>
      <w:r>
        <w:rPr>
          <w:rFonts w:eastAsia="Times New Roman" w:cs="Times New Roman"/>
          <w:sz w:val="24"/>
          <w:szCs w:val="24"/>
          <w:lang w:val="ro-RO" w:eastAsia="ar-SA"/>
        </w:rPr>
        <w:t>se premiază</w:t>
      </w:r>
      <w:r w:rsidRPr="009E0F4A">
        <w:rPr>
          <w:rFonts w:eastAsia="Times New Roman" w:cs="Times New Roman"/>
          <w:sz w:val="24"/>
          <w:szCs w:val="24"/>
          <w:lang w:val="ro-RO" w:eastAsia="ar-SA"/>
        </w:rPr>
        <w:t xml:space="preserve"> cele mai bune produse de panificație, cofetărie și cele mai reuşite, apetisante, elegante, estetice şi sănătoase platouri culinare pregătite individual şi în echipă, precum şi cele mai uimitoare creaţii artistice ale celor mai talentaţi</w:t>
      </w:r>
      <w:r>
        <w:rPr>
          <w:rFonts w:eastAsia="Times New Roman" w:cs="Times New Roman"/>
          <w:sz w:val="24"/>
          <w:szCs w:val="24"/>
          <w:lang w:val="ro-RO" w:eastAsia="ar-SA"/>
        </w:rPr>
        <w:t xml:space="preserve"> sculptori în fructe şi legume. Pe lângă alimente la expoziţie se prezintă şi</w:t>
      </w:r>
      <w:r w:rsidRPr="009E0F4A">
        <w:rPr>
          <w:rFonts w:eastAsia="Times New Roman" w:cs="Times New Roman"/>
          <w:sz w:val="24"/>
          <w:szCs w:val="24"/>
          <w:lang w:val="ro-RO" w:eastAsia="ar-SA"/>
        </w:rPr>
        <w:t xml:space="preserve"> ultimele noutăţi tehnologice ale pieţei</w:t>
      </w:r>
      <w:r>
        <w:rPr>
          <w:rFonts w:eastAsia="Times New Roman" w:cs="Times New Roman"/>
          <w:sz w:val="24"/>
          <w:szCs w:val="24"/>
          <w:lang w:val="ro-RO" w:eastAsia="ar-SA"/>
        </w:rPr>
        <w:t xml:space="preserve">. La ultima ediţie au fost prezenţi peste </w:t>
      </w:r>
      <w:r w:rsidRPr="009E0F4A">
        <w:rPr>
          <w:rFonts w:eastAsia="Times New Roman" w:cs="Times New Roman"/>
          <w:sz w:val="24"/>
          <w:szCs w:val="24"/>
          <w:lang w:val="ro-RO" w:eastAsia="ar-SA"/>
        </w:rPr>
        <w:t>133 furnizori de talie mondială de pe 4 continente, din țări precum Egipt, SUA, Germania, Franța, Grecia, Serbia, Bulgaria, Polonia, Olanda și China, care și-au expus soluțiile pe o suprafață de 7.000mp.</w:t>
      </w:r>
    </w:p>
    <w:p w:rsidR="00064502" w:rsidRPr="009027C2" w:rsidRDefault="00064502" w:rsidP="00064502">
      <w:pPr>
        <w:jc w:val="both"/>
        <w:rPr>
          <w:rFonts w:eastAsia="Times New Roman" w:cs="Times New Roman"/>
          <w:sz w:val="24"/>
          <w:szCs w:val="24"/>
          <w:lang w:val="ro-RO" w:eastAsia="ar-SA"/>
        </w:rPr>
      </w:pPr>
      <w:r w:rsidRPr="009027C2">
        <w:rPr>
          <w:rFonts w:eastAsia="Times New Roman" w:cs="Times New Roman"/>
          <w:b/>
          <w:sz w:val="24"/>
          <w:szCs w:val="24"/>
          <w:lang w:val="ro-RO" w:eastAsia="ar-SA"/>
        </w:rPr>
        <w:t xml:space="preserve">Târgul de produse tradiţionale ”Slow Food” </w:t>
      </w:r>
      <w:r w:rsidRPr="009027C2">
        <w:rPr>
          <w:rFonts w:eastAsia="Times New Roman" w:cs="Times New Roman"/>
          <w:sz w:val="24"/>
          <w:szCs w:val="24"/>
          <w:lang w:val="ro-RO" w:eastAsia="ar-SA"/>
        </w:rPr>
        <w:t>de</w:t>
      </w:r>
      <w:r>
        <w:rPr>
          <w:rFonts w:eastAsia="Times New Roman" w:cs="Times New Roman"/>
          <w:b/>
          <w:sz w:val="24"/>
          <w:szCs w:val="24"/>
          <w:lang w:val="ro-RO" w:eastAsia="ar-SA"/>
        </w:rPr>
        <w:t xml:space="preserve"> </w:t>
      </w:r>
      <w:r w:rsidRPr="009027C2">
        <w:rPr>
          <w:rFonts w:eastAsia="Times New Roman" w:cs="Times New Roman"/>
          <w:sz w:val="24"/>
          <w:szCs w:val="24"/>
          <w:lang w:val="ro-RO" w:eastAsia="ar-SA"/>
        </w:rPr>
        <w:t>la Sighişoara are loc cu ocazia zilei "Terra Madre"</w:t>
      </w:r>
      <w:r>
        <w:rPr>
          <w:rFonts w:eastAsia="Times New Roman" w:cs="Times New Roman"/>
          <w:sz w:val="24"/>
          <w:szCs w:val="24"/>
          <w:lang w:val="ro-RO" w:eastAsia="ar-SA"/>
        </w:rPr>
        <w:t>. S</w:t>
      </w:r>
      <w:r w:rsidRPr="009E0F4A">
        <w:rPr>
          <w:rFonts w:eastAsia="Times New Roman" w:cs="Times New Roman"/>
          <w:sz w:val="24"/>
          <w:szCs w:val="24"/>
          <w:lang w:val="ro-RO" w:eastAsia="ar-SA"/>
        </w:rPr>
        <w:t>unt organizate degust</w:t>
      </w:r>
      <w:r>
        <w:rPr>
          <w:rFonts w:eastAsia="Times New Roman" w:cs="Times New Roman"/>
          <w:sz w:val="24"/>
          <w:szCs w:val="24"/>
          <w:lang w:val="ro-RO" w:eastAsia="ar-SA"/>
        </w:rPr>
        <w:t>ări şi târguri de produse, acţiuni care apără biodiversitatea î</w:t>
      </w:r>
      <w:r w:rsidRPr="009E0F4A">
        <w:rPr>
          <w:rFonts w:eastAsia="Times New Roman" w:cs="Times New Roman"/>
          <w:sz w:val="24"/>
          <w:szCs w:val="24"/>
          <w:lang w:val="ro-RO" w:eastAsia="ar-SA"/>
        </w:rPr>
        <w:t xml:space="preserve">n procesul de producere a hranei, precum </w:t>
      </w:r>
      <w:r>
        <w:rPr>
          <w:rFonts w:eastAsia="Times New Roman" w:cs="Times New Roman"/>
          <w:sz w:val="24"/>
          <w:szCs w:val="24"/>
          <w:lang w:val="ro-RO" w:eastAsia="ar-SA"/>
        </w:rPr>
        <w:t>şi cultivarea de tradiţii ş</w:t>
      </w:r>
      <w:r w:rsidRPr="009E0F4A">
        <w:rPr>
          <w:rFonts w:eastAsia="Times New Roman" w:cs="Times New Roman"/>
          <w:sz w:val="24"/>
          <w:szCs w:val="24"/>
          <w:lang w:val="ro-RO" w:eastAsia="ar-SA"/>
        </w:rPr>
        <w:t>i obiceiuri culinare vechi.</w:t>
      </w:r>
      <w:r>
        <w:rPr>
          <w:rFonts w:eastAsia="Times New Roman" w:cs="Times New Roman"/>
          <w:sz w:val="24"/>
          <w:szCs w:val="24"/>
          <w:lang w:val="ro-RO" w:eastAsia="ar-SA"/>
        </w:rPr>
        <w:t xml:space="preserve"> Cei interesaţi îşi pot cumpă</w:t>
      </w:r>
      <w:r w:rsidRPr="009E0F4A">
        <w:rPr>
          <w:rFonts w:eastAsia="Times New Roman" w:cs="Times New Roman"/>
          <w:sz w:val="24"/>
          <w:szCs w:val="24"/>
          <w:lang w:val="ro-RO" w:eastAsia="ar-SA"/>
        </w:rPr>
        <w:t>ra bucatele pent</w:t>
      </w:r>
      <w:r>
        <w:rPr>
          <w:rFonts w:eastAsia="Times New Roman" w:cs="Times New Roman"/>
          <w:sz w:val="24"/>
          <w:szCs w:val="24"/>
          <w:lang w:val="ro-RO" w:eastAsia="ar-SA"/>
        </w:rPr>
        <w:t>ru masa de Crăciun de la producătorii care pă</w:t>
      </w:r>
      <w:r w:rsidRPr="009E0F4A">
        <w:rPr>
          <w:rFonts w:eastAsia="Times New Roman" w:cs="Times New Roman"/>
          <w:sz w:val="24"/>
          <w:szCs w:val="24"/>
          <w:lang w:val="ro-RO" w:eastAsia="ar-SA"/>
        </w:rPr>
        <w:t>s</w:t>
      </w:r>
      <w:r>
        <w:rPr>
          <w:rFonts w:eastAsia="Times New Roman" w:cs="Times New Roman"/>
          <w:sz w:val="24"/>
          <w:szCs w:val="24"/>
          <w:lang w:val="ro-RO" w:eastAsia="ar-SA"/>
        </w:rPr>
        <w:t>trează în mod real tradiţ</w:t>
      </w:r>
      <w:r w:rsidRPr="009E0F4A">
        <w:rPr>
          <w:rFonts w:eastAsia="Times New Roman" w:cs="Times New Roman"/>
          <w:sz w:val="24"/>
          <w:szCs w:val="24"/>
          <w:lang w:val="ro-RO" w:eastAsia="ar-SA"/>
        </w:rPr>
        <w:t>iil</w:t>
      </w:r>
      <w:r>
        <w:rPr>
          <w:rFonts w:eastAsia="Times New Roman" w:cs="Times New Roman"/>
          <w:sz w:val="24"/>
          <w:szCs w:val="24"/>
          <w:lang w:val="ro-RO" w:eastAsia="ar-SA"/>
        </w:rPr>
        <w:t xml:space="preserve">e. </w:t>
      </w:r>
      <w:r w:rsidRPr="009027C2">
        <w:rPr>
          <w:rFonts w:eastAsia="Times New Roman" w:cs="Times New Roman"/>
          <w:sz w:val="24"/>
          <w:szCs w:val="24"/>
          <w:lang w:val="ro-RO" w:eastAsia="ar-SA"/>
        </w:rPr>
        <w:t>Câteva dintre atracţiile târgului sunt gemurile şi murăturile de Saschiz, ceaiuri, siropuri, zacuscă şi dulceţuri</w:t>
      </w:r>
      <w:r>
        <w:rPr>
          <w:rFonts w:eastAsia="Times New Roman" w:cs="Times New Roman"/>
          <w:sz w:val="24"/>
          <w:szCs w:val="24"/>
          <w:lang w:val="ro-RO" w:eastAsia="ar-SA"/>
        </w:rPr>
        <w:t xml:space="preserve"> </w:t>
      </w:r>
      <w:r w:rsidRPr="009027C2">
        <w:rPr>
          <w:rFonts w:eastAsia="Times New Roman" w:cs="Times New Roman"/>
          <w:sz w:val="24"/>
          <w:szCs w:val="24"/>
          <w:lang w:val="ro-RO" w:eastAsia="ar-SA"/>
        </w:rPr>
        <w:t>de la Criş</w:t>
      </w:r>
      <w:r>
        <w:rPr>
          <w:rFonts w:eastAsia="Times New Roman" w:cs="Times New Roman"/>
          <w:sz w:val="24"/>
          <w:szCs w:val="24"/>
          <w:lang w:val="ro-RO" w:eastAsia="ar-SA"/>
        </w:rPr>
        <w:t>, t</w:t>
      </w:r>
      <w:r w:rsidRPr="009027C2">
        <w:rPr>
          <w:rFonts w:eastAsia="Times New Roman" w:cs="Times New Roman"/>
          <w:sz w:val="24"/>
          <w:szCs w:val="24"/>
          <w:lang w:val="ro-RO" w:eastAsia="ar-SA"/>
        </w:rPr>
        <w:t>urtă dulce din Bonţida, pâine de casă din Sighişoara, cârnaţi, carne, salam, pateuri şi slănini de Mangalia, brânza de oaie, vacă, capră şi bivoliţă, miere şi produse apicole, peşte afumat şi icre respectiv vinuri de pe Târnave şi pălincă din Transilvania.</w:t>
      </w:r>
    </w:p>
    <w:p w:rsidR="00064502" w:rsidRDefault="00064502" w:rsidP="00064502">
      <w:pPr>
        <w:jc w:val="both"/>
        <w:rPr>
          <w:rFonts w:eastAsia="Times New Roman" w:cs="Times New Roman"/>
          <w:sz w:val="24"/>
          <w:szCs w:val="24"/>
          <w:lang w:val="ro-RO" w:eastAsia="ar-SA"/>
        </w:rPr>
      </w:pPr>
      <w:r w:rsidRPr="00EB4A5C">
        <w:rPr>
          <w:rFonts w:eastAsia="Times New Roman" w:cs="Times New Roman"/>
          <w:sz w:val="24"/>
          <w:szCs w:val="24"/>
          <w:lang w:val="ro-RO" w:eastAsia="ar-SA"/>
        </w:rPr>
        <w:t xml:space="preserve">Evenimente din judeţul </w:t>
      </w:r>
      <w:r w:rsidRPr="00EB4A5C">
        <w:rPr>
          <w:rFonts w:eastAsia="Times New Roman" w:cs="Times New Roman"/>
          <w:b/>
          <w:sz w:val="24"/>
          <w:szCs w:val="24"/>
          <w:lang w:val="ro-RO" w:eastAsia="ar-SA"/>
        </w:rPr>
        <w:t>Sibiu</w:t>
      </w:r>
      <w:r w:rsidRPr="00EB4A5C">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EB4A5C">
        <w:rPr>
          <w:rFonts w:eastAsia="Times New Roman" w:cs="Times New Roman"/>
          <w:b/>
          <w:sz w:val="24"/>
          <w:szCs w:val="24"/>
          <w:lang w:val="ro-RO" w:eastAsia="ar-SA"/>
        </w:rPr>
        <w:t>Bursa de ovine eco</w:t>
      </w:r>
      <w:r>
        <w:rPr>
          <w:rFonts w:eastAsia="Times New Roman" w:cs="Times New Roman"/>
          <w:sz w:val="24"/>
          <w:szCs w:val="24"/>
          <w:lang w:val="ro-RO" w:eastAsia="ar-SA"/>
        </w:rPr>
        <w:t xml:space="preserve"> este o e</w:t>
      </w:r>
      <w:r w:rsidRPr="00EB4A5C">
        <w:rPr>
          <w:rFonts w:eastAsia="Times New Roman" w:cs="Times New Roman"/>
          <w:sz w:val="24"/>
          <w:szCs w:val="24"/>
          <w:lang w:val="ro-RO" w:eastAsia="ar-SA"/>
        </w:rPr>
        <w:t xml:space="preserve">xpoziţie de ovine crescute ecologic cu vânzare prin licitaţie </w:t>
      </w:r>
      <w:r>
        <w:rPr>
          <w:rFonts w:eastAsia="Times New Roman" w:cs="Times New Roman"/>
          <w:sz w:val="24"/>
          <w:szCs w:val="24"/>
          <w:lang w:val="ro-RO" w:eastAsia="ar-SA"/>
        </w:rPr>
        <w:t xml:space="preserve">are loc la </w:t>
      </w:r>
      <w:r w:rsidRPr="00EB4A5C">
        <w:rPr>
          <w:rFonts w:eastAsia="Times New Roman" w:cs="Times New Roman"/>
          <w:sz w:val="24"/>
          <w:szCs w:val="24"/>
          <w:lang w:val="ro-RO" w:eastAsia="ar-SA"/>
        </w:rPr>
        <w:t>Vurpăr</w:t>
      </w:r>
      <w:r>
        <w:rPr>
          <w:rFonts w:eastAsia="Times New Roman" w:cs="Times New Roman"/>
          <w:sz w:val="24"/>
          <w:szCs w:val="24"/>
          <w:lang w:val="ro-RO" w:eastAsia="ar-SA"/>
        </w:rPr>
        <w:t xml:space="preserve">. </w:t>
      </w:r>
      <w:r w:rsidRPr="00EB4A5C">
        <w:rPr>
          <w:rFonts w:eastAsia="Times New Roman" w:cs="Times New Roman"/>
          <w:sz w:val="24"/>
          <w:szCs w:val="24"/>
          <w:lang w:val="ro-RO" w:eastAsia="ar-SA"/>
        </w:rPr>
        <w:t>În cadrul acestui eveniment se organizează şi o expoziţie cu vânzare de produse tradiţionale şi ecologice de pe Valea Hârtibaciului precum şi un program artistic de cântec</w:t>
      </w:r>
      <w:r>
        <w:rPr>
          <w:rFonts w:eastAsia="Times New Roman" w:cs="Times New Roman"/>
          <w:sz w:val="24"/>
          <w:szCs w:val="24"/>
          <w:lang w:val="ro-RO" w:eastAsia="ar-SA"/>
        </w:rPr>
        <w:t>e şi dansuri tradiţionale</w:t>
      </w:r>
      <w:r w:rsidRPr="00EB4A5C">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5A3860">
        <w:rPr>
          <w:rFonts w:eastAsia="Times New Roman" w:cs="Times New Roman"/>
          <w:b/>
          <w:sz w:val="24"/>
          <w:szCs w:val="24"/>
          <w:lang w:val="ro-RO" w:eastAsia="ar-SA"/>
        </w:rPr>
        <w:t>Fall &amp; Winter Gastronomy in Transylvania</w:t>
      </w:r>
      <w:r>
        <w:rPr>
          <w:rFonts w:eastAsia="Times New Roman" w:cs="Times New Roman"/>
          <w:sz w:val="24"/>
          <w:szCs w:val="24"/>
          <w:lang w:val="ro-RO" w:eastAsia="ar-SA"/>
        </w:rPr>
        <w:t xml:space="preserve"> este un eveniment ce are loc la Sibiu ce oferă publicului ocazia să descopere</w:t>
      </w:r>
      <w:r w:rsidRPr="005A3860">
        <w:rPr>
          <w:rFonts w:eastAsia="Times New Roman" w:cs="Times New Roman"/>
          <w:sz w:val="24"/>
          <w:szCs w:val="24"/>
          <w:lang w:val="ro-RO" w:eastAsia="ar-SA"/>
        </w:rPr>
        <w:t xml:space="preserve"> cultura gastronomică din sudul Transilvaniei</w:t>
      </w:r>
      <w:r>
        <w:rPr>
          <w:rFonts w:eastAsia="Times New Roman" w:cs="Times New Roman"/>
          <w:sz w:val="24"/>
          <w:szCs w:val="24"/>
          <w:lang w:val="ro-RO" w:eastAsia="ar-SA"/>
        </w:rPr>
        <w:t>. Vizitatorii pot</w:t>
      </w:r>
      <w:r w:rsidRPr="005A3860">
        <w:rPr>
          <w:rFonts w:eastAsia="Times New Roman" w:cs="Times New Roman"/>
          <w:sz w:val="24"/>
          <w:szCs w:val="24"/>
          <w:lang w:val="ro-RO" w:eastAsia="ar-SA"/>
        </w:rPr>
        <w:t xml:space="preserve"> să guste produse locale, preparate tradiționale reinterpretate și să asculte povestea lor.</w:t>
      </w:r>
    </w:p>
    <w:p w:rsidR="00064502" w:rsidRDefault="00064502" w:rsidP="00064502">
      <w:pPr>
        <w:jc w:val="both"/>
        <w:rPr>
          <w:rFonts w:eastAsia="Times New Roman" w:cs="Times New Roman"/>
          <w:sz w:val="24"/>
          <w:szCs w:val="24"/>
          <w:lang w:val="ro-RO" w:eastAsia="ar-SA"/>
        </w:rPr>
      </w:pPr>
      <w:r w:rsidRPr="005A3860">
        <w:rPr>
          <w:rFonts w:eastAsia="Times New Roman" w:cs="Times New Roman"/>
          <w:b/>
          <w:sz w:val="24"/>
          <w:szCs w:val="24"/>
          <w:lang w:val="ro-RO" w:eastAsia="ar-SA"/>
        </w:rPr>
        <w:lastRenderedPageBreak/>
        <w:t>Piaţa Ţărănească "Transilvania"</w:t>
      </w:r>
      <w:r>
        <w:rPr>
          <w:rFonts w:eastAsia="Times New Roman" w:cs="Times New Roman"/>
          <w:sz w:val="24"/>
          <w:szCs w:val="24"/>
          <w:lang w:val="ro-RO" w:eastAsia="ar-SA"/>
        </w:rPr>
        <w:t xml:space="preserve"> reuneşte </w:t>
      </w:r>
      <w:r w:rsidRPr="005A3860">
        <w:rPr>
          <w:rFonts w:eastAsia="Times New Roman" w:cs="Times New Roman"/>
          <w:sz w:val="24"/>
          <w:szCs w:val="24"/>
          <w:lang w:val="ro-RO" w:eastAsia="ar-SA"/>
        </w:rPr>
        <w:t xml:space="preserve">producătorii tradiţionali sibieni pentru </w:t>
      </w:r>
      <w:r>
        <w:rPr>
          <w:rFonts w:eastAsia="Times New Roman" w:cs="Times New Roman"/>
          <w:sz w:val="24"/>
          <w:szCs w:val="24"/>
          <w:lang w:val="ro-RO" w:eastAsia="ar-SA"/>
        </w:rPr>
        <w:t>a-şi prezenta</w:t>
      </w:r>
      <w:r w:rsidRPr="005A3860">
        <w:rPr>
          <w:rFonts w:eastAsia="Times New Roman" w:cs="Times New Roman"/>
          <w:sz w:val="24"/>
          <w:szCs w:val="24"/>
          <w:lang w:val="ro-RO" w:eastAsia="ar-SA"/>
        </w:rPr>
        <w:t xml:space="preserve"> produsele proprii</w:t>
      </w:r>
      <w:r>
        <w:rPr>
          <w:rFonts w:eastAsia="Times New Roman" w:cs="Times New Roman"/>
          <w:sz w:val="24"/>
          <w:szCs w:val="24"/>
          <w:lang w:val="ro-RO" w:eastAsia="ar-SA"/>
        </w:rPr>
        <w:t xml:space="preserve">. Evenimentul are loc sâmbăta </w:t>
      </w:r>
      <w:r w:rsidRPr="005A3860">
        <w:rPr>
          <w:rFonts w:eastAsia="Times New Roman" w:cs="Times New Roman"/>
          <w:sz w:val="24"/>
          <w:szCs w:val="24"/>
          <w:lang w:val="ro-RO" w:eastAsia="ar-SA"/>
        </w:rPr>
        <w:t>în faţa Sălii Transilvania</w:t>
      </w:r>
      <w:r>
        <w:rPr>
          <w:rFonts w:eastAsia="Times New Roman" w:cs="Times New Roman"/>
          <w:sz w:val="24"/>
          <w:szCs w:val="24"/>
          <w:lang w:val="ro-RO" w:eastAsia="ar-SA"/>
        </w:rPr>
        <w:t xml:space="preserve"> şi a devenit u</w:t>
      </w:r>
      <w:r w:rsidRPr="005A3860">
        <w:rPr>
          <w:rFonts w:eastAsia="Times New Roman" w:cs="Times New Roman"/>
          <w:sz w:val="24"/>
          <w:szCs w:val="24"/>
          <w:lang w:val="ro-RO" w:eastAsia="ar-SA"/>
        </w:rPr>
        <w:t>n brand pentru judeţul Sibiu</w:t>
      </w:r>
      <w:r>
        <w:rPr>
          <w:rFonts w:eastAsia="Times New Roman" w:cs="Times New Roman"/>
          <w:sz w:val="24"/>
          <w:szCs w:val="24"/>
          <w:lang w:val="ro-RO" w:eastAsia="ar-SA"/>
        </w:rPr>
        <w:t>.</w:t>
      </w:r>
    </w:p>
    <w:p w:rsidR="00064502" w:rsidRDefault="00064502" w:rsidP="00064502">
      <w:pPr>
        <w:jc w:val="both"/>
        <w:rPr>
          <w:rFonts w:eastAsia="Times New Roman" w:cs="Times New Roman"/>
          <w:sz w:val="24"/>
          <w:szCs w:val="24"/>
          <w:lang w:val="ro-RO" w:eastAsia="ar-SA"/>
        </w:rPr>
      </w:pPr>
      <w:r w:rsidRPr="002C5DAA">
        <w:rPr>
          <w:rFonts w:eastAsia="Times New Roman" w:cs="Times New Roman"/>
          <w:b/>
          <w:sz w:val="24"/>
          <w:szCs w:val="24"/>
          <w:lang w:val="ro-RO" w:eastAsia="ar-SA"/>
        </w:rPr>
        <w:t>Festivalul Brânzei şi al Ţuicii</w:t>
      </w:r>
      <w:r>
        <w:rPr>
          <w:rFonts w:eastAsia="Times New Roman" w:cs="Times New Roman"/>
          <w:sz w:val="24"/>
          <w:szCs w:val="24"/>
          <w:lang w:val="ro-RO" w:eastAsia="ar-SA"/>
        </w:rPr>
        <w:t xml:space="preserve">, se organizează la Rășinari, şi oferă ocazia vizitatorilor să guste </w:t>
      </w:r>
      <w:r w:rsidRPr="002C5DAA">
        <w:rPr>
          <w:rFonts w:eastAsia="Times New Roman" w:cs="Times New Roman"/>
          <w:sz w:val="24"/>
          <w:szCs w:val="24"/>
          <w:lang w:val="ro-RO" w:eastAsia="ar-SA"/>
        </w:rPr>
        <w:t>brânzeturi și specialități din Mărginimea Sibiului, preparate tra</w:t>
      </w:r>
      <w:r>
        <w:rPr>
          <w:rFonts w:eastAsia="Times New Roman" w:cs="Times New Roman"/>
          <w:sz w:val="24"/>
          <w:szCs w:val="24"/>
          <w:lang w:val="ro-RO" w:eastAsia="ar-SA"/>
        </w:rPr>
        <w:t xml:space="preserve">diționale, bulzul festivalului şi să aiste la </w:t>
      </w:r>
      <w:r w:rsidRPr="002C5DAA">
        <w:rPr>
          <w:rFonts w:eastAsia="Times New Roman" w:cs="Times New Roman"/>
          <w:sz w:val="24"/>
          <w:szCs w:val="24"/>
          <w:lang w:val="ro-RO" w:eastAsia="ar-SA"/>
        </w:rPr>
        <w:t>spectacole folclorice</w:t>
      </w:r>
      <w:r>
        <w:rPr>
          <w:rFonts w:eastAsia="Times New Roman" w:cs="Times New Roman"/>
          <w:sz w:val="24"/>
          <w:szCs w:val="24"/>
          <w:lang w:val="ro-RO" w:eastAsia="ar-SA"/>
        </w:rPr>
        <w:t>.</w:t>
      </w:r>
    </w:p>
    <w:p w:rsidR="00064502" w:rsidRPr="00980E95" w:rsidRDefault="00064502" w:rsidP="00064502">
      <w:pPr>
        <w:jc w:val="both"/>
        <w:rPr>
          <w:rFonts w:eastAsia="Times New Roman" w:cs="Times New Roman"/>
          <w:sz w:val="24"/>
          <w:szCs w:val="24"/>
          <w:lang w:val="ro-RO" w:eastAsia="ar-SA"/>
        </w:rPr>
      </w:pPr>
      <w:r w:rsidRPr="002C5DAA">
        <w:rPr>
          <w:rFonts w:eastAsia="Times New Roman" w:cs="Times New Roman"/>
          <w:b/>
          <w:sz w:val="24"/>
          <w:szCs w:val="24"/>
          <w:lang w:val="ro-RO" w:eastAsia="ar-SA"/>
        </w:rPr>
        <w:t xml:space="preserve">Festivalul Verzei </w:t>
      </w:r>
      <w:r>
        <w:rPr>
          <w:rFonts w:eastAsia="Times New Roman" w:cs="Times New Roman"/>
          <w:b/>
          <w:sz w:val="24"/>
          <w:szCs w:val="24"/>
          <w:lang w:val="ro-RO" w:eastAsia="ar-SA"/>
        </w:rPr>
        <w:t xml:space="preserve">de la </w:t>
      </w:r>
      <w:r w:rsidRPr="002C5DAA">
        <w:rPr>
          <w:rFonts w:eastAsia="Times New Roman" w:cs="Times New Roman"/>
          <w:b/>
          <w:sz w:val="24"/>
          <w:szCs w:val="24"/>
          <w:lang w:val="ro-RO" w:eastAsia="ar-SA"/>
        </w:rPr>
        <w:t>Moşna</w:t>
      </w:r>
      <w:r>
        <w:rPr>
          <w:rFonts w:eastAsia="Times New Roman" w:cs="Times New Roman"/>
          <w:b/>
          <w:sz w:val="24"/>
          <w:szCs w:val="24"/>
          <w:lang w:val="ro-RO" w:eastAsia="ar-SA"/>
        </w:rPr>
        <w:t>.</w:t>
      </w:r>
      <w:r>
        <w:rPr>
          <w:rFonts w:eastAsia="Times New Roman" w:cs="Times New Roman"/>
          <w:sz w:val="24"/>
          <w:szCs w:val="24"/>
          <w:lang w:val="ro-RO" w:eastAsia="ar-SA"/>
        </w:rPr>
        <w:t xml:space="preserve"> Comuna Moşna a devenit </w:t>
      </w:r>
      <w:r w:rsidRPr="002C5DAA">
        <w:rPr>
          <w:rFonts w:eastAsia="Times New Roman" w:cs="Times New Roman"/>
          <w:sz w:val="24"/>
          <w:szCs w:val="24"/>
          <w:lang w:val="ro-RO" w:eastAsia="ar-SA"/>
        </w:rPr>
        <w:t>un "bra</w:t>
      </w:r>
      <w:r>
        <w:rPr>
          <w:rFonts w:eastAsia="Times New Roman" w:cs="Times New Roman"/>
          <w:sz w:val="24"/>
          <w:szCs w:val="24"/>
          <w:lang w:val="ro-RO" w:eastAsia="ar-SA"/>
        </w:rPr>
        <w:t>n</w:t>
      </w:r>
      <w:r w:rsidRPr="002C5DAA">
        <w:rPr>
          <w:rFonts w:eastAsia="Times New Roman" w:cs="Times New Roman"/>
          <w:sz w:val="24"/>
          <w:szCs w:val="24"/>
          <w:lang w:val="ro-RO" w:eastAsia="ar-SA"/>
        </w:rPr>
        <w:t xml:space="preserve">d" al judeţului Sibiu prin cultivarea verzei, </w:t>
      </w:r>
      <w:r>
        <w:rPr>
          <w:rFonts w:eastAsia="Times New Roman" w:cs="Times New Roman"/>
          <w:sz w:val="24"/>
          <w:szCs w:val="24"/>
          <w:lang w:val="ro-RO" w:eastAsia="ar-SA"/>
        </w:rPr>
        <w:t>de aici a venit şi numele festivalului.</w:t>
      </w:r>
      <w:r w:rsidRPr="002C5DAA">
        <w:rPr>
          <w:rFonts w:eastAsia="Times New Roman" w:cs="Times New Roman"/>
          <w:sz w:val="24"/>
          <w:szCs w:val="24"/>
          <w:lang w:val="ro-RO" w:eastAsia="ar-SA"/>
        </w:rPr>
        <w:t xml:space="preserve"> Punctul de</w:t>
      </w:r>
      <w:r>
        <w:rPr>
          <w:rFonts w:eastAsia="Times New Roman" w:cs="Times New Roman"/>
          <w:sz w:val="24"/>
          <w:szCs w:val="24"/>
          <w:lang w:val="ro-RO" w:eastAsia="ar-SA"/>
        </w:rPr>
        <w:t xml:space="preserve"> atracţie al manifestărilor de la</w:t>
      </w:r>
      <w:r w:rsidRPr="002C5DAA">
        <w:rPr>
          <w:rFonts w:eastAsia="Times New Roman" w:cs="Times New Roman"/>
          <w:sz w:val="24"/>
          <w:szCs w:val="24"/>
          <w:lang w:val="ro-RO" w:eastAsia="ar-SA"/>
        </w:rPr>
        <w:t xml:space="preserve"> Festivalul Verzei, unde sibienii şi turiştii au posibilitat</w:t>
      </w:r>
      <w:r>
        <w:rPr>
          <w:rFonts w:eastAsia="Times New Roman" w:cs="Times New Roman"/>
          <w:sz w:val="24"/>
          <w:szCs w:val="24"/>
          <w:lang w:val="ro-RO" w:eastAsia="ar-SA"/>
        </w:rPr>
        <w:t>ea să cumpere produsele cultivat</w:t>
      </w:r>
      <w:r w:rsidRPr="002C5DAA">
        <w:rPr>
          <w:rFonts w:eastAsia="Times New Roman" w:cs="Times New Roman"/>
          <w:sz w:val="24"/>
          <w:szCs w:val="24"/>
          <w:lang w:val="ro-RO" w:eastAsia="ar-SA"/>
        </w:rPr>
        <w:t>e de săteni</w:t>
      </w:r>
      <w:r>
        <w:rPr>
          <w:rFonts w:eastAsia="Times New Roman" w:cs="Times New Roman"/>
          <w:sz w:val="24"/>
          <w:szCs w:val="24"/>
          <w:lang w:val="ro-RO" w:eastAsia="ar-SA"/>
        </w:rPr>
        <w:t>, sunt</w:t>
      </w:r>
      <w:r w:rsidRPr="002C5DAA">
        <w:rPr>
          <w:rFonts w:eastAsia="Times New Roman" w:cs="Times New Roman"/>
          <w:sz w:val="24"/>
          <w:szCs w:val="24"/>
          <w:lang w:val="ro-RO" w:eastAsia="ar-SA"/>
        </w:rPr>
        <w:t xml:space="preserve"> </w:t>
      </w:r>
      <w:r>
        <w:rPr>
          <w:rFonts w:eastAsia="Times New Roman" w:cs="Times New Roman"/>
          <w:sz w:val="24"/>
          <w:szCs w:val="24"/>
          <w:lang w:val="ro-RO" w:eastAsia="ar-SA"/>
        </w:rPr>
        <w:t>cele peste 200 de care încărcate ş</w:t>
      </w:r>
      <w:r w:rsidRPr="002C5DAA">
        <w:rPr>
          <w:rFonts w:eastAsia="Times New Roman" w:cs="Times New Roman"/>
          <w:sz w:val="24"/>
          <w:szCs w:val="24"/>
          <w:lang w:val="ro-RO" w:eastAsia="ar-SA"/>
        </w:rPr>
        <w:t xml:space="preserve">i decorate cu legume </w:t>
      </w:r>
      <w:r>
        <w:rPr>
          <w:rFonts w:eastAsia="Times New Roman" w:cs="Times New Roman"/>
          <w:sz w:val="24"/>
          <w:szCs w:val="24"/>
          <w:lang w:val="ro-RO" w:eastAsia="ar-SA"/>
        </w:rPr>
        <w:t>amplasate î</w:t>
      </w:r>
      <w:r w:rsidRPr="002C5DAA">
        <w:rPr>
          <w:rFonts w:eastAsia="Times New Roman" w:cs="Times New Roman"/>
          <w:sz w:val="24"/>
          <w:szCs w:val="24"/>
          <w:lang w:val="ro-RO" w:eastAsia="ar-SA"/>
        </w:rPr>
        <w:t>n centrul comunei.</w:t>
      </w:r>
    </w:p>
    <w:p w:rsidR="00064502" w:rsidRPr="001810AB" w:rsidRDefault="00064502" w:rsidP="00064502">
      <w:pPr>
        <w:ind w:firstLine="720"/>
        <w:jc w:val="both"/>
        <w:rPr>
          <w:b/>
          <w:sz w:val="28"/>
          <w:szCs w:val="28"/>
          <w:shd w:val="clear" w:color="auto" w:fill="FFFFFF"/>
          <w:lang w:val="ro-RO"/>
        </w:rPr>
      </w:pPr>
      <w:r w:rsidRPr="001810AB">
        <w:rPr>
          <w:b/>
          <w:sz w:val="28"/>
          <w:szCs w:val="28"/>
          <w:shd w:val="clear" w:color="auto" w:fill="FFFFFF"/>
          <w:lang w:val="ro-RO"/>
        </w:rPr>
        <w:t>Formare profesională</w:t>
      </w:r>
    </w:p>
    <w:p w:rsidR="00064502" w:rsidRDefault="00064502" w:rsidP="00064502">
      <w:pPr>
        <w:autoSpaceDE w:val="0"/>
        <w:autoSpaceDN w:val="0"/>
        <w:adjustRightInd w:val="0"/>
        <w:jc w:val="both"/>
        <w:rPr>
          <w:sz w:val="24"/>
          <w:szCs w:val="24"/>
          <w:lang w:val="ro-RO"/>
        </w:rPr>
      </w:pPr>
      <w:r>
        <w:rPr>
          <w:rFonts w:cs="ArialMT"/>
          <w:color w:val="1A1A1A"/>
          <w:sz w:val="24"/>
          <w:szCs w:val="24"/>
          <w:lang w:val="ro-RO"/>
        </w:rPr>
        <w:t>Î</w:t>
      </w:r>
      <w:r w:rsidRPr="00892BA2">
        <w:rPr>
          <w:rFonts w:cs="ArialMT"/>
          <w:color w:val="1A1A1A"/>
          <w:sz w:val="24"/>
          <w:szCs w:val="24"/>
          <w:lang w:val="ro-RO"/>
        </w:rPr>
        <w:t>n regiune</w:t>
      </w:r>
      <w:r>
        <w:rPr>
          <w:rFonts w:cs="ArialMT"/>
          <w:color w:val="1A1A1A"/>
          <w:sz w:val="24"/>
          <w:szCs w:val="24"/>
          <w:lang w:val="ro-RO"/>
        </w:rPr>
        <w:t>a Centru</w:t>
      </w:r>
      <w:r w:rsidRPr="00892BA2">
        <w:rPr>
          <w:rFonts w:cs="ArialMT"/>
          <w:color w:val="1A1A1A"/>
          <w:sz w:val="24"/>
          <w:szCs w:val="24"/>
          <w:lang w:val="ro-RO"/>
        </w:rPr>
        <w:t xml:space="preserve"> există oportunităţi de formare profesională </w:t>
      </w:r>
      <w:r>
        <w:rPr>
          <w:rFonts w:cs="ArialMT"/>
          <w:color w:val="1A1A1A"/>
          <w:sz w:val="24"/>
          <w:szCs w:val="24"/>
          <w:lang w:val="ro-RO"/>
        </w:rPr>
        <w:t>iniţială</w:t>
      </w:r>
      <w:r w:rsidRPr="00892BA2">
        <w:rPr>
          <w:rFonts w:cs="ArialMT"/>
          <w:color w:val="1A1A1A"/>
          <w:sz w:val="24"/>
          <w:szCs w:val="24"/>
          <w:lang w:val="ro-RO"/>
        </w:rPr>
        <w:t xml:space="preserve"> şi continuă în </w:t>
      </w:r>
      <w:r>
        <w:rPr>
          <w:rFonts w:cs="ArialMT"/>
          <w:color w:val="1A1A1A"/>
          <w:sz w:val="24"/>
          <w:szCs w:val="24"/>
          <w:lang w:val="ro-RO"/>
        </w:rPr>
        <w:t xml:space="preserve">agricultură şi </w:t>
      </w:r>
      <w:r w:rsidRPr="00892BA2">
        <w:rPr>
          <w:rFonts w:cs="ArialMT"/>
          <w:color w:val="1A1A1A"/>
          <w:sz w:val="24"/>
          <w:szCs w:val="24"/>
          <w:lang w:val="ro-RO"/>
        </w:rPr>
        <w:t>industria alimentară. În fiecare an, universită</w:t>
      </w:r>
      <w:r w:rsidRPr="00892BA2">
        <w:rPr>
          <w:rFonts w:cs="Cambria Math"/>
          <w:color w:val="1A1A1A"/>
          <w:sz w:val="24"/>
          <w:szCs w:val="24"/>
          <w:lang w:val="ro-RO"/>
        </w:rPr>
        <w:t>ț</w:t>
      </w:r>
      <w:r w:rsidRPr="00892BA2">
        <w:rPr>
          <w:rFonts w:cs="ArialMT"/>
          <w:color w:val="1A1A1A"/>
          <w:sz w:val="24"/>
          <w:szCs w:val="24"/>
          <w:lang w:val="ro-RO"/>
        </w:rPr>
        <w:t xml:space="preserve">ile </w:t>
      </w:r>
      <w:r w:rsidRPr="00892BA2">
        <w:rPr>
          <w:rFonts w:cs="Cambria Math"/>
          <w:color w:val="1A1A1A"/>
          <w:sz w:val="24"/>
          <w:szCs w:val="24"/>
          <w:lang w:val="ro-RO"/>
        </w:rPr>
        <w:t>ș</w:t>
      </w:r>
      <w:r w:rsidRPr="00892BA2">
        <w:rPr>
          <w:rFonts w:cs="ArialMT"/>
          <w:color w:val="1A1A1A"/>
          <w:sz w:val="24"/>
          <w:szCs w:val="24"/>
          <w:lang w:val="ro-RO"/>
        </w:rPr>
        <w:t>i institu</w:t>
      </w:r>
      <w:r w:rsidRPr="00892BA2">
        <w:rPr>
          <w:rFonts w:cs="Cambria Math"/>
          <w:color w:val="1A1A1A"/>
          <w:sz w:val="24"/>
          <w:szCs w:val="24"/>
          <w:lang w:val="ro-RO"/>
        </w:rPr>
        <w:t>ț</w:t>
      </w:r>
      <w:r w:rsidRPr="00892BA2">
        <w:rPr>
          <w:rFonts w:cs="ArialMT"/>
          <w:color w:val="1A1A1A"/>
          <w:sz w:val="24"/>
          <w:szCs w:val="24"/>
          <w:lang w:val="ro-RO"/>
        </w:rPr>
        <w:t>iile de învă</w:t>
      </w:r>
      <w:r w:rsidRPr="00892BA2">
        <w:rPr>
          <w:rFonts w:cs="Cambria Math"/>
          <w:color w:val="1A1A1A"/>
          <w:sz w:val="24"/>
          <w:szCs w:val="24"/>
          <w:lang w:val="ro-RO"/>
        </w:rPr>
        <w:t>ț</w:t>
      </w:r>
      <w:r w:rsidRPr="00892BA2">
        <w:rPr>
          <w:rFonts w:cs="Times New Roman"/>
          <w:color w:val="1A1A1A"/>
          <w:sz w:val="24"/>
          <w:szCs w:val="24"/>
          <w:lang w:val="ro-RO"/>
        </w:rPr>
        <w:t>ă</w:t>
      </w:r>
      <w:r w:rsidRPr="00892BA2">
        <w:rPr>
          <w:rFonts w:cs="ArialMT"/>
          <w:color w:val="1A1A1A"/>
          <w:sz w:val="24"/>
          <w:szCs w:val="24"/>
          <w:lang w:val="ro-RO"/>
        </w:rPr>
        <w:t xml:space="preserve">mânt superior din Regiunea Centru </w:t>
      </w:r>
      <w:r>
        <w:rPr>
          <w:rFonts w:cs="ArialMT"/>
          <w:color w:val="1A1A1A"/>
          <w:sz w:val="24"/>
          <w:szCs w:val="24"/>
          <w:lang w:val="ro-RO"/>
        </w:rPr>
        <w:t>pregătesc</w:t>
      </w:r>
      <w:r w:rsidRPr="00892BA2">
        <w:rPr>
          <w:rFonts w:cs="ArialMT"/>
          <w:color w:val="1A1A1A"/>
          <w:sz w:val="24"/>
          <w:szCs w:val="24"/>
          <w:lang w:val="ro-RO"/>
        </w:rPr>
        <w:t xml:space="preserve"> tineri absolvenţi speciali</w:t>
      </w:r>
      <w:r w:rsidRPr="00892BA2">
        <w:rPr>
          <w:rFonts w:cs="Cambria Math"/>
          <w:color w:val="1A1A1A"/>
          <w:sz w:val="24"/>
          <w:szCs w:val="24"/>
          <w:lang w:val="ro-RO"/>
        </w:rPr>
        <w:t>ș</w:t>
      </w:r>
      <w:r>
        <w:rPr>
          <w:rFonts w:cs="ArialMT"/>
          <w:color w:val="1A1A1A"/>
          <w:sz w:val="24"/>
          <w:szCs w:val="24"/>
          <w:lang w:val="ro-RO"/>
        </w:rPr>
        <w:t>ti, î</w:t>
      </w:r>
      <w:r w:rsidRPr="00892BA2">
        <w:rPr>
          <w:rFonts w:cs="ArialMT"/>
          <w:color w:val="1A1A1A"/>
          <w:sz w:val="24"/>
          <w:szCs w:val="24"/>
          <w:lang w:val="ro-RO"/>
        </w:rPr>
        <w:t>n plus, angajaţii pot beneficia de programe de formare plătite de către compania pentru care lucrează sau de către alte organiza</w:t>
      </w:r>
      <w:r w:rsidRPr="00892BA2">
        <w:rPr>
          <w:rFonts w:cs="Cambria Math"/>
          <w:color w:val="1A1A1A"/>
          <w:sz w:val="24"/>
          <w:szCs w:val="24"/>
          <w:lang w:val="ro-RO"/>
        </w:rPr>
        <w:t>ț</w:t>
      </w:r>
      <w:r w:rsidRPr="00892BA2">
        <w:rPr>
          <w:rFonts w:cs="ArialMT"/>
          <w:color w:val="1A1A1A"/>
          <w:sz w:val="24"/>
          <w:szCs w:val="24"/>
          <w:lang w:val="ro-RO"/>
        </w:rPr>
        <w:t>ii de specialitate astfel încât să-şi poată dezvolta abilită</w:t>
      </w:r>
      <w:r w:rsidRPr="00892BA2">
        <w:rPr>
          <w:rFonts w:cs="Cambria Math"/>
          <w:color w:val="1A1A1A"/>
          <w:sz w:val="24"/>
          <w:szCs w:val="24"/>
          <w:lang w:val="ro-RO"/>
        </w:rPr>
        <w:t>ț</w:t>
      </w:r>
      <w:r w:rsidRPr="00892BA2">
        <w:rPr>
          <w:rFonts w:cs="ArialMT"/>
          <w:color w:val="1A1A1A"/>
          <w:sz w:val="24"/>
          <w:szCs w:val="24"/>
          <w:lang w:val="ro-RO"/>
        </w:rPr>
        <w:t xml:space="preserve">ile în </w:t>
      </w:r>
      <w:r>
        <w:rPr>
          <w:rFonts w:cs="ArialMT"/>
          <w:color w:val="1A1A1A"/>
          <w:sz w:val="24"/>
          <w:szCs w:val="24"/>
          <w:lang w:val="ro-RO"/>
        </w:rPr>
        <w:t xml:space="preserve">aceste </w:t>
      </w:r>
      <w:r w:rsidRPr="00892BA2">
        <w:rPr>
          <w:rFonts w:cs="ArialMT"/>
          <w:color w:val="1A1A1A"/>
          <w:sz w:val="24"/>
          <w:szCs w:val="24"/>
          <w:lang w:val="ro-RO"/>
        </w:rPr>
        <w:t xml:space="preserve">domenii. </w:t>
      </w:r>
      <w:r w:rsidRPr="006C4A1D">
        <w:rPr>
          <w:sz w:val="24"/>
          <w:szCs w:val="24"/>
          <w:lang w:val="ro-RO"/>
        </w:rPr>
        <w:t>Redăm mai jos o listă a instituțiilor de învățământ din Regiunea Centru care formează personal specializat pentru industria alimentară:</w:t>
      </w:r>
    </w:p>
    <w:p w:rsidR="00064502" w:rsidRPr="006C4A1D" w:rsidRDefault="00064502" w:rsidP="00064502">
      <w:pPr>
        <w:pStyle w:val="Listparagraf"/>
        <w:numPr>
          <w:ilvl w:val="0"/>
          <w:numId w:val="18"/>
        </w:numPr>
        <w:autoSpaceDE w:val="0"/>
        <w:spacing w:after="0"/>
        <w:jc w:val="both"/>
        <w:rPr>
          <w:sz w:val="24"/>
          <w:szCs w:val="24"/>
        </w:rPr>
      </w:pPr>
      <w:r w:rsidRPr="00AB16E2">
        <w:rPr>
          <w:b/>
          <w:sz w:val="24"/>
          <w:szCs w:val="24"/>
        </w:rPr>
        <w:t>Instituții de învățământ universitar</w:t>
      </w:r>
      <w:r w:rsidRPr="006C4A1D">
        <w:rPr>
          <w:sz w:val="24"/>
          <w:szCs w:val="24"/>
        </w:rPr>
        <w:t xml:space="preserve">: </w:t>
      </w:r>
    </w:p>
    <w:p w:rsidR="00064502" w:rsidRDefault="00064502" w:rsidP="00064502">
      <w:pPr>
        <w:pStyle w:val="Listparagraf"/>
        <w:numPr>
          <w:ilvl w:val="1"/>
          <w:numId w:val="18"/>
        </w:numPr>
        <w:autoSpaceDE w:val="0"/>
        <w:spacing w:after="0"/>
        <w:jc w:val="both"/>
        <w:rPr>
          <w:sz w:val="24"/>
          <w:szCs w:val="24"/>
        </w:rPr>
      </w:pPr>
      <w:r w:rsidRPr="006C4A1D">
        <w:rPr>
          <w:sz w:val="24"/>
          <w:szCs w:val="24"/>
        </w:rPr>
        <w:t>Facultatea de Ştiinţe Agricole, Industrie Alimentară şi Protecţia Mediului</w:t>
      </w:r>
      <w:r>
        <w:rPr>
          <w:sz w:val="24"/>
          <w:szCs w:val="24"/>
        </w:rPr>
        <w:t xml:space="preserve">, Universitatea </w:t>
      </w:r>
      <w:r w:rsidRPr="00D66190">
        <w:rPr>
          <w:rStyle w:val="Robust"/>
          <w:b w:val="0"/>
          <w:shd w:val="clear" w:color="auto" w:fill="FFFFFF"/>
        </w:rPr>
        <w:t>"</w:t>
      </w:r>
      <w:r>
        <w:rPr>
          <w:sz w:val="24"/>
          <w:szCs w:val="24"/>
        </w:rPr>
        <w:t>Lucian Blaga</w:t>
      </w:r>
      <w:r w:rsidRPr="00D66190">
        <w:rPr>
          <w:rStyle w:val="Robust"/>
          <w:b w:val="0"/>
          <w:shd w:val="clear" w:color="auto" w:fill="FFFFFF"/>
        </w:rPr>
        <w:t>"</w:t>
      </w:r>
      <w:r>
        <w:rPr>
          <w:sz w:val="24"/>
          <w:szCs w:val="24"/>
        </w:rPr>
        <w:t xml:space="preserve"> din Sibiu</w:t>
      </w:r>
    </w:p>
    <w:p w:rsidR="00064502" w:rsidRDefault="00064502" w:rsidP="00064502">
      <w:pPr>
        <w:pStyle w:val="Listparagraf"/>
        <w:autoSpaceDE w:val="0"/>
        <w:spacing w:after="0"/>
        <w:ind w:left="1170"/>
        <w:jc w:val="both"/>
        <w:rPr>
          <w:sz w:val="24"/>
          <w:szCs w:val="24"/>
        </w:rPr>
      </w:pPr>
      <w:r>
        <w:rPr>
          <w:sz w:val="24"/>
          <w:szCs w:val="24"/>
        </w:rPr>
        <w:t>- programe de studii</w:t>
      </w:r>
      <w:r w:rsidRPr="00D62E68">
        <w:rPr>
          <w:sz w:val="24"/>
          <w:szCs w:val="24"/>
        </w:rPr>
        <w:t xml:space="preserve"> licență: ingineria produselor alimentare, controlul și expertiza produselor alimentare, biotehnologii alimentare, inginerie și management în alimentație publică și agroturism, montanologie și ingineria și protecția mediului în agricultură. </w:t>
      </w:r>
    </w:p>
    <w:p w:rsidR="00064502" w:rsidRDefault="00064502" w:rsidP="00064502">
      <w:pPr>
        <w:pStyle w:val="Listparagraf"/>
        <w:autoSpaceDE w:val="0"/>
        <w:spacing w:after="0"/>
        <w:ind w:left="1170"/>
        <w:jc w:val="both"/>
        <w:rPr>
          <w:sz w:val="24"/>
          <w:szCs w:val="24"/>
        </w:rPr>
      </w:pPr>
      <w:r>
        <w:rPr>
          <w:sz w:val="24"/>
          <w:szCs w:val="24"/>
        </w:rPr>
        <w:t>-</w:t>
      </w:r>
      <w:r w:rsidRPr="00D62E68">
        <w:rPr>
          <w:sz w:val="24"/>
          <w:szCs w:val="24"/>
        </w:rPr>
        <w:t xml:space="preserve"> </w:t>
      </w:r>
      <w:r>
        <w:rPr>
          <w:sz w:val="24"/>
          <w:szCs w:val="24"/>
        </w:rPr>
        <w:t xml:space="preserve">programe de studii </w:t>
      </w:r>
      <w:r w:rsidRPr="00D62E68">
        <w:rPr>
          <w:sz w:val="24"/>
          <w:szCs w:val="24"/>
        </w:rPr>
        <w:t>master</w:t>
      </w:r>
      <w:r>
        <w:rPr>
          <w:sz w:val="24"/>
          <w:szCs w:val="24"/>
        </w:rPr>
        <w:t>at</w:t>
      </w:r>
      <w:r w:rsidRPr="00D62E68">
        <w:rPr>
          <w:sz w:val="24"/>
          <w:szCs w:val="24"/>
        </w:rPr>
        <w:t xml:space="preserve">: </w:t>
      </w:r>
      <w:r>
        <w:rPr>
          <w:sz w:val="24"/>
          <w:szCs w:val="24"/>
        </w:rPr>
        <w:t>A</w:t>
      </w:r>
      <w:r w:rsidRPr="00D62E68">
        <w:rPr>
          <w:sz w:val="24"/>
          <w:szCs w:val="24"/>
        </w:rPr>
        <w:t>sigurarea calității și siguranței alimentelor, Managementul procesării moderne a alimentelor, Managementul dezvoltării durabile a zonei rurale și Managementul protecției mediului agricol.</w:t>
      </w:r>
    </w:p>
    <w:p w:rsidR="00064502" w:rsidRDefault="00064502" w:rsidP="00064502">
      <w:pPr>
        <w:pStyle w:val="Listparagraf"/>
        <w:autoSpaceDE w:val="0"/>
        <w:spacing w:after="0"/>
        <w:ind w:left="1170"/>
        <w:jc w:val="both"/>
        <w:rPr>
          <w:sz w:val="24"/>
          <w:szCs w:val="24"/>
        </w:rPr>
      </w:pPr>
      <w:r>
        <w:rPr>
          <w:sz w:val="24"/>
          <w:szCs w:val="24"/>
        </w:rPr>
        <w:t xml:space="preserve">- </w:t>
      </w:r>
      <w:r w:rsidRPr="00D62E68">
        <w:rPr>
          <w:sz w:val="24"/>
          <w:szCs w:val="24"/>
        </w:rPr>
        <w:t>fermierii și procesatorii din industria alimentară care doresc să-și desăvârș</w:t>
      </w:r>
      <w:r>
        <w:rPr>
          <w:sz w:val="24"/>
          <w:szCs w:val="24"/>
        </w:rPr>
        <w:t>e</w:t>
      </w:r>
      <w:r w:rsidRPr="00D62E68">
        <w:rPr>
          <w:sz w:val="24"/>
          <w:szCs w:val="24"/>
        </w:rPr>
        <w:t xml:space="preserve">ască studiile în domeniu </w:t>
      </w:r>
      <w:r>
        <w:rPr>
          <w:sz w:val="24"/>
          <w:szCs w:val="24"/>
        </w:rPr>
        <w:t>au</w:t>
      </w:r>
      <w:r w:rsidRPr="00D62E68">
        <w:rPr>
          <w:sz w:val="24"/>
          <w:szCs w:val="24"/>
        </w:rPr>
        <w:t xml:space="preserve"> posibilitatea îndeplinirii profesionale prin urmarea cursurilor de profil la forma de învățământ la distanță.</w:t>
      </w:r>
    </w:p>
    <w:p w:rsidR="00064502" w:rsidRPr="00363D53" w:rsidRDefault="00064502" w:rsidP="00064502">
      <w:pPr>
        <w:pStyle w:val="Listparagraf"/>
        <w:autoSpaceDE w:val="0"/>
        <w:spacing w:after="0"/>
        <w:ind w:left="1170"/>
        <w:jc w:val="both"/>
        <w:rPr>
          <w:sz w:val="24"/>
          <w:szCs w:val="24"/>
        </w:rPr>
      </w:pPr>
    </w:p>
    <w:p w:rsidR="00064502" w:rsidRDefault="00064502" w:rsidP="00064502">
      <w:pPr>
        <w:pStyle w:val="Listparagraf"/>
        <w:numPr>
          <w:ilvl w:val="1"/>
          <w:numId w:val="18"/>
        </w:numPr>
        <w:autoSpaceDE w:val="0"/>
        <w:spacing w:after="0"/>
        <w:jc w:val="both"/>
        <w:rPr>
          <w:sz w:val="24"/>
          <w:szCs w:val="24"/>
        </w:rPr>
      </w:pPr>
      <w:r>
        <w:rPr>
          <w:sz w:val="24"/>
          <w:szCs w:val="24"/>
        </w:rPr>
        <w:t>Facultatea de Alimentaţie şi Turism, Universitatea Transilvania din Braşov</w:t>
      </w:r>
    </w:p>
    <w:p w:rsidR="00064502" w:rsidRDefault="00064502" w:rsidP="00064502">
      <w:pPr>
        <w:pStyle w:val="Listparagraf"/>
        <w:autoSpaceDE w:val="0"/>
        <w:spacing w:after="0"/>
        <w:ind w:left="1170"/>
        <w:jc w:val="both"/>
        <w:rPr>
          <w:sz w:val="24"/>
          <w:szCs w:val="24"/>
        </w:rPr>
      </w:pPr>
      <w:r>
        <w:rPr>
          <w:sz w:val="24"/>
          <w:szCs w:val="24"/>
        </w:rPr>
        <w:t xml:space="preserve">- programe de studii licenţă: </w:t>
      </w:r>
      <w:r w:rsidRPr="00D62E68">
        <w:rPr>
          <w:sz w:val="24"/>
          <w:szCs w:val="24"/>
        </w:rPr>
        <w:t>Ingineria Produselor Alimentare</w:t>
      </w:r>
      <w:r>
        <w:rPr>
          <w:sz w:val="24"/>
          <w:szCs w:val="24"/>
        </w:rPr>
        <w:t xml:space="preserve">, </w:t>
      </w:r>
      <w:r w:rsidRPr="00D62E68">
        <w:rPr>
          <w:sz w:val="24"/>
          <w:szCs w:val="24"/>
        </w:rPr>
        <w:t>Controlul şi Expertiza Produselor Alimentare</w:t>
      </w:r>
      <w:r>
        <w:rPr>
          <w:sz w:val="24"/>
          <w:szCs w:val="24"/>
        </w:rPr>
        <w:t xml:space="preserve">, </w:t>
      </w:r>
      <w:r w:rsidRPr="00D62E68">
        <w:rPr>
          <w:sz w:val="24"/>
          <w:szCs w:val="24"/>
        </w:rPr>
        <w:t>Inginerie şi Management în Alimentaţie publică şi Agroturism</w:t>
      </w:r>
      <w:r>
        <w:rPr>
          <w:sz w:val="24"/>
          <w:szCs w:val="24"/>
        </w:rPr>
        <w:t xml:space="preserve">, </w:t>
      </w:r>
      <w:r w:rsidRPr="00D62E68">
        <w:rPr>
          <w:sz w:val="24"/>
          <w:szCs w:val="24"/>
        </w:rPr>
        <w:t>Echipamente pentru Procese Industriale (Alimentare)</w:t>
      </w:r>
      <w:r>
        <w:rPr>
          <w:sz w:val="24"/>
          <w:szCs w:val="24"/>
        </w:rPr>
        <w:t>, M</w:t>
      </w:r>
      <w:r w:rsidRPr="00D62E68">
        <w:rPr>
          <w:sz w:val="24"/>
          <w:szCs w:val="24"/>
        </w:rPr>
        <w:t>aşini şi Instalaţii pentru Agricultură şi Industria Alimentară</w:t>
      </w:r>
      <w:r>
        <w:rPr>
          <w:sz w:val="24"/>
          <w:szCs w:val="24"/>
        </w:rPr>
        <w:t>.</w:t>
      </w:r>
    </w:p>
    <w:p w:rsidR="00064502" w:rsidRDefault="00064502" w:rsidP="00064502">
      <w:pPr>
        <w:pStyle w:val="Listparagraf"/>
        <w:autoSpaceDE w:val="0"/>
        <w:spacing w:after="0"/>
        <w:ind w:left="1170"/>
        <w:jc w:val="both"/>
        <w:rPr>
          <w:sz w:val="24"/>
          <w:szCs w:val="24"/>
        </w:rPr>
      </w:pPr>
      <w:r>
        <w:rPr>
          <w:sz w:val="24"/>
          <w:szCs w:val="24"/>
        </w:rPr>
        <w:lastRenderedPageBreak/>
        <w:t xml:space="preserve">- programe de studii masterat: </w:t>
      </w:r>
      <w:r w:rsidRPr="00D62E68">
        <w:rPr>
          <w:sz w:val="24"/>
          <w:szCs w:val="24"/>
        </w:rPr>
        <w:t>Sisteme de Procesare şi Controlul Calităţii Produselor Agroalimentare</w:t>
      </w:r>
      <w:r>
        <w:rPr>
          <w:sz w:val="24"/>
          <w:szCs w:val="24"/>
        </w:rPr>
        <w:t xml:space="preserve">, </w:t>
      </w:r>
      <w:r w:rsidRPr="00D62E68">
        <w:rPr>
          <w:sz w:val="24"/>
          <w:szCs w:val="24"/>
        </w:rPr>
        <w:t>Dezvoltarea şi Optimizarea Sistemelor Tehnice şi Tehnologice  Agroalimentare şi Turistice</w:t>
      </w:r>
      <w:r>
        <w:rPr>
          <w:sz w:val="24"/>
          <w:szCs w:val="24"/>
        </w:rPr>
        <w:t xml:space="preserve">. </w:t>
      </w:r>
    </w:p>
    <w:p w:rsidR="00064502" w:rsidRDefault="00064502" w:rsidP="00064502">
      <w:pPr>
        <w:pStyle w:val="Listparagraf"/>
        <w:autoSpaceDE w:val="0"/>
        <w:spacing w:after="0"/>
        <w:ind w:left="1170"/>
        <w:jc w:val="both"/>
        <w:rPr>
          <w:sz w:val="24"/>
          <w:szCs w:val="24"/>
        </w:rPr>
      </w:pPr>
    </w:p>
    <w:p w:rsidR="00064502" w:rsidRDefault="00064502" w:rsidP="00064502">
      <w:pPr>
        <w:pStyle w:val="Listparagraf"/>
        <w:numPr>
          <w:ilvl w:val="1"/>
          <w:numId w:val="18"/>
        </w:numPr>
        <w:autoSpaceDE w:val="0"/>
        <w:spacing w:after="0"/>
        <w:jc w:val="both"/>
        <w:rPr>
          <w:sz w:val="24"/>
          <w:szCs w:val="24"/>
        </w:rPr>
      </w:pPr>
      <w:r w:rsidRPr="00905951">
        <w:rPr>
          <w:sz w:val="24"/>
          <w:szCs w:val="24"/>
        </w:rPr>
        <w:t>Universitatea Tehnică din Cluj Napoca cu extensie academică în</w:t>
      </w:r>
      <w:r>
        <w:rPr>
          <w:sz w:val="24"/>
          <w:szCs w:val="24"/>
        </w:rPr>
        <w:t>:</w:t>
      </w:r>
    </w:p>
    <w:p w:rsidR="00064502" w:rsidRDefault="00064502" w:rsidP="00064502">
      <w:pPr>
        <w:pStyle w:val="Listparagraf"/>
        <w:autoSpaceDE w:val="0"/>
        <w:spacing w:after="0"/>
        <w:ind w:left="1170"/>
        <w:jc w:val="both"/>
        <w:rPr>
          <w:sz w:val="24"/>
          <w:szCs w:val="24"/>
        </w:rPr>
      </w:pPr>
      <w:r w:rsidRPr="007E19D1">
        <w:rPr>
          <w:rFonts w:ascii="Calibri" w:hAnsi="Calibri" w:cs="Calibri"/>
          <w:b/>
          <w:sz w:val="24"/>
          <w:szCs w:val="24"/>
        </w:rPr>
        <w:t>Alba Iulia</w:t>
      </w:r>
      <w:r w:rsidRPr="00905951">
        <w:rPr>
          <w:rFonts w:ascii="Calibri" w:hAnsi="Calibri" w:cs="Calibri"/>
          <w:sz w:val="24"/>
          <w:szCs w:val="24"/>
        </w:rPr>
        <w:t>: Facultatea</w:t>
      </w:r>
      <w:r w:rsidRPr="00905951">
        <w:rPr>
          <w:sz w:val="24"/>
          <w:szCs w:val="24"/>
        </w:rPr>
        <w:t xml:space="preserve"> Construcții de Mașini  și Facultatea de Mecanică</w:t>
      </w:r>
    </w:p>
    <w:p w:rsidR="00064502" w:rsidRDefault="00064502" w:rsidP="00064502">
      <w:pPr>
        <w:pStyle w:val="Listparagraf"/>
        <w:autoSpaceDE w:val="0"/>
        <w:ind w:left="1170"/>
        <w:jc w:val="both"/>
        <w:rPr>
          <w:sz w:val="24"/>
          <w:szCs w:val="24"/>
        </w:rPr>
      </w:pPr>
    </w:p>
    <w:p w:rsidR="00064502" w:rsidRPr="00D62E68" w:rsidRDefault="00064502" w:rsidP="00064502">
      <w:pPr>
        <w:pStyle w:val="Listparagraf"/>
        <w:numPr>
          <w:ilvl w:val="0"/>
          <w:numId w:val="23"/>
        </w:numPr>
        <w:autoSpaceDE w:val="0"/>
        <w:spacing w:after="0"/>
        <w:jc w:val="both"/>
        <w:rPr>
          <w:sz w:val="24"/>
          <w:szCs w:val="24"/>
        </w:rPr>
      </w:pPr>
      <w:r w:rsidRPr="00905951">
        <w:rPr>
          <w:sz w:val="24"/>
          <w:szCs w:val="24"/>
        </w:rPr>
        <w:t>Universitatea ”Sapientia”</w:t>
      </w:r>
      <w:r>
        <w:rPr>
          <w:sz w:val="24"/>
          <w:szCs w:val="24"/>
        </w:rPr>
        <w:t xml:space="preserve"> </w:t>
      </w:r>
      <w:r w:rsidRPr="00905951">
        <w:rPr>
          <w:sz w:val="24"/>
          <w:szCs w:val="24"/>
        </w:rPr>
        <w:t>din Cluj Napoca cu extensii</w:t>
      </w:r>
      <w:r>
        <w:rPr>
          <w:sz w:val="24"/>
          <w:szCs w:val="24"/>
        </w:rPr>
        <w:t xml:space="preserve"> </w:t>
      </w:r>
      <w:r w:rsidRPr="00905951">
        <w:rPr>
          <w:sz w:val="24"/>
          <w:szCs w:val="24"/>
        </w:rPr>
        <w:t>academice în:</w:t>
      </w:r>
      <w:r w:rsidRPr="00905951">
        <w:rPr>
          <w:rFonts w:ascii="Calibri" w:hAnsi="Calibri" w:cs="Calibri"/>
          <w:sz w:val="24"/>
          <w:szCs w:val="24"/>
        </w:rPr>
        <w:t xml:space="preserve"> </w:t>
      </w:r>
    </w:p>
    <w:p w:rsidR="00064502" w:rsidRPr="00D62E68" w:rsidRDefault="00064502" w:rsidP="00064502">
      <w:pPr>
        <w:pStyle w:val="Listparagraf"/>
        <w:autoSpaceDE w:val="0"/>
        <w:spacing w:after="0"/>
        <w:ind w:left="1170"/>
        <w:jc w:val="both"/>
        <w:rPr>
          <w:sz w:val="24"/>
          <w:szCs w:val="24"/>
        </w:rPr>
      </w:pPr>
      <w:r w:rsidRPr="00905951">
        <w:rPr>
          <w:rFonts w:ascii="Calibri" w:hAnsi="Calibri" w:cs="Calibri"/>
          <w:b/>
          <w:sz w:val="24"/>
          <w:szCs w:val="24"/>
        </w:rPr>
        <w:t>Miercurea Ciuc</w:t>
      </w:r>
      <w:r>
        <w:rPr>
          <w:rFonts w:ascii="Calibri" w:hAnsi="Calibri" w:cs="Calibri"/>
          <w:sz w:val="24"/>
          <w:szCs w:val="24"/>
        </w:rPr>
        <w:t>:</w:t>
      </w:r>
      <w:r w:rsidRPr="00D62E68">
        <w:rPr>
          <w:rFonts w:ascii="Calibri" w:hAnsi="Calibri" w:cs="Calibri"/>
          <w:sz w:val="24"/>
          <w:szCs w:val="24"/>
        </w:rPr>
        <w:t xml:space="preserve"> </w:t>
      </w:r>
      <w:r w:rsidRPr="00D62E68">
        <w:rPr>
          <w:sz w:val="24"/>
          <w:szCs w:val="24"/>
        </w:rPr>
        <w:t xml:space="preserve">Facultatea de  Științe Tehnice  și Sociale  și Facultatea de  Științe Economice și Umane </w:t>
      </w:r>
    </w:p>
    <w:p w:rsidR="00064502" w:rsidRDefault="00064502" w:rsidP="00064502">
      <w:pPr>
        <w:pStyle w:val="Listparagraf"/>
        <w:autoSpaceDE w:val="0"/>
        <w:spacing w:after="0"/>
        <w:ind w:left="1170"/>
        <w:jc w:val="both"/>
        <w:rPr>
          <w:sz w:val="24"/>
          <w:szCs w:val="24"/>
        </w:rPr>
      </w:pPr>
      <w:r w:rsidRPr="00905951">
        <w:rPr>
          <w:rFonts w:ascii="Calibri" w:hAnsi="Calibri" w:cs="Calibri"/>
          <w:b/>
          <w:sz w:val="24"/>
          <w:szCs w:val="24"/>
        </w:rPr>
        <w:t>Târgu Mureș</w:t>
      </w:r>
      <w:r w:rsidRPr="00905951">
        <w:rPr>
          <w:rFonts w:ascii="Calibri" w:hAnsi="Calibri" w:cs="Calibri"/>
          <w:sz w:val="24"/>
          <w:szCs w:val="24"/>
        </w:rPr>
        <w:t>: Facultatea de</w:t>
      </w:r>
      <w:r>
        <w:rPr>
          <w:rFonts w:ascii="Calibri" w:hAnsi="Calibri" w:cs="Calibri"/>
          <w:sz w:val="24"/>
          <w:szCs w:val="24"/>
        </w:rPr>
        <w:t xml:space="preserve"> </w:t>
      </w:r>
      <w:r w:rsidRPr="00905951">
        <w:rPr>
          <w:sz w:val="24"/>
          <w:szCs w:val="24"/>
        </w:rPr>
        <w:t>Științe Tehnice și Umaniste</w:t>
      </w:r>
    </w:p>
    <w:p w:rsidR="00064502" w:rsidRPr="00D62E68" w:rsidRDefault="00064502" w:rsidP="00064502">
      <w:pPr>
        <w:pStyle w:val="Listparagraf"/>
        <w:autoSpaceDE w:val="0"/>
        <w:spacing w:after="0"/>
        <w:ind w:left="1170"/>
        <w:jc w:val="both"/>
        <w:rPr>
          <w:sz w:val="24"/>
          <w:szCs w:val="24"/>
        </w:rPr>
      </w:pPr>
    </w:p>
    <w:p w:rsidR="00064502" w:rsidRDefault="00064502" w:rsidP="00064502">
      <w:pPr>
        <w:pStyle w:val="Listparagraf"/>
        <w:numPr>
          <w:ilvl w:val="0"/>
          <w:numId w:val="18"/>
        </w:numPr>
        <w:autoSpaceDE w:val="0"/>
        <w:spacing w:after="0"/>
        <w:jc w:val="both"/>
        <w:rPr>
          <w:sz w:val="24"/>
          <w:szCs w:val="24"/>
        </w:rPr>
      </w:pPr>
      <w:r w:rsidRPr="00AB16E2">
        <w:rPr>
          <w:b/>
          <w:sz w:val="24"/>
          <w:szCs w:val="24"/>
        </w:rPr>
        <w:t>Instituții de învățământ preuniversitar</w:t>
      </w:r>
      <w:r w:rsidRPr="006C4A1D">
        <w:rPr>
          <w:sz w:val="24"/>
          <w:szCs w:val="24"/>
        </w:rPr>
        <w:t xml:space="preserve">: </w:t>
      </w:r>
    </w:p>
    <w:p w:rsidR="00064502" w:rsidRPr="00AB16E2" w:rsidRDefault="00064502" w:rsidP="00064502">
      <w:pPr>
        <w:pStyle w:val="Default"/>
        <w:spacing w:line="276" w:lineRule="auto"/>
        <w:ind w:firstLine="450"/>
        <w:jc w:val="both"/>
        <w:rPr>
          <w:rStyle w:val="Accentuat"/>
          <w:rFonts w:asciiTheme="minorHAnsi" w:hAnsiTheme="minorHAnsi"/>
          <w:b/>
          <w:bCs/>
          <w:i w:val="0"/>
          <w:iCs w:val="0"/>
          <w:color w:val="auto"/>
        </w:rPr>
      </w:pPr>
      <w:r w:rsidRPr="00AB16E2">
        <w:rPr>
          <w:rStyle w:val="Accentuat"/>
          <w:rFonts w:asciiTheme="minorHAnsi" w:hAnsiTheme="minorHAnsi" w:cs="Arial"/>
          <w:b/>
          <w:bCs/>
          <w:color w:val="auto"/>
          <w:shd w:val="clear" w:color="auto" w:fill="FFFFFF"/>
        </w:rPr>
        <w:t>Agricultură</w:t>
      </w:r>
    </w:p>
    <w:p w:rsidR="00064502"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bCs/>
          <w:color w:val="auto"/>
        </w:rPr>
        <w:t>Grup</w:t>
      </w:r>
      <w:r w:rsidRPr="0030186A">
        <w:rPr>
          <w:rStyle w:val="Accentuat"/>
          <w:rFonts w:asciiTheme="minorHAnsi" w:hAnsiTheme="minorHAnsi"/>
          <w:bCs/>
          <w:color w:val="auto"/>
        </w:rPr>
        <w:t xml:space="preserve"> </w:t>
      </w:r>
      <w:r>
        <w:rPr>
          <w:rStyle w:val="Accentuat"/>
          <w:rFonts w:asciiTheme="minorHAnsi" w:hAnsiTheme="minorHAnsi"/>
          <w:bCs/>
          <w:color w:val="auto"/>
        </w:rPr>
        <w:t>Şcolar</w:t>
      </w:r>
      <w:r w:rsidRPr="0030186A">
        <w:rPr>
          <w:rStyle w:val="Accentuat"/>
          <w:rFonts w:asciiTheme="minorHAnsi" w:hAnsiTheme="minorHAnsi"/>
          <w:bCs/>
          <w:color w:val="auto"/>
        </w:rPr>
        <w:t xml:space="preserve"> "STEFAN MANCIULEA" B</w:t>
      </w:r>
      <w:r>
        <w:rPr>
          <w:rStyle w:val="Accentuat"/>
          <w:rFonts w:asciiTheme="minorHAnsi" w:hAnsiTheme="minorHAnsi"/>
          <w:bCs/>
          <w:color w:val="auto"/>
        </w:rPr>
        <w:t>laj, jud. Alba</w:t>
      </w:r>
    </w:p>
    <w:p w:rsidR="00064502"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bCs/>
          <w:color w:val="auto"/>
        </w:rPr>
        <w:t>Grup</w:t>
      </w:r>
      <w:r w:rsidRPr="0030186A">
        <w:rPr>
          <w:rStyle w:val="Accentuat"/>
          <w:rFonts w:asciiTheme="minorHAnsi" w:hAnsiTheme="minorHAnsi"/>
          <w:bCs/>
          <w:color w:val="auto"/>
        </w:rPr>
        <w:t xml:space="preserve"> </w:t>
      </w:r>
      <w:r>
        <w:rPr>
          <w:rStyle w:val="Accentuat"/>
          <w:rFonts w:asciiTheme="minorHAnsi" w:hAnsiTheme="minorHAnsi"/>
          <w:bCs/>
          <w:color w:val="auto"/>
        </w:rPr>
        <w:t>Şcolar</w:t>
      </w:r>
      <w:r w:rsidRPr="0030186A">
        <w:rPr>
          <w:rStyle w:val="Accentuat"/>
          <w:rFonts w:asciiTheme="minorHAnsi" w:hAnsiTheme="minorHAnsi"/>
          <w:bCs/>
          <w:color w:val="auto"/>
        </w:rPr>
        <w:t xml:space="preserve"> A</w:t>
      </w:r>
      <w:r>
        <w:rPr>
          <w:rStyle w:val="Accentuat"/>
          <w:rFonts w:asciiTheme="minorHAnsi" w:hAnsiTheme="minorHAnsi"/>
          <w:bCs/>
          <w:color w:val="auto"/>
        </w:rPr>
        <w:t>gricol</w:t>
      </w:r>
      <w:r w:rsidRPr="0030186A">
        <w:rPr>
          <w:rStyle w:val="Accentuat"/>
          <w:rFonts w:asciiTheme="minorHAnsi" w:hAnsiTheme="minorHAnsi"/>
          <w:bCs/>
          <w:color w:val="auto"/>
        </w:rPr>
        <w:t xml:space="preserve"> "ALEXANDRU BORZA" C</w:t>
      </w:r>
      <w:r>
        <w:rPr>
          <w:rStyle w:val="Accentuat"/>
          <w:rFonts w:asciiTheme="minorHAnsi" w:hAnsiTheme="minorHAnsi"/>
          <w:bCs/>
          <w:color w:val="auto"/>
        </w:rPr>
        <w:t>iumbrud, jud. Alba</w:t>
      </w:r>
    </w:p>
    <w:p w:rsidR="00064502"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bCs/>
          <w:color w:val="auto"/>
        </w:rPr>
        <w:t>Grup</w:t>
      </w:r>
      <w:r w:rsidRPr="0030186A">
        <w:rPr>
          <w:rStyle w:val="Accentuat"/>
          <w:rFonts w:asciiTheme="minorHAnsi" w:hAnsiTheme="minorHAnsi"/>
          <w:bCs/>
          <w:color w:val="auto"/>
        </w:rPr>
        <w:t xml:space="preserve"> </w:t>
      </w:r>
      <w:r>
        <w:rPr>
          <w:rStyle w:val="Accentuat"/>
          <w:rFonts w:asciiTheme="minorHAnsi" w:hAnsiTheme="minorHAnsi"/>
          <w:bCs/>
          <w:color w:val="auto"/>
        </w:rPr>
        <w:t>Şcolar</w:t>
      </w:r>
      <w:r w:rsidRPr="0030186A">
        <w:rPr>
          <w:rStyle w:val="Accentuat"/>
          <w:rFonts w:asciiTheme="minorHAnsi" w:hAnsiTheme="minorHAnsi"/>
          <w:bCs/>
          <w:color w:val="auto"/>
        </w:rPr>
        <w:t xml:space="preserve"> </w:t>
      </w:r>
      <w:r>
        <w:rPr>
          <w:rStyle w:val="Accentuat"/>
          <w:rFonts w:asciiTheme="minorHAnsi" w:hAnsiTheme="minorHAnsi"/>
          <w:bCs/>
          <w:color w:val="auto"/>
        </w:rPr>
        <w:t>Industrial</w:t>
      </w:r>
      <w:r w:rsidRPr="0030186A">
        <w:rPr>
          <w:rStyle w:val="Accentuat"/>
          <w:rFonts w:asciiTheme="minorHAnsi" w:hAnsiTheme="minorHAnsi"/>
          <w:bCs/>
          <w:color w:val="auto"/>
        </w:rPr>
        <w:t xml:space="preserve"> J</w:t>
      </w:r>
      <w:r>
        <w:rPr>
          <w:rStyle w:val="Accentuat"/>
          <w:rFonts w:asciiTheme="minorHAnsi" w:hAnsiTheme="minorHAnsi"/>
          <w:bCs/>
          <w:color w:val="auto"/>
        </w:rPr>
        <w:t>idvei, jud. Alba</w:t>
      </w:r>
    </w:p>
    <w:p w:rsidR="00064502"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bCs/>
          <w:color w:val="auto"/>
        </w:rPr>
        <w:t xml:space="preserve">Colegiul pentru </w:t>
      </w:r>
      <w:r w:rsidRPr="0030186A">
        <w:rPr>
          <w:rStyle w:val="Accentuat"/>
          <w:rFonts w:asciiTheme="minorHAnsi" w:hAnsiTheme="minorHAnsi"/>
          <w:bCs/>
          <w:color w:val="auto"/>
        </w:rPr>
        <w:t>A</w:t>
      </w:r>
      <w:r>
        <w:rPr>
          <w:rStyle w:val="Accentuat"/>
          <w:rFonts w:asciiTheme="minorHAnsi" w:hAnsiTheme="minorHAnsi"/>
          <w:bCs/>
          <w:color w:val="auto"/>
        </w:rPr>
        <w:t>gricultură şi</w:t>
      </w:r>
      <w:r w:rsidRPr="0030186A">
        <w:rPr>
          <w:rStyle w:val="Accentuat"/>
          <w:rFonts w:asciiTheme="minorHAnsi" w:hAnsiTheme="minorHAnsi"/>
          <w:bCs/>
          <w:color w:val="auto"/>
        </w:rPr>
        <w:t xml:space="preserve"> I</w:t>
      </w:r>
      <w:r>
        <w:rPr>
          <w:rStyle w:val="Accentuat"/>
          <w:rFonts w:asciiTheme="minorHAnsi" w:hAnsiTheme="minorHAnsi"/>
          <w:bCs/>
          <w:color w:val="auto"/>
        </w:rPr>
        <w:t>ndustrie</w:t>
      </w:r>
      <w:r w:rsidRPr="0030186A">
        <w:rPr>
          <w:rStyle w:val="Accentuat"/>
          <w:rFonts w:asciiTheme="minorHAnsi" w:hAnsiTheme="minorHAnsi"/>
          <w:bCs/>
          <w:color w:val="auto"/>
        </w:rPr>
        <w:t xml:space="preserve"> A</w:t>
      </w:r>
      <w:r>
        <w:rPr>
          <w:rStyle w:val="Accentuat"/>
          <w:rFonts w:asciiTheme="minorHAnsi" w:hAnsiTheme="minorHAnsi"/>
          <w:bCs/>
          <w:color w:val="auto"/>
        </w:rPr>
        <w:t>limentară "ŢARA BÂ</w:t>
      </w:r>
      <w:r w:rsidRPr="0030186A">
        <w:rPr>
          <w:rStyle w:val="Accentuat"/>
          <w:rFonts w:asciiTheme="minorHAnsi" w:hAnsiTheme="minorHAnsi"/>
          <w:bCs/>
          <w:color w:val="auto"/>
        </w:rPr>
        <w:t>RSEI" P</w:t>
      </w:r>
      <w:r>
        <w:rPr>
          <w:rStyle w:val="Accentuat"/>
          <w:rFonts w:asciiTheme="minorHAnsi" w:hAnsiTheme="minorHAnsi"/>
          <w:bCs/>
          <w:color w:val="auto"/>
        </w:rPr>
        <w:t xml:space="preserve">rejmer, jud. Braşov </w:t>
      </w:r>
    </w:p>
    <w:p w:rsidR="00064502"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bCs/>
          <w:color w:val="auto"/>
        </w:rPr>
        <w:t>Grup</w:t>
      </w:r>
      <w:r w:rsidRPr="0030186A">
        <w:rPr>
          <w:rStyle w:val="Accentuat"/>
          <w:rFonts w:asciiTheme="minorHAnsi" w:hAnsiTheme="minorHAnsi"/>
          <w:bCs/>
          <w:color w:val="auto"/>
        </w:rPr>
        <w:t xml:space="preserve"> </w:t>
      </w:r>
      <w:r>
        <w:rPr>
          <w:rStyle w:val="Accentuat"/>
          <w:rFonts w:asciiTheme="minorHAnsi" w:hAnsiTheme="minorHAnsi"/>
          <w:bCs/>
          <w:color w:val="auto"/>
        </w:rPr>
        <w:t>Şcolar</w:t>
      </w:r>
      <w:r w:rsidRPr="0030186A">
        <w:rPr>
          <w:rStyle w:val="Accentuat"/>
          <w:rFonts w:asciiTheme="minorHAnsi" w:hAnsiTheme="minorHAnsi"/>
          <w:bCs/>
          <w:color w:val="auto"/>
        </w:rPr>
        <w:t xml:space="preserve"> </w:t>
      </w:r>
      <w:r>
        <w:rPr>
          <w:rStyle w:val="Accentuat"/>
          <w:rFonts w:asciiTheme="minorHAnsi" w:hAnsiTheme="minorHAnsi"/>
          <w:bCs/>
          <w:color w:val="auto"/>
        </w:rPr>
        <w:t xml:space="preserve">"APOR PETER" Târgu </w:t>
      </w:r>
      <w:r w:rsidRPr="0030186A">
        <w:rPr>
          <w:rStyle w:val="Accentuat"/>
          <w:rFonts w:asciiTheme="minorHAnsi" w:hAnsiTheme="minorHAnsi"/>
          <w:bCs/>
          <w:color w:val="auto"/>
        </w:rPr>
        <w:t>S</w:t>
      </w:r>
      <w:r>
        <w:rPr>
          <w:rStyle w:val="Accentuat"/>
          <w:rFonts w:asciiTheme="minorHAnsi" w:hAnsiTheme="minorHAnsi"/>
          <w:bCs/>
          <w:color w:val="auto"/>
        </w:rPr>
        <w:t>ecuiesc, jud. Covasna</w:t>
      </w:r>
    </w:p>
    <w:p w:rsidR="00064502"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bCs/>
          <w:color w:val="auto"/>
        </w:rPr>
        <w:t>Colegiul</w:t>
      </w:r>
      <w:r w:rsidRPr="0030186A">
        <w:rPr>
          <w:rStyle w:val="Accentuat"/>
          <w:rFonts w:asciiTheme="minorHAnsi" w:hAnsiTheme="minorHAnsi"/>
          <w:bCs/>
          <w:color w:val="auto"/>
        </w:rPr>
        <w:t xml:space="preserve"> T</w:t>
      </w:r>
      <w:r>
        <w:rPr>
          <w:rStyle w:val="Accentuat"/>
          <w:rFonts w:asciiTheme="minorHAnsi" w:hAnsiTheme="minorHAnsi"/>
          <w:bCs/>
          <w:color w:val="auto"/>
        </w:rPr>
        <w:t>ehnic</w:t>
      </w:r>
      <w:r w:rsidRPr="0030186A">
        <w:rPr>
          <w:rStyle w:val="Accentuat"/>
          <w:rFonts w:asciiTheme="minorHAnsi" w:hAnsiTheme="minorHAnsi"/>
          <w:bCs/>
          <w:color w:val="auto"/>
        </w:rPr>
        <w:t xml:space="preserve"> "BATTHYANY IGNAC" G</w:t>
      </w:r>
      <w:r>
        <w:rPr>
          <w:rStyle w:val="Accentuat"/>
          <w:rFonts w:asciiTheme="minorHAnsi" w:hAnsiTheme="minorHAnsi"/>
          <w:bCs/>
          <w:color w:val="auto"/>
        </w:rPr>
        <w:t>heorgheni, jud. Harghita</w:t>
      </w:r>
    </w:p>
    <w:p w:rsidR="00064502" w:rsidRPr="00550AB8"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550AB8">
        <w:rPr>
          <w:rStyle w:val="Accentuat"/>
          <w:rFonts w:asciiTheme="minorHAnsi" w:hAnsiTheme="minorHAnsi" w:cs="Arial"/>
          <w:bCs/>
          <w:color w:val="auto"/>
          <w:shd w:val="clear" w:color="auto" w:fill="FFFFFF"/>
        </w:rPr>
        <w:t>Colegiul Agricol</w:t>
      </w:r>
      <w:r w:rsidRPr="00550AB8">
        <w:rPr>
          <w:rStyle w:val="apple-converted-space"/>
          <w:rFonts w:asciiTheme="minorHAnsi" w:hAnsiTheme="minorHAnsi" w:cs="Arial"/>
          <w:color w:val="auto"/>
          <w:shd w:val="clear" w:color="auto" w:fill="FFFFFF"/>
        </w:rPr>
        <w:t> </w:t>
      </w:r>
      <w:r w:rsidRPr="00550AB8">
        <w:rPr>
          <w:rFonts w:asciiTheme="minorHAnsi" w:hAnsiTheme="minorHAnsi" w:cs="Arial"/>
          <w:color w:val="auto"/>
          <w:shd w:val="clear" w:color="auto" w:fill="FFFFFF"/>
        </w:rPr>
        <w:t>"</w:t>
      </w:r>
      <w:r>
        <w:rPr>
          <w:rStyle w:val="Accentuat"/>
          <w:rFonts w:asciiTheme="minorHAnsi" w:hAnsiTheme="minorHAnsi" w:cs="Arial"/>
          <w:bCs/>
          <w:color w:val="auto"/>
          <w:shd w:val="clear" w:color="auto" w:fill="FFFFFF"/>
        </w:rPr>
        <w:t>Traian Să</w:t>
      </w:r>
      <w:r w:rsidRPr="00550AB8">
        <w:rPr>
          <w:rStyle w:val="Accentuat"/>
          <w:rFonts w:asciiTheme="minorHAnsi" w:hAnsiTheme="minorHAnsi" w:cs="Arial"/>
          <w:bCs/>
          <w:color w:val="auto"/>
          <w:shd w:val="clear" w:color="auto" w:fill="FFFFFF"/>
        </w:rPr>
        <w:t>vulescu</w:t>
      </w:r>
      <w:r w:rsidRPr="00550AB8">
        <w:rPr>
          <w:rFonts w:asciiTheme="minorHAnsi" w:hAnsiTheme="minorHAnsi" w:cs="Arial"/>
          <w:color w:val="auto"/>
          <w:shd w:val="clear" w:color="auto" w:fill="FFFFFF"/>
        </w:rPr>
        <w:t>"</w:t>
      </w:r>
      <w:r w:rsidRPr="00550AB8">
        <w:rPr>
          <w:rStyle w:val="apple-converted-space"/>
          <w:rFonts w:asciiTheme="minorHAnsi" w:hAnsiTheme="minorHAnsi" w:cs="Arial"/>
          <w:color w:val="auto"/>
          <w:shd w:val="clear" w:color="auto" w:fill="FFFFFF"/>
        </w:rPr>
        <w:t> </w:t>
      </w:r>
      <w:r>
        <w:rPr>
          <w:rStyle w:val="Accentuat"/>
          <w:rFonts w:asciiTheme="minorHAnsi" w:hAnsiTheme="minorHAnsi" w:cs="Arial"/>
          <w:bCs/>
          <w:color w:val="auto"/>
          <w:shd w:val="clear" w:color="auto" w:fill="FFFFFF"/>
        </w:rPr>
        <w:t>Târgu Mureş</w:t>
      </w:r>
      <w:r w:rsidRPr="00550AB8">
        <w:rPr>
          <w:rStyle w:val="Accentuat"/>
          <w:rFonts w:asciiTheme="minorHAnsi" w:hAnsiTheme="minorHAnsi" w:cs="Arial"/>
          <w:bCs/>
          <w:color w:val="auto"/>
          <w:shd w:val="clear" w:color="auto" w:fill="FFFFFF"/>
        </w:rPr>
        <w:t xml:space="preserve">, </w:t>
      </w:r>
      <w:r w:rsidRPr="00550AB8">
        <w:rPr>
          <w:rStyle w:val="Accentuat"/>
          <w:rFonts w:asciiTheme="minorHAnsi" w:hAnsiTheme="minorHAnsi" w:cs="Cambria Math"/>
          <w:bCs/>
          <w:color w:val="auto"/>
          <w:shd w:val="clear" w:color="auto" w:fill="FFFFFF"/>
        </w:rPr>
        <w:t>jud. Mureş</w:t>
      </w:r>
    </w:p>
    <w:p w:rsidR="00064502" w:rsidRPr="00B62FED"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550AB8">
        <w:rPr>
          <w:rStyle w:val="Accentuat"/>
          <w:rFonts w:asciiTheme="minorHAnsi" w:hAnsiTheme="minorHAnsi" w:cs="Arial"/>
          <w:bCs/>
          <w:color w:val="auto"/>
          <w:shd w:val="clear" w:color="auto" w:fill="FFFFFF"/>
        </w:rPr>
        <w:t>Colegiul Agricol</w:t>
      </w:r>
      <w:r w:rsidRPr="00550AB8">
        <w:rPr>
          <w:rStyle w:val="apple-converted-space"/>
          <w:rFonts w:asciiTheme="minorHAnsi" w:hAnsiTheme="minorHAnsi" w:cs="Arial"/>
          <w:color w:val="auto"/>
          <w:shd w:val="clear" w:color="auto" w:fill="FFFFFF"/>
        </w:rPr>
        <w:t> </w:t>
      </w:r>
      <w:r w:rsidRPr="00235A9F">
        <w:rPr>
          <w:rStyle w:val="Accentuat"/>
          <w:rFonts w:asciiTheme="minorHAnsi" w:hAnsiTheme="minorHAnsi"/>
          <w:bCs/>
          <w:color w:val="auto"/>
        </w:rPr>
        <w:t xml:space="preserve"> "D.P.BARCIANU" S</w:t>
      </w:r>
      <w:r>
        <w:rPr>
          <w:rStyle w:val="Accentuat"/>
          <w:rFonts w:asciiTheme="minorHAnsi" w:hAnsiTheme="minorHAnsi"/>
          <w:bCs/>
          <w:color w:val="auto"/>
        </w:rPr>
        <w:t>ibiu, jud. Sibiu</w:t>
      </w:r>
    </w:p>
    <w:p w:rsidR="00064502" w:rsidRPr="00AB16E2" w:rsidRDefault="00064502" w:rsidP="00064502">
      <w:pPr>
        <w:pStyle w:val="Listparagraf"/>
        <w:autoSpaceDE w:val="0"/>
        <w:spacing w:after="0"/>
        <w:ind w:left="450"/>
        <w:jc w:val="both"/>
        <w:rPr>
          <w:b/>
          <w:sz w:val="24"/>
          <w:szCs w:val="24"/>
        </w:rPr>
      </w:pPr>
      <w:r w:rsidRPr="00AB16E2">
        <w:rPr>
          <w:b/>
          <w:sz w:val="24"/>
          <w:szCs w:val="24"/>
        </w:rPr>
        <w:t>Industrie Alimentară</w:t>
      </w:r>
    </w:p>
    <w:p w:rsidR="00064502" w:rsidRPr="006C4A1D" w:rsidRDefault="00064502" w:rsidP="00064502">
      <w:pPr>
        <w:pStyle w:val="Default"/>
        <w:numPr>
          <w:ilvl w:val="0"/>
          <w:numId w:val="19"/>
        </w:numPr>
        <w:spacing w:line="276" w:lineRule="auto"/>
        <w:ind w:left="1440"/>
        <w:jc w:val="both"/>
        <w:rPr>
          <w:rStyle w:val="Robust"/>
          <w:rFonts w:asciiTheme="minorHAnsi" w:hAnsiTheme="minorHAnsi"/>
        </w:rPr>
      </w:pPr>
      <w:r w:rsidRPr="006C4A1D">
        <w:rPr>
          <w:rStyle w:val="Robust"/>
          <w:rFonts w:asciiTheme="minorHAnsi" w:hAnsiTheme="minorHAnsi"/>
          <w:b w:val="0"/>
          <w:shd w:val="clear" w:color="auto" w:fill="FFFFFF"/>
        </w:rPr>
        <w:t>Colegiul Naţional "Lucian Blaga" Sebeş, jud. Alba</w:t>
      </w:r>
    </w:p>
    <w:p w:rsidR="00064502" w:rsidRPr="00721DD8" w:rsidRDefault="00064502" w:rsidP="00064502">
      <w:pPr>
        <w:pStyle w:val="Default"/>
        <w:numPr>
          <w:ilvl w:val="0"/>
          <w:numId w:val="19"/>
        </w:numPr>
        <w:spacing w:line="276" w:lineRule="auto"/>
        <w:ind w:left="1440"/>
        <w:jc w:val="both"/>
        <w:rPr>
          <w:rStyle w:val="apple-converted-space"/>
          <w:rFonts w:asciiTheme="minorHAnsi" w:hAnsiTheme="minorHAnsi"/>
          <w:bCs/>
          <w:color w:val="auto"/>
        </w:rPr>
      </w:pPr>
      <w:r>
        <w:rPr>
          <w:rStyle w:val="Accentuat"/>
          <w:rFonts w:asciiTheme="minorHAnsi" w:hAnsiTheme="minorHAnsi" w:cs="Arial"/>
          <w:bCs/>
          <w:color w:val="auto"/>
          <w:shd w:val="clear" w:color="auto" w:fill="FFFFFF"/>
        </w:rPr>
        <w:t>Grupul Ş</w:t>
      </w:r>
      <w:r w:rsidRPr="00D84317">
        <w:rPr>
          <w:rStyle w:val="Accentuat"/>
          <w:rFonts w:asciiTheme="minorHAnsi" w:hAnsiTheme="minorHAnsi" w:cs="Arial"/>
          <w:bCs/>
          <w:color w:val="auto"/>
          <w:shd w:val="clear" w:color="auto" w:fill="FFFFFF"/>
        </w:rPr>
        <w:t>colar Agricol</w:t>
      </w:r>
      <w:r w:rsidRPr="00D84317">
        <w:rPr>
          <w:rStyle w:val="apple-converted-space"/>
          <w:rFonts w:asciiTheme="minorHAnsi" w:hAnsiTheme="minorHAnsi" w:cs="Arial"/>
          <w:color w:val="auto"/>
          <w:shd w:val="clear" w:color="auto" w:fill="FFFFFF"/>
        </w:rPr>
        <w:t> </w:t>
      </w:r>
      <w:r w:rsidRPr="00D84317">
        <w:rPr>
          <w:rFonts w:asciiTheme="minorHAnsi" w:hAnsiTheme="minorHAnsi" w:cs="Arial"/>
          <w:color w:val="auto"/>
          <w:shd w:val="clear" w:color="auto" w:fill="FFFFFF"/>
        </w:rPr>
        <w:t>„</w:t>
      </w:r>
      <w:r w:rsidRPr="00D84317">
        <w:rPr>
          <w:rStyle w:val="Accentuat"/>
          <w:rFonts w:asciiTheme="minorHAnsi" w:hAnsiTheme="minorHAnsi" w:cs="Arial"/>
          <w:bCs/>
          <w:color w:val="auto"/>
          <w:shd w:val="clear" w:color="auto" w:fill="FFFFFF"/>
        </w:rPr>
        <w:t>Av. Dr. Ioan Şenchea</w:t>
      </w:r>
      <w:r w:rsidRPr="00D84317">
        <w:rPr>
          <w:rFonts w:asciiTheme="minorHAnsi" w:hAnsiTheme="minorHAnsi" w:cs="Arial"/>
          <w:color w:val="auto"/>
          <w:shd w:val="clear" w:color="auto" w:fill="FFFFFF"/>
        </w:rPr>
        <w:t>”</w:t>
      </w:r>
      <w:r w:rsidRPr="00D84317">
        <w:rPr>
          <w:rStyle w:val="apple-converted-space"/>
          <w:rFonts w:asciiTheme="minorHAnsi" w:hAnsiTheme="minorHAnsi" w:cs="Arial"/>
          <w:color w:val="auto"/>
          <w:shd w:val="clear" w:color="auto" w:fill="FFFFFF"/>
        </w:rPr>
        <w:t>  Făgăraş, jud. Braşov</w:t>
      </w:r>
    </w:p>
    <w:p w:rsidR="00064502" w:rsidRPr="00D84317" w:rsidRDefault="00064502" w:rsidP="00064502">
      <w:pPr>
        <w:pStyle w:val="Default"/>
        <w:numPr>
          <w:ilvl w:val="0"/>
          <w:numId w:val="19"/>
        </w:numPr>
        <w:spacing w:line="276" w:lineRule="auto"/>
        <w:ind w:left="1440"/>
        <w:jc w:val="both"/>
        <w:rPr>
          <w:rStyle w:val="apple-converted-space"/>
          <w:rFonts w:asciiTheme="minorHAnsi" w:hAnsiTheme="minorHAnsi"/>
          <w:bCs/>
          <w:color w:val="auto"/>
        </w:rPr>
      </w:pPr>
      <w:r>
        <w:rPr>
          <w:rStyle w:val="apple-converted-space"/>
          <w:rFonts w:asciiTheme="minorHAnsi" w:hAnsiTheme="minorHAnsi" w:cs="Arial"/>
          <w:color w:val="auto"/>
          <w:shd w:val="clear" w:color="auto" w:fill="FFFFFF"/>
        </w:rPr>
        <w:t>Colegiul Tehnic „TRANSILVANIA” Braşov, jud. Braşov</w:t>
      </w:r>
    </w:p>
    <w:p w:rsidR="00064502" w:rsidRPr="00721DD8"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D60865">
        <w:rPr>
          <w:rStyle w:val="Accentuat"/>
          <w:rFonts w:asciiTheme="minorHAnsi" w:hAnsiTheme="minorHAnsi" w:cs="Arial"/>
          <w:bCs/>
          <w:color w:val="auto"/>
          <w:shd w:val="clear" w:color="auto" w:fill="FFFFFF"/>
        </w:rPr>
        <w:t>Grup Şcolar</w:t>
      </w:r>
      <w:r w:rsidRPr="00D60865">
        <w:rPr>
          <w:rStyle w:val="apple-converted-space"/>
          <w:rFonts w:asciiTheme="minorHAnsi" w:hAnsiTheme="minorHAnsi" w:cs="Arial"/>
          <w:color w:val="auto"/>
          <w:shd w:val="clear" w:color="auto" w:fill="FFFFFF"/>
        </w:rPr>
        <w:t> </w:t>
      </w:r>
      <w:r w:rsidRPr="00D60865">
        <w:rPr>
          <w:rFonts w:asciiTheme="minorHAnsi" w:hAnsiTheme="minorHAnsi" w:cs="Arial"/>
          <w:color w:val="auto"/>
          <w:shd w:val="clear" w:color="auto" w:fill="FFFFFF"/>
        </w:rPr>
        <w:t>"</w:t>
      </w:r>
      <w:r w:rsidRPr="00D60865">
        <w:rPr>
          <w:rStyle w:val="Accentuat"/>
          <w:rFonts w:asciiTheme="minorHAnsi" w:hAnsiTheme="minorHAnsi" w:cs="Arial"/>
          <w:bCs/>
          <w:color w:val="auto"/>
          <w:shd w:val="clear" w:color="auto" w:fill="FFFFFF"/>
        </w:rPr>
        <w:t>Eotvos Jozsef</w:t>
      </w:r>
      <w:r w:rsidRPr="00D60865">
        <w:rPr>
          <w:rFonts w:asciiTheme="minorHAnsi" w:hAnsiTheme="minorHAnsi" w:cs="Arial"/>
          <w:color w:val="auto"/>
          <w:shd w:val="clear" w:color="auto" w:fill="FFFFFF"/>
        </w:rPr>
        <w:t>"</w:t>
      </w:r>
      <w:r w:rsidRPr="00D60865">
        <w:rPr>
          <w:rStyle w:val="apple-converted-space"/>
          <w:rFonts w:asciiTheme="minorHAnsi" w:hAnsiTheme="minorHAnsi" w:cs="Arial"/>
          <w:color w:val="auto"/>
          <w:shd w:val="clear" w:color="auto" w:fill="FFFFFF"/>
        </w:rPr>
        <w:t> </w:t>
      </w:r>
      <w:r w:rsidRPr="00D60865">
        <w:rPr>
          <w:rStyle w:val="Accentuat"/>
          <w:rFonts w:asciiTheme="minorHAnsi" w:hAnsiTheme="minorHAnsi" w:cs="Arial"/>
          <w:bCs/>
          <w:color w:val="auto"/>
          <w:shd w:val="clear" w:color="auto" w:fill="FFFFFF"/>
        </w:rPr>
        <w:t>Odorheiu Secuiesc, jud. Harghita</w:t>
      </w:r>
    </w:p>
    <w:p w:rsidR="00064502" w:rsidRPr="00D60865"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cs="Arial"/>
          <w:bCs/>
          <w:color w:val="auto"/>
          <w:shd w:val="clear" w:color="auto" w:fill="FFFFFF"/>
        </w:rPr>
        <w:t>Grupul Ş</w:t>
      </w:r>
      <w:r w:rsidRPr="00D60865">
        <w:rPr>
          <w:rStyle w:val="Accentuat"/>
          <w:rFonts w:asciiTheme="minorHAnsi" w:hAnsiTheme="minorHAnsi" w:cs="Arial"/>
          <w:bCs/>
          <w:color w:val="auto"/>
          <w:shd w:val="clear" w:color="auto" w:fill="FFFFFF"/>
        </w:rPr>
        <w:t>colar</w:t>
      </w:r>
      <w:r w:rsidRPr="00D60865">
        <w:rPr>
          <w:rStyle w:val="apple-converted-space"/>
          <w:rFonts w:asciiTheme="minorHAnsi" w:hAnsiTheme="minorHAnsi" w:cs="Arial"/>
          <w:color w:val="auto"/>
          <w:shd w:val="clear" w:color="auto" w:fill="FFFFFF"/>
        </w:rPr>
        <w:t> </w:t>
      </w:r>
      <w:r w:rsidRPr="00D60865">
        <w:rPr>
          <w:rFonts w:asciiTheme="minorHAnsi" w:hAnsiTheme="minorHAnsi" w:cs="Arial"/>
          <w:color w:val="auto"/>
          <w:shd w:val="clear" w:color="auto" w:fill="FFFFFF"/>
        </w:rPr>
        <w:t>"</w:t>
      </w:r>
      <w:r>
        <w:rPr>
          <w:rStyle w:val="Accentuat"/>
          <w:rFonts w:asciiTheme="minorHAnsi" w:hAnsiTheme="minorHAnsi" w:cs="Arial"/>
          <w:bCs/>
          <w:color w:val="auto"/>
          <w:shd w:val="clear" w:color="auto" w:fill="FFFFFF"/>
        </w:rPr>
        <w:t>V</w:t>
      </w:r>
      <w:r w:rsidRPr="00D60865">
        <w:rPr>
          <w:rStyle w:val="Accentuat"/>
          <w:rFonts w:asciiTheme="minorHAnsi" w:hAnsiTheme="minorHAnsi" w:cs="Arial"/>
          <w:bCs/>
          <w:color w:val="auto"/>
          <w:shd w:val="clear" w:color="auto" w:fill="FFFFFF"/>
        </w:rPr>
        <w:t>enczel Jozsef</w:t>
      </w:r>
      <w:r w:rsidRPr="00D60865">
        <w:rPr>
          <w:rFonts w:asciiTheme="minorHAnsi" w:hAnsiTheme="minorHAnsi" w:cs="Arial"/>
          <w:color w:val="auto"/>
          <w:shd w:val="clear" w:color="auto" w:fill="FFFFFF"/>
        </w:rPr>
        <w:t>"</w:t>
      </w:r>
      <w:r w:rsidRPr="00D60865">
        <w:rPr>
          <w:rStyle w:val="apple-converted-space"/>
          <w:rFonts w:asciiTheme="minorHAnsi" w:hAnsiTheme="minorHAnsi" w:cs="Arial"/>
          <w:color w:val="auto"/>
          <w:shd w:val="clear" w:color="auto" w:fill="FFFFFF"/>
        </w:rPr>
        <w:t> </w:t>
      </w:r>
      <w:r w:rsidRPr="00D60865">
        <w:rPr>
          <w:rStyle w:val="Accentuat"/>
          <w:rFonts w:asciiTheme="minorHAnsi" w:hAnsiTheme="minorHAnsi" w:cs="Arial"/>
          <w:bCs/>
          <w:color w:val="auto"/>
          <w:shd w:val="clear" w:color="auto" w:fill="FFFFFF"/>
        </w:rPr>
        <w:t>Miercurea Ciuc, jud. Harghita</w:t>
      </w:r>
    </w:p>
    <w:p w:rsidR="00064502" w:rsidRPr="00721DD8"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D60865">
        <w:rPr>
          <w:rStyle w:val="Accentuat"/>
          <w:rFonts w:asciiTheme="minorHAnsi" w:hAnsiTheme="minorHAnsi" w:cs="Arial"/>
          <w:bCs/>
          <w:color w:val="auto"/>
          <w:shd w:val="clear" w:color="auto" w:fill="FFFFFF"/>
        </w:rPr>
        <w:t>Colegiul Tehnic</w:t>
      </w:r>
      <w:r w:rsidRPr="00D60865">
        <w:rPr>
          <w:rStyle w:val="apple-converted-space"/>
          <w:rFonts w:asciiTheme="minorHAnsi" w:hAnsiTheme="minorHAnsi" w:cs="Arial"/>
          <w:color w:val="auto"/>
          <w:shd w:val="clear" w:color="auto" w:fill="FFFFFF"/>
        </w:rPr>
        <w:t> </w:t>
      </w:r>
      <w:r w:rsidRPr="00D60865">
        <w:rPr>
          <w:rFonts w:asciiTheme="minorHAnsi" w:hAnsiTheme="minorHAnsi" w:cs="Arial"/>
          <w:color w:val="auto"/>
          <w:shd w:val="clear" w:color="auto" w:fill="FFFFFF"/>
        </w:rPr>
        <w:t>"</w:t>
      </w:r>
      <w:r>
        <w:rPr>
          <w:rStyle w:val="Accentuat"/>
          <w:rFonts w:asciiTheme="minorHAnsi" w:hAnsiTheme="minorHAnsi" w:cs="Arial"/>
          <w:bCs/>
          <w:color w:val="auto"/>
          <w:shd w:val="clear" w:color="auto" w:fill="FFFFFF"/>
        </w:rPr>
        <w:t>Batthyany I</w:t>
      </w:r>
      <w:r w:rsidRPr="00D60865">
        <w:rPr>
          <w:rStyle w:val="Accentuat"/>
          <w:rFonts w:asciiTheme="minorHAnsi" w:hAnsiTheme="minorHAnsi" w:cs="Arial"/>
          <w:bCs/>
          <w:color w:val="auto"/>
          <w:shd w:val="clear" w:color="auto" w:fill="FFFFFF"/>
        </w:rPr>
        <w:t>gnac</w:t>
      </w:r>
      <w:r w:rsidRPr="00D60865">
        <w:rPr>
          <w:rFonts w:asciiTheme="minorHAnsi" w:hAnsiTheme="minorHAnsi" w:cs="Arial"/>
          <w:color w:val="auto"/>
          <w:shd w:val="clear" w:color="auto" w:fill="FFFFFF"/>
        </w:rPr>
        <w:t>"</w:t>
      </w:r>
      <w:r w:rsidRPr="00D60865">
        <w:rPr>
          <w:rStyle w:val="Accentuat"/>
          <w:rFonts w:asciiTheme="minorHAnsi" w:hAnsiTheme="minorHAnsi" w:cs="Arial"/>
          <w:bCs/>
          <w:color w:val="auto"/>
          <w:shd w:val="clear" w:color="auto" w:fill="FFFFFF"/>
        </w:rPr>
        <w:t>Gheorgheni, jud. Harghita</w:t>
      </w:r>
    </w:p>
    <w:p w:rsidR="00064502" w:rsidRPr="00550AB8"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550AB8">
        <w:rPr>
          <w:rStyle w:val="Accentuat"/>
          <w:rFonts w:asciiTheme="minorHAnsi" w:hAnsiTheme="minorHAnsi" w:cs="Arial"/>
          <w:bCs/>
          <w:color w:val="auto"/>
          <w:shd w:val="clear" w:color="auto" w:fill="FFFFFF"/>
        </w:rPr>
        <w:t>Colegiul Agricol</w:t>
      </w:r>
      <w:r w:rsidRPr="00550AB8">
        <w:rPr>
          <w:rStyle w:val="apple-converted-space"/>
          <w:rFonts w:asciiTheme="minorHAnsi" w:hAnsiTheme="minorHAnsi" w:cs="Arial"/>
          <w:color w:val="auto"/>
          <w:shd w:val="clear" w:color="auto" w:fill="FFFFFF"/>
        </w:rPr>
        <w:t> </w:t>
      </w:r>
      <w:r w:rsidRPr="00550AB8">
        <w:rPr>
          <w:rFonts w:asciiTheme="minorHAnsi" w:hAnsiTheme="minorHAnsi" w:cs="Arial"/>
          <w:color w:val="auto"/>
          <w:shd w:val="clear" w:color="auto" w:fill="FFFFFF"/>
        </w:rPr>
        <w:t>"</w:t>
      </w:r>
      <w:r>
        <w:rPr>
          <w:rStyle w:val="Accentuat"/>
          <w:rFonts w:asciiTheme="minorHAnsi" w:hAnsiTheme="minorHAnsi" w:cs="Arial"/>
          <w:bCs/>
          <w:color w:val="auto"/>
          <w:shd w:val="clear" w:color="auto" w:fill="FFFFFF"/>
        </w:rPr>
        <w:t>Traian Să</w:t>
      </w:r>
      <w:r w:rsidRPr="00550AB8">
        <w:rPr>
          <w:rStyle w:val="Accentuat"/>
          <w:rFonts w:asciiTheme="minorHAnsi" w:hAnsiTheme="minorHAnsi" w:cs="Arial"/>
          <w:bCs/>
          <w:color w:val="auto"/>
          <w:shd w:val="clear" w:color="auto" w:fill="FFFFFF"/>
        </w:rPr>
        <w:t>vulescu</w:t>
      </w:r>
      <w:r w:rsidRPr="00550AB8">
        <w:rPr>
          <w:rFonts w:asciiTheme="minorHAnsi" w:hAnsiTheme="minorHAnsi" w:cs="Arial"/>
          <w:color w:val="auto"/>
          <w:shd w:val="clear" w:color="auto" w:fill="FFFFFF"/>
        </w:rPr>
        <w:t>"</w:t>
      </w:r>
      <w:r w:rsidRPr="00550AB8">
        <w:rPr>
          <w:rStyle w:val="apple-converted-space"/>
          <w:rFonts w:asciiTheme="minorHAnsi" w:hAnsiTheme="minorHAnsi" w:cs="Arial"/>
          <w:color w:val="auto"/>
          <w:shd w:val="clear" w:color="auto" w:fill="FFFFFF"/>
        </w:rPr>
        <w:t> </w:t>
      </w:r>
      <w:r>
        <w:rPr>
          <w:rStyle w:val="Accentuat"/>
          <w:rFonts w:asciiTheme="minorHAnsi" w:hAnsiTheme="minorHAnsi" w:cs="Arial"/>
          <w:bCs/>
          <w:color w:val="auto"/>
          <w:shd w:val="clear" w:color="auto" w:fill="FFFFFF"/>
        </w:rPr>
        <w:t>Târgu Mureş</w:t>
      </w:r>
      <w:r w:rsidRPr="00550AB8">
        <w:rPr>
          <w:rStyle w:val="Accentuat"/>
          <w:rFonts w:asciiTheme="minorHAnsi" w:hAnsiTheme="minorHAnsi" w:cs="Arial"/>
          <w:bCs/>
          <w:color w:val="auto"/>
          <w:shd w:val="clear" w:color="auto" w:fill="FFFFFF"/>
        </w:rPr>
        <w:t xml:space="preserve">, </w:t>
      </w:r>
      <w:r w:rsidRPr="00550AB8">
        <w:rPr>
          <w:rStyle w:val="Accentuat"/>
          <w:rFonts w:asciiTheme="minorHAnsi" w:hAnsiTheme="minorHAnsi" w:cs="Cambria Math"/>
          <w:bCs/>
          <w:color w:val="auto"/>
          <w:shd w:val="clear" w:color="auto" w:fill="FFFFFF"/>
        </w:rPr>
        <w:t>jud. Mureş</w:t>
      </w:r>
    </w:p>
    <w:p w:rsidR="00064502" w:rsidRPr="00721DD8"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721DD8">
        <w:rPr>
          <w:rStyle w:val="Accentuat"/>
          <w:rFonts w:asciiTheme="minorHAnsi" w:hAnsiTheme="minorHAnsi" w:cs="Arial"/>
          <w:bCs/>
          <w:color w:val="auto"/>
          <w:shd w:val="clear" w:color="auto" w:fill="FFFFFF"/>
        </w:rPr>
        <w:t>Grup Şcolar</w:t>
      </w:r>
      <w:r w:rsidRPr="00721DD8">
        <w:rPr>
          <w:rStyle w:val="apple-converted-space"/>
          <w:rFonts w:asciiTheme="minorHAnsi" w:hAnsiTheme="minorHAnsi" w:cs="Arial"/>
          <w:color w:val="auto"/>
          <w:shd w:val="clear" w:color="auto" w:fill="FFFFFF"/>
        </w:rPr>
        <w:t> </w:t>
      </w:r>
      <w:r w:rsidRPr="00721DD8">
        <w:rPr>
          <w:rFonts w:asciiTheme="minorHAnsi" w:hAnsiTheme="minorHAnsi" w:cs="Arial"/>
          <w:color w:val="auto"/>
          <w:shd w:val="clear" w:color="auto" w:fill="FFFFFF"/>
        </w:rPr>
        <w:t>"</w:t>
      </w:r>
      <w:r w:rsidRPr="00721DD8">
        <w:rPr>
          <w:rStyle w:val="Accentuat"/>
          <w:rFonts w:asciiTheme="minorHAnsi" w:hAnsiTheme="minorHAnsi" w:cs="Arial"/>
          <w:bCs/>
          <w:color w:val="auto"/>
          <w:shd w:val="clear" w:color="auto" w:fill="FFFFFF"/>
        </w:rPr>
        <w:t>Ioan Bojor</w:t>
      </w:r>
      <w:r w:rsidRPr="00721DD8">
        <w:rPr>
          <w:rFonts w:asciiTheme="minorHAnsi" w:hAnsiTheme="minorHAnsi" w:cs="Arial"/>
          <w:color w:val="auto"/>
          <w:shd w:val="clear" w:color="auto" w:fill="FFFFFF"/>
        </w:rPr>
        <w:t>"</w:t>
      </w:r>
      <w:r w:rsidRPr="00721DD8">
        <w:rPr>
          <w:rStyle w:val="apple-converted-space"/>
          <w:rFonts w:asciiTheme="minorHAnsi" w:hAnsiTheme="minorHAnsi" w:cs="Arial"/>
          <w:color w:val="auto"/>
          <w:shd w:val="clear" w:color="auto" w:fill="FFFFFF"/>
        </w:rPr>
        <w:t> </w:t>
      </w:r>
      <w:r w:rsidRPr="00721DD8">
        <w:rPr>
          <w:rStyle w:val="Accentuat"/>
          <w:rFonts w:asciiTheme="minorHAnsi" w:hAnsiTheme="minorHAnsi" w:cs="Arial"/>
          <w:bCs/>
          <w:color w:val="auto"/>
          <w:shd w:val="clear" w:color="auto" w:fill="FFFFFF"/>
        </w:rPr>
        <w:t xml:space="preserve">Reghin, </w:t>
      </w:r>
      <w:r w:rsidRPr="00721DD8">
        <w:rPr>
          <w:rStyle w:val="Accentuat"/>
          <w:rFonts w:asciiTheme="minorHAnsi" w:hAnsiTheme="minorHAnsi" w:cs="Cambria Math"/>
          <w:bCs/>
          <w:color w:val="auto"/>
          <w:shd w:val="clear" w:color="auto" w:fill="FFFFFF"/>
        </w:rPr>
        <w:t>jud. Mureş</w:t>
      </w:r>
    </w:p>
    <w:p w:rsidR="00064502" w:rsidRPr="00550AB8"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Pr>
          <w:rStyle w:val="Accentuat"/>
          <w:rFonts w:asciiTheme="minorHAnsi" w:hAnsiTheme="minorHAnsi" w:cs="Arial"/>
          <w:bCs/>
          <w:color w:val="auto"/>
          <w:shd w:val="clear" w:color="auto" w:fill="FFFFFF"/>
        </w:rPr>
        <w:t>Grupul</w:t>
      </w:r>
      <w:r w:rsidRPr="00550AB8">
        <w:rPr>
          <w:rStyle w:val="Accentuat"/>
          <w:rFonts w:asciiTheme="minorHAnsi" w:hAnsiTheme="minorHAnsi" w:cs="Arial"/>
          <w:bCs/>
          <w:color w:val="auto"/>
          <w:shd w:val="clear" w:color="auto" w:fill="FFFFFF"/>
        </w:rPr>
        <w:t xml:space="preserve"> Şcolar Iernut, </w:t>
      </w:r>
      <w:r w:rsidRPr="00550AB8">
        <w:rPr>
          <w:rStyle w:val="Accentuat"/>
          <w:rFonts w:asciiTheme="minorHAnsi" w:hAnsiTheme="minorHAnsi" w:cs="Cambria Math"/>
          <w:bCs/>
          <w:color w:val="auto"/>
          <w:shd w:val="clear" w:color="auto" w:fill="FFFFFF"/>
        </w:rPr>
        <w:t>jud. Mureş</w:t>
      </w:r>
    </w:p>
    <w:p w:rsidR="00064502" w:rsidRPr="001810AB" w:rsidRDefault="00064502" w:rsidP="00064502">
      <w:pPr>
        <w:pStyle w:val="Default"/>
        <w:numPr>
          <w:ilvl w:val="0"/>
          <w:numId w:val="19"/>
        </w:numPr>
        <w:spacing w:line="276" w:lineRule="auto"/>
        <w:ind w:left="1440"/>
        <w:jc w:val="both"/>
        <w:rPr>
          <w:rStyle w:val="Accentuat"/>
          <w:rFonts w:asciiTheme="minorHAnsi" w:hAnsiTheme="minorHAnsi"/>
          <w:bCs/>
          <w:i w:val="0"/>
          <w:iCs w:val="0"/>
          <w:color w:val="auto"/>
        </w:rPr>
      </w:pPr>
      <w:r w:rsidRPr="00FA6D89">
        <w:rPr>
          <w:rStyle w:val="Accentuat"/>
          <w:rFonts w:asciiTheme="minorHAnsi" w:hAnsiTheme="minorHAnsi" w:cs="Arial"/>
          <w:bCs/>
          <w:color w:val="auto"/>
          <w:shd w:val="clear" w:color="auto" w:fill="FFFFFF"/>
        </w:rPr>
        <w:t>Colegiul Tehnic De Industrie Alimentara</w:t>
      </w:r>
      <w:r w:rsidRPr="00FA6D89">
        <w:rPr>
          <w:rStyle w:val="apple-converted-space"/>
          <w:rFonts w:asciiTheme="minorHAnsi" w:hAnsiTheme="minorHAnsi" w:cs="Arial"/>
          <w:color w:val="auto"/>
          <w:shd w:val="clear" w:color="auto" w:fill="FFFFFF"/>
        </w:rPr>
        <w:t> </w:t>
      </w:r>
      <w:r w:rsidRPr="00FA6D89">
        <w:rPr>
          <w:rFonts w:asciiTheme="minorHAnsi" w:hAnsiTheme="minorHAnsi" w:cs="Arial"/>
          <w:color w:val="auto"/>
          <w:shd w:val="clear" w:color="auto" w:fill="FFFFFF"/>
        </w:rPr>
        <w:t>"</w:t>
      </w:r>
      <w:r w:rsidRPr="00FA6D89">
        <w:rPr>
          <w:rStyle w:val="Accentuat"/>
          <w:rFonts w:asciiTheme="minorHAnsi" w:hAnsiTheme="minorHAnsi" w:cs="Arial"/>
          <w:bCs/>
          <w:color w:val="auto"/>
          <w:shd w:val="clear" w:color="auto" w:fill="FFFFFF"/>
        </w:rPr>
        <w:t>Terezianum</w:t>
      </w:r>
      <w:r w:rsidRPr="00FA6D89">
        <w:rPr>
          <w:rFonts w:asciiTheme="minorHAnsi" w:hAnsiTheme="minorHAnsi" w:cs="Arial"/>
          <w:color w:val="auto"/>
          <w:shd w:val="clear" w:color="auto" w:fill="FFFFFF"/>
        </w:rPr>
        <w:t>"</w:t>
      </w:r>
      <w:r w:rsidRPr="00FA6D89">
        <w:rPr>
          <w:rStyle w:val="apple-converted-space"/>
          <w:rFonts w:asciiTheme="minorHAnsi" w:hAnsiTheme="minorHAnsi" w:cs="Arial"/>
          <w:color w:val="auto"/>
          <w:shd w:val="clear" w:color="auto" w:fill="FFFFFF"/>
        </w:rPr>
        <w:t> </w:t>
      </w:r>
      <w:r w:rsidRPr="00FA6D89">
        <w:rPr>
          <w:rStyle w:val="Accentuat"/>
          <w:rFonts w:asciiTheme="minorHAnsi" w:hAnsiTheme="minorHAnsi" w:cs="Arial"/>
          <w:bCs/>
          <w:color w:val="auto"/>
          <w:shd w:val="clear" w:color="auto" w:fill="FFFFFF"/>
        </w:rPr>
        <w:t>Sibiu, jud. Sibiu</w:t>
      </w:r>
    </w:p>
    <w:p w:rsidR="00064502" w:rsidRPr="00235A9F" w:rsidRDefault="00064502" w:rsidP="00064502">
      <w:pPr>
        <w:pStyle w:val="Default"/>
        <w:spacing w:line="276" w:lineRule="auto"/>
        <w:jc w:val="both"/>
        <w:rPr>
          <w:rStyle w:val="Accentuat"/>
          <w:rFonts w:asciiTheme="minorHAnsi" w:hAnsiTheme="minorHAnsi"/>
          <w:bCs/>
          <w:i w:val="0"/>
          <w:iCs w:val="0"/>
          <w:color w:val="auto"/>
        </w:rPr>
      </w:pPr>
    </w:p>
    <w:p w:rsidR="00064502" w:rsidRDefault="00064502" w:rsidP="00064502">
      <w:pPr>
        <w:pStyle w:val="Default"/>
        <w:spacing w:line="276" w:lineRule="auto"/>
        <w:jc w:val="both"/>
        <w:rPr>
          <w:rFonts w:asciiTheme="minorHAnsi" w:hAnsiTheme="minorHAnsi"/>
          <w:b/>
          <w:sz w:val="28"/>
          <w:szCs w:val="28"/>
          <w:shd w:val="clear" w:color="auto" w:fill="FFFFFF"/>
        </w:rPr>
      </w:pPr>
      <w:r w:rsidRPr="001810AB">
        <w:rPr>
          <w:rFonts w:asciiTheme="minorHAnsi" w:hAnsiTheme="minorHAnsi"/>
          <w:b/>
          <w:sz w:val="28"/>
          <w:szCs w:val="28"/>
          <w:shd w:val="clear" w:color="auto" w:fill="FFFFFF"/>
        </w:rPr>
        <w:t>Cercetare – dezvoltare. Transfer tehnologic</w:t>
      </w:r>
      <w:r>
        <w:rPr>
          <w:rFonts w:asciiTheme="minorHAnsi" w:hAnsiTheme="minorHAnsi"/>
          <w:b/>
          <w:sz w:val="28"/>
          <w:szCs w:val="28"/>
          <w:shd w:val="clear" w:color="auto" w:fill="FFFFFF"/>
        </w:rPr>
        <w:t>.</w:t>
      </w:r>
    </w:p>
    <w:p w:rsidR="00064502" w:rsidRPr="001810AB" w:rsidRDefault="00064502" w:rsidP="00064502">
      <w:pPr>
        <w:pStyle w:val="Default"/>
        <w:spacing w:line="276" w:lineRule="auto"/>
        <w:jc w:val="both"/>
        <w:rPr>
          <w:rFonts w:asciiTheme="minorHAnsi" w:hAnsiTheme="minorHAnsi"/>
          <w:b/>
          <w:sz w:val="28"/>
          <w:szCs w:val="28"/>
          <w:shd w:val="clear" w:color="auto" w:fill="FFFFFF"/>
        </w:rPr>
      </w:pPr>
    </w:p>
    <w:p w:rsidR="00064502" w:rsidRPr="000B5469" w:rsidRDefault="00064502" w:rsidP="00064502">
      <w:pPr>
        <w:autoSpaceDE w:val="0"/>
        <w:spacing w:after="0"/>
        <w:jc w:val="both"/>
        <w:rPr>
          <w:sz w:val="24"/>
          <w:szCs w:val="24"/>
          <w:lang w:val="ro-RO"/>
        </w:rPr>
      </w:pPr>
      <w:r w:rsidRPr="000B5469">
        <w:rPr>
          <w:sz w:val="24"/>
          <w:szCs w:val="24"/>
          <w:lang w:val="ro-RO"/>
        </w:rPr>
        <w:t xml:space="preserve">Facultatea de Ştiinţe Agricole, Industrie Alimentară şi Protecţia Mediului, Universitatea </w:t>
      </w:r>
      <w:r w:rsidRPr="000B5469">
        <w:rPr>
          <w:rStyle w:val="Robust"/>
          <w:b w:val="0"/>
          <w:shd w:val="clear" w:color="auto" w:fill="FFFFFF"/>
        </w:rPr>
        <w:t>"</w:t>
      </w:r>
      <w:r w:rsidRPr="000B5469">
        <w:rPr>
          <w:sz w:val="24"/>
          <w:szCs w:val="24"/>
          <w:lang w:val="ro-RO"/>
        </w:rPr>
        <w:t>Lucian Blaga</w:t>
      </w:r>
      <w:r w:rsidRPr="000B5469">
        <w:rPr>
          <w:rStyle w:val="Robust"/>
          <w:b w:val="0"/>
          <w:shd w:val="clear" w:color="auto" w:fill="FFFFFF"/>
        </w:rPr>
        <w:t>"</w:t>
      </w:r>
      <w:r w:rsidRPr="000B5469">
        <w:rPr>
          <w:sz w:val="24"/>
          <w:szCs w:val="24"/>
          <w:lang w:val="ro-RO"/>
        </w:rPr>
        <w:t xml:space="preserve"> din Sibiu (cu 2 centre de cercetare)  </w:t>
      </w:r>
      <w:hyperlink r:id="rId31" w:history="1">
        <w:r w:rsidRPr="000B5469">
          <w:rPr>
            <w:rStyle w:val="Hyperlink"/>
            <w:sz w:val="24"/>
            <w:szCs w:val="24"/>
          </w:rPr>
          <w:t>http://saiapm.ulbsibiu.ro/index.html</w:t>
        </w:r>
      </w:hyperlink>
    </w:p>
    <w:p w:rsidR="00064502" w:rsidRDefault="00064502" w:rsidP="00064502">
      <w:pPr>
        <w:pStyle w:val="Listparagraf"/>
        <w:numPr>
          <w:ilvl w:val="4"/>
          <w:numId w:val="20"/>
        </w:numPr>
        <w:autoSpaceDE w:val="0"/>
        <w:spacing w:after="0"/>
        <w:jc w:val="both"/>
        <w:rPr>
          <w:sz w:val="24"/>
          <w:szCs w:val="24"/>
        </w:rPr>
      </w:pPr>
      <w:r w:rsidRPr="003722FD">
        <w:rPr>
          <w:sz w:val="24"/>
          <w:szCs w:val="24"/>
        </w:rPr>
        <w:lastRenderedPageBreak/>
        <w:t>Catedra de BIOTEHNOLOGII ALIMENTARE</w:t>
      </w:r>
      <w:r>
        <w:rPr>
          <w:sz w:val="24"/>
          <w:szCs w:val="24"/>
        </w:rPr>
        <w:t xml:space="preserve">, având următoarele domenii de cercetare: </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Microbiologie generală şi alimentară</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Biotehnologii microbiene şi enzimatice</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Biotehnologii agroalimentare. Biotehnologii pentru protecţia mediului. Ecologia microorganismelor</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Biologie generală, celulară şi moleculară</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 xml:space="preserve">Tehnologii alimentare generale </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 xml:space="preserve">Tehnologie, inginerie şi controlul calităţii în industria alimentară: industria cărnii şi derivatelor, industria vinului şi băuturilor alcoolice, industria fermentativă-malţ, bere, alcool etilic, drojdie </w:t>
      </w:r>
      <w:r>
        <w:rPr>
          <w:sz w:val="24"/>
          <w:szCs w:val="24"/>
        </w:rPr>
        <w:t>de bere, drojdie de panificaţie</w:t>
      </w:r>
      <w:r w:rsidRPr="00363D53">
        <w:rPr>
          <w:sz w:val="24"/>
          <w:szCs w:val="24"/>
        </w:rPr>
        <w:t>, industria laptelui şi produselor lactate, industria zahărului, amidonului şi produselor zaharoase, industria conservelor şi sucurilor, industria morăritului şi panificaţiei)</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 xml:space="preserve">Proiectarea produselor şi tehnologiilor în industria alimentară </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Hidrocoloizi alimentari</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Analiza proprietăţilor funcţionale ale alimentelor</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Biofilme alimentare</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Metode şi tehnici neconvenţionale (ecologice) în industria alimentară</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Igiena în industria alimentară</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Nutriţie</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Managementul sistemelor de mediu în industria alimentară</w:t>
      </w:r>
    </w:p>
    <w:p w:rsidR="00064502" w:rsidRPr="00363D53" w:rsidRDefault="00064502" w:rsidP="00064502">
      <w:pPr>
        <w:pStyle w:val="Listparagraf"/>
        <w:numPr>
          <w:ilvl w:val="5"/>
          <w:numId w:val="21"/>
        </w:numPr>
        <w:autoSpaceDE w:val="0"/>
        <w:spacing w:after="0"/>
        <w:jc w:val="both"/>
        <w:rPr>
          <w:sz w:val="24"/>
          <w:szCs w:val="24"/>
        </w:rPr>
      </w:pPr>
      <w:r w:rsidRPr="00363D53">
        <w:rPr>
          <w:sz w:val="24"/>
          <w:szCs w:val="24"/>
        </w:rPr>
        <w:t>Managementul proiectelor industriale</w:t>
      </w:r>
    </w:p>
    <w:p w:rsidR="00064502" w:rsidRDefault="00064502" w:rsidP="00064502">
      <w:pPr>
        <w:pStyle w:val="Listparagraf"/>
        <w:numPr>
          <w:ilvl w:val="5"/>
          <w:numId w:val="21"/>
        </w:numPr>
        <w:autoSpaceDE w:val="0"/>
        <w:spacing w:after="0"/>
        <w:jc w:val="both"/>
        <w:rPr>
          <w:sz w:val="24"/>
          <w:szCs w:val="24"/>
        </w:rPr>
      </w:pPr>
      <w:r w:rsidRPr="00363D53">
        <w:rPr>
          <w:sz w:val="24"/>
          <w:szCs w:val="24"/>
        </w:rPr>
        <w:t>Ecologie şi protecţia mediului în industria alimentară</w:t>
      </w:r>
    </w:p>
    <w:p w:rsidR="00064502" w:rsidRDefault="00064502" w:rsidP="00064502">
      <w:pPr>
        <w:pStyle w:val="Listparagraf"/>
        <w:autoSpaceDE w:val="0"/>
        <w:spacing w:after="0"/>
        <w:ind w:left="1710"/>
        <w:jc w:val="both"/>
        <w:rPr>
          <w:sz w:val="24"/>
          <w:szCs w:val="24"/>
        </w:rPr>
      </w:pPr>
    </w:p>
    <w:p w:rsidR="00064502" w:rsidRDefault="00064502" w:rsidP="00064502">
      <w:pPr>
        <w:pStyle w:val="Listparagraf"/>
        <w:numPr>
          <w:ilvl w:val="4"/>
          <w:numId w:val="20"/>
        </w:numPr>
        <w:autoSpaceDE w:val="0"/>
        <w:spacing w:after="0"/>
        <w:jc w:val="both"/>
        <w:rPr>
          <w:sz w:val="24"/>
          <w:szCs w:val="24"/>
        </w:rPr>
      </w:pPr>
      <w:r w:rsidRPr="003722FD">
        <w:rPr>
          <w:sz w:val="24"/>
          <w:szCs w:val="24"/>
        </w:rPr>
        <w:t>Catedra de INGINERIA PROCESELOR ALIMENTARE (IPA)</w:t>
      </w:r>
      <w:r w:rsidRPr="00363D53">
        <w:rPr>
          <w:sz w:val="24"/>
          <w:szCs w:val="24"/>
        </w:rPr>
        <w:t xml:space="preserve"> </w:t>
      </w:r>
      <w:r>
        <w:rPr>
          <w:sz w:val="24"/>
          <w:szCs w:val="24"/>
        </w:rPr>
        <w:t>, având mai multe domenii de cercetare printre care şi cele enumerate mai jos:</w:t>
      </w:r>
    </w:p>
    <w:p w:rsidR="00064502" w:rsidRDefault="00064502" w:rsidP="00064502">
      <w:pPr>
        <w:pStyle w:val="Listparagraf"/>
        <w:numPr>
          <w:ilvl w:val="5"/>
          <w:numId w:val="20"/>
        </w:numPr>
        <w:autoSpaceDE w:val="0"/>
        <w:spacing w:after="0"/>
        <w:jc w:val="both"/>
        <w:rPr>
          <w:sz w:val="24"/>
          <w:szCs w:val="24"/>
        </w:rPr>
      </w:pPr>
      <w:r w:rsidRPr="003722FD">
        <w:rPr>
          <w:sz w:val="24"/>
          <w:szCs w:val="24"/>
        </w:rPr>
        <w:t>Nutriţie (produse hipocalori</w:t>
      </w:r>
      <w:r>
        <w:rPr>
          <w:sz w:val="24"/>
          <w:szCs w:val="24"/>
        </w:rPr>
        <w:t>ce, utilizarea hidrocoloizilor în industria alimentară</w:t>
      </w:r>
      <w:r w:rsidRPr="003722FD">
        <w:rPr>
          <w:sz w:val="24"/>
          <w:szCs w:val="24"/>
        </w:rPr>
        <w:t>)</w:t>
      </w:r>
      <w:r>
        <w:rPr>
          <w:sz w:val="24"/>
          <w:szCs w:val="24"/>
        </w:rPr>
        <w:t>;</w:t>
      </w:r>
    </w:p>
    <w:p w:rsidR="00064502" w:rsidRDefault="00064502" w:rsidP="00064502">
      <w:pPr>
        <w:pStyle w:val="Listparagraf"/>
        <w:numPr>
          <w:ilvl w:val="5"/>
          <w:numId w:val="20"/>
        </w:numPr>
        <w:autoSpaceDE w:val="0"/>
        <w:spacing w:after="0"/>
        <w:jc w:val="both"/>
        <w:rPr>
          <w:sz w:val="24"/>
          <w:szCs w:val="24"/>
        </w:rPr>
      </w:pPr>
      <w:r>
        <w:rPr>
          <w:sz w:val="24"/>
          <w:szCs w:val="24"/>
        </w:rPr>
        <w:t>Fermentaţii în industria alimentară;</w:t>
      </w:r>
    </w:p>
    <w:p w:rsidR="00064502" w:rsidRDefault="00064502" w:rsidP="00064502">
      <w:pPr>
        <w:pStyle w:val="Listparagraf"/>
        <w:numPr>
          <w:ilvl w:val="5"/>
          <w:numId w:val="20"/>
        </w:numPr>
        <w:autoSpaceDE w:val="0"/>
        <w:spacing w:after="0"/>
        <w:jc w:val="both"/>
        <w:rPr>
          <w:sz w:val="24"/>
          <w:szCs w:val="24"/>
        </w:rPr>
      </w:pPr>
      <w:r w:rsidRPr="00363D53">
        <w:rPr>
          <w:sz w:val="24"/>
          <w:szCs w:val="24"/>
        </w:rPr>
        <w:t>Tehnologie, inginerie şi controlul calităţii în industria zahărului</w:t>
      </w:r>
      <w:r>
        <w:rPr>
          <w:sz w:val="24"/>
          <w:szCs w:val="24"/>
        </w:rPr>
        <w:t>;</w:t>
      </w:r>
    </w:p>
    <w:p w:rsidR="00064502" w:rsidRDefault="00064502" w:rsidP="00064502">
      <w:pPr>
        <w:pStyle w:val="Listparagraf"/>
        <w:numPr>
          <w:ilvl w:val="5"/>
          <w:numId w:val="20"/>
        </w:numPr>
        <w:autoSpaceDE w:val="0"/>
        <w:spacing w:after="0"/>
        <w:jc w:val="both"/>
        <w:rPr>
          <w:sz w:val="24"/>
          <w:szCs w:val="24"/>
        </w:rPr>
      </w:pPr>
      <w:r w:rsidRPr="00363D53">
        <w:rPr>
          <w:sz w:val="24"/>
          <w:szCs w:val="24"/>
        </w:rPr>
        <w:t>Ambalaje comestibile</w:t>
      </w:r>
      <w:r>
        <w:rPr>
          <w:sz w:val="24"/>
          <w:szCs w:val="24"/>
        </w:rPr>
        <w:t>;</w:t>
      </w:r>
    </w:p>
    <w:p w:rsidR="00064502" w:rsidRDefault="00064502" w:rsidP="00064502">
      <w:pPr>
        <w:pStyle w:val="Listparagraf"/>
        <w:numPr>
          <w:ilvl w:val="5"/>
          <w:numId w:val="20"/>
        </w:numPr>
        <w:autoSpaceDE w:val="0"/>
        <w:spacing w:after="0"/>
        <w:jc w:val="both"/>
        <w:rPr>
          <w:sz w:val="24"/>
          <w:szCs w:val="24"/>
        </w:rPr>
      </w:pPr>
      <w:r w:rsidRPr="00363D53">
        <w:rPr>
          <w:sz w:val="24"/>
          <w:szCs w:val="24"/>
        </w:rPr>
        <w:t>Aminoacizi speciali şi derivaţi sintetici, peptide bioactive</w:t>
      </w:r>
      <w:r>
        <w:rPr>
          <w:sz w:val="24"/>
          <w:szCs w:val="24"/>
        </w:rPr>
        <w:t>;</w:t>
      </w:r>
      <w:r w:rsidRPr="00363D53">
        <w:rPr>
          <w:sz w:val="24"/>
          <w:szCs w:val="24"/>
        </w:rPr>
        <w:t xml:space="preserve"> naturale/sintetice</w:t>
      </w:r>
      <w:r>
        <w:rPr>
          <w:sz w:val="24"/>
          <w:szCs w:val="24"/>
        </w:rPr>
        <w:t>;</w:t>
      </w:r>
    </w:p>
    <w:p w:rsidR="00064502" w:rsidRDefault="00064502" w:rsidP="00064502">
      <w:pPr>
        <w:pStyle w:val="Listparagraf"/>
        <w:numPr>
          <w:ilvl w:val="5"/>
          <w:numId w:val="20"/>
        </w:numPr>
        <w:autoSpaceDE w:val="0"/>
        <w:spacing w:after="0"/>
        <w:jc w:val="both"/>
        <w:rPr>
          <w:sz w:val="24"/>
          <w:szCs w:val="24"/>
        </w:rPr>
      </w:pPr>
      <w:r w:rsidRPr="00363D53">
        <w:rPr>
          <w:sz w:val="24"/>
          <w:szCs w:val="24"/>
        </w:rPr>
        <w:t>Agenţi chimici potenţial toxici din mediu/alimente/organisme</w:t>
      </w:r>
      <w:r>
        <w:rPr>
          <w:sz w:val="24"/>
          <w:szCs w:val="24"/>
        </w:rPr>
        <w:t>;</w:t>
      </w:r>
    </w:p>
    <w:p w:rsidR="00064502" w:rsidRDefault="00064502" w:rsidP="00064502">
      <w:pPr>
        <w:pStyle w:val="Listparagraf"/>
        <w:numPr>
          <w:ilvl w:val="5"/>
          <w:numId w:val="20"/>
        </w:numPr>
        <w:autoSpaceDE w:val="0"/>
        <w:spacing w:after="0"/>
        <w:jc w:val="both"/>
        <w:rPr>
          <w:sz w:val="24"/>
          <w:szCs w:val="24"/>
        </w:rPr>
      </w:pPr>
      <w:r w:rsidRPr="00363D53">
        <w:rPr>
          <w:sz w:val="24"/>
          <w:szCs w:val="24"/>
        </w:rPr>
        <w:t>Optimizări energetice în industria alimentară pe infrastructura aferenta (fermentatoare, i</w:t>
      </w:r>
      <w:r>
        <w:rPr>
          <w:sz w:val="24"/>
          <w:szCs w:val="24"/>
        </w:rPr>
        <w:t>n</w:t>
      </w:r>
      <w:r w:rsidRPr="00363D53">
        <w:rPr>
          <w:sz w:val="24"/>
          <w:szCs w:val="24"/>
        </w:rPr>
        <w:t>stalaţii de concentrare, instalaţii de climatizare etc)</w:t>
      </w:r>
      <w:r>
        <w:rPr>
          <w:sz w:val="24"/>
          <w:szCs w:val="24"/>
        </w:rPr>
        <w:t>;</w:t>
      </w:r>
    </w:p>
    <w:p w:rsidR="00064502" w:rsidRPr="00363D53" w:rsidRDefault="00064502" w:rsidP="00064502">
      <w:pPr>
        <w:pStyle w:val="Listparagraf"/>
        <w:numPr>
          <w:ilvl w:val="5"/>
          <w:numId w:val="20"/>
        </w:numPr>
        <w:autoSpaceDE w:val="0"/>
        <w:spacing w:after="0"/>
        <w:jc w:val="both"/>
        <w:rPr>
          <w:sz w:val="24"/>
          <w:szCs w:val="24"/>
        </w:rPr>
      </w:pPr>
      <w:r w:rsidRPr="00363D53">
        <w:rPr>
          <w:sz w:val="24"/>
          <w:szCs w:val="24"/>
        </w:rPr>
        <w:t>Antioxidanţi enzimatici şi non-enzimatici în alimente şi alimentaţie</w:t>
      </w:r>
    </w:p>
    <w:p w:rsidR="00064502" w:rsidRDefault="00064502" w:rsidP="00064502">
      <w:pPr>
        <w:pStyle w:val="Listparagraf"/>
        <w:numPr>
          <w:ilvl w:val="5"/>
          <w:numId w:val="20"/>
        </w:numPr>
        <w:autoSpaceDE w:val="0"/>
        <w:spacing w:after="0"/>
        <w:jc w:val="both"/>
        <w:rPr>
          <w:sz w:val="24"/>
          <w:szCs w:val="24"/>
        </w:rPr>
      </w:pPr>
      <w:r w:rsidRPr="00363D53">
        <w:rPr>
          <w:sz w:val="24"/>
          <w:szCs w:val="24"/>
        </w:rPr>
        <w:t>Asigurarea si managementul calit</w:t>
      </w:r>
      <w:r>
        <w:rPr>
          <w:sz w:val="24"/>
          <w:szCs w:val="24"/>
        </w:rPr>
        <w:t>ății ș</w:t>
      </w:r>
      <w:r w:rsidRPr="00363D53">
        <w:rPr>
          <w:sz w:val="24"/>
          <w:szCs w:val="24"/>
        </w:rPr>
        <w:t>i siguran</w:t>
      </w:r>
      <w:r>
        <w:rPr>
          <w:sz w:val="24"/>
          <w:szCs w:val="24"/>
        </w:rPr>
        <w:t>ț</w:t>
      </w:r>
      <w:r w:rsidRPr="00363D53">
        <w:rPr>
          <w:sz w:val="24"/>
          <w:szCs w:val="24"/>
        </w:rPr>
        <w:t>ei alimentelor cf. ISO 9001:2008 si ISO 22000:2005/ HACCP</w:t>
      </w:r>
      <w:r>
        <w:rPr>
          <w:sz w:val="24"/>
          <w:szCs w:val="24"/>
        </w:rPr>
        <w:t>;</w:t>
      </w:r>
    </w:p>
    <w:p w:rsidR="00064502" w:rsidRDefault="00064502" w:rsidP="00064502">
      <w:pPr>
        <w:pStyle w:val="Listparagraf"/>
        <w:numPr>
          <w:ilvl w:val="5"/>
          <w:numId w:val="20"/>
        </w:numPr>
        <w:autoSpaceDE w:val="0"/>
        <w:spacing w:after="0"/>
        <w:jc w:val="both"/>
        <w:rPr>
          <w:sz w:val="24"/>
          <w:szCs w:val="24"/>
        </w:rPr>
      </w:pPr>
      <w:r w:rsidRPr="00363D53">
        <w:rPr>
          <w:sz w:val="24"/>
          <w:szCs w:val="24"/>
        </w:rPr>
        <w:lastRenderedPageBreak/>
        <w:t>Conservarea,</w:t>
      </w:r>
      <w:r>
        <w:rPr>
          <w:sz w:val="24"/>
          <w:szCs w:val="24"/>
        </w:rPr>
        <w:t xml:space="preserve"> </w:t>
      </w:r>
      <w:r w:rsidRPr="00363D53">
        <w:rPr>
          <w:sz w:val="24"/>
          <w:szCs w:val="24"/>
        </w:rPr>
        <w:t>cur</w:t>
      </w:r>
      <w:r>
        <w:rPr>
          <w:sz w:val="24"/>
          <w:szCs w:val="24"/>
        </w:rPr>
        <w:t>ățirea cerealelor, mă</w:t>
      </w:r>
      <w:r w:rsidRPr="00363D53">
        <w:rPr>
          <w:sz w:val="24"/>
          <w:szCs w:val="24"/>
        </w:rPr>
        <w:t>cinarea gr</w:t>
      </w:r>
      <w:r>
        <w:rPr>
          <w:sz w:val="24"/>
          <w:szCs w:val="24"/>
        </w:rPr>
        <w:t>âului ș</w:t>
      </w:r>
      <w:r w:rsidRPr="00363D53">
        <w:rPr>
          <w:sz w:val="24"/>
          <w:szCs w:val="24"/>
        </w:rPr>
        <w:t>i a porumbului, proiectare utilaje de laborator pentru prelucrarea cerealelor</w:t>
      </w:r>
      <w:r>
        <w:rPr>
          <w:sz w:val="24"/>
          <w:szCs w:val="24"/>
        </w:rPr>
        <w:t>.</w:t>
      </w:r>
    </w:p>
    <w:p w:rsidR="00064502" w:rsidRPr="00363D53" w:rsidRDefault="00064502" w:rsidP="00064502">
      <w:pPr>
        <w:pStyle w:val="Listparagraf"/>
        <w:autoSpaceDE w:val="0"/>
        <w:spacing w:after="0"/>
        <w:ind w:left="1710"/>
        <w:jc w:val="both"/>
        <w:rPr>
          <w:sz w:val="24"/>
          <w:szCs w:val="24"/>
        </w:rPr>
      </w:pPr>
    </w:p>
    <w:p w:rsidR="00064502" w:rsidRPr="000B5469" w:rsidRDefault="00064502" w:rsidP="00064502">
      <w:pPr>
        <w:autoSpaceDE w:val="0"/>
        <w:spacing w:after="0"/>
        <w:jc w:val="both"/>
        <w:rPr>
          <w:sz w:val="24"/>
          <w:szCs w:val="24"/>
          <w:lang w:val="ro-RO"/>
        </w:rPr>
      </w:pPr>
      <w:r w:rsidRPr="000B5469">
        <w:rPr>
          <w:sz w:val="24"/>
          <w:szCs w:val="24"/>
          <w:lang w:val="ro-RO"/>
        </w:rPr>
        <w:t xml:space="preserve">Facultatea de Alimentaţie şi Turism, Universitatea Transilvania din Braşov </w:t>
      </w:r>
      <w:hyperlink r:id="rId32" w:history="1">
        <w:r w:rsidRPr="000B5469">
          <w:rPr>
            <w:rStyle w:val="Hyperlink"/>
            <w:sz w:val="24"/>
            <w:szCs w:val="24"/>
          </w:rPr>
          <w:t>http://www.unitbv.ro/Default.aspx?alias=www.unitbv.ro/at&amp;</w:t>
        </w:r>
      </w:hyperlink>
      <w:r w:rsidRPr="000B5469">
        <w:rPr>
          <w:sz w:val="24"/>
          <w:szCs w:val="24"/>
          <w:lang w:val="ro-RO"/>
        </w:rPr>
        <w:t xml:space="preserve"> </w:t>
      </w:r>
    </w:p>
    <w:p w:rsidR="00064502" w:rsidRDefault="00064502" w:rsidP="00064502">
      <w:pPr>
        <w:pStyle w:val="Listparagraf"/>
        <w:numPr>
          <w:ilvl w:val="5"/>
          <w:numId w:val="20"/>
        </w:numPr>
        <w:autoSpaceDE w:val="0"/>
        <w:spacing w:after="0"/>
        <w:jc w:val="both"/>
        <w:rPr>
          <w:sz w:val="24"/>
          <w:szCs w:val="24"/>
        </w:rPr>
      </w:pPr>
      <w:r>
        <w:rPr>
          <w:sz w:val="24"/>
          <w:szCs w:val="24"/>
        </w:rPr>
        <w:t>Departamente de cercetare ştiinţifică: Eco - Biotehnologii ş</w:t>
      </w:r>
      <w:r w:rsidRPr="00B759B2">
        <w:rPr>
          <w:sz w:val="24"/>
          <w:szCs w:val="24"/>
        </w:rPr>
        <w:t xml:space="preserve">i echipamente </w:t>
      </w:r>
      <w:r>
        <w:rPr>
          <w:sz w:val="24"/>
          <w:szCs w:val="24"/>
        </w:rPr>
        <w:t>în agricultură şi alimentaţ</w:t>
      </w:r>
      <w:r w:rsidRPr="00B759B2">
        <w:rPr>
          <w:sz w:val="24"/>
          <w:szCs w:val="24"/>
        </w:rPr>
        <w:t>ie</w:t>
      </w:r>
    </w:p>
    <w:p w:rsidR="00064502" w:rsidRPr="000B5469" w:rsidRDefault="00064502" w:rsidP="00064502">
      <w:pPr>
        <w:autoSpaceDE w:val="0"/>
        <w:spacing w:after="0"/>
        <w:jc w:val="both"/>
        <w:rPr>
          <w:sz w:val="24"/>
          <w:szCs w:val="24"/>
          <w:lang w:val="ro-RO"/>
        </w:rPr>
      </w:pPr>
      <w:r w:rsidRPr="00D62E68">
        <w:rPr>
          <w:b/>
          <w:sz w:val="24"/>
          <w:szCs w:val="24"/>
          <w:lang w:val="ro-RO"/>
        </w:rPr>
        <w:t>Universitatea Tehnică</w:t>
      </w:r>
      <w:r w:rsidRPr="000B5469">
        <w:rPr>
          <w:sz w:val="24"/>
          <w:szCs w:val="24"/>
          <w:lang w:val="ro-RO"/>
        </w:rPr>
        <w:t xml:space="preserve"> din Cluj Napoca cu </w:t>
      </w:r>
      <w:r w:rsidRPr="00D62E68">
        <w:rPr>
          <w:b/>
          <w:sz w:val="24"/>
          <w:szCs w:val="24"/>
          <w:lang w:val="ro-RO"/>
        </w:rPr>
        <w:t xml:space="preserve">extensie academică în </w:t>
      </w:r>
      <w:r w:rsidRPr="00D62E68">
        <w:rPr>
          <w:rFonts w:ascii="Calibri" w:hAnsi="Calibri" w:cs="Calibri"/>
          <w:b/>
          <w:sz w:val="24"/>
          <w:szCs w:val="24"/>
          <w:lang w:val="ro-RO"/>
        </w:rPr>
        <w:t>Alba Iulia</w:t>
      </w:r>
      <w:r w:rsidRPr="000B5469">
        <w:rPr>
          <w:rFonts w:ascii="Calibri" w:hAnsi="Calibri" w:cs="Calibri"/>
          <w:sz w:val="24"/>
          <w:szCs w:val="24"/>
          <w:lang w:val="ro-RO"/>
        </w:rPr>
        <w:t>: Facultatea</w:t>
      </w:r>
      <w:r w:rsidRPr="000B5469">
        <w:rPr>
          <w:sz w:val="24"/>
          <w:szCs w:val="24"/>
          <w:lang w:val="ro-RO"/>
        </w:rPr>
        <w:t xml:space="preserve"> Construcții de Mașini  și Facultatea de Mecanică</w:t>
      </w:r>
    </w:p>
    <w:p w:rsidR="00064502" w:rsidRDefault="00064502" w:rsidP="00064502">
      <w:pPr>
        <w:pStyle w:val="Listparagraf"/>
        <w:numPr>
          <w:ilvl w:val="0"/>
          <w:numId w:val="24"/>
        </w:numPr>
        <w:autoSpaceDE w:val="0"/>
        <w:spacing w:after="0"/>
        <w:jc w:val="both"/>
        <w:rPr>
          <w:sz w:val="24"/>
          <w:szCs w:val="24"/>
        </w:rPr>
      </w:pPr>
      <w:r>
        <w:rPr>
          <w:sz w:val="24"/>
          <w:szCs w:val="24"/>
        </w:rPr>
        <w:t>Domeniu de cercetare: M</w:t>
      </w:r>
      <w:r w:rsidRPr="00905951">
        <w:rPr>
          <w:sz w:val="24"/>
          <w:szCs w:val="24"/>
        </w:rPr>
        <w:t>așini și instalații</w:t>
      </w:r>
      <w:r>
        <w:rPr>
          <w:sz w:val="24"/>
          <w:szCs w:val="24"/>
        </w:rPr>
        <w:t xml:space="preserve"> </w:t>
      </w:r>
      <w:r w:rsidRPr="00905951">
        <w:rPr>
          <w:sz w:val="24"/>
          <w:szCs w:val="24"/>
        </w:rPr>
        <w:t>pentru agricultură și industria alimentară </w:t>
      </w:r>
    </w:p>
    <w:p w:rsidR="00064502" w:rsidRPr="00D62E68" w:rsidRDefault="00064502" w:rsidP="00064502">
      <w:pPr>
        <w:autoSpaceDE w:val="0"/>
        <w:spacing w:after="0"/>
        <w:jc w:val="both"/>
        <w:rPr>
          <w:sz w:val="24"/>
          <w:szCs w:val="24"/>
          <w:lang w:val="ro-RO"/>
        </w:rPr>
      </w:pPr>
      <w:r w:rsidRPr="00D62E68">
        <w:rPr>
          <w:b/>
          <w:sz w:val="24"/>
          <w:szCs w:val="24"/>
          <w:lang w:val="ro-RO"/>
        </w:rPr>
        <w:t>Universitatea ”Sapientia”</w:t>
      </w:r>
      <w:r w:rsidRPr="00D62E68">
        <w:rPr>
          <w:sz w:val="24"/>
          <w:szCs w:val="24"/>
          <w:lang w:val="ro-RO"/>
        </w:rPr>
        <w:t xml:space="preserve"> din Cluj Napoca cu extensii academice în:</w:t>
      </w:r>
      <w:r w:rsidRPr="00D62E68">
        <w:rPr>
          <w:rFonts w:ascii="Calibri" w:hAnsi="Calibri" w:cs="Calibri"/>
          <w:sz w:val="24"/>
          <w:szCs w:val="24"/>
          <w:lang w:val="ro-RO"/>
        </w:rPr>
        <w:t xml:space="preserve"> </w:t>
      </w:r>
      <w:r w:rsidRPr="00D62E68">
        <w:rPr>
          <w:rFonts w:ascii="Calibri" w:hAnsi="Calibri" w:cs="Calibri"/>
          <w:b/>
          <w:sz w:val="24"/>
          <w:szCs w:val="24"/>
          <w:lang w:val="ro-RO"/>
        </w:rPr>
        <w:t>Miercurea Ciuc</w:t>
      </w:r>
      <w:r w:rsidRPr="00D62E68">
        <w:rPr>
          <w:rFonts w:ascii="Calibri" w:hAnsi="Calibri" w:cs="Calibri"/>
          <w:sz w:val="24"/>
          <w:szCs w:val="24"/>
          <w:lang w:val="ro-RO"/>
        </w:rPr>
        <w:t xml:space="preserve"> - </w:t>
      </w:r>
      <w:r w:rsidRPr="00D62E68">
        <w:rPr>
          <w:sz w:val="24"/>
          <w:szCs w:val="24"/>
          <w:lang w:val="ro-RO"/>
        </w:rPr>
        <w:t>Facultatea de  Științe Tehnice  și Sociale  și Facultatea de  Științe Economice și Umane şi în </w:t>
      </w:r>
      <w:r w:rsidRPr="00D62E68">
        <w:rPr>
          <w:rFonts w:ascii="Calibri" w:hAnsi="Calibri" w:cs="Calibri"/>
          <w:b/>
          <w:sz w:val="24"/>
          <w:szCs w:val="24"/>
          <w:lang w:val="ro-RO"/>
        </w:rPr>
        <w:t>Târgu Mureș</w:t>
      </w:r>
      <w:r w:rsidRPr="00D62E68">
        <w:rPr>
          <w:rFonts w:ascii="Calibri" w:hAnsi="Calibri" w:cs="Calibri"/>
          <w:sz w:val="24"/>
          <w:szCs w:val="24"/>
          <w:lang w:val="ro-RO"/>
        </w:rPr>
        <w:t xml:space="preserve">: Facultatea de </w:t>
      </w:r>
      <w:r w:rsidRPr="00D62E68">
        <w:rPr>
          <w:sz w:val="24"/>
          <w:szCs w:val="24"/>
          <w:lang w:val="ro-RO"/>
        </w:rPr>
        <w:t>Științe Tehnice și Umaniste</w:t>
      </w:r>
    </w:p>
    <w:p w:rsidR="00064502" w:rsidRPr="00905951" w:rsidRDefault="00064502" w:rsidP="00064502">
      <w:pPr>
        <w:pStyle w:val="Listparagraf"/>
        <w:numPr>
          <w:ilvl w:val="0"/>
          <w:numId w:val="24"/>
        </w:numPr>
        <w:autoSpaceDE w:val="0"/>
        <w:spacing w:after="0"/>
        <w:jc w:val="both"/>
        <w:rPr>
          <w:sz w:val="24"/>
          <w:szCs w:val="24"/>
        </w:rPr>
      </w:pPr>
      <w:r>
        <w:rPr>
          <w:sz w:val="24"/>
          <w:szCs w:val="24"/>
        </w:rPr>
        <w:t xml:space="preserve">Domeniu de cercetare: </w:t>
      </w:r>
      <w:r w:rsidRPr="00905951">
        <w:rPr>
          <w:sz w:val="24"/>
          <w:szCs w:val="24"/>
        </w:rPr>
        <w:t>Biochimie  şi biotehnologii</w:t>
      </w:r>
    </w:p>
    <w:p w:rsidR="00064502" w:rsidRDefault="00064502" w:rsidP="00064502">
      <w:pPr>
        <w:pStyle w:val="Default"/>
        <w:spacing w:line="276" w:lineRule="auto"/>
        <w:jc w:val="both"/>
        <w:rPr>
          <w:rStyle w:val="Accentuat"/>
          <w:rFonts w:asciiTheme="minorHAnsi" w:hAnsiTheme="minorHAnsi" w:cs="Arial"/>
          <w:b/>
          <w:bCs/>
          <w:i w:val="0"/>
          <w:iCs w:val="0"/>
          <w:color w:val="auto"/>
          <w:shd w:val="clear" w:color="auto" w:fill="FFFFFF"/>
        </w:rPr>
      </w:pPr>
    </w:p>
    <w:p w:rsidR="00064502" w:rsidRPr="00F55021"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r w:rsidRPr="00F55021">
        <w:rPr>
          <w:rStyle w:val="Accentuat"/>
          <w:rFonts w:asciiTheme="minorHAnsi" w:hAnsiTheme="minorHAnsi" w:cs="Arial"/>
          <w:b/>
          <w:bCs/>
          <w:color w:val="auto"/>
          <w:shd w:val="clear" w:color="auto" w:fill="FFFFFF"/>
        </w:rPr>
        <w:t>Infrastructura de cercetare</w:t>
      </w:r>
      <w:r>
        <w:rPr>
          <w:rStyle w:val="Accentuat"/>
          <w:rFonts w:asciiTheme="minorHAnsi" w:hAnsiTheme="minorHAnsi" w:cs="Arial"/>
          <w:b/>
          <w:bCs/>
          <w:color w:val="auto"/>
          <w:shd w:val="clear" w:color="auto" w:fill="FFFFFF"/>
        </w:rPr>
        <w:t xml:space="preserve"> </w:t>
      </w:r>
      <w:r w:rsidRPr="00F55021">
        <w:rPr>
          <w:rStyle w:val="Accentuat"/>
          <w:rFonts w:asciiTheme="minorHAnsi" w:hAnsiTheme="minorHAnsi" w:cs="Arial"/>
          <w:b/>
          <w:bCs/>
          <w:color w:val="auto"/>
          <w:shd w:val="clear" w:color="auto" w:fill="FFFFFF"/>
        </w:rPr>
        <w:t xml:space="preserve">- dezvoltare </w:t>
      </w:r>
      <w:r w:rsidRPr="00F55021">
        <w:rPr>
          <w:rStyle w:val="Accentuat"/>
          <w:rFonts w:asciiTheme="minorHAnsi" w:hAnsiTheme="minorHAnsi" w:cs="Arial"/>
          <w:bCs/>
          <w:color w:val="auto"/>
          <w:shd w:val="clear" w:color="auto" w:fill="FFFFFF"/>
        </w:rPr>
        <w:t>din Regiunea Centru cuprinde 3 institute și mai multe stațiuni cu profil agricol:</w:t>
      </w: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numPr>
          <w:ilvl w:val="0"/>
          <w:numId w:val="25"/>
        </w:numPr>
        <w:spacing w:line="276" w:lineRule="auto"/>
        <w:jc w:val="both"/>
        <w:rPr>
          <w:rStyle w:val="Accentuat"/>
          <w:rFonts w:asciiTheme="minorHAnsi" w:hAnsiTheme="minorHAnsi" w:cs="Arial"/>
          <w:bCs/>
          <w:i w:val="0"/>
          <w:iCs w:val="0"/>
          <w:color w:val="auto"/>
          <w:shd w:val="clear" w:color="auto" w:fill="FFFFFF"/>
        </w:rPr>
      </w:pPr>
      <w:r w:rsidRPr="00AB16E2">
        <w:rPr>
          <w:rStyle w:val="Accentuat"/>
          <w:rFonts w:asciiTheme="minorHAnsi" w:hAnsiTheme="minorHAnsi" w:cs="Arial"/>
          <w:b/>
          <w:bCs/>
          <w:color w:val="auto"/>
          <w:shd w:val="clear" w:color="auto" w:fill="FFFFFF"/>
        </w:rPr>
        <w:t>Institute de cercetare, dezvoltare sau inovare</w:t>
      </w:r>
      <w:r w:rsidRPr="008C2FE7">
        <w:rPr>
          <w:rStyle w:val="Accentuat"/>
          <w:rFonts w:asciiTheme="minorHAnsi" w:hAnsiTheme="minorHAnsi" w:cs="Arial"/>
          <w:bCs/>
          <w:color w:val="auto"/>
          <w:shd w:val="clear" w:color="auto" w:fill="FFFFFF"/>
        </w:rPr>
        <w:t>:</w:t>
      </w:r>
    </w:p>
    <w:p w:rsidR="00064502"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8C2FE7">
        <w:rPr>
          <w:rStyle w:val="Accentuat"/>
          <w:rFonts w:asciiTheme="minorHAnsi" w:hAnsiTheme="minorHAnsi" w:cs="Arial"/>
          <w:bCs/>
          <w:color w:val="auto"/>
          <w:shd w:val="clear" w:color="auto" w:fill="FFFFFF"/>
        </w:rPr>
        <w:t>Institutul</w:t>
      </w:r>
      <w:r>
        <w:rPr>
          <w:rStyle w:val="Accentuat"/>
          <w:rFonts w:asciiTheme="minorHAnsi" w:hAnsiTheme="minorHAnsi" w:cs="Arial"/>
          <w:bCs/>
          <w:color w:val="auto"/>
          <w:shd w:val="clear" w:color="auto" w:fill="FFFFFF"/>
        </w:rPr>
        <w:t xml:space="preserve"> </w:t>
      </w:r>
      <w:r w:rsidRPr="008C2FE7">
        <w:rPr>
          <w:rStyle w:val="Accentuat"/>
          <w:rFonts w:asciiTheme="minorHAnsi" w:hAnsiTheme="minorHAnsi" w:cs="Arial"/>
          <w:bCs/>
          <w:color w:val="auto"/>
          <w:shd w:val="clear" w:color="auto" w:fill="FFFFFF"/>
        </w:rPr>
        <w:t>Naţional de Cercetare Dezvoltare pentru Cartof şi Sfeclă de Zahăr Braşov</w:t>
      </w:r>
    </w:p>
    <w:p w:rsidR="00064502"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8C2FE7">
        <w:rPr>
          <w:rStyle w:val="Accentuat"/>
          <w:rFonts w:asciiTheme="minorHAnsi" w:hAnsiTheme="minorHAnsi" w:cs="Arial"/>
          <w:bCs/>
          <w:color w:val="auto"/>
          <w:shd w:val="clear" w:color="auto" w:fill="FFFFFF"/>
        </w:rPr>
        <w:t>Institutul</w:t>
      </w:r>
      <w:r w:rsidRPr="00607F8F">
        <w:rPr>
          <w:rStyle w:val="Accentuat"/>
          <w:rFonts w:asciiTheme="minorHAnsi" w:hAnsiTheme="minorHAnsi" w:cs="Arial"/>
          <w:bCs/>
          <w:color w:val="auto"/>
          <w:shd w:val="clear" w:color="auto" w:fill="FFFFFF"/>
        </w:rPr>
        <w:t xml:space="preserve"> de Cercetare ‐ Dezvoltare pentru Pajiști Brașov</w:t>
      </w:r>
    </w:p>
    <w:p w:rsidR="00064502"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Pr>
          <w:rStyle w:val="Accentuat"/>
          <w:rFonts w:asciiTheme="minorHAnsi" w:hAnsiTheme="minorHAnsi" w:cs="Arial"/>
          <w:bCs/>
          <w:color w:val="auto"/>
          <w:shd w:val="clear" w:color="auto" w:fill="FFFFFF"/>
        </w:rPr>
        <w:t>Institutul de Cercetare -</w:t>
      </w:r>
      <w:r w:rsidRPr="00607F8F">
        <w:rPr>
          <w:rStyle w:val="Accentuat"/>
          <w:rFonts w:asciiTheme="minorHAnsi" w:hAnsiTheme="minorHAnsi" w:cs="Arial"/>
          <w:bCs/>
          <w:color w:val="auto"/>
          <w:shd w:val="clear" w:color="auto" w:fill="FFFFFF"/>
        </w:rPr>
        <w:t xml:space="preserve"> Dezvoltare</w:t>
      </w:r>
      <w:r>
        <w:rPr>
          <w:rStyle w:val="Accentuat"/>
          <w:rFonts w:asciiTheme="minorHAnsi" w:hAnsiTheme="minorHAnsi" w:cs="Arial"/>
          <w:bCs/>
          <w:color w:val="auto"/>
          <w:shd w:val="clear" w:color="auto" w:fill="FFFFFF"/>
        </w:rPr>
        <w:t xml:space="preserve"> pentru Montanologie Cristian</w:t>
      </w:r>
    </w:p>
    <w:p w:rsidR="00064502" w:rsidRDefault="00064502" w:rsidP="00064502">
      <w:pPr>
        <w:pStyle w:val="Default"/>
        <w:spacing w:line="276" w:lineRule="auto"/>
        <w:ind w:left="1170"/>
        <w:jc w:val="both"/>
        <w:rPr>
          <w:rStyle w:val="Accentuat"/>
          <w:rFonts w:asciiTheme="minorHAnsi" w:hAnsiTheme="minorHAnsi" w:cs="Arial"/>
          <w:bCs/>
          <w:i w:val="0"/>
          <w:iCs w:val="0"/>
          <w:color w:val="auto"/>
          <w:shd w:val="clear" w:color="auto" w:fill="FFFFFF"/>
        </w:rPr>
      </w:pPr>
    </w:p>
    <w:p w:rsidR="00064502" w:rsidRPr="00607F8F" w:rsidRDefault="00064502" w:rsidP="00064502">
      <w:pPr>
        <w:pStyle w:val="Default"/>
        <w:spacing w:line="276" w:lineRule="auto"/>
        <w:ind w:left="1170"/>
        <w:jc w:val="both"/>
        <w:rPr>
          <w:rStyle w:val="Accentuat"/>
          <w:rFonts w:asciiTheme="minorHAnsi" w:hAnsiTheme="minorHAnsi" w:cs="Arial"/>
          <w:bCs/>
          <w:i w:val="0"/>
          <w:iCs w:val="0"/>
          <w:color w:val="auto"/>
          <w:shd w:val="clear" w:color="auto" w:fill="FFFFFF"/>
        </w:rPr>
      </w:pPr>
    </w:p>
    <w:p w:rsidR="00064502" w:rsidRDefault="00064502" w:rsidP="00064502">
      <w:pPr>
        <w:pStyle w:val="Default"/>
        <w:numPr>
          <w:ilvl w:val="0"/>
          <w:numId w:val="25"/>
        </w:numPr>
        <w:spacing w:line="276" w:lineRule="auto"/>
        <w:jc w:val="both"/>
        <w:rPr>
          <w:rStyle w:val="Accentuat"/>
          <w:rFonts w:asciiTheme="minorHAnsi" w:hAnsiTheme="minorHAnsi" w:cs="Arial"/>
          <w:bCs/>
          <w:i w:val="0"/>
          <w:iCs w:val="0"/>
          <w:color w:val="auto"/>
          <w:shd w:val="clear" w:color="auto" w:fill="FFFFFF"/>
        </w:rPr>
      </w:pPr>
      <w:r w:rsidRPr="00AB16E2">
        <w:rPr>
          <w:rStyle w:val="Accentuat"/>
          <w:rFonts w:asciiTheme="minorHAnsi" w:hAnsiTheme="minorHAnsi" w:cs="Arial"/>
          <w:b/>
          <w:bCs/>
          <w:color w:val="auto"/>
          <w:shd w:val="clear" w:color="auto" w:fill="FFFFFF"/>
        </w:rPr>
        <w:t>Stațiuni de cercetare ‐ dezvoltare</w:t>
      </w:r>
      <w:r>
        <w:rPr>
          <w:rStyle w:val="Accentuat"/>
          <w:rFonts w:asciiTheme="minorHAnsi" w:hAnsiTheme="minorHAnsi" w:cs="Arial"/>
          <w:bCs/>
          <w:color w:val="auto"/>
          <w:shd w:val="clear" w:color="auto" w:fill="FFFFFF"/>
        </w:rPr>
        <w:t>:</w:t>
      </w:r>
    </w:p>
    <w:p w:rsidR="00064502" w:rsidRPr="009B0B64"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9B0B64">
        <w:rPr>
          <w:rStyle w:val="Accentuat"/>
          <w:rFonts w:asciiTheme="minorHAnsi" w:hAnsiTheme="minorHAnsi" w:cs="Arial"/>
          <w:bCs/>
          <w:color w:val="auto"/>
          <w:shd w:val="clear" w:color="auto" w:fill="FFFFFF"/>
        </w:rPr>
        <w:t>Stațiunea de Cercetare și Dezvoltare pentru Viticultura  și Vinificație Blaj</w:t>
      </w:r>
    </w:p>
    <w:p w:rsidR="00064502" w:rsidRPr="009B0B64"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9B0B64">
        <w:rPr>
          <w:rStyle w:val="Accentuat"/>
          <w:rFonts w:asciiTheme="minorHAnsi" w:hAnsiTheme="minorHAnsi" w:cs="Arial"/>
          <w:bCs/>
          <w:color w:val="auto"/>
          <w:shd w:val="clear" w:color="auto" w:fill="FFFFFF"/>
        </w:rPr>
        <w:t>Stațiunea de Cercetare ‐ Dezvoltare pentru Legumicultură  Iernut</w:t>
      </w:r>
    </w:p>
    <w:p w:rsidR="00064502" w:rsidRPr="004114FB"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4114FB">
        <w:rPr>
          <w:rStyle w:val="Accentuat"/>
          <w:rFonts w:asciiTheme="minorHAnsi" w:hAnsiTheme="minorHAnsi" w:cs="Arial"/>
          <w:bCs/>
          <w:color w:val="auto"/>
          <w:shd w:val="clear" w:color="auto" w:fill="FFFFFF"/>
        </w:rPr>
        <w:t>Stațiunea de Cercetare Dezvoltare pentru Creșterea Bubalinelor Șercaia</w:t>
      </w:r>
    </w:p>
    <w:p w:rsidR="00064502" w:rsidRPr="009B0B64"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9B0B64">
        <w:rPr>
          <w:rStyle w:val="Accentuat"/>
          <w:rFonts w:asciiTheme="minorHAnsi" w:hAnsiTheme="minorHAnsi" w:cs="Arial"/>
          <w:bCs/>
          <w:color w:val="auto"/>
          <w:shd w:val="clear" w:color="auto" w:fill="FFFFFF"/>
        </w:rPr>
        <w:t>Stațiunea de Cercetare ‐ Dezvoltare pentru Creșterea Ovinelor și Caprinelor Reghin</w:t>
      </w:r>
    </w:p>
    <w:p w:rsidR="00064502" w:rsidRPr="009B0B64"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9B0B64">
        <w:rPr>
          <w:rStyle w:val="Accentuat"/>
          <w:rFonts w:asciiTheme="minorHAnsi" w:hAnsiTheme="minorHAnsi" w:cs="Arial"/>
          <w:bCs/>
          <w:color w:val="auto"/>
          <w:shd w:val="clear" w:color="auto" w:fill="FFFFFF"/>
        </w:rPr>
        <w:t>Staţiunea de Cercetare - Dezvoltare pentru Creşterea Bovinelor Târgu Mureş</w:t>
      </w:r>
    </w:p>
    <w:p w:rsidR="00064502" w:rsidRPr="009B0B64"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9B0B64">
        <w:rPr>
          <w:rStyle w:val="Accentuat"/>
          <w:rFonts w:asciiTheme="minorHAnsi" w:hAnsiTheme="minorHAnsi" w:cs="Arial"/>
          <w:bCs/>
          <w:color w:val="auto"/>
          <w:shd w:val="clear" w:color="auto" w:fill="FFFFFF"/>
        </w:rPr>
        <w:t>Staţiunea de Cercetare - Dezvoltare pentru cartof Târgu Secuiesc</w:t>
      </w:r>
    </w:p>
    <w:p w:rsidR="00064502" w:rsidRDefault="00064502" w:rsidP="00064502">
      <w:pPr>
        <w:pStyle w:val="Default"/>
        <w:numPr>
          <w:ilvl w:val="0"/>
          <w:numId w:val="23"/>
        </w:numPr>
        <w:spacing w:line="276" w:lineRule="auto"/>
        <w:jc w:val="both"/>
        <w:rPr>
          <w:rStyle w:val="Accentuat"/>
          <w:rFonts w:asciiTheme="minorHAnsi" w:hAnsiTheme="minorHAnsi" w:cs="Arial"/>
          <w:bCs/>
          <w:i w:val="0"/>
          <w:iCs w:val="0"/>
          <w:color w:val="auto"/>
          <w:shd w:val="clear" w:color="auto" w:fill="FFFFFF"/>
        </w:rPr>
      </w:pPr>
      <w:r w:rsidRPr="009B0B64">
        <w:rPr>
          <w:rStyle w:val="Accentuat"/>
          <w:rFonts w:asciiTheme="minorHAnsi" w:hAnsiTheme="minorHAnsi" w:cs="Arial"/>
          <w:bCs/>
          <w:color w:val="auto"/>
          <w:shd w:val="clear" w:color="auto" w:fill="FFFFFF"/>
        </w:rPr>
        <w:t>Staţiunea de Cercetare şi Producţie a cartofului Miercurea Ciuc</w:t>
      </w: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r w:rsidRPr="006E2222">
        <w:rPr>
          <w:rStyle w:val="Accentuat"/>
          <w:rFonts w:asciiTheme="minorHAnsi" w:hAnsiTheme="minorHAnsi" w:cs="Arial"/>
          <w:b/>
          <w:bCs/>
          <w:color w:val="auto"/>
          <w:shd w:val="clear" w:color="auto" w:fill="FFFFFF"/>
        </w:rPr>
        <w:t>Proiectele de cercetare</w:t>
      </w:r>
      <w:r>
        <w:rPr>
          <w:rStyle w:val="Accentuat"/>
          <w:rFonts w:asciiTheme="minorHAnsi" w:hAnsiTheme="minorHAnsi" w:cs="Arial"/>
          <w:bCs/>
          <w:color w:val="auto"/>
          <w:shd w:val="clear" w:color="auto" w:fill="FFFFFF"/>
        </w:rPr>
        <w:t xml:space="preserve"> – inovare din Regiunea Centru cuprinse în planul sectorial al </w:t>
      </w:r>
      <w:r w:rsidRPr="004C5A1A">
        <w:rPr>
          <w:rStyle w:val="Accentuat"/>
          <w:rFonts w:asciiTheme="minorHAnsi" w:hAnsiTheme="minorHAnsi" w:cs="Arial"/>
          <w:bCs/>
          <w:color w:val="auto"/>
          <w:shd w:val="clear" w:color="auto" w:fill="FFFFFF"/>
        </w:rPr>
        <w:t>Ministerului Agriculturii şi Dezvoltării Rurale</w:t>
      </w:r>
      <w:r>
        <w:rPr>
          <w:rStyle w:val="Accentuat"/>
          <w:rFonts w:asciiTheme="minorHAnsi" w:hAnsiTheme="minorHAnsi" w:cs="Arial"/>
          <w:bCs/>
          <w:color w:val="auto"/>
          <w:shd w:val="clear" w:color="auto" w:fill="FFFFFF"/>
        </w:rPr>
        <w:t xml:space="preserve"> (MADR) pe anii </w:t>
      </w:r>
      <w:r w:rsidRPr="006E2222">
        <w:rPr>
          <w:rStyle w:val="Accentuat"/>
          <w:rFonts w:asciiTheme="minorHAnsi" w:hAnsiTheme="minorHAnsi" w:cs="Arial"/>
          <w:b/>
          <w:bCs/>
          <w:color w:val="auto"/>
          <w:shd w:val="clear" w:color="auto" w:fill="FFFFFF"/>
        </w:rPr>
        <w:t>2011 – 2014</w:t>
      </w:r>
      <w:r>
        <w:rPr>
          <w:rStyle w:val="Accentuat"/>
          <w:rFonts w:asciiTheme="minorHAnsi" w:hAnsiTheme="minorHAnsi" w:cs="Arial"/>
          <w:bCs/>
          <w:color w:val="auto"/>
          <w:shd w:val="clear" w:color="auto" w:fill="FFFFFF"/>
        </w:rPr>
        <w:t>:</w:t>
      </w: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Pr="004C5A1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4C5A1A">
        <w:rPr>
          <w:rStyle w:val="Accentuat"/>
          <w:rFonts w:asciiTheme="minorHAnsi" w:hAnsiTheme="minorHAnsi" w:cs="Arial"/>
          <w:bCs/>
          <w:color w:val="auto"/>
          <w:shd w:val="clear" w:color="auto" w:fill="FFFFFF"/>
        </w:rPr>
        <w:t xml:space="preserve">Diversificarea  sortimentului  legumicol  prin introducerea în cultură a unor specii mai puţin cultivate (Rheum rhabarbarum –revent),  din  diverse  zone  ale  lumii  </w:t>
      </w:r>
      <w:r w:rsidRPr="004C5A1A">
        <w:rPr>
          <w:rStyle w:val="Accentuat"/>
          <w:rFonts w:asciiTheme="minorHAnsi" w:hAnsiTheme="minorHAnsi" w:cs="Arial"/>
          <w:bCs/>
          <w:color w:val="auto"/>
          <w:shd w:val="clear" w:color="auto" w:fill="FFFFFF"/>
        </w:rPr>
        <w:lastRenderedPageBreak/>
        <w:t>(Tragopogon  porrifolius – scorţonera), din flora spontană (Allium ursinum – leurdă, Armoracia rusticana – hrean, Ornithogalum umbelatum – ceapa ciorii), to</w:t>
      </w:r>
      <w:r>
        <w:rPr>
          <w:rStyle w:val="Accentuat"/>
          <w:rFonts w:asciiTheme="minorHAnsi" w:hAnsiTheme="minorHAnsi" w:cs="Arial"/>
          <w:bCs/>
          <w:color w:val="auto"/>
          <w:shd w:val="clear" w:color="auto" w:fill="FFFFFF"/>
        </w:rPr>
        <w:t xml:space="preserve">lerante la stresul termo-hidric. </w:t>
      </w:r>
      <w:r w:rsidRPr="004C5A1A">
        <w:rPr>
          <w:rStyle w:val="Accentuat"/>
          <w:rFonts w:asciiTheme="minorHAnsi" w:hAnsiTheme="minorHAnsi" w:cs="Arial"/>
          <w:b/>
          <w:bCs/>
          <w:color w:val="auto"/>
          <w:shd w:val="clear" w:color="auto" w:fill="FFFFFF"/>
        </w:rPr>
        <w:t>Contractor:</w:t>
      </w:r>
      <w:r w:rsidRPr="004C5A1A">
        <w:rPr>
          <w:rStyle w:val="Accentuat"/>
          <w:rFonts w:asciiTheme="minorHAnsi" w:hAnsiTheme="minorHAnsi" w:cs="Arial"/>
          <w:bCs/>
          <w:color w:val="auto"/>
          <w:shd w:val="clear" w:color="auto" w:fill="FFFFFF"/>
        </w:rPr>
        <w:t xml:space="preserve"> Staţiunea de Cercetare-Dezvoltare pentru Legumicultură Iernut– SCDL, </w:t>
      </w:r>
      <w:r w:rsidRPr="004C5A1A">
        <w:rPr>
          <w:rStyle w:val="Accentuat"/>
          <w:rFonts w:asciiTheme="minorHAnsi" w:hAnsiTheme="minorHAnsi" w:cs="Arial"/>
          <w:b/>
          <w:bCs/>
          <w:color w:val="auto"/>
          <w:shd w:val="clear" w:color="auto" w:fill="FFFFFF"/>
        </w:rPr>
        <w:t>ADER 1.1.12</w:t>
      </w:r>
    </w:p>
    <w:p w:rsidR="00064502" w:rsidRPr="004C5A1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4C5A1A">
        <w:rPr>
          <w:rStyle w:val="Accentuat"/>
          <w:rFonts w:asciiTheme="minorHAnsi" w:hAnsiTheme="minorHAnsi" w:cs="Arial"/>
          <w:bCs/>
          <w:color w:val="auto"/>
          <w:shd w:val="clear" w:color="auto" w:fill="FFFFFF"/>
        </w:rPr>
        <w:t>Ridicarea performanţelor calitative şi cantitative a materialului de sămânţă de cartof din verigi superioare, prin elaborarea şi perfecţionarea metodelor tehnologice şi de control fitosanitar</w:t>
      </w:r>
      <w:r>
        <w:rPr>
          <w:rStyle w:val="Accentuat"/>
          <w:rFonts w:asciiTheme="minorHAnsi" w:hAnsiTheme="minorHAnsi" w:cs="Arial"/>
          <w:bCs/>
          <w:color w:val="auto"/>
          <w:shd w:val="clear" w:color="auto" w:fill="FFFFFF"/>
        </w:rPr>
        <w:t xml:space="preserve">. </w:t>
      </w:r>
      <w:r w:rsidRPr="004C5A1A">
        <w:rPr>
          <w:rStyle w:val="Accentuat"/>
          <w:rFonts w:asciiTheme="minorHAnsi" w:hAnsiTheme="minorHAnsi" w:cs="Arial"/>
          <w:b/>
          <w:bCs/>
          <w:color w:val="auto"/>
          <w:shd w:val="clear" w:color="auto" w:fill="FFFFFF"/>
        </w:rPr>
        <w:t>Contractor:</w:t>
      </w:r>
      <w:r w:rsidRPr="004C5A1A">
        <w:rPr>
          <w:rStyle w:val="Accentuat"/>
          <w:rFonts w:asciiTheme="minorHAnsi" w:hAnsiTheme="minorHAnsi" w:cs="Arial"/>
          <w:bCs/>
          <w:color w:val="auto"/>
          <w:shd w:val="clear" w:color="auto" w:fill="FFFFFF"/>
        </w:rPr>
        <w:t xml:space="preserve"> INCDCSZ Braşov</w:t>
      </w:r>
      <w:r>
        <w:rPr>
          <w:rStyle w:val="Accentuat"/>
          <w:rFonts w:asciiTheme="minorHAnsi" w:hAnsiTheme="minorHAnsi" w:cs="Arial"/>
          <w:bCs/>
          <w:color w:val="auto"/>
          <w:shd w:val="clear" w:color="auto" w:fill="FFFFFF"/>
        </w:rPr>
        <w:t xml:space="preserve">, </w:t>
      </w:r>
      <w:r w:rsidRPr="004C5A1A">
        <w:rPr>
          <w:rStyle w:val="Accentuat"/>
          <w:rFonts w:asciiTheme="minorHAnsi" w:hAnsiTheme="minorHAnsi" w:cs="Arial"/>
          <w:b/>
          <w:bCs/>
          <w:color w:val="auto"/>
          <w:shd w:val="clear" w:color="auto" w:fill="FFFFFF"/>
        </w:rPr>
        <w:t>ADER 1.2.2</w:t>
      </w:r>
    </w:p>
    <w:p w:rsidR="00064502" w:rsidRPr="004F4627"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Pr>
          <w:rStyle w:val="Accentuat"/>
          <w:rFonts w:asciiTheme="minorHAnsi" w:hAnsiTheme="minorHAnsi" w:cs="Arial"/>
          <w:bCs/>
          <w:color w:val="auto"/>
          <w:shd w:val="clear" w:color="auto" w:fill="FFFFFF"/>
        </w:rPr>
        <w:t>M</w:t>
      </w:r>
      <w:r w:rsidRPr="004C5A1A">
        <w:rPr>
          <w:rStyle w:val="Accentuat"/>
          <w:rFonts w:asciiTheme="minorHAnsi" w:hAnsiTheme="minorHAnsi" w:cs="Arial"/>
          <w:bCs/>
          <w:color w:val="auto"/>
          <w:shd w:val="clear" w:color="auto" w:fill="FFFFFF"/>
        </w:rPr>
        <w:t>ăsuri proactive zonale de ameliorare a valorii pastorale a pajiștilor permanente degradate sub acțiunea modificărilor climatice și a intervențiilor antropice</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Contractor:</w:t>
      </w:r>
      <w:r w:rsidRPr="004F4627">
        <w:rPr>
          <w:rStyle w:val="Accentuat"/>
          <w:rFonts w:asciiTheme="minorHAnsi" w:hAnsiTheme="minorHAnsi" w:cs="Arial"/>
          <w:bCs/>
          <w:color w:val="auto"/>
          <w:shd w:val="clear" w:color="auto" w:fill="FFFFFF"/>
        </w:rPr>
        <w:t xml:space="preserve"> Institutul de Cercetare-Dezvoltare pentru Pajiști Brașov, </w:t>
      </w:r>
      <w:r w:rsidRPr="004F4627">
        <w:rPr>
          <w:rStyle w:val="Accentuat"/>
          <w:rFonts w:asciiTheme="minorHAnsi" w:hAnsiTheme="minorHAnsi" w:cs="Arial"/>
          <w:b/>
          <w:bCs/>
          <w:color w:val="auto"/>
          <w:shd w:val="clear" w:color="auto" w:fill="FFFFFF"/>
        </w:rPr>
        <w:t>ADER 1.3.3</w:t>
      </w:r>
    </w:p>
    <w:p w:rsidR="00064502" w:rsidRPr="004F4627"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4F4627">
        <w:rPr>
          <w:rStyle w:val="Accentuat"/>
          <w:rFonts w:asciiTheme="minorHAnsi" w:hAnsiTheme="minorHAnsi" w:cs="Arial"/>
          <w:bCs/>
          <w:color w:val="auto"/>
          <w:shd w:val="clear" w:color="auto" w:fill="FFFFFF"/>
        </w:rPr>
        <w:t>Tehnologii inovative de reducere a vulnerabilităţii agroecosistemelor din cultura sfeclei de zahăr şi a cartofului faţă de agenţii de dăunare (re)emergenţi şi modalităţi de diminuare a acestora.</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Contactor</w:t>
      </w:r>
      <w:r w:rsidRPr="004F4627">
        <w:rPr>
          <w:rStyle w:val="Accentuat"/>
          <w:rFonts w:asciiTheme="minorHAnsi" w:hAnsiTheme="minorHAnsi" w:cs="Arial"/>
          <w:bCs/>
          <w:color w:val="auto"/>
          <w:shd w:val="clear" w:color="auto" w:fill="FFFFFF"/>
        </w:rPr>
        <w:t>: INCDCSZ Braşov</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ADER 2.2.2</w:t>
      </w:r>
    </w:p>
    <w:p w:rsidR="00064502" w:rsidRPr="004F4627"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4F4627">
        <w:rPr>
          <w:rStyle w:val="Accentuat"/>
          <w:rFonts w:asciiTheme="minorHAnsi" w:hAnsiTheme="minorHAnsi" w:cs="Arial"/>
          <w:bCs/>
          <w:color w:val="auto"/>
          <w:shd w:val="clear" w:color="auto" w:fill="FFFFFF"/>
        </w:rPr>
        <w:t>Sisteme de măsuri tehnico - organizatorice şi baze de date, pentru prognoza, monitorizarea şi controlul lui Clavibactermichiganensisssp. sepedonicus – putregaiul inelar al cartofului (boală de carantină fitoendemică)</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Contractor</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Cs/>
          <w:color w:val="auto"/>
          <w:shd w:val="clear" w:color="auto" w:fill="FFFFFF"/>
        </w:rPr>
        <w:t>INCDCSZ Braşov</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ADER 2.2.3</w:t>
      </w:r>
    </w:p>
    <w:p w:rsidR="00064502" w:rsidRPr="004F4627"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4F4627">
        <w:rPr>
          <w:rStyle w:val="Accentuat"/>
          <w:rFonts w:asciiTheme="minorHAnsi" w:hAnsiTheme="minorHAnsi" w:cs="Arial"/>
          <w:bCs/>
          <w:color w:val="auto"/>
          <w:shd w:val="clear" w:color="auto" w:fill="FFFFFF"/>
        </w:rPr>
        <w:t>Evaluarea vulnerabilităţii ecosistemului viticol la impactul dăunător al organismelor concurente şi antagonice.</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Contractor:</w:t>
      </w:r>
      <w:r w:rsidRPr="004F4627">
        <w:rPr>
          <w:rStyle w:val="Accentuat"/>
          <w:rFonts w:asciiTheme="minorHAnsi" w:hAnsiTheme="minorHAnsi" w:cs="Arial"/>
          <w:bCs/>
          <w:color w:val="auto"/>
          <w:shd w:val="clear" w:color="auto" w:fill="FFFFFF"/>
        </w:rPr>
        <w:t xml:space="preserve"> Staţiunea de Cercetare şi Dezvoltare pentru Viticultură şi Vinificaţie Blaj, </w:t>
      </w:r>
      <w:r w:rsidRPr="004F4627">
        <w:rPr>
          <w:rStyle w:val="Accentuat"/>
          <w:rFonts w:asciiTheme="minorHAnsi" w:hAnsiTheme="minorHAnsi" w:cs="Arial"/>
          <w:b/>
          <w:bCs/>
          <w:color w:val="auto"/>
          <w:shd w:val="clear" w:color="auto" w:fill="FFFFFF"/>
        </w:rPr>
        <w:t>ADER 5.2.1</w:t>
      </w:r>
    </w:p>
    <w:p w:rsidR="00064502" w:rsidRPr="004F4627"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4F4627">
        <w:rPr>
          <w:rStyle w:val="Accentuat"/>
          <w:rFonts w:asciiTheme="minorHAnsi" w:hAnsiTheme="minorHAnsi" w:cs="Arial"/>
          <w:bCs/>
          <w:color w:val="auto"/>
          <w:shd w:val="clear" w:color="auto" w:fill="FFFFFF"/>
        </w:rPr>
        <w:t>Perfecţ</w:t>
      </w:r>
      <w:r>
        <w:rPr>
          <w:rStyle w:val="Accentuat"/>
          <w:rFonts w:asciiTheme="minorHAnsi" w:hAnsiTheme="minorHAnsi" w:cs="Arial"/>
          <w:bCs/>
          <w:color w:val="auto"/>
          <w:shd w:val="clear" w:color="auto" w:fill="FFFFFF"/>
        </w:rPr>
        <w:t>i</w:t>
      </w:r>
      <w:r w:rsidRPr="004F4627">
        <w:rPr>
          <w:rStyle w:val="Accentuat"/>
          <w:rFonts w:asciiTheme="minorHAnsi" w:hAnsiTheme="minorHAnsi" w:cs="Arial"/>
          <w:bCs/>
          <w:color w:val="auto"/>
          <w:shd w:val="clear" w:color="auto" w:fill="FFFFFF"/>
        </w:rPr>
        <w:t>onarea man</w:t>
      </w:r>
      <w:r>
        <w:rPr>
          <w:rStyle w:val="Accentuat"/>
          <w:rFonts w:asciiTheme="minorHAnsi" w:hAnsiTheme="minorHAnsi" w:cs="Arial"/>
          <w:bCs/>
          <w:color w:val="auto"/>
          <w:shd w:val="clear" w:color="auto" w:fill="FFFFFF"/>
        </w:rPr>
        <w:t>a</w:t>
      </w:r>
      <w:r w:rsidRPr="004F4627">
        <w:rPr>
          <w:rStyle w:val="Accentuat"/>
          <w:rFonts w:asciiTheme="minorHAnsi" w:hAnsiTheme="minorHAnsi" w:cs="Arial"/>
          <w:bCs/>
          <w:color w:val="auto"/>
          <w:shd w:val="clear" w:color="auto" w:fill="FFFFFF"/>
        </w:rPr>
        <w:t>gementului culturii cartofului, la nivel de fermă, prin promovarea unui sistem suport pentru decizie (DSS) bazat pe monitorizarea continuă a resurselor.</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
          <w:bCs/>
          <w:color w:val="auto"/>
          <w:shd w:val="clear" w:color="auto" w:fill="FFFFFF"/>
        </w:rPr>
        <w:t>Contractor:</w:t>
      </w:r>
      <w:r w:rsidRPr="004F4627">
        <w:rPr>
          <w:rStyle w:val="Accentuat"/>
          <w:rFonts w:asciiTheme="minorHAnsi" w:hAnsiTheme="minorHAnsi" w:cs="Arial"/>
          <w:bCs/>
          <w:color w:val="auto"/>
          <w:shd w:val="clear" w:color="auto" w:fill="FFFFFF"/>
        </w:rPr>
        <w:t xml:space="preserve"> Institutul de Cercetare</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Cs/>
          <w:color w:val="auto"/>
          <w:shd w:val="clear" w:color="auto" w:fill="FFFFFF"/>
        </w:rPr>
        <w:t>-</w:t>
      </w:r>
      <w:r>
        <w:rPr>
          <w:rStyle w:val="Accentuat"/>
          <w:rFonts w:asciiTheme="minorHAnsi" w:hAnsiTheme="minorHAnsi" w:cs="Arial"/>
          <w:bCs/>
          <w:color w:val="auto"/>
          <w:shd w:val="clear" w:color="auto" w:fill="FFFFFF"/>
        </w:rPr>
        <w:t xml:space="preserve"> </w:t>
      </w:r>
      <w:r w:rsidRPr="004F4627">
        <w:rPr>
          <w:rStyle w:val="Accentuat"/>
          <w:rFonts w:asciiTheme="minorHAnsi" w:hAnsiTheme="minorHAnsi" w:cs="Arial"/>
          <w:bCs/>
          <w:color w:val="auto"/>
          <w:shd w:val="clear" w:color="auto" w:fill="FFFFFF"/>
        </w:rPr>
        <w:t xml:space="preserve">Dezvoltare pentru Cartof şi Sfeclă de Zahăr (INCDCSZ) Braşov, </w:t>
      </w:r>
      <w:r w:rsidRPr="004F4627">
        <w:rPr>
          <w:rStyle w:val="Accentuat"/>
          <w:rFonts w:asciiTheme="minorHAnsi" w:hAnsiTheme="minorHAnsi" w:cs="Arial"/>
          <w:b/>
          <w:bCs/>
          <w:color w:val="auto"/>
          <w:shd w:val="clear" w:color="auto" w:fill="FFFFFF"/>
        </w:rPr>
        <w:t>ADER 5.3.1</w:t>
      </w:r>
    </w:p>
    <w:p w:rsidR="00064502" w:rsidRPr="00AA5C3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AA5C3A">
        <w:rPr>
          <w:rStyle w:val="Accentuat"/>
          <w:rFonts w:asciiTheme="minorHAnsi" w:hAnsiTheme="minorHAnsi" w:cs="Arial"/>
          <w:bCs/>
          <w:color w:val="auto"/>
          <w:shd w:val="clear" w:color="auto" w:fill="FFFFFF"/>
        </w:rPr>
        <w:t>Identificarea şi promovarea produselor tradiţionale din satele pastorale din masivele muntoase ale Carpaţilor Meridionali, respectând reglementările în vigoare privind asigurarea trasabilităţii şi a securităţii alimentare</w:t>
      </w:r>
      <w:r>
        <w:rPr>
          <w:rStyle w:val="Accentuat"/>
          <w:rFonts w:asciiTheme="minorHAnsi" w:hAnsiTheme="minorHAnsi" w:cs="Arial"/>
          <w:bCs/>
          <w:color w:val="auto"/>
          <w:shd w:val="clear" w:color="auto" w:fill="FFFFFF"/>
        </w:rPr>
        <w:t xml:space="preserve">. </w:t>
      </w:r>
      <w:r w:rsidRPr="00AA5C3A">
        <w:rPr>
          <w:rStyle w:val="Accentuat"/>
          <w:rFonts w:asciiTheme="minorHAnsi" w:hAnsiTheme="minorHAnsi" w:cs="Arial"/>
          <w:b/>
          <w:bCs/>
          <w:color w:val="auto"/>
          <w:shd w:val="clear" w:color="auto" w:fill="FFFFFF"/>
        </w:rPr>
        <w:t>Contractor:</w:t>
      </w:r>
      <w:r w:rsidRPr="00AA5C3A">
        <w:rPr>
          <w:rStyle w:val="Accentuat"/>
          <w:rFonts w:asciiTheme="minorHAnsi" w:hAnsiTheme="minorHAnsi" w:cs="Arial"/>
          <w:bCs/>
          <w:color w:val="auto"/>
          <w:shd w:val="clear" w:color="auto" w:fill="FFFFFF"/>
        </w:rPr>
        <w:t xml:space="preserve"> ICDM Cristian-Sibiu, </w:t>
      </w:r>
      <w:r w:rsidRPr="00AA5C3A">
        <w:rPr>
          <w:rStyle w:val="Accentuat"/>
          <w:rFonts w:asciiTheme="minorHAnsi" w:hAnsiTheme="minorHAnsi" w:cs="Arial"/>
          <w:b/>
          <w:bCs/>
          <w:color w:val="auto"/>
          <w:shd w:val="clear" w:color="auto" w:fill="FFFFFF"/>
        </w:rPr>
        <w:t>ADER 5.4.1</w:t>
      </w:r>
    </w:p>
    <w:p w:rsidR="00064502" w:rsidRPr="00AA5C3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AA5C3A">
        <w:rPr>
          <w:rStyle w:val="Accentuat"/>
          <w:rFonts w:asciiTheme="minorHAnsi" w:hAnsiTheme="minorHAnsi" w:cs="Arial"/>
          <w:bCs/>
          <w:color w:val="auto"/>
          <w:shd w:val="clear" w:color="auto" w:fill="FFFFFF"/>
        </w:rPr>
        <w:t>Program integrat de ameliorare genetică a populaţiilor de taurine din rasa Bălţata Românească</w:t>
      </w:r>
      <w:r>
        <w:rPr>
          <w:rStyle w:val="Accentuat"/>
          <w:rFonts w:asciiTheme="minorHAnsi" w:hAnsiTheme="minorHAnsi" w:cs="Arial"/>
          <w:bCs/>
          <w:color w:val="auto"/>
          <w:shd w:val="clear" w:color="auto" w:fill="FFFFFF"/>
        </w:rPr>
        <w:t xml:space="preserve">. </w:t>
      </w:r>
      <w:r w:rsidRPr="00AA5C3A">
        <w:rPr>
          <w:rStyle w:val="Accentuat"/>
          <w:rFonts w:asciiTheme="minorHAnsi" w:hAnsiTheme="minorHAnsi" w:cs="Arial"/>
          <w:b/>
          <w:bCs/>
          <w:color w:val="auto"/>
          <w:shd w:val="clear" w:color="auto" w:fill="FFFFFF"/>
        </w:rPr>
        <w:t>Contractor:</w:t>
      </w:r>
      <w:r w:rsidRPr="00AA5C3A">
        <w:rPr>
          <w:rStyle w:val="Accentuat"/>
          <w:rFonts w:asciiTheme="minorHAnsi" w:hAnsiTheme="minorHAnsi" w:cs="Arial"/>
          <w:bCs/>
          <w:color w:val="auto"/>
          <w:shd w:val="clear" w:color="auto" w:fill="FFFFFF"/>
        </w:rPr>
        <w:t xml:space="preserve"> Staţiunea de Cercetare - Dezvoltare pentru Creşterea Bovinelor Târgu Mureş, </w:t>
      </w:r>
      <w:r w:rsidRPr="00AA5C3A">
        <w:rPr>
          <w:rStyle w:val="Accentuat"/>
          <w:rFonts w:asciiTheme="minorHAnsi" w:hAnsiTheme="minorHAnsi" w:cs="Arial"/>
          <w:b/>
          <w:bCs/>
          <w:color w:val="auto"/>
          <w:shd w:val="clear" w:color="auto" w:fill="FFFFFF"/>
        </w:rPr>
        <w:t>ADER 7.1.1</w:t>
      </w:r>
    </w:p>
    <w:p w:rsidR="00064502" w:rsidRPr="00AA5C3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AA5C3A">
        <w:rPr>
          <w:rStyle w:val="Accentuat"/>
          <w:rFonts w:asciiTheme="minorHAnsi" w:hAnsiTheme="minorHAnsi" w:cs="Arial"/>
          <w:bCs/>
          <w:color w:val="auto"/>
          <w:shd w:val="clear" w:color="auto" w:fill="FFFFFF"/>
        </w:rPr>
        <w:t>Fundamentarea criteriilor de selecţie în populaţiile de Bivol Indigen Carpatin în vederea ameliorării rasei</w:t>
      </w:r>
      <w:r>
        <w:rPr>
          <w:rStyle w:val="Accentuat"/>
          <w:rFonts w:asciiTheme="minorHAnsi" w:hAnsiTheme="minorHAnsi" w:cs="Arial"/>
          <w:bCs/>
          <w:color w:val="auto"/>
          <w:shd w:val="clear" w:color="auto" w:fill="FFFFFF"/>
        </w:rPr>
        <w:t xml:space="preserve">. </w:t>
      </w:r>
      <w:r w:rsidRPr="00AA5C3A">
        <w:rPr>
          <w:rStyle w:val="Accentuat"/>
          <w:rFonts w:asciiTheme="minorHAnsi" w:hAnsiTheme="minorHAnsi" w:cs="Arial"/>
          <w:b/>
          <w:bCs/>
          <w:color w:val="auto"/>
          <w:shd w:val="clear" w:color="auto" w:fill="FFFFFF"/>
        </w:rPr>
        <w:t>Contractor:</w:t>
      </w:r>
      <w:r w:rsidRPr="00AA5C3A">
        <w:rPr>
          <w:rStyle w:val="Accentuat"/>
          <w:rFonts w:asciiTheme="minorHAnsi" w:hAnsiTheme="minorHAnsi" w:cs="Arial"/>
          <w:bCs/>
          <w:color w:val="auto"/>
          <w:shd w:val="clear" w:color="auto" w:fill="FFFFFF"/>
        </w:rPr>
        <w:t xml:space="preserve"> Staţiunea de Cercetare Dezvoltare pentru Creşterea Bubalinelor Şercaia, </w:t>
      </w:r>
      <w:r w:rsidRPr="00AA5C3A">
        <w:rPr>
          <w:rStyle w:val="Accentuat"/>
          <w:rFonts w:asciiTheme="minorHAnsi" w:hAnsiTheme="minorHAnsi" w:cs="Arial"/>
          <w:b/>
          <w:bCs/>
          <w:color w:val="auto"/>
          <w:shd w:val="clear" w:color="auto" w:fill="FFFFFF"/>
        </w:rPr>
        <w:t>ADER 7.1.3</w:t>
      </w:r>
    </w:p>
    <w:p w:rsidR="00064502" w:rsidRPr="00AA5C3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AA5C3A">
        <w:rPr>
          <w:rStyle w:val="Accentuat"/>
          <w:rFonts w:asciiTheme="minorHAnsi" w:hAnsiTheme="minorHAnsi" w:cs="Arial"/>
          <w:bCs/>
          <w:color w:val="auto"/>
          <w:shd w:val="clear" w:color="auto" w:fill="FFFFFF"/>
        </w:rPr>
        <w:t>Elaborarea şi implementarea Programului Naţional de Selecţie şi menţinere a liniilor autohtone de curci</w:t>
      </w:r>
      <w:r>
        <w:rPr>
          <w:rStyle w:val="Accentuat"/>
          <w:rFonts w:asciiTheme="minorHAnsi" w:hAnsiTheme="minorHAnsi" w:cs="Arial"/>
          <w:bCs/>
          <w:color w:val="auto"/>
          <w:shd w:val="clear" w:color="auto" w:fill="FFFFFF"/>
        </w:rPr>
        <w:t xml:space="preserve">. </w:t>
      </w:r>
      <w:r w:rsidRPr="00AA5C3A">
        <w:rPr>
          <w:rStyle w:val="Accentuat"/>
          <w:rFonts w:asciiTheme="minorHAnsi" w:hAnsiTheme="minorHAnsi" w:cs="Arial"/>
          <w:b/>
          <w:bCs/>
          <w:color w:val="auto"/>
          <w:shd w:val="clear" w:color="auto" w:fill="FFFFFF"/>
        </w:rPr>
        <w:t>Contractor</w:t>
      </w:r>
      <w:r w:rsidRPr="00AA5C3A">
        <w:rPr>
          <w:rStyle w:val="Accentuat"/>
          <w:rFonts w:asciiTheme="minorHAnsi" w:hAnsiTheme="minorHAnsi" w:cs="Arial"/>
          <w:bCs/>
          <w:color w:val="auto"/>
          <w:shd w:val="clear" w:color="auto" w:fill="FFFFFF"/>
        </w:rPr>
        <w:t xml:space="preserve">: Institutul Naţional de Cercetare – Dezvoltare pentru Cartof şi Sfeclă de Zahăr Braşov, </w:t>
      </w:r>
      <w:r w:rsidRPr="00AA5C3A">
        <w:rPr>
          <w:rStyle w:val="Accentuat"/>
          <w:rFonts w:asciiTheme="minorHAnsi" w:hAnsiTheme="minorHAnsi" w:cs="Arial"/>
          <w:b/>
          <w:bCs/>
          <w:color w:val="auto"/>
          <w:shd w:val="clear" w:color="auto" w:fill="FFFFFF"/>
        </w:rPr>
        <w:t>ADER 7.1.7</w:t>
      </w:r>
    </w:p>
    <w:p w:rsidR="00064502" w:rsidRPr="00AA5C3A"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AA5C3A">
        <w:rPr>
          <w:rStyle w:val="Accentuat"/>
          <w:rFonts w:asciiTheme="minorHAnsi" w:hAnsiTheme="minorHAnsi" w:cs="Arial"/>
          <w:bCs/>
          <w:color w:val="auto"/>
          <w:shd w:val="clear" w:color="auto" w:fill="FFFFFF"/>
        </w:rPr>
        <w:t>Obţinerea unor produse de calitate din lapte şi car</w:t>
      </w:r>
      <w:r>
        <w:rPr>
          <w:rStyle w:val="Accentuat"/>
          <w:rFonts w:asciiTheme="minorHAnsi" w:hAnsiTheme="minorHAnsi" w:cs="Arial"/>
          <w:bCs/>
          <w:color w:val="auto"/>
          <w:shd w:val="clear" w:color="auto" w:fill="FFFFFF"/>
        </w:rPr>
        <w:t>ne prin valorificarea superioară</w:t>
      </w:r>
      <w:r w:rsidRPr="00AA5C3A">
        <w:rPr>
          <w:rStyle w:val="Accentuat"/>
          <w:rFonts w:asciiTheme="minorHAnsi" w:hAnsiTheme="minorHAnsi" w:cs="Arial"/>
          <w:bCs/>
          <w:color w:val="auto"/>
          <w:shd w:val="clear" w:color="auto" w:fill="FFFFFF"/>
        </w:rPr>
        <w:t xml:space="preserve"> a pajiştilor montane cu ovine şi taurine</w:t>
      </w:r>
      <w:r>
        <w:rPr>
          <w:rStyle w:val="Accentuat"/>
          <w:rFonts w:asciiTheme="minorHAnsi" w:hAnsiTheme="minorHAnsi" w:cs="Arial"/>
          <w:bCs/>
          <w:color w:val="auto"/>
          <w:shd w:val="clear" w:color="auto" w:fill="FFFFFF"/>
        </w:rPr>
        <w:t xml:space="preserve">. </w:t>
      </w:r>
      <w:r w:rsidRPr="00AA5C3A">
        <w:rPr>
          <w:rStyle w:val="Accentuat"/>
          <w:rFonts w:asciiTheme="minorHAnsi" w:hAnsiTheme="minorHAnsi" w:cs="Arial"/>
          <w:b/>
          <w:bCs/>
          <w:color w:val="auto"/>
          <w:shd w:val="clear" w:color="auto" w:fill="FFFFFF"/>
        </w:rPr>
        <w:t>Contractor:</w:t>
      </w:r>
      <w:r w:rsidRPr="00AA5C3A">
        <w:rPr>
          <w:rStyle w:val="Accentuat"/>
          <w:rFonts w:asciiTheme="minorHAnsi" w:hAnsiTheme="minorHAnsi" w:cs="Arial"/>
          <w:bCs/>
          <w:color w:val="auto"/>
          <w:shd w:val="clear" w:color="auto" w:fill="FFFFFF"/>
        </w:rPr>
        <w:t xml:space="preserve"> ICDM Cristian-Sibiu, </w:t>
      </w:r>
      <w:r w:rsidRPr="00AA5C3A">
        <w:rPr>
          <w:rStyle w:val="Accentuat"/>
          <w:rFonts w:asciiTheme="minorHAnsi" w:hAnsiTheme="minorHAnsi" w:cs="Arial"/>
          <w:b/>
          <w:bCs/>
          <w:color w:val="auto"/>
          <w:shd w:val="clear" w:color="auto" w:fill="FFFFFF"/>
        </w:rPr>
        <w:t>ADER 8.1.2</w:t>
      </w:r>
    </w:p>
    <w:p w:rsidR="00064502" w:rsidRPr="006E2222" w:rsidRDefault="00064502" w:rsidP="00064502">
      <w:pPr>
        <w:pStyle w:val="Default"/>
        <w:spacing w:line="276" w:lineRule="auto"/>
        <w:ind w:left="540"/>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r w:rsidRPr="006E2222">
        <w:rPr>
          <w:rStyle w:val="Accentuat"/>
          <w:rFonts w:asciiTheme="minorHAnsi" w:hAnsiTheme="minorHAnsi" w:cs="Arial"/>
          <w:b/>
          <w:bCs/>
          <w:color w:val="auto"/>
          <w:shd w:val="clear" w:color="auto" w:fill="FFFFFF"/>
        </w:rPr>
        <w:lastRenderedPageBreak/>
        <w:t>Proiectele de cercetare</w:t>
      </w:r>
      <w:r>
        <w:rPr>
          <w:rStyle w:val="Accentuat"/>
          <w:rFonts w:asciiTheme="minorHAnsi" w:hAnsiTheme="minorHAnsi" w:cs="Arial"/>
          <w:bCs/>
          <w:color w:val="auto"/>
          <w:shd w:val="clear" w:color="auto" w:fill="FFFFFF"/>
        </w:rPr>
        <w:t xml:space="preserve"> </w:t>
      </w:r>
      <w:r w:rsidRPr="004279D9">
        <w:rPr>
          <w:rStyle w:val="Accentuat"/>
          <w:rFonts w:asciiTheme="minorHAnsi" w:hAnsiTheme="minorHAnsi" w:cs="Arial"/>
          <w:b/>
          <w:bCs/>
          <w:color w:val="auto"/>
          <w:shd w:val="clear" w:color="auto" w:fill="FFFFFF"/>
        </w:rPr>
        <w:t>– inovare</w:t>
      </w:r>
      <w:r>
        <w:rPr>
          <w:rStyle w:val="Accentuat"/>
          <w:rFonts w:asciiTheme="minorHAnsi" w:hAnsiTheme="minorHAnsi" w:cs="Arial"/>
          <w:bCs/>
          <w:color w:val="auto"/>
          <w:shd w:val="clear" w:color="auto" w:fill="FFFFFF"/>
        </w:rPr>
        <w:t xml:space="preserve"> din Regiunea Centru cuprinse în planul sectorial al </w:t>
      </w:r>
      <w:r w:rsidRPr="004C5A1A">
        <w:rPr>
          <w:rStyle w:val="Accentuat"/>
          <w:rFonts w:asciiTheme="minorHAnsi" w:hAnsiTheme="minorHAnsi" w:cs="Arial"/>
          <w:bCs/>
          <w:color w:val="auto"/>
          <w:shd w:val="clear" w:color="auto" w:fill="FFFFFF"/>
        </w:rPr>
        <w:t>Ministerului Agriculturii şi Dezvoltării Rurale</w:t>
      </w:r>
      <w:r>
        <w:rPr>
          <w:rStyle w:val="Accentuat"/>
          <w:rFonts w:asciiTheme="minorHAnsi" w:hAnsiTheme="minorHAnsi" w:cs="Arial"/>
          <w:bCs/>
          <w:color w:val="auto"/>
          <w:shd w:val="clear" w:color="auto" w:fill="FFFFFF"/>
        </w:rPr>
        <w:t xml:space="preserve"> (MADR) pe anii </w:t>
      </w:r>
      <w:r w:rsidRPr="006E2222">
        <w:rPr>
          <w:rStyle w:val="Accentuat"/>
          <w:rFonts w:asciiTheme="minorHAnsi" w:hAnsiTheme="minorHAnsi" w:cs="Arial"/>
          <w:b/>
          <w:bCs/>
          <w:color w:val="auto"/>
          <w:shd w:val="clear" w:color="auto" w:fill="FFFFFF"/>
        </w:rPr>
        <w:t>2015 – 2018</w:t>
      </w:r>
      <w:r>
        <w:rPr>
          <w:rStyle w:val="Accentuat"/>
          <w:rFonts w:asciiTheme="minorHAnsi" w:hAnsiTheme="minorHAnsi" w:cs="Arial"/>
          <w:bCs/>
          <w:color w:val="auto"/>
          <w:shd w:val="clear" w:color="auto" w:fill="FFFFFF"/>
        </w:rPr>
        <w:t>:</w:t>
      </w: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Pr="006E222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6E2222">
        <w:rPr>
          <w:rStyle w:val="Accentuat"/>
          <w:rFonts w:asciiTheme="minorHAnsi" w:hAnsiTheme="minorHAnsi" w:cs="Arial"/>
          <w:bCs/>
          <w:color w:val="auto"/>
          <w:shd w:val="clear" w:color="auto" w:fill="FFFFFF"/>
        </w:rPr>
        <w:t>Obţinerea de noi soiuri de cartof adaptate modificărilor climatice şi economice cu randament superior în gestionarea resurselor de apă şi stabilirea pachetelor tehnologice specifice cerinţelor actuale de piaţă şi solicitării fermierilor</w:t>
      </w:r>
      <w:r>
        <w:rPr>
          <w:rStyle w:val="Accentuat"/>
          <w:rFonts w:asciiTheme="minorHAnsi" w:hAnsiTheme="minorHAnsi" w:cs="Arial"/>
          <w:bCs/>
          <w:color w:val="auto"/>
          <w:shd w:val="clear" w:color="auto" w:fill="FFFFFF"/>
        </w:rPr>
        <w:t xml:space="preserve">. </w:t>
      </w:r>
      <w:r w:rsidRPr="00AA5C3A">
        <w:rPr>
          <w:rStyle w:val="Accentuat"/>
          <w:rFonts w:asciiTheme="minorHAnsi" w:hAnsiTheme="minorHAnsi" w:cs="Arial"/>
          <w:b/>
          <w:bCs/>
          <w:color w:val="auto"/>
          <w:shd w:val="clear" w:color="auto" w:fill="FFFFFF"/>
        </w:rPr>
        <w:t>Contractor:</w:t>
      </w:r>
      <w:r w:rsidRPr="00AA5C3A">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Cs/>
          <w:color w:val="auto"/>
          <w:shd w:val="clear" w:color="auto" w:fill="FFFFFF"/>
        </w:rPr>
        <w:t>Institutul Naţional De Cercetare Dezvoltare Pentru Cartof Şi Sfeclă De Zahăr Braşov</w:t>
      </w:r>
      <w:r w:rsidRPr="00AA5C3A">
        <w:rPr>
          <w:rStyle w:val="Accentuat"/>
          <w:rFonts w:asciiTheme="minorHAnsi" w:hAnsiTheme="minorHAnsi" w:cs="Arial"/>
          <w:bCs/>
          <w:color w:val="auto"/>
          <w:shd w:val="clear" w:color="auto" w:fill="FFFFFF"/>
        </w:rPr>
        <w:t xml:space="preserve">, </w:t>
      </w:r>
      <w:r>
        <w:rPr>
          <w:rStyle w:val="Accentuat"/>
          <w:rFonts w:asciiTheme="minorHAnsi" w:hAnsiTheme="minorHAnsi" w:cs="Arial"/>
          <w:b/>
          <w:bCs/>
          <w:color w:val="auto"/>
          <w:shd w:val="clear" w:color="auto" w:fill="FFFFFF"/>
        </w:rPr>
        <w:t>ADER 2</w:t>
      </w:r>
      <w:r w:rsidRPr="00AA5C3A">
        <w:rPr>
          <w:rStyle w:val="Accentuat"/>
          <w:rFonts w:asciiTheme="minorHAnsi" w:hAnsiTheme="minorHAnsi" w:cs="Arial"/>
          <w:b/>
          <w:bCs/>
          <w:color w:val="auto"/>
          <w:shd w:val="clear" w:color="auto" w:fill="FFFFFF"/>
        </w:rPr>
        <w:t>.1.</w:t>
      </w:r>
      <w:r>
        <w:rPr>
          <w:rStyle w:val="Accentuat"/>
          <w:rFonts w:asciiTheme="minorHAnsi" w:hAnsiTheme="minorHAnsi" w:cs="Arial"/>
          <w:b/>
          <w:bCs/>
          <w:color w:val="auto"/>
          <w:shd w:val="clear" w:color="auto" w:fill="FFFFFF"/>
        </w:rPr>
        <w:t>1</w:t>
      </w:r>
    </w:p>
    <w:p w:rsidR="00064502" w:rsidRPr="006E222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6E2222">
        <w:rPr>
          <w:rStyle w:val="Accentuat"/>
          <w:rFonts w:asciiTheme="minorHAnsi" w:hAnsiTheme="minorHAnsi" w:cs="Arial"/>
          <w:bCs/>
          <w:color w:val="auto"/>
          <w:shd w:val="clear" w:color="auto" w:fill="FFFFFF"/>
        </w:rPr>
        <w:t>Optimizarea și modernizarea sistemului de producere a cartofului pentru sămânță din categorii biologice superioare prin eliminarea riscului de infestare cu organisme dăunătoare de carantină și identificarea de soiuri / linii noi de cartof rezistente la nematozii cu chiști ai cartofului Globodera spp. (populații europene)</w:t>
      </w:r>
      <w:r>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
          <w:bCs/>
          <w:color w:val="auto"/>
          <w:shd w:val="clear" w:color="auto" w:fill="FFFFFF"/>
        </w:rPr>
        <w:t>Contractor:</w:t>
      </w:r>
      <w:r w:rsidRPr="006E2222">
        <w:rPr>
          <w:rStyle w:val="Accentuat"/>
          <w:rFonts w:asciiTheme="minorHAnsi" w:hAnsiTheme="minorHAnsi" w:cs="Arial"/>
          <w:bCs/>
          <w:color w:val="auto"/>
          <w:shd w:val="clear" w:color="auto" w:fill="FFFFFF"/>
        </w:rPr>
        <w:t xml:space="preserve"> Staţiunea De Cercetare – Dezvoltare Pentru Cartof Târgu Secuiesc, </w:t>
      </w:r>
      <w:r w:rsidRPr="006E2222">
        <w:rPr>
          <w:rStyle w:val="Accentuat"/>
          <w:rFonts w:asciiTheme="minorHAnsi" w:hAnsiTheme="minorHAnsi" w:cs="Arial"/>
          <w:b/>
          <w:bCs/>
          <w:color w:val="auto"/>
          <w:shd w:val="clear" w:color="auto" w:fill="FFFFFF"/>
        </w:rPr>
        <w:t>ADER 2.2.1.</w:t>
      </w:r>
    </w:p>
    <w:p w:rsidR="00064502" w:rsidRPr="006E2222" w:rsidRDefault="00064502" w:rsidP="00064502">
      <w:pPr>
        <w:pStyle w:val="Default"/>
        <w:numPr>
          <w:ilvl w:val="0"/>
          <w:numId w:val="26"/>
        </w:numPr>
        <w:spacing w:line="276" w:lineRule="auto"/>
        <w:jc w:val="both"/>
        <w:rPr>
          <w:rStyle w:val="Accentuat"/>
          <w:rFonts w:asciiTheme="minorHAnsi" w:hAnsiTheme="minorHAnsi" w:cs="Arial"/>
          <w:b/>
          <w:bCs/>
          <w:i w:val="0"/>
          <w:iCs w:val="0"/>
          <w:color w:val="auto"/>
          <w:shd w:val="clear" w:color="auto" w:fill="FFFFFF"/>
        </w:rPr>
      </w:pPr>
      <w:r w:rsidRPr="006E2222">
        <w:rPr>
          <w:rStyle w:val="Accentuat"/>
          <w:rFonts w:asciiTheme="minorHAnsi" w:hAnsiTheme="minorHAnsi" w:cs="Arial"/>
          <w:bCs/>
          <w:color w:val="auto"/>
          <w:shd w:val="clear" w:color="auto" w:fill="FFFFFF"/>
        </w:rPr>
        <w:t>Cercetări privind determinarea conţinutului în zahăr şi în substanţe</w:t>
      </w:r>
      <w:r>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Cs/>
          <w:color w:val="auto"/>
          <w:shd w:val="clear" w:color="auto" w:fill="FFFFFF"/>
        </w:rPr>
        <w:t>melasigene a coletului remanent în urma înlocuirii decoletării sfeclei cu desfrunzirea (scalparea)</w:t>
      </w:r>
      <w:r>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
          <w:bCs/>
          <w:color w:val="auto"/>
          <w:shd w:val="clear" w:color="auto" w:fill="FFFFFF"/>
        </w:rPr>
        <w:t>Contractor:</w:t>
      </w:r>
      <w:r w:rsidRPr="006E2222">
        <w:rPr>
          <w:rStyle w:val="Accentuat"/>
          <w:rFonts w:asciiTheme="minorHAnsi" w:hAnsiTheme="minorHAnsi" w:cs="Arial"/>
          <w:bCs/>
          <w:color w:val="auto"/>
          <w:shd w:val="clear" w:color="auto" w:fill="FFFFFF"/>
        </w:rPr>
        <w:t xml:space="preserve"> Institutul Naţional De Cercetare Dezvoltare</w:t>
      </w:r>
      <w:r>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Cs/>
          <w:color w:val="auto"/>
          <w:shd w:val="clear" w:color="auto" w:fill="FFFFFF"/>
        </w:rPr>
        <w:t xml:space="preserve">pentru Cartof Şi Sfeclă De Zahăr Braşov, </w:t>
      </w:r>
      <w:r w:rsidRPr="006E2222">
        <w:rPr>
          <w:rStyle w:val="Accentuat"/>
          <w:rFonts w:asciiTheme="minorHAnsi" w:hAnsiTheme="minorHAnsi" w:cs="Arial"/>
          <w:b/>
          <w:bCs/>
          <w:color w:val="auto"/>
          <w:shd w:val="clear" w:color="auto" w:fill="FFFFFF"/>
        </w:rPr>
        <w:t>ADER 2.3.1.</w:t>
      </w:r>
    </w:p>
    <w:p w:rsidR="00064502" w:rsidRPr="006E222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6E2222">
        <w:rPr>
          <w:rStyle w:val="Accentuat"/>
          <w:rFonts w:asciiTheme="minorHAnsi" w:hAnsiTheme="minorHAnsi" w:cs="Arial"/>
          <w:bCs/>
          <w:color w:val="auto"/>
          <w:shd w:val="clear" w:color="auto" w:fill="FFFFFF"/>
        </w:rPr>
        <w:t>Evaluarea conservarea și gestionarea resurselor genetice și biodiversității agroecosistemelor viti-pomicole, prin elaborarea și promovarea practicilor și metodelor inovative eco-eficiente prietenoase mediului.</w:t>
      </w:r>
      <w:r>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
          <w:bCs/>
          <w:color w:val="auto"/>
          <w:shd w:val="clear" w:color="auto" w:fill="FFFFFF"/>
        </w:rPr>
        <w:t>Contractor:</w:t>
      </w:r>
      <w:r w:rsidRPr="006E2222">
        <w:rPr>
          <w:rStyle w:val="Accentuat"/>
          <w:rFonts w:asciiTheme="minorHAnsi" w:hAnsiTheme="minorHAnsi" w:cs="Arial"/>
          <w:bCs/>
          <w:color w:val="auto"/>
          <w:shd w:val="clear" w:color="auto" w:fill="FFFFFF"/>
        </w:rPr>
        <w:t xml:space="preserve"> SCDVV Blaj</w:t>
      </w:r>
      <w:r>
        <w:rPr>
          <w:rStyle w:val="Accentuat"/>
          <w:rFonts w:asciiTheme="minorHAnsi" w:hAnsiTheme="minorHAnsi" w:cs="Arial"/>
          <w:bCs/>
          <w:color w:val="auto"/>
          <w:shd w:val="clear" w:color="auto" w:fill="FFFFFF"/>
        </w:rPr>
        <w:t xml:space="preserve">, </w:t>
      </w:r>
      <w:r w:rsidRPr="006E2222">
        <w:rPr>
          <w:rStyle w:val="Accentuat"/>
          <w:rFonts w:asciiTheme="minorHAnsi" w:hAnsiTheme="minorHAnsi" w:cs="Arial"/>
          <w:b/>
          <w:bCs/>
          <w:color w:val="auto"/>
          <w:shd w:val="clear" w:color="auto" w:fill="FFFFFF"/>
        </w:rPr>
        <w:t>ADER 3.1.1.</w:t>
      </w:r>
    </w:p>
    <w:p w:rsidR="00064502" w:rsidRPr="007F529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Menţinerea integrităţii genetice a soiurilor şi hibrizilor de legume, asigurarea de sămânţă din verigi superioare (prebază şi bază) şi crearea de noi cultivare</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Stațiunea de Cercetare - Dezvoltare pentru Legumicultură Iernuț, </w:t>
      </w:r>
      <w:r w:rsidRPr="007F5292">
        <w:rPr>
          <w:rStyle w:val="Accentuat"/>
          <w:rFonts w:asciiTheme="minorHAnsi" w:hAnsiTheme="minorHAnsi" w:cs="Arial"/>
          <w:b/>
          <w:bCs/>
          <w:color w:val="auto"/>
          <w:shd w:val="clear" w:color="auto" w:fill="FFFFFF"/>
        </w:rPr>
        <w:t>ADER 3.2.6.</w:t>
      </w:r>
    </w:p>
    <w:p w:rsidR="00064502" w:rsidRPr="007F529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 xml:space="preserve">Îmbunătăţirea eficienţei economice a fermelor şi microfermelor de curci din ţară, prin popularea lor cu material genetic valoros creat şi perfecţionat la I.N.C.D.C.S.Z. Braşov.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I.N.C.D.C.S.Z. Braşov</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ADER 5.2.1</w:t>
      </w:r>
      <w:r w:rsidRPr="007F5292">
        <w:rPr>
          <w:rStyle w:val="Accentuat"/>
          <w:rFonts w:asciiTheme="minorHAnsi" w:hAnsiTheme="minorHAnsi" w:cs="Arial"/>
          <w:bCs/>
          <w:color w:val="auto"/>
          <w:shd w:val="clear" w:color="auto" w:fill="FFFFFF"/>
        </w:rPr>
        <w:t>.</w:t>
      </w:r>
    </w:p>
    <w:p w:rsidR="00064502" w:rsidRPr="007F529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Conservarea fondului genetic la rasa de taurine Pinzgau de Transilvania</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SCD Bovine Tg. Mureș, </w:t>
      </w:r>
      <w:r w:rsidRPr="007F5292">
        <w:rPr>
          <w:rStyle w:val="Accentuat"/>
          <w:rFonts w:asciiTheme="minorHAnsi" w:hAnsiTheme="minorHAnsi" w:cs="Arial"/>
          <w:b/>
          <w:bCs/>
          <w:color w:val="auto"/>
          <w:shd w:val="clear" w:color="auto" w:fill="FFFFFF"/>
        </w:rPr>
        <w:t>ADER 5.2.3.</w:t>
      </w:r>
    </w:p>
    <w:p w:rsidR="00064502" w:rsidRPr="007F529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 xml:space="preserve">Implementarea măsurilor de bunăstare a bivolilor, în relație cu indicatorii de producție, reproducție și economici în diferite module de </w:t>
      </w:r>
      <w:r>
        <w:rPr>
          <w:rStyle w:val="Accentuat"/>
          <w:rFonts w:asciiTheme="minorHAnsi" w:hAnsiTheme="minorHAnsi" w:cs="Arial"/>
          <w:bCs/>
          <w:color w:val="auto"/>
          <w:shd w:val="clear" w:color="auto" w:fill="FFFFFF"/>
        </w:rPr>
        <w:t>ferme, cu impact asupra dezvoltă</w:t>
      </w:r>
      <w:r w:rsidRPr="007F5292">
        <w:rPr>
          <w:rStyle w:val="Accentuat"/>
          <w:rFonts w:asciiTheme="minorHAnsi" w:hAnsiTheme="minorHAnsi" w:cs="Arial"/>
          <w:bCs/>
          <w:color w:val="auto"/>
          <w:shd w:val="clear" w:color="auto" w:fill="FFFFFF"/>
        </w:rPr>
        <w:t>rii durabile a speciei.</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Stațiunea de Cercetare Dezvoltare pentru Creșterea Bubalinelor Șercaia (S.C.D.C.B. Șercaia), </w:t>
      </w:r>
      <w:r w:rsidRPr="007F5292">
        <w:rPr>
          <w:rStyle w:val="Accentuat"/>
          <w:rFonts w:asciiTheme="minorHAnsi" w:hAnsiTheme="minorHAnsi" w:cs="Arial"/>
          <w:b/>
          <w:bCs/>
          <w:color w:val="auto"/>
          <w:shd w:val="clear" w:color="auto" w:fill="FFFFFF"/>
        </w:rPr>
        <w:t>ADER 8.1.1.</w:t>
      </w:r>
    </w:p>
    <w:p w:rsidR="0006450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Soluţii tehnologice şi mijloace tehnice de îmbunătăţire cu inputuri minime a pajiştilor permanente degradate prin măsuri de suprafaţă.</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Institutul de Cercetare Dezvoltare pentru Pajişti Braşov, </w:t>
      </w:r>
      <w:r w:rsidRPr="007F5292">
        <w:rPr>
          <w:rStyle w:val="Accentuat"/>
          <w:rFonts w:asciiTheme="minorHAnsi" w:hAnsiTheme="minorHAnsi" w:cs="Arial"/>
          <w:b/>
          <w:bCs/>
          <w:color w:val="auto"/>
          <w:shd w:val="clear" w:color="auto" w:fill="FFFFFF"/>
        </w:rPr>
        <w:t>ADER 11.1.1</w:t>
      </w:r>
      <w:r w:rsidRPr="007F5292">
        <w:rPr>
          <w:rStyle w:val="Accentuat"/>
          <w:rFonts w:asciiTheme="minorHAnsi" w:hAnsiTheme="minorHAnsi" w:cs="Arial"/>
          <w:bCs/>
          <w:color w:val="auto"/>
          <w:shd w:val="clear" w:color="auto" w:fill="FFFFFF"/>
        </w:rPr>
        <w:t>.</w:t>
      </w:r>
    </w:p>
    <w:p w:rsidR="00064502" w:rsidRPr="007F529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Soluții tehnologice și mijloace tehnice de îmbunătățire a pajiștilor permanente degradate prin renovare totală</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Institutul de Cercetare-Dezvoltare pentru Pajişti Braşov–ICDP Braşov, </w:t>
      </w:r>
      <w:r w:rsidRPr="007F5292">
        <w:rPr>
          <w:rStyle w:val="Accentuat"/>
          <w:rFonts w:asciiTheme="minorHAnsi" w:hAnsiTheme="minorHAnsi" w:cs="Arial"/>
          <w:b/>
          <w:bCs/>
          <w:color w:val="auto"/>
          <w:shd w:val="clear" w:color="auto" w:fill="FFFFFF"/>
        </w:rPr>
        <w:t>ADER 11.1.2</w:t>
      </w:r>
      <w:r w:rsidRPr="007F5292">
        <w:rPr>
          <w:rStyle w:val="Accentuat"/>
          <w:rFonts w:asciiTheme="minorHAnsi" w:hAnsiTheme="minorHAnsi" w:cs="Arial"/>
          <w:bCs/>
          <w:color w:val="auto"/>
          <w:shd w:val="clear" w:color="auto" w:fill="FFFFFF"/>
        </w:rPr>
        <w:t>.</w:t>
      </w:r>
    </w:p>
    <w:p w:rsidR="00064502" w:rsidRPr="007F5292"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7F5292">
        <w:rPr>
          <w:rStyle w:val="Accentuat"/>
          <w:rFonts w:asciiTheme="minorHAnsi" w:hAnsiTheme="minorHAnsi" w:cs="Arial"/>
          <w:bCs/>
          <w:color w:val="auto"/>
          <w:shd w:val="clear" w:color="auto" w:fill="FFFFFF"/>
        </w:rPr>
        <w:t xml:space="preserve">Cercetarea sistemelor agro-pastorale în zona montană în contextul noilor schimbări climatice și al apariției fenomenelor extreme, monitorizarea și promovarea modelelor </w:t>
      </w:r>
      <w:r w:rsidRPr="007F5292">
        <w:rPr>
          <w:rStyle w:val="Accentuat"/>
          <w:rFonts w:asciiTheme="minorHAnsi" w:hAnsiTheme="minorHAnsi" w:cs="Arial"/>
          <w:bCs/>
          <w:color w:val="auto"/>
          <w:shd w:val="clear" w:color="auto" w:fill="FFFFFF"/>
        </w:rPr>
        <w:lastRenderedPageBreak/>
        <w:t>funcționale.</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Contractor:</w:t>
      </w:r>
      <w:r w:rsidRPr="007F5292">
        <w:rPr>
          <w:rStyle w:val="Accentuat"/>
          <w:rFonts w:asciiTheme="minorHAnsi" w:hAnsiTheme="minorHAnsi" w:cs="Arial"/>
          <w:bCs/>
          <w:color w:val="auto"/>
          <w:shd w:val="clear" w:color="auto" w:fill="FFFFFF"/>
        </w:rPr>
        <w:t xml:space="preserve"> Institutul de Cercetare Dezvoltare pentru Pajişti Braşov,</w:t>
      </w:r>
      <w:r>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Cs/>
          <w:color w:val="auto"/>
          <w:shd w:val="clear" w:color="auto" w:fill="FFFFFF"/>
        </w:rPr>
        <w:t xml:space="preserve"> </w:t>
      </w:r>
      <w:r w:rsidRPr="007F5292">
        <w:rPr>
          <w:rStyle w:val="Accentuat"/>
          <w:rFonts w:asciiTheme="minorHAnsi" w:hAnsiTheme="minorHAnsi" w:cs="Arial"/>
          <w:b/>
          <w:bCs/>
          <w:color w:val="auto"/>
          <w:shd w:val="clear" w:color="auto" w:fill="FFFFFF"/>
        </w:rPr>
        <w:t>ADER 11.1.3.</w:t>
      </w:r>
    </w:p>
    <w:p w:rsidR="00064502" w:rsidRPr="006C3034" w:rsidRDefault="00064502" w:rsidP="00064502">
      <w:pPr>
        <w:pStyle w:val="Default"/>
        <w:numPr>
          <w:ilvl w:val="0"/>
          <w:numId w:val="26"/>
        </w:numPr>
        <w:spacing w:line="276" w:lineRule="auto"/>
        <w:jc w:val="both"/>
        <w:rPr>
          <w:rStyle w:val="Accentuat"/>
          <w:rFonts w:asciiTheme="minorHAnsi" w:hAnsiTheme="minorHAnsi" w:cs="Arial"/>
          <w:bCs/>
          <w:i w:val="0"/>
          <w:iCs w:val="0"/>
          <w:color w:val="auto"/>
          <w:shd w:val="clear" w:color="auto" w:fill="FFFFFF"/>
        </w:rPr>
      </w:pPr>
      <w:r w:rsidRPr="006C3034">
        <w:rPr>
          <w:rStyle w:val="Accentuat"/>
          <w:rFonts w:asciiTheme="minorHAnsi" w:hAnsiTheme="minorHAnsi" w:cs="Arial"/>
          <w:bCs/>
          <w:color w:val="auto"/>
          <w:shd w:val="clear" w:color="auto" w:fill="FFFFFF"/>
        </w:rPr>
        <w:t>Valorificarea superioară a resurselor din zona montană (sol, apă, fond genetic vegetal și animal, energie, producție agricolă primară, produse alimentare, biodiversitate) în scopul salvgardarii și dezvoltării durabile a eco-bioeconomiei agroalimentare.</w:t>
      </w:r>
      <w:r>
        <w:rPr>
          <w:rStyle w:val="Accentuat"/>
          <w:rFonts w:asciiTheme="minorHAnsi" w:hAnsiTheme="minorHAnsi" w:cs="Arial"/>
          <w:bCs/>
          <w:color w:val="auto"/>
          <w:shd w:val="clear" w:color="auto" w:fill="FFFFFF"/>
        </w:rPr>
        <w:t xml:space="preserve"> </w:t>
      </w:r>
      <w:r w:rsidRPr="006C3034">
        <w:rPr>
          <w:rStyle w:val="Accentuat"/>
          <w:rFonts w:asciiTheme="minorHAnsi" w:hAnsiTheme="minorHAnsi" w:cs="Arial"/>
          <w:b/>
          <w:bCs/>
          <w:color w:val="auto"/>
          <w:shd w:val="clear" w:color="auto" w:fill="FFFFFF"/>
        </w:rPr>
        <w:t>Contractor:</w:t>
      </w:r>
      <w:r w:rsidRPr="006C3034">
        <w:rPr>
          <w:rStyle w:val="Accentuat"/>
          <w:rFonts w:asciiTheme="minorHAnsi" w:hAnsiTheme="minorHAnsi" w:cs="Arial"/>
          <w:bCs/>
          <w:color w:val="auto"/>
          <w:shd w:val="clear" w:color="auto" w:fill="FFFFFF"/>
        </w:rPr>
        <w:t xml:space="preserve"> Institutul De Cercetare-Dezvoltare Pentru Montanologie Cristian-Sibiu, </w:t>
      </w:r>
      <w:r w:rsidRPr="006C3034">
        <w:rPr>
          <w:rStyle w:val="Accentuat"/>
          <w:rFonts w:asciiTheme="minorHAnsi" w:hAnsiTheme="minorHAnsi" w:cs="Arial"/>
          <w:b/>
          <w:bCs/>
          <w:color w:val="auto"/>
          <w:shd w:val="clear" w:color="auto" w:fill="FFFFFF"/>
        </w:rPr>
        <w:t>ADER 14.3.1.</w:t>
      </w: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Default="00064502" w:rsidP="00064502">
      <w:pPr>
        <w:pStyle w:val="Default"/>
        <w:spacing w:line="276" w:lineRule="auto"/>
        <w:jc w:val="both"/>
        <w:rPr>
          <w:rStyle w:val="Accentuat"/>
          <w:rFonts w:asciiTheme="minorHAnsi" w:hAnsiTheme="minorHAnsi" w:cs="Arial"/>
          <w:bCs/>
          <w:i w:val="0"/>
          <w:iCs w:val="0"/>
          <w:color w:val="auto"/>
          <w:shd w:val="clear" w:color="auto" w:fill="FFFFFF"/>
        </w:rPr>
      </w:pPr>
    </w:p>
    <w:p w:rsidR="00064502" w:rsidRPr="00B62FED" w:rsidRDefault="00064502" w:rsidP="00064502">
      <w:pPr>
        <w:jc w:val="both"/>
        <w:rPr>
          <w:sz w:val="24"/>
          <w:szCs w:val="24"/>
          <w:lang w:val="ro-RO"/>
        </w:rPr>
      </w:pPr>
      <w:r>
        <w:rPr>
          <w:b/>
          <w:sz w:val="24"/>
          <w:szCs w:val="24"/>
          <w:lang w:val="ro-RO"/>
        </w:rPr>
        <w:t>Punctele forte ale</w:t>
      </w:r>
      <w:r w:rsidRPr="00BA626E">
        <w:rPr>
          <w:b/>
          <w:sz w:val="24"/>
          <w:szCs w:val="24"/>
          <w:lang w:val="ro-RO"/>
        </w:rPr>
        <w:t xml:space="preserve"> sectorul</w:t>
      </w:r>
      <w:r>
        <w:rPr>
          <w:b/>
          <w:sz w:val="24"/>
          <w:szCs w:val="24"/>
          <w:lang w:val="ro-RO"/>
        </w:rPr>
        <w:t>ui</w:t>
      </w:r>
      <w:r w:rsidRPr="00BA626E">
        <w:rPr>
          <w:b/>
          <w:sz w:val="24"/>
          <w:szCs w:val="24"/>
          <w:lang w:val="ro-RO"/>
        </w:rPr>
        <w:t xml:space="preserve"> </w:t>
      </w:r>
      <w:r>
        <w:rPr>
          <w:b/>
          <w:sz w:val="24"/>
          <w:szCs w:val="24"/>
          <w:lang w:val="ro-RO"/>
        </w:rPr>
        <w:t>agroalimentar</w:t>
      </w:r>
      <w:r w:rsidRPr="00BA626E">
        <w:rPr>
          <w:b/>
          <w:sz w:val="24"/>
          <w:szCs w:val="24"/>
          <w:lang w:val="ro-RO"/>
        </w:rPr>
        <w:t xml:space="preserve"> din</w:t>
      </w:r>
      <w:r w:rsidRPr="00B62FED">
        <w:rPr>
          <w:sz w:val="24"/>
          <w:szCs w:val="24"/>
          <w:lang w:val="ro-RO"/>
        </w:rPr>
        <w:t xml:space="preserve"> </w:t>
      </w:r>
      <w:r w:rsidRPr="00FC3CF8">
        <w:rPr>
          <w:b/>
          <w:sz w:val="24"/>
          <w:szCs w:val="24"/>
          <w:lang w:val="ro-RO"/>
        </w:rPr>
        <w:t>Regiunea Centru</w:t>
      </w:r>
      <w:r w:rsidRPr="00B62FED">
        <w:rPr>
          <w:sz w:val="24"/>
          <w:szCs w:val="24"/>
          <w:lang w:val="ro-RO"/>
        </w:rPr>
        <w:t>:</w:t>
      </w:r>
    </w:p>
    <w:p w:rsidR="00064502" w:rsidRDefault="00064502" w:rsidP="00064502">
      <w:pPr>
        <w:pStyle w:val="Listparagraf"/>
        <w:numPr>
          <w:ilvl w:val="0"/>
          <w:numId w:val="28"/>
        </w:numPr>
        <w:jc w:val="both"/>
        <w:rPr>
          <w:sz w:val="24"/>
          <w:szCs w:val="24"/>
        </w:rPr>
      </w:pPr>
      <w:r w:rsidRPr="0025192D">
        <w:rPr>
          <w:sz w:val="24"/>
          <w:szCs w:val="24"/>
        </w:rPr>
        <w:t xml:space="preserve">Regiunea Centru ocupa poziţii de top în anul 2014 următoarele subdomenii ale agriculturii: </w:t>
      </w:r>
      <w:r w:rsidRPr="0025192D">
        <w:rPr>
          <w:b/>
          <w:sz w:val="24"/>
          <w:szCs w:val="24"/>
        </w:rPr>
        <w:t>Locul 1 la nivel naţional</w:t>
      </w:r>
      <w:r w:rsidRPr="0025192D">
        <w:rPr>
          <w:sz w:val="24"/>
          <w:szCs w:val="24"/>
        </w:rPr>
        <w:t xml:space="preserve">: efectivele de ovine, cultivarea sfeclei de zahăr, cartofului,  hameiului, furaje verzi şi a cânepei şi inului pentru fibre textile, </w:t>
      </w:r>
      <w:r w:rsidRPr="0025192D">
        <w:rPr>
          <w:b/>
          <w:sz w:val="24"/>
          <w:szCs w:val="24"/>
        </w:rPr>
        <w:t>Locul 2 la nivel naţional</w:t>
      </w:r>
      <w:r w:rsidRPr="0025192D">
        <w:rPr>
          <w:sz w:val="24"/>
          <w:szCs w:val="24"/>
        </w:rPr>
        <w:t xml:space="preserve">: cultivarea tutunului şi a lucernei, </w:t>
      </w:r>
      <w:r w:rsidRPr="0025192D">
        <w:rPr>
          <w:b/>
          <w:sz w:val="24"/>
          <w:szCs w:val="24"/>
        </w:rPr>
        <w:t>Locul 3 la nivel naţional</w:t>
      </w:r>
      <w:r w:rsidRPr="0025192D">
        <w:rPr>
          <w:sz w:val="24"/>
          <w:szCs w:val="24"/>
        </w:rPr>
        <w:t>: efectivele de bovine, vaci, bivoliţe şi juninci şi iepuri şi la cultivarea secarei</w:t>
      </w:r>
      <w:r>
        <w:rPr>
          <w:sz w:val="24"/>
          <w:szCs w:val="24"/>
        </w:rPr>
        <w:t>;</w:t>
      </w:r>
    </w:p>
    <w:p w:rsidR="00064502" w:rsidRDefault="00064502" w:rsidP="00064502">
      <w:pPr>
        <w:pStyle w:val="Listparagraf"/>
        <w:numPr>
          <w:ilvl w:val="0"/>
          <w:numId w:val="28"/>
        </w:numPr>
        <w:jc w:val="both"/>
        <w:rPr>
          <w:sz w:val="24"/>
          <w:szCs w:val="24"/>
        </w:rPr>
      </w:pPr>
      <w:r w:rsidRPr="002463A6">
        <w:rPr>
          <w:sz w:val="24"/>
          <w:szCs w:val="24"/>
        </w:rPr>
        <w:t xml:space="preserve">cifra de </w:t>
      </w:r>
      <w:r w:rsidRPr="002463A6">
        <w:rPr>
          <w:b/>
          <w:sz w:val="24"/>
          <w:szCs w:val="24"/>
        </w:rPr>
        <w:t>afaceri anuală a sectorului agroalimentar a crescut</w:t>
      </w:r>
      <w:r w:rsidRPr="002463A6">
        <w:rPr>
          <w:sz w:val="24"/>
          <w:szCs w:val="24"/>
        </w:rPr>
        <w:t xml:space="preserve"> în 2015 comparativ cu 2010 </w:t>
      </w:r>
      <w:r w:rsidRPr="002463A6">
        <w:rPr>
          <w:b/>
          <w:sz w:val="24"/>
          <w:szCs w:val="24"/>
        </w:rPr>
        <w:t>cu aproape 2,5 miliarde de lei</w:t>
      </w:r>
      <w:r>
        <w:rPr>
          <w:sz w:val="24"/>
          <w:szCs w:val="24"/>
        </w:rPr>
        <w:t>, d</w:t>
      </w:r>
      <w:r w:rsidRPr="002463A6">
        <w:rPr>
          <w:sz w:val="24"/>
          <w:szCs w:val="24"/>
        </w:rPr>
        <w:t>e asemenea şi ponderea cifrei de afaceri a sectorului în totalul cifrei de afaceri din regiune a crescut de la un an la al</w:t>
      </w:r>
      <w:r>
        <w:rPr>
          <w:sz w:val="24"/>
          <w:szCs w:val="24"/>
        </w:rPr>
        <w:t>tul în perioada 2010 – 2014;</w:t>
      </w:r>
    </w:p>
    <w:p w:rsidR="00064502" w:rsidRDefault="00064502" w:rsidP="00064502">
      <w:pPr>
        <w:pStyle w:val="Listparagraf"/>
        <w:numPr>
          <w:ilvl w:val="0"/>
          <w:numId w:val="28"/>
        </w:numPr>
        <w:jc w:val="both"/>
        <w:rPr>
          <w:sz w:val="24"/>
          <w:szCs w:val="24"/>
        </w:rPr>
      </w:pPr>
      <w:r w:rsidRPr="002463A6">
        <w:rPr>
          <w:sz w:val="24"/>
          <w:szCs w:val="24"/>
        </w:rPr>
        <w:t>din cele 100 cele mai puternice branduri românești 14 sunt branduri din industria</w:t>
      </w:r>
      <w:r>
        <w:rPr>
          <w:sz w:val="24"/>
          <w:szCs w:val="24"/>
        </w:rPr>
        <w:t xml:space="preserve"> alimentara din Regiunea Centru;</w:t>
      </w:r>
    </w:p>
    <w:p w:rsidR="00064502" w:rsidRDefault="00064502" w:rsidP="00064502">
      <w:pPr>
        <w:pStyle w:val="Listparagraf"/>
        <w:numPr>
          <w:ilvl w:val="0"/>
          <w:numId w:val="28"/>
        </w:numPr>
        <w:jc w:val="both"/>
        <w:rPr>
          <w:sz w:val="24"/>
          <w:szCs w:val="24"/>
        </w:rPr>
      </w:pPr>
      <w:r>
        <w:rPr>
          <w:sz w:val="24"/>
          <w:szCs w:val="24"/>
        </w:rPr>
        <w:t>prezenţa clusterelor active care sprijină afacerile din sectorul agroalimentar regional;</w:t>
      </w:r>
    </w:p>
    <w:p w:rsidR="00064502" w:rsidRDefault="00064502" w:rsidP="00064502">
      <w:pPr>
        <w:pStyle w:val="Listparagraf"/>
        <w:numPr>
          <w:ilvl w:val="0"/>
          <w:numId w:val="28"/>
        </w:numPr>
        <w:jc w:val="both"/>
        <w:rPr>
          <w:sz w:val="24"/>
          <w:szCs w:val="24"/>
        </w:rPr>
      </w:pPr>
      <w:r>
        <w:rPr>
          <w:sz w:val="24"/>
          <w:szCs w:val="24"/>
        </w:rPr>
        <w:lastRenderedPageBreak/>
        <w:t>p</w:t>
      </w:r>
      <w:r w:rsidRPr="002463A6">
        <w:rPr>
          <w:sz w:val="24"/>
          <w:szCs w:val="24"/>
        </w:rPr>
        <w:t>roduse şi reţete culinare originare din Regiunea Centru recunoscute la nivel european</w:t>
      </w:r>
      <w:r>
        <w:rPr>
          <w:sz w:val="24"/>
          <w:szCs w:val="24"/>
        </w:rPr>
        <w:t xml:space="preserve">: </w:t>
      </w:r>
      <w:r>
        <w:rPr>
          <w:rFonts w:eastAsia="Times New Roman" w:cs="Times New Roman"/>
          <w:sz w:val="24"/>
          <w:szCs w:val="24"/>
          <w:lang w:eastAsia="ar-SA"/>
        </w:rPr>
        <w:t>d</w:t>
      </w:r>
      <w:r w:rsidRPr="00977EEB">
        <w:rPr>
          <w:rFonts w:eastAsia="Times New Roman" w:cs="Times New Roman"/>
          <w:sz w:val="24"/>
          <w:szCs w:val="24"/>
          <w:lang w:eastAsia="ar-SA"/>
        </w:rPr>
        <w:t xml:space="preserve">in totalul de </w:t>
      </w:r>
      <w:r w:rsidRPr="00944796">
        <w:rPr>
          <w:rFonts w:eastAsia="Times New Roman" w:cs="Times New Roman"/>
          <w:b/>
          <w:sz w:val="24"/>
          <w:szCs w:val="24"/>
          <w:lang w:eastAsia="ar-SA"/>
        </w:rPr>
        <w:t>542 de produse tradiţionale</w:t>
      </w:r>
      <w:r w:rsidRPr="00977EEB">
        <w:rPr>
          <w:rFonts w:eastAsia="Times New Roman" w:cs="Times New Roman"/>
          <w:sz w:val="24"/>
          <w:szCs w:val="24"/>
          <w:lang w:eastAsia="ar-SA"/>
        </w:rPr>
        <w:t xml:space="preserve"> din Registrul Naţional al Produselor Tradiţionale</w:t>
      </w:r>
      <w:r>
        <w:rPr>
          <w:rFonts w:eastAsia="Times New Roman" w:cs="Times New Roman"/>
          <w:sz w:val="24"/>
          <w:szCs w:val="24"/>
          <w:lang w:eastAsia="ar-SA"/>
        </w:rPr>
        <w:t>,</w:t>
      </w:r>
      <w:r w:rsidRPr="00977EEB">
        <w:rPr>
          <w:rFonts w:eastAsia="Times New Roman" w:cs="Times New Roman"/>
          <w:sz w:val="24"/>
          <w:szCs w:val="24"/>
          <w:lang w:eastAsia="ar-SA"/>
        </w:rPr>
        <w:t xml:space="preserve"> </w:t>
      </w:r>
      <w:r w:rsidRPr="00944796">
        <w:rPr>
          <w:rFonts w:eastAsia="Times New Roman" w:cs="Times New Roman"/>
          <w:b/>
          <w:sz w:val="24"/>
          <w:szCs w:val="24"/>
          <w:lang w:eastAsia="ar-SA"/>
        </w:rPr>
        <w:t>45%</w:t>
      </w:r>
      <w:r>
        <w:rPr>
          <w:rFonts w:eastAsia="Times New Roman" w:cs="Times New Roman"/>
          <w:b/>
          <w:sz w:val="24"/>
          <w:szCs w:val="24"/>
          <w:lang w:eastAsia="ar-SA"/>
        </w:rPr>
        <w:t>,</w:t>
      </w:r>
      <w:r w:rsidRPr="00944796">
        <w:rPr>
          <w:rFonts w:eastAsia="Times New Roman" w:cs="Times New Roman"/>
          <w:b/>
          <w:sz w:val="24"/>
          <w:szCs w:val="24"/>
          <w:lang w:eastAsia="ar-SA"/>
        </w:rPr>
        <w:t xml:space="preserve"> adică 242 de produse tradiţionale, sunt din cele şase judeţe ale Regiunii Centru</w:t>
      </w:r>
      <w:r>
        <w:rPr>
          <w:rFonts w:eastAsia="Times New Roman" w:cs="Times New Roman"/>
          <w:b/>
          <w:sz w:val="24"/>
          <w:szCs w:val="24"/>
          <w:lang w:eastAsia="ar-SA"/>
        </w:rPr>
        <w:t xml:space="preserve">, </w:t>
      </w:r>
      <w:r>
        <w:rPr>
          <w:rFonts w:eastAsia="Times New Roman" w:cs="Times New Roman"/>
          <w:sz w:val="24"/>
          <w:szCs w:val="24"/>
          <w:lang w:eastAsia="ar-SA"/>
        </w:rPr>
        <w:t xml:space="preserve">iar din cele </w:t>
      </w:r>
      <w:r w:rsidRPr="004A69E1">
        <w:rPr>
          <w:rFonts w:eastAsia="Times New Roman" w:cs="Times New Roman"/>
          <w:sz w:val="24"/>
          <w:szCs w:val="24"/>
          <w:lang w:eastAsia="ar-SA"/>
        </w:rPr>
        <w:t xml:space="preserve">trei produse </w:t>
      </w:r>
      <w:r w:rsidRPr="00405322">
        <w:rPr>
          <w:rFonts w:eastAsia="Times New Roman" w:cs="Times New Roman"/>
          <w:b/>
          <w:sz w:val="24"/>
          <w:szCs w:val="24"/>
          <w:lang w:eastAsia="ar-SA"/>
        </w:rPr>
        <w:t>alimentare cu Indicaţie Geografică</w:t>
      </w:r>
      <w:r>
        <w:rPr>
          <w:rFonts w:eastAsia="Times New Roman" w:cs="Times New Roman"/>
          <w:sz w:val="24"/>
          <w:szCs w:val="24"/>
          <w:lang w:eastAsia="ar-SA"/>
        </w:rPr>
        <w:t xml:space="preserve"> pe care Romania le are</w:t>
      </w:r>
      <w:r w:rsidRPr="004A69E1">
        <w:rPr>
          <w:rFonts w:eastAsia="Times New Roman" w:cs="Times New Roman"/>
          <w:sz w:val="24"/>
          <w:szCs w:val="24"/>
          <w:lang w:eastAsia="ar-SA"/>
        </w:rPr>
        <w:t xml:space="preserve"> la ora actu</w:t>
      </w:r>
      <w:r>
        <w:rPr>
          <w:rFonts w:eastAsia="Times New Roman" w:cs="Times New Roman"/>
          <w:sz w:val="24"/>
          <w:szCs w:val="24"/>
          <w:lang w:eastAsia="ar-SA"/>
        </w:rPr>
        <w:t>ală</w:t>
      </w:r>
      <w:r w:rsidRPr="004A69E1">
        <w:rPr>
          <w:rFonts w:eastAsia="Times New Roman" w:cs="Times New Roman"/>
          <w:sz w:val="24"/>
          <w:szCs w:val="24"/>
          <w:lang w:eastAsia="ar-SA"/>
        </w:rPr>
        <w:t xml:space="preserve"> </w:t>
      </w:r>
      <w:r>
        <w:rPr>
          <w:rFonts w:eastAsia="Times New Roman" w:cs="Times New Roman"/>
          <w:sz w:val="24"/>
          <w:szCs w:val="24"/>
          <w:lang w:eastAsia="ar-SA"/>
        </w:rPr>
        <w:t>(august 2016), două dintre acestea au originile pe teritoriul Regiunii Centru</w:t>
      </w:r>
      <w:r>
        <w:rPr>
          <w:sz w:val="24"/>
          <w:szCs w:val="24"/>
        </w:rPr>
        <w:t>;</w:t>
      </w:r>
    </w:p>
    <w:p w:rsidR="00064502" w:rsidRDefault="00064502" w:rsidP="00064502">
      <w:pPr>
        <w:pStyle w:val="Listparagraf"/>
        <w:numPr>
          <w:ilvl w:val="0"/>
          <w:numId w:val="28"/>
        </w:numPr>
        <w:jc w:val="both"/>
        <w:rPr>
          <w:sz w:val="24"/>
          <w:szCs w:val="24"/>
        </w:rPr>
      </w:pPr>
      <w:r w:rsidRPr="002463A6">
        <w:rPr>
          <w:sz w:val="24"/>
          <w:szCs w:val="24"/>
        </w:rPr>
        <w:t>sectorul agroalimentar din Regiunea Centru</w:t>
      </w:r>
      <w:r>
        <w:rPr>
          <w:sz w:val="24"/>
          <w:szCs w:val="24"/>
        </w:rPr>
        <w:t xml:space="preserve"> este</w:t>
      </w:r>
      <w:r w:rsidRPr="002463A6">
        <w:rPr>
          <w:sz w:val="24"/>
          <w:szCs w:val="24"/>
        </w:rPr>
        <w:t xml:space="preserve"> </w:t>
      </w:r>
      <w:r>
        <w:rPr>
          <w:sz w:val="24"/>
          <w:szCs w:val="24"/>
        </w:rPr>
        <w:t>dinamizat</w:t>
      </w:r>
      <w:r w:rsidRPr="002463A6">
        <w:rPr>
          <w:sz w:val="24"/>
          <w:szCs w:val="24"/>
        </w:rPr>
        <w:t xml:space="preserve"> prin organizarea de târguri, expoziţii, festivaluri culinare şi agricole</w:t>
      </w:r>
      <w:r>
        <w:rPr>
          <w:sz w:val="24"/>
          <w:szCs w:val="24"/>
        </w:rPr>
        <w:t>;</w:t>
      </w:r>
    </w:p>
    <w:p w:rsidR="00064502" w:rsidRPr="004279D9" w:rsidRDefault="00064502" w:rsidP="00064502">
      <w:pPr>
        <w:pStyle w:val="Listparagraf"/>
        <w:numPr>
          <w:ilvl w:val="0"/>
          <w:numId w:val="28"/>
        </w:numPr>
        <w:spacing w:after="0"/>
        <w:jc w:val="both"/>
        <w:rPr>
          <w:sz w:val="24"/>
          <w:szCs w:val="24"/>
        </w:rPr>
      </w:pPr>
      <w:r w:rsidRPr="00892BA2">
        <w:rPr>
          <w:rFonts w:cs="ArialMT"/>
          <w:color w:val="1A1A1A"/>
          <w:sz w:val="24"/>
          <w:szCs w:val="24"/>
        </w:rPr>
        <w:t xml:space="preserve">există oportunităţi de formare profesională </w:t>
      </w:r>
      <w:r>
        <w:rPr>
          <w:rFonts w:cs="ArialMT"/>
          <w:color w:val="1A1A1A"/>
          <w:sz w:val="24"/>
          <w:szCs w:val="24"/>
        </w:rPr>
        <w:t>iniţială</w:t>
      </w:r>
      <w:r w:rsidRPr="00892BA2">
        <w:rPr>
          <w:rFonts w:cs="ArialMT"/>
          <w:color w:val="1A1A1A"/>
          <w:sz w:val="24"/>
          <w:szCs w:val="24"/>
        </w:rPr>
        <w:t xml:space="preserve"> şi continuă în </w:t>
      </w:r>
      <w:r>
        <w:rPr>
          <w:rFonts w:cs="ArialMT"/>
          <w:color w:val="1A1A1A"/>
          <w:sz w:val="24"/>
          <w:szCs w:val="24"/>
        </w:rPr>
        <w:t xml:space="preserve">agricultură şi </w:t>
      </w:r>
      <w:r w:rsidRPr="00892BA2">
        <w:rPr>
          <w:rFonts w:cs="ArialMT"/>
          <w:color w:val="1A1A1A"/>
          <w:sz w:val="24"/>
          <w:szCs w:val="24"/>
        </w:rPr>
        <w:t>industria alimentară.</w:t>
      </w:r>
    </w:p>
    <w:p w:rsidR="00064502" w:rsidRPr="00CE64F1" w:rsidRDefault="00064502" w:rsidP="00064502">
      <w:pPr>
        <w:ind w:left="360"/>
        <w:rPr>
          <w:rStyle w:val="Accentuat"/>
          <w:rFonts w:cs="Arial-ItalicMT"/>
          <w:color w:val="1A1A1A"/>
          <w:sz w:val="20"/>
          <w:szCs w:val="20"/>
          <w:lang w:val="ro-RO"/>
        </w:rPr>
      </w:pPr>
      <w:r>
        <w:rPr>
          <w:rFonts w:cs="Arial-ItalicMT"/>
          <w:i/>
          <w:iCs/>
          <w:color w:val="1A1A1A"/>
          <w:sz w:val="20"/>
          <w:szCs w:val="20"/>
          <w:lang w:val="ro-RO"/>
        </w:rPr>
        <w:t>Sursă date: analiza de faţa</w:t>
      </w:r>
    </w:p>
    <w:p w:rsidR="00064502" w:rsidRPr="0025192D" w:rsidRDefault="00064502" w:rsidP="00064502">
      <w:pPr>
        <w:pStyle w:val="Default"/>
        <w:spacing w:line="276" w:lineRule="auto"/>
        <w:jc w:val="both"/>
        <w:rPr>
          <w:rFonts w:asciiTheme="minorHAnsi" w:hAnsiTheme="minorHAnsi"/>
          <w:b/>
        </w:rPr>
      </w:pPr>
      <w:r w:rsidRPr="0025192D">
        <w:rPr>
          <w:rFonts w:asciiTheme="minorHAnsi" w:hAnsiTheme="minorHAnsi"/>
          <w:b/>
        </w:rPr>
        <w:t xml:space="preserve">Provocări </w:t>
      </w:r>
      <w:r>
        <w:rPr>
          <w:rFonts w:asciiTheme="minorHAnsi" w:hAnsiTheme="minorHAnsi"/>
          <w:b/>
        </w:rPr>
        <w:t>pentru</w:t>
      </w:r>
      <w:r w:rsidRPr="0025192D">
        <w:rPr>
          <w:rFonts w:asciiTheme="minorHAnsi" w:hAnsiTheme="minorHAnsi"/>
          <w:b/>
        </w:rPr>
        <w:t xml:space="preserve"> sectorul agroalimentar din</w:t>
      </w:r>
      <w:r w:rsidRPr="0025192D">
        <w:rPr>
          <w:rFonts w:asciiTheme="minorHAnsi" w:hAnsiTheme="minorHAnsi"/>
        </w:rPr>
        <w:t xml:space="preserve"> </w:t>
      </w:r>
      <w:r w:rsidRPr="0025192D">
        <w:rPr>
          <w:rFonts w:asciiTheme="minorHAnsi" w:hAnsiTheme="minorHAnsi"/>
          <w:b/>
        </w:rPr>
        <w:t>Regiunea Centru</w:t>
      </w:r>
      <w:r w:rsidRPr="0025192D">
        <w:rPr>
          <w:rFonts w:asciiTheme="minorHAnsi" w:hAnsiTheme="minorHAnsi"/>
        </w:rPr>
        <w:t>:</w:t>
      </w:r>
    </w:p>
    <w:p w:rsidR="00064502" w:rsidRDefault="00064502" w:rsidP="00064502">
      <w:pPr>
        <w:pStyle w:val="Default"/>
        <w:spacing w:line="276" w:lineRule="auto"/>
        <w:jc w:val="both"/>
        <w:rPr>
          <w:rFonts w:asciiTheme="minorHAnsi" w:hAnsiTheme="minorHAnsi"/>
        </w:rPr>
      </w:pPr>
    </w:p>
    <w:p w:rsidR="00064502" w:rsidRPr="0025192D" w:rsidRDefault="00064502" w:rsidP="00064502">
      <w:pPr>
        <w:pStyle w:val="Default"/>
        <w:numPr>
          <w:ilvl w:val="0"/>
          <w:numId w:val="27"/>
        </w:numPr>
        <w:spacing w:line="276" w:lineRule="auto"/>
        <w:jc w:val="both"/>
        <w:rPr>
          <w:rFonts w:asciiTheme="minorHAnsi" w:hAnsiTheme="minorHAnsi" w:cs="Arial"/>
          <w:bCs/>
          <w:color w:val="auto"/>
          <w:shd w:val="clear" w:color="auto" w:fill="FFFFFF"/>
        </w:rPr>
      </w:pPr>
      <w:r w:rsidRPr="00CE64F1">
        <w:rPr>
          <w:rFonts w:asciiTheme="minorHAnsi" w:hAnsiTheme="minorHAnsi"/>
        </w:rPr>
        <w:t>industria agroalimentară a cunoscut o dezvoltare rapidă în ultimii ani deoarece cultura de consum</w:t>
      </w:r>
      <w:r>
        <w:rPr>
          <w:rFonts w:asciiTheme="minorHAnsi" w:hAnsiTheme="minorHAnsi"/>
        </w:rPr>
        <w:t xml:space="preserve"> caută inovaţia în permanenţă, î</w:t>
      </w:r>
      <w:r w:rsidRPr="00CE64F1">
        <w:rPr>
          <w:rFonts w:asciiTheme="minorHAnsi" w:hAnsiTheme="minorHAnsi"/>
        </w:rPr>
        <w:t>ntreprinderile mari fac faţă mai uşor cerinţelor pieţei în timp ce întreprinderile mici și mijlocii au nevoie de sprijin pentru a reuși să fie competitive</w:t>
      </w:r>
      <w:r>
        <w:rPr>
          <w:rFonts w:asciiTheme="minorHAnsi" w:hAnsiTheme="minorHAnsi"/>
        </w:rPr>
        <w:t>;</w:t>
      </w:r>
    </w:p>
    <w:p w:rsidR="00064502" w:rsidRPr="0025192D" w:rsidRDefault="00064502" w:rsidP="00064502">
      <w:pPr>
        <w:pStyle w:val="Default"/>
        <w:numPr>
          <w:ilvl w:val="0"/>
          <w:numId w:val="27"/>
        </w:numPr>
        <w:spacing w:line="276" w:lineRule="auto"/>
        <w:jc w:val="both"/>
        <w:rPr>
          <w:rFonts w:asciiTheme="minorHAnsi" w:hAnsiTheme="minorHAnsi" w:cs="Arial"/>
          <w:bCs/>
          <w:color w:val="auto"/>
          <w:shd w:val="clear" w:color="auto" w:fill="FFFFFF"/>
        </w:rPr>
      </w:pPr>
      <w:r>
        <w:rPr>
          <w:rFonts w:asciiTheme="minorHAnsi" w:hAnsiTheme="minorHAnsi"/>
        </w:rPr>
        <w:t>predomină agricultura de subzistenţă iar de aici rezultă o serie de probleme de eficienţă;</w:t>
      </w:r>
    </w:p>
    <w:p w:rsidR="00064502" w:rsidRPr="00CE64F1" w:rsidRDefault="00064502" w:rsidP="00064502">
      <w:pPr>
        <w:pStyle w:val="Default"/>
        <w:numPr>
          <w:ilvl w:val="0"/>
          <w:numId w:val="27"/>
        </w:numPr>
        <w:spacing w:line="276" w:lineRule="auto"/>
        <w:jc w:val="both"/>
        <w:rPr>
          <w:rStyle w:val="Accentuat"/>
          <w:rFonts w:asciiTheme="minorHAnsi" w:hAnsiTheme="minorHAnsi" w:cs="Arial"/>
          <w:bCs/>
          <w:i w:val="0"/>
          <w:iCs w:val="0"/>
          <w:color w:val="auto"/>
          <w:shd w:val="clear" w:color="auto" w:fill="FFFFFF"/>
        </w:rPr>
      </w:pPr>
      <w:r>
        <w:rPr>
          <w:rFonts w:asciiTheme="minorHAnsi" w:hAnsiTheme="minorHAnsi"/>
        </w:rPr>
        <w:t>populaţia ce activează în domeniul agriculturii este îmbătrânită şi cu un nivel scăzut de instruire.</w:t>
      </w:r>
    </w:p>
    <w:p w:rsidR="00EA5F90" w:rsidRDefault="00EA5F90" w:rsidP="00EA5F90">
      <w:pPr>
        <w:pStyle w:val="Default"/>
        <w:spacing w:line="276" w:lineRule="auto"/>
        <w:jc w:val="both"/>
        <w:rPr>
          <w:rStyle w:val="Accentuat"/>
          <w:rFonts w:asciiTheme="minorHAnsi" w:hAnsiTheme="minorHAnsi" w:cs="Arial"/>
          <w:bCs/>
          <w:i w:val="0"/>
          <w:iCs w:val="0"/>
          <w:color w:val="auto"/>
          <w:shd w:val="clear" w:color="auto" w:fill="FFFFFF"/>
        </w:rPr>
      </w:pPr>
    </w:p>
    <w:p w:rsidR="00EA5F90" w:rsidRDefault="00EA5F90" w:rsidP="00EA5F90">
      <w:pPr>
        <w:pStyle w:val="Default"/>
        <w:spacing w:line="276" w:lineRule="auto"/>
        <w:jc w:val="both"/>
        <w:rPr>
          <w:rStyle w:val="Accentuat"/>
          <w:rFonts w:asciiTheme="minorHAnsi" w:hAnsiTheme="minorHAnsi" w:cs="Arial"/>
          <w:bCs/>
          <w:i w:val="0"/>
          <w:iCs w:val="0"/>
          <w:color w:val="auto"/>
          <w:shd w:val="clear" w:color="auto" w:fill="FFFFFF"/>
        </w:rPr>
      </w:pPr>
    </w:p>
    <w:p w:rsidR="00EA5F90" w:rsidRDefault="00EA5F90"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Default="00852F75" w:rsidP="00EA5F90">
      <w:pPr>
        <w:pStyle w:val="Default"/>
        <w:spacing w:line="276" w:lineRule="auto"/>
        <w:jc w:val="both"/>
        <w:rPr>
          <w:rStyle w:val="Accentuat"/>
          <w:rFonts w:asciiTheme="minorHAnsi" w:hAnsiTheme="minorHAnsi" w:cs="Arial"/>
          <w:bCs/>
          <w:i w:val="0"/>
          <w:iCs w:val="0"/>
          <w:color w:val="auto"/>
          <w:shd w:val="clear" w:color="auto" w:fill="FFFFFF"/>
        </w:rPr>
      </w:pPr>
    </w:p>
    <w:p w:rsidR="00852F75" w:rsidRPr="00CA06AA" w:rsidRDefault="00852F75" w:rsidP="00852F75">
      <w:pPr>
        <w:pStyle w:val="Titlu1"/>
      </w:pPr>
      <w:r>
        <w:lastRenderedPageBreak/>
        <w:t>Industria u</w:t>
      </w:r>
      <w:r w:rsidRPr="00D87CC8">
        <w:t>şoar</w:t>
      </w:r>
      <w:r>
        <w:t xml:space="preserve">ă </w:t>
      </w:r>
      <w:r w:rsidRPr="00CA06AA">
        <w:t>– sector industrial de tradiție în Regiunea Centru</w:t>
      </w:r>
    </w:p>
    <w:p w:rsidR="00852F75" w:rsidRDefault="00852F75" w:rsidP="00852F75">
      <w:pPr>
        <w:jc w:val="both"/>
        <w:rPr>
          <w:sz w:val="24"/>
          <w:szCs w:val="24"/>
        </w:rPr>
      </w:pPr>
    </w:p>
    <w:p w:rsidR="00852F75" w:rsidRPr="000746F2" w:rsidRDefault="00852F75" w:rsidP="00852F75">
      <w:pPr>
        <w:jc w:val="both"/>
        <w:rPr>
          <w:sz w:val="24"/>
          <w:szCs w:val="24"/>
        </w:rPr>
      </w:pPr>
      <w:r w:rsidRPr="000746F2">
        <w:rPr>
          <w:sz w:val="24"/>
          <w:szCs w:val="24"/>
        </w:rPr>
        <w:t xml:space="preserve">Prin lunga tradiție dar și prin evoluția sa recentă, industria ușoară se dovedește a fi unul dintre domeniile economice puternice ale Regiunii Centru. Fie că vorbim despre cifra de afaceri a acestui domeniu, despre numărul de angajați sau despre valoarea exporturilor, Regiunea Centru se plasează pe unul din primele locuri la nivel național, iar importanța acestui domeniu la nivel regional rămâne valabilă în ciuda unui recul înregistrat în ultimii ani. În plus, industria ușoară dispune în Regiunea Centru de o rețea de formare profesională pentru nivelul mediu de studii și oferă formare de nivel universitar pentru specializarea ingineriei industriale în domeniul textil. Domeniul industriei ușoare pare atractiv și pentru firmele străine, atât pe segmentul confecțiilor textile și articolelor din piele cât și pe segmentul textilelor industriale. </w:t>
      </w:r>
    </w:p>
    <w:p w:rsidR="00852F75" w:rsidRPr="000746F2" w:rsidRDefault="00852F75" w:rsidP="00852F75">
      <w:pPr>
        <w:jc w:val="both"/>
        <w:rPr>
          <w:rFonts w:cstheme="minorHAnsi"/>
          <w:sz w:val="24"/>
          <w:szCs w:val="24"/>
        </w:rPr>
      </w:pPr>
      <w:r w:rsidRPr="000746F2">
        <w:rPr>
          <w:sz w:val="24"/>
          <w:szCs w:val="24"/>
        </w:rPr>
        <w:t xml:space="preserve">În accepțiunea comună, industria uşoară include trei subramuri industriale: industria textilă şi de confecţii, producţia de piei, de articole din piele şi fabricarea încălţămintei, fabricarea de articole de voiaj şi de marochinărie. </w:t>
      </w:r>
      <w:r w:rsidRPr="000746F2">
        <w:rPr>
          <w:rFonts w:cstheme="minorHAnsi"/>
          <w:sz w:val="24"/>
          <w:szCs w:val="24"/>
        </w:rPr>
        <w:t>Conform nomenclatorului de activităţi ale economiei naționale CAEN, acest sector industrial include:</w:t>
      </w:r>
    </w:p>
    <w:p w:rsidR="00852F75" w:rsidRPr="000746F2" w:rsidRDefault="00852F75" w:rsidP="00852F75">
      <w:pPr>
        <w:pStyle w:val="Listparagraf"/>
        <w:numPr>
          <w:ilvl w:val="0"/>
          <w:numId w:val="30"/>
        </w:numPr>
        <w:jc w:val="both"/>
        <w:rPr>
          <w:sz w:val="24"/>
          <w:szCs w:val="24"/>
        </w:rPr>
      </w:pPr>
      <w:r w:rsidRPr="000746F2">
        <w:rPr>
          <w:b/>
          <w:sz w:val="24"/>
          <w:szCs w:val="24"/>
        </w:rPr>
        <w:t>”</w:t>
      </w:r>
      <w:r w:rsidRPr="000746F2">
        <w:rPr>
          <w:sz w:val="24"/>
          <w:szCs w:val="24"/>
        </w:rPr>
        <w:t>Fabricarea produselor textile”(13)</w:t>
      </w:r>
    </w:p>
    <w:p w:rsidR="00852F75" w:rsidRPr="000746F2" w:rsidRDefault="00852F75" w:rsidP="00852F75">
      <w:pPr>
        <w:pStyle w:val="Listparagraf"/>
        <w:numPr>
          <w:ilvl w:val="0"/>
          <w:numId w:val="30"/>
        </w:numPr>
        <w:jc w:val="both"/>
        <w:rPr>
          <w:sz w:val="24"/>
          <w:szCs w:val="24"/>
        </w:rPr>
      </w:pPr>
      <w:r w:rsidRPr="000746F2">
        <w:rPr>
          <w:sz w:val="24"/>
          <w:szCs w:val="24"/>
        </w:rPr>
        <w:t>”Fabricarea articolelor de îmbrăcăminte”(14)</w:t>
      </w:r>
    </w:p>
    <w:p w:rsidR="00852F75" w:rsidRPr="000746F2" w:rsidRDefault="00852F75" w:rsidP="00852F75">
      <w:pPr>
        <w:pStyle w:val="Listparagraf"/>
        <w:numPr>
          <w:ilvl w:val="0"/>
          <w:numId w:val="30"/>
        </w:numPr>
        <w:jc w:val="both"/>
        <w:rPr>
          <w:sz w:val="24"/>
          <w:szCs w:val="24"/>
        </w:rPr>
      </w:pPr>
      <w:r w:rsidRPr="000746F2">
        <w:rPr>
          <w:sz w:val="24"/>
          <w:szCs w:val="24"/>
        </w:rPr>
        <w:t>“Tăbăcirea si finisarea pieilor; fabricarea articolelor de voiaj si marochinărie, harnașamentelor si încălţămintei; prepararea si vopsirea blănurilor” (15)</w:t>
      </w:r>
    </w:p>
    <w:p w:rsidR="00852F75" w:rsidRPr="0017290D" w:rsidRDefault="00852F75" w:rsidP="00852F75">
      <w:pPr>
        <w:contextualSpacing/>
        <w:jc w:val="both"/>
        <w:rPr>
          <w:sz w:val="24"/>
          <w:szCs w:val="24"/>
        </w:rPr>
      </w:pPr>
      <w:r>
        <w:rPr>
          <w:sz w:val="24"/>
          <w:szCs w:val="24"/>
        </w:rPr>
        <w:t>Din motive ce țin de elaborarea etapizată a analizei de față, în general, se prezintă  în mod distinct situația industriei textile și de confecții la nivelul Regiunii Centru și situația industriei de  pielărie și fabricare a încălțămintei, fără ca prin această abordare  să se intenționeze divizarea domeniului industriei ușoare.</w:t>
      </w:r>
    </w:p>
    <w:p w:rsidR="00852F75" w:rsidRDefault="00852F75" w:rsidP="00852F75">
      <w:pPr>
        <w:contextualSpacing/>
        <w:jc w:val="both"/>
        <w:rPr>
          <w:rFonts w:eastAsia="Times New Roman" w:cs="Times New Roman"/>
          <w:b/>
          <w:bCs/>
          <w:sz w:val="24"/>
          <w:szCs w:val="24"/>
        </w:rPr>
      </w:pPr>
    </w:p>
    <w:p w:rsidR="00852F75" w:rsidRPr="008B408B" w:rsidRDefault="00852F75" w:rsidP="00852F75">
      <w:pPr>
        <w:pStyle w:val="Titlu2"/>
        <w:rPr>
          <w:rFonts w:eastAsia="Times New Roman"/>
        </w:rPr>
      </w:pPr>
      <w:r w:rsidRPr="005A2F2D">
        <w:rPr>
          <w:rFonts w:eastAsia="Times New Roman"/>
        </w:rPr>
        <w:t>Tendinţe în dezvoltarea industriei uşoare la nivelul Uniunii Europene</w:t>
      </w:r>
    </w:p>
    <w:p w:rsidR="00852F75" w:rsidRDefault="00852F75" w:rsidP="00852F75">
      <w:pPr>
        <w:contextualSpacing/>
        <w:jc w:val="both"/>
        <w:rPr>
          <w:b/>
          <w:sz w:val="24"/>
          <w:szCs w:val="24"/>
        </w:rPr>
      </w:pPr>
    </w:p>
    <w:p w:rsidR="00852F75" w:rsidRDefault="00852F75" w:rsidP="00852F75">
      <w:pPr>
        <w:contextualSpacing/>
        <w:jc w:val="both"/>
        <w:rPr>
          <w:rFonts w:cstheme="minorHAnsi"/>
          <w:color w:val="212121"/>
          <w:sz w:val="24"/>
          <w:szCs w:val="24"/>
          <w:shd w:val="clear" w:color="auto" w:fill="FFFFFF"/>
        </w:rPr>
      </w:pPr>
      <w:r w:rsidRPr="0017290D">
        <w:rPr>
          <w:rFonts w:cstheme="minorHAnsi"/>
          <w:sz w:val="24"/>
          <w:szCs w:val="24"/>
        </w:rPr>
        <w:t xml:space="preserve">Industria textilă, confecții şi pielărie în contextul internaţional </w:t>
      </w:r>
      <w:r w:rsidRPr="0017290D">
        <w:rPr>
          <w:rFonts w:cstheme="minorHAnsi"/>
          <w:color w:val="212121"/>
          <w:sz w:val="24"/>
          <w:szCs w:val="24"/>
          <w:shd w:val="clear" w:color="auto" w:fill="FFFFFF"/>
        </w:rPr>
        <w:t>reprezintă un sector divers, care joacă un rol important în industria prelucrătoare. Ca urmare a creșterii concurenței și a provocărilor globale specifice industriei s-a remarcat o delimitare a sectorului în produse cu valoare adăugată scăzută (low-end) unde producţia este concentrată asupra preţurilor considerabile si produse cu valoare adăugată ridicată (high-end) caracteristice întreprinderilor care folosesc o tehnologie avansată şi pun accentul pe calificarea</w:t>
      </w:r>
      <w:r>
        <w:rPr>
          <w:rFonts w:cstheme="minorHAnsi"/>
          <w:color w:val="212121"/>
          <w:sz w:val="24"/>
          <w:szCs w:val="24"/>
          <w:shd w:val="clear" w:color="auto" w:fill="FFFFFF"/>
        </w:rPr>
        <w:t xml:space="preserve"> personalului. </w:t>
      </w:r>
      <w:r w:rsidRPr="008B408B">
        <w:rPr>
          <w:rStyle w:val="Referinnotdesubsol"/>
          <w:rFonts w:cstheme="minorHAnsi"/>
          <w:color w:val="212121"/>
          <w:sz w:val="24"/>
          <w:szCs w:val="24"/>
          <w:shd w:val="clear" w:color="auto" w:fill="FFFFFF"/>
        </w:rPr>
        <w:footnoteReference w:id="13"/>
      </w:r>
    </w:p>
    <w:p w:rsidR="00852F75" w:rsidRPr="0037509C" w:rsidRDefault="00852F75" w:rsidP="00852F75">
      <w:pPr>
        <w:contextualSpacing/>
        <w:jc w:val="both"/>
        <w:rPr>
          <w:rFonts w:cstheme="minorHAnsi"/>
          <w:color w:val="212121"/>
          <w:sz w:val="24"/>
          <w:szCs w:val="24"/>
          <w:shd w:val="clear" w:color="auto" w:fill="FFFFFF"/>
        </w:rPr>
      </w:pPr>
      <w:r w:rsidRPr="0037509C">
        <w:rPr>
          <w:rFonts w:cstheme="minorHAnsi"/>
          <w:color w:val="212121"/>
          <w:sz w:val="24"/>
          <w:szCs w:val="24"/>
          <w:shd w:val="clear" w:color="auto" w:fill="FFFFFF"/>
        </w:rPr>
        <w:t xml:space="preserve">Economia globală de azi, și în special sectorul </w:t>
      </w:r>
      <w:r>
        <w:rPr>
          <w:rFonts w:cstheme="minorHAnsi"/>
          <w:color w:val="212121"/>
          <w:sz w:val="24"/>
          <w:szCs w:val="24"/>
          <w:shd w:val="clear" w:color="auto" w:fill="FFFFFF"/>
        </w:rPr>
        <w:t>textile</w:t>
      </w:r>
      <w:r w:rsidRPr="0037509C">
        <w:rPr>
          <w:rFonts w:cstheme="minorHAnsi"/>
          <w:color w:val="212121"/>
          <w:sz w:val="24"/>
          <w:szCs w:val="24"/>
          <w:shd w:val="clear" w:color="auto" w:fill="FFFFFF"/>
        </w:rPr>
        <w:t xml:space="preserve">, îmbrăcăminte, piele și încălțăminte, </w:t>
      </w:r>
      <w:r>
        <w:rPr>
          <w:rFonts w:cstheme="minorHAnsi"/>
          <w:color w:val="212121"/>
          <w:sz w:val="24"/>
          <w:szCs w:val="24"/>
          <w:shd w:val="clear" w:color="auto" w:fill="FFFFFF"/>
        </w:rPr>
        <w:t xml:space="preserve">sunt caracterizate </w:t>
      </w:r>
      <w:r w:rsidRPr="0037509C">
        <w:rPr>
          <w:rFonts w:cstheme="minorHAnsi"/>
          <w:color w:val="212121"/>
          <w:sz w:val="24"/>
          <w:szCs w:val="24"/>
          <w:shd w:val="clear" w:color="auto" w:fill="FFFFFF"/>
        </w:rPr>
        <w:t xml:space="preserve">de schimbările rapide bazate pe piață. </w:t>
      </w:r>
      <w:r>
        <w:rPr>
          <w:rFonts w:cstheme="minorHAnsi"/>
          <w:color w:val="212121"/>
          <w:sz w:val="24"/>
          <w:szCs w:val="24"/>
          <w:shd w:val="clear" w:color="auto" w:fill="FFFFFF"/>
        </w:rPr>
        <w:t>Acest sector creează m</w:t>
      </w:r>
      <w:r w:rsidRPr="0037509C">
        <w:rPr>
          <w:rFonts w:cstheme="minorHAnsi"/>
          <w:color w:val="212121"/>
          <w:sz w:val="24"/>
          <w:szCs w:val="24"/>
          <w:shd w:val="clear" w:color="auto" w:fill="FFFFFF"/>
        </w:rPr>
        <w:t xml:space="preserve">ilioane de </w:t>
      </w:r>
      <w:r w:rsidRPr="0037509C">
        <w:rPr>
          <w:rFonts w:cstheme="minorHAnsi"/>
          <w:color w:val="212121"/>
          <w:sz w:val="24"/>
          <w:szCs w:val="24"/>
          <w:shd w:val="clear" w:color="auto" w:fill="FFFFFF"/>
        </w:rPr>
        <w:lastRenderedPageBreak/>
        <w:t>locuri de muncă</w:t>
      </w:r>
      <w:r>
        <w:rPr>
          <w:rFonts w:cstheme="minorHAnsi"/>
          <w:color w:val="212121"/>
          <w:sz w:val="24"/>
          <w:szCs w:val="24"/>
          <w:shd w:val="clear" w:color="auto" w:fill="FFFFFF"/>
        </w:rPr>
        <w:t xml:space="preserve"> </w:t>
      </w:r>
      <w:r w:rsidRPr="0037509C">
        <w:rPr>
          <w:rFonts w:cstheme="minorHAnsi"/>
          <w:color w:val="212121"/>
          <w:sz w:val="24"/>
          <w:szCs w:val="24"/>
          <w:shd w:val="clear" w:color="auto" w:fill="FFFFFF"/>
        </w:rPr>
        <w:t xml:space="preserve">în țările în curs de dezvoltare, în special pentru femei, </w:t>
      </w:r>
      <w:r>
        <w:rPr>
          <w:rFonts w:cstheme="minorHAnsi"/>
          <w:color w:val="212121"/>
          <w:sz w:val="24"/>
          <w:szCs w:val="24"/>
          <w:shd w:val="clear" w:color="auto" w:fill="FFFFFF"/>
        </w:rPr>
        <w:t xml:space="preserve">aşadar </w:t>
      </w:r>
      <w:r w:rsidRPr="0037509C">
        <w:rPr>
          <w:rFonts w:cstheme="minorHAnsi"/>
          <w:color w:val="212121"/>
          <w:sz w:val="24"/>
          <w:szCs w:val="24"/>
          <w:shd w:val="clear" w:color="auto" w:fill="FFFFFF"/>
        </w:rPr>
        <w:t>oferă un mare potențial de a contribui în mod semnificativ la dezvoltarea economică și socială.</w:t>
      </w:r>
      <w:r>
        <w:rPr>
          <w:rFonts w:cstheme="minorHAnsi"/>
          <w:color w:val="212121"/>
          <w:sz w:val="24"/>
          <w:szCs w:val="24"/>
          <w:shd w:val="clear" w:color="auto" w:fill="FFFFFF"/>
        </w:rPr>
        <w:t xml:space="preserve"> </w:t>
      </w:r>
    </w:p>
    <w:p w:rsidR="00852F75" w:rsidRDefault="00852F75" w:rsidP="00852F75">
      <w:pPr>
        <w:contextualSpacing/>
        <w:jc w:val="both"/>
        <w:rPr>
          <w:b/>
          <w:sz w:val="24"/>
          <w:szCs w:val="24"/>
        </w:rPr>
      </w:pPr>
    </w:p>
    <w:p w:rsidR="00852F75" w:rsidRPr="00CA06AA" w:rsidRDefault="00852F75" w:rsidP="00852F75">
      <w:pPr>
        <w:contextualSpacing/>
        <w:jc w:val="both"/>
        <w:rPr>
          <w:rFonts w:eastAsia="Times New Roman" w:cs="Times New Roman"/>
          <w:color w:val="171717"/>
          <w:sz w:val="24"/>
          <w:szCs w:val="24"/>
        </w:rPr>
      </w:pPr>
      <w:r>
        <w:rPr>
          <w:rFonts w:eastAsia="Times New Roman" w:cs="Times New Roman"/>
          <w:sz w:val="24"/>
          <w:szCs w:val="24"/>
        </w:rPr>
        <w:t>Î</w:t>
      </w:r>
      <w:r w:rsidRPr="00CA06AA">
        <w:rPr>
          <w:rFonts w:eastAsia="Times New Roman" w:cs="Times New Roman"/>
          <w:sz w:val="24"/>
          <w:szCs w:val="24"/>
        </w:rPr>
        <w:t xml:space="preserve">ntr-un studiu realizat de Institutul Francez al Modei sunt analizate pe exemplul celor zece </w:t>
      </w:r>
      <w:r>
        <w:rPr>
          <w:rFonts w:eastAsia="Times New Roman" w:cs="Times New Roman"/>
          <w:sz w:val="24"/>
          <w:szCs w:val="24"/>
        </w:rPr>
        <w:t>ță</w:t>
      </w:r>
      <w:r w:rsidRPr="00CA06AA">
        <w:rPr>
          <w:rFonts w:eastAsia="Times New Roman" w:cs="Times New Roman"/>
          <w:sz w:val="24"/>
          <w:szCs w:val="24"/>
        </w:rPr>
        <w:t>ri pr</w:t>
      </w:r>
      <w:r>
        <w:rPr>
          <w:rFonts w:eastAsia="Times New Roman" w:cs="Times New Roman"/>
          <w:sz w:val="24"/>
          <w:szCs w:val="24"/>
        </w:rPr>
        <w:t>incipale furnizoare de textile-î</w:t>
      </w:r>
      <w:r w:rsidRPr="00CA06AA">
        <w:rPr>
          <w:rFonts w:eastAsia="Times New Roman" w:cs="Times New Roman"/>
          <w:sz w:val="24"/>
          <w:szCs w:val="24"/>
        </w:rPr>
        <w:t>mbr</w:t>
      </w:r>
      <w:r>
        <w:rPr>
          <w:rFonts w:eastAsia="Times New Roman" w:cs="Times New Roman"/>
          <w:sz w:val="24"/>
          <w:szCs w:val="24"/>
        </w:rPr>
        <w:t>ăcă</w:t>
      </w:r>
      <w:r w:rsidRPr="00CA06AA">
        <w:rPr>
          <w:rFonts w:eastAsia="Times New Roman" w:cs="Times New Roman"/>
          <w:sz w:val="24"/>
          <w:szCs w:val="24"/>
        </w:rPr>
        <w:t xml:space="preserve">minte ale Uniunii Europene, patru mari </w:t>
      </w:r>
      <w:r w:rsidRPr="00885569">
        <w:rPr>
          <w:rFonts w:eastAsia="Times New Roman" w:cs="Times New Roman"/>
          <w:b/>
          <w:sz w:val="24"/>
          <w:szCs w:val="24"/>
        </w:rPr>
        <w:t>categorii de factori care contribuie la creșterea competitivității</w:t>
      </w:r>
      <w:r w:rsidRPr="00CA06AA">
        <w:rPr>
          <w:rFonts w:eastAsia="Times New Roman" w:cs="Times New Roman"/>
          <w:sz w:val="24"/>
          <w:szCs w:val="24"/>
        </w:rPr>
        <w:t xml:space="preserve"> acestor produse pe pia</w:t>
      </w:r>
      <w:r>
        <w:rPr>
          <w:rFonts w:eastAsia="Times New Roman" w:cs="Times New Roman"/>
          <w:sz w:val="24"/>
          <w:szCs w:val="24"/>
        </w:rPr>
        <w:t>ț</w:t>
      </w:r>
      <w:r w:rsidRPr="00CA06AA">
        <w:rPr>
          <w:rFonts w:eastAsia="Times New Roman" w:cs="Times New Roman"/>
          <w:sz w:val="24"/>
          <w:szCs w:val="24"/>
        </w:rPr>
        <w:t>a interna</w:t>
      </w:r>
      <w:r>
        <w:rPr>
          <w:rFonts w:eastAsia="Times New Roman" w:cs="Times New Roman"/>
          <w:sz w:val="24"/>
          <w:szCs w:val="24"/>
        </w:rPr>
        <w:t>ț</w:t>
      </w:r>
      <w:r w:rsidRPr="00CA06AA">
        <w:rPr>
          <w:rFonts w:eastAsia="Times New Roman" w:cs="Times New Roman"/>
          <w:sz w:val="24"/>
          <w:szCs w:val="24"/>
        </w:rPr>
        <w:t>ional</w:t>
      </w:r>
      <w:r>
        <w:rPr>
          <w:rFonts w:eastAsia="Times New Roman" w:cs="Times New Roman"/>
          <w:sz w:val="24"/>
          <w:szCs w:val="24"/>
        </w:rPr>
        <w:t>ă</w:t>
      </w:r>
      <w:r w:rsidRPr="00CA06AA">
        <w:rPr>
          <w:rFonts w:eastAsia="Times New Roman" w:cs="Times New Roman"/>
          <w:sz w:val="24"/>
          <w:szCs w:val="24"/>
        </w:rPr>
        <w:t>, si anume :</w:t>
      </w:r>
    </w:p>
    <w:p w:rsidR="00852F75" w:rsidRPr="00CA06AA" w:rsidRDefault="00852F75" w:rsidP="00852F75">
      <w:pPr>
        <w:shd w:val="clear" w:color="auto" w:fill="FFFFFF"/>
        <w:spacing w:before="100" w:beforeAutospacing="1"/>
        <w:ind w:firstLine="720"/>
        <w:contextualSpacing/>
        <w:jc w:val="both"/>
        <w:rPr>
          <w:rFonts w:eastAsia="Times New Roman" w:cs="Times New Roman"/>
          <w:sz w:val="24"/>
          <w:szCs w:val="24"/>
        </w:rPr>
      </w:pPr>
      <w:r w:rsidRPr="00CA06AA">
        <w:rPr>
          <w:rFonts w:eastAsia="Times New Roman" w:cs="Times New Roman"/>
          <w:sz w:val="24"/>
          <w:szCs w:val="24"/>
        </w:rPr>
        <w:t>1. </w:t>
      </w:r>
      <w:r w:rsidRPr="00CA06AA">
        <w:rPr>
          <w:rFonts w:eastAsia="Times New Roman" w:cs="Times New Roman"/>
          <w:i/>
          <w:iCs/>
          <w:sz w:val="24"/>
          <w:szCs w:val="24"/>
        </w:rPr>
        <w:t>factori lega</w:t>
      </w:r>
      <w:r>
        <w:rPr>
          <w:rFonts w:eastAsia="Times New Roman" w:cs="Times New Roman"/>
          <w:i/>
          <w:iCs/>
          <w:sz w:val="24"/>
          <w:szCs w:val="24"/>
        </w:rPr>
        <w:t>ț</w:t>
      </w:r>
      <w:r w:rsidRPr="00CA06AA">
        <w:rPr>
          <w:rFonts w:eastAsia="Times New Roman" w:cs="Times New Roman"/>
          <w:i/>
          <w:iCs/>
          <w:sz w:val="24"/>
          <w:szCs w:val="24"/>
        </w:rPr>
        <w:t>i forța de muncă,</w:t>
      </w:r>
      <w:r w:rsidRPr="00CA06AA">
        <w:rPr>
          <w:rFonts w:eastAsia="Times New Roman" w:cs="Times New Roman"/>
          <w:sz w:val="24"/>
          <w:szCs w:val="24"/>
        </w:rPr>
        <w:t> respectiv: costul muncii cu luarea in calcul a productivit</w:t>
      </w:r>
      <w:r>
        <w:rPr>
          <w:rFonts w:eastAsia="Times New Roman" w:cs="Times New Roman"/>
          <w:sz w:val="24"/>
          <w:szCs w:val="24"/>
        </w:rPr>
        <w:t>ății ș</w:t>
      </w:r>
      <w:r w:rsidRPr="00CA06AA">
        <w:rPr>
          <w:rFonts w:eastAsia="Times New Roman" w:cs="Times New Roman"/>
          <w:sz w:val="24"/>
          <w:szCs w:val="24"/>
        </w:rPr>
        <w:t>i a cheltuielilor de regie, disponibilul de for</w:t>
      </w:r>
      <w:r>
        <w:rPr>
          <w:rFonts w:eastAsia="Times New Roman" w:cs="Times New Roman"/>
          <w:sz w:val="24"/>
          <w:szCs w:val="24"/>
        </w:rPr>
        <w:t>ța de muncă</w:t>
      </w:r>
      <w:r w:rsidRPr="00CA06AA">
        <w:rPr>
          <w:rFonts w:eastAsia="Times New Roman" w:cs="Times New Roman"/>
          <w:sz w:val="24"/>
          <w:szCs w:val="24"/>
        </w:rPr>
        <w:t xml:space="preserve"> </w:t>
      </w:r>
      <w:r>
        <w:rPr>
          <w:rFonts w:eastAsia="Times New Roman" w:cs="Times New Roman"/>
          <w:sz w:val="24"/>
          <w:szCs w:val="24"/>
        </w:rPr>
        <w:t>ș</w:t>
      </w:r>
      <w:r w:rsidRPr="00CA06AA">
        <w:rPr>
          <w:rFonts w:eastAsia="Times New Roman" w:cs="Times New Roman"/>
          <w:sz w:val="24"/>
          <w:szCs w:val="24"/>
        </w:rPr>
        <w:t>i calificarea acesteia, calitat</w:t>
      </w:r>
      <w:r>
        <w:rPr>
          <w:rFonts w:eastAsia="Times New Roman" w:cs="Times New Roman"/>
          <w:sz w:val="24"/>
          <w:szCs w:val="24"/>
        </w:rPr>
        <w:t>ea managementului, know-how-ul î</w:t>
      </w:r>
      <w:r w:rsidRPr="00CA06AA">
        <w:rPr>
          <w:rFonts w:eastAsia="Times New Roman" w:cs="Times New Roman"/>
          <w:sz w:val="24"/>
          <w:szCs w:val="24"/>
        </w:rPr>
        <w:t xml:space="preserve">n diferite subsectoare ale acestei ramuri industriale </w:t>
      </w:r>
    </w:p>
    <w:p w:rsidR="00852F75" w:rsidRPr="00CA06AA" w:rsidRDefault="00852F75" w:rsidP="00852F75">
      <w:pPr>
        <w:shd w:val="clear" w:color="auto" w:fill="FFFFFF"/>
        <w:spacing w:before="100" w:beforeAutospacing="1"/>
        <w:ind w:firstLine="720"/>
        <w:contextualSpacing/>
        <w:jc w:val="both"/>
        <w:rPr>
          <w:rFonts w:eastAsia="Times New Roman" w:cs="Times New Roman"/>
          <w:sz w:val="24"/>
          <w:szCs w:val="24"/>
        </w:rPr>
      </w:pPr>
      <w:r w:rsidRPr="00CA06AA">
        <w:rPr>
          <w:rFonts w:eastAsia="Times New Roman" w:cs="Times New Roman"/>
          <w:sz w:val="24"/>
          <w:szCs w:val="24"/>
        </w:rPr>
        <w:t>2.</w:t>
      </w:r>
      <w:r w:rsidRPr="00CA06AA">
        <w:rPr>
          <w:rFonts w:eastAsia="Times New Roman" w:cs="Times New Roman"/>
          <w:i/>
          <w:iCs/>
          <w:sz w:val="24"/>
          <w:szCs w:val="24"/>
        </w:rPr>
        <w:t> factori industriali</w:t>
      </w:r>
      <w:r w:rsidRPr="00CA06AA">
        <w:rPr>
          <w:rFonts w:eastAsia="Times New Roman" w:cs="Times New Roman"/>
          <w:b/>
          <w:bCs/>
          <w:sz w:val="24"/>
          <w:szCs w:val="24"/>
        </w:rPr>
        <w:t> </w:t>
      </w:r>
      <w:r w:rsidRPr="00CA06AA">
        <w:rPr>
          <w:rFonts w:eastAsia="Times New Roman" w:cs="Times New Roman"/>
          <w:sz w:val="24"/>
          <w:szCs w:val="24"/>
        </w:rPr>
        <w:t>ca: disponibilit</w:t>
      </w:r>
      <w:r>
        <w:rPr>
          <w:rFonts w:eastAsia="Times New Roman" w:cs="Times New Roman"/>
          <w:sz w:val="24"/>
          <w:szCs w:val="24"/>
        </w:rPr>
        <w:t>ăț</w:t>
      </w:r>
      <w:r w:rsidRPr="00CA06AA">
        <w:rPr>
          <w:rFonts w:eastAsia="Times New Roman" w:cs="Times New Roman"/>
          <w:sz w:val="24"/>
          <w:szCs w:val="24"/>
        </w:rPr>
        <w:t xml:space="preserve">ile interne </w:t>
      </w:r>
      <w:r>
        <w:rPr>
          <w:rFonts w:eastAsia="Times New Roman" w:cs="Times New Roman"/>
          <w:sz w:val="24"/>
          <w:szCs w:val="24"/>
        </w:rPr>
        <w:t>de materii prime, dotarea cu maș</w:t>
      </w:r>
      <w:r w:rsidRPr="00CA06AA">
        <w:rPr>
          <w:rFonts w:eastAsia="Times New Roman" w:cs="Times New Roman"/>
          <w:sz w:val="24"/>
          <w:szCs w:val="24"/>
        </w:rPr>
        <w:t xml:space="preserve">ini </w:t>
      </w:r>
      <w:r>
        <w:rPr>
          <w:rFonts w:eastAsia="Times New Roman" w:cs="Times New Roman"/>
          <w:sz w:val="24"/>
          <w:szCs w:val="24"/>
        </w:rPr>
        <w:t>ș</w:t>
      </w:r>
      <w:r w:rsidRPr="00CA06AA">
        <w:rPr>
          <w:rFonts w:eastAsia="Times New Roman" w:cs="Times New Roman"/>
          <w:sz w:val="24"/>
          <w:szCs w:val="24"/>
        </w:rPr>
        <w:t xml:space="preserve">i utilaje eficiente </w:t>
      </w:r>
    </w:p>
    <w:p w:rsidR="00852F75" w:rsidRPr="00CA06AA" w:rsidRDefault="00852F75" w:rsidP="00852F75">
      <w:pPr>
        <w:shd w:val="clear" w:color="auto" w:fill="FFFFFF"/>
        <w:spacing w:before="100" w:beforeAutospacing="1"/>
        <w:ind w:firstLine="720"/>
        <w:contextualSpacing/>
        <w:jc w:val="both"/>
        <w:rPr>
          <w:rFonts w:eastAsia="Times New Roman" w:cs="Times New Roman"/>
          <w:sz w:val="24"/>
          <w:szCs w:val="24"/>
        </w:rPr>
      </w:pPr>
      <w:r w:rsidRPr="00CA06AA">
        <w:rPr>
          <w:rFonts w:eastAsia="Times New Roman" w:cs="Times New Roman"/>
          <w:sz w:val="24"/>
          <w:szCs w:val="24"/>
        </w:rPr>
        <w:t>3. </w:t>
      </w:r>
      <w:r w:rsidRPr="00CA06AA">
        <w:rPr>
          <w:rFonts w:eastAsia="Times New Roman" w:cs="Times New Roman"/>
          <w:i/>
          <w:iCs/>
          <w:sz w:val="24"/>
          <w:szCs w:val="24"/>
        </w:rPr>
        <w:t>factori economici generali</w:t>
      </w:r>
      <w:r w:rsidRPr="00CA06AA">
        <w:rPr>
          <w:rFonts w:eastAsia="Times New Roman" w:cs="Times New Roman"/>
          <w:b/>
          <w:bCs/>
          <w:sz w:val="24"/>
          <w:szCs w:val="24"/>
        </w:rPr>
        <w:t> </w:t>
      </w:r>
      <w:r>
        <w:rPr>
          <w:rFonts w:eastAsia="Times New Roman" w:cs="Times New Roman"/>
          <w:sz w:val="24"/>
          <w:szCs w:val="24"/>
        </w:rPr>
        <w:t>ca: accesul la sursele de finanț</w:t>
      </w:r>
      <w:r w:rsidRPr="00CA06AA">
        <w:rPr>
          <w:rFonts w:eastAsia="Times New Roman" w:cs="Times New Roman"/>
          <w:sz w:val="24"/>
          <w:szCs w:val="24"/>
        </w:rPr>
        <w:t>are, disponibilit</w:t>
      </w:r>
      <w:r>
        <w:rPr>
          <w:rFonts w:eastAsia="Times New Roman" w:cs="Times New Roman"/>
          <w:sz w:val="24"/>
          <w:szCs w:val="24"/>
        </w:rPr>
        <w:t>ățile de energie ieftină</w:t>
      </w:r>
      <w:r w:rsidRPr="00CA06AA">
        <w:rPr>
          <w:rFonts w:eastAsia="Times New Roman" w:cs="Times New Roman"/>
          <w:sz w:val="24"/>
          <w:szCs w:val="24"/>
        </w:rPr>
        <w:t>, cheltuielile pentru efectuarea tranzac</w:t>
      </w:r>
      <w:r>
        <w:rPr>
          <w:rFonts w:eastAsia="Times New Roman" w:cs="Times New Roman"/>
          <w:sz w:val="24"/>
          <w:szCs w:val="24"/>
        </w:rPr>
        <w:t>ției î</w:t>
      </w:r>
      <w:r w:rsidRPr="00CA06AA">
        <w:rPr>
          <w:rFonts w:eastAsia="Times New Roman" w:cs="Times New Roman"/>
          <w:sz w:val="24"/>
          <w:szCs w:val="24"/>
        </w:rPr>
        <w:t>n sens larg, incluz</w:t>
      </w:r>
      <w:r>
        <w:rPr>
          <w:rFonts w:eastAsia="Times New Roman" w:cs="Times New Roman"/>
          <w:sz w:val="24"/>
          <w:szCs w:val="24"/>
        </w:rPr>
        <w:t>â</w:t>
      </w:r>
      <w:r w:rsidRPr="00CA06AA">
        <w:rPr>
          <w:rFonts w:eastAsia="Times New Roman" w:cs="Times New Roman"/>
          <w:sz w:val="24"/>
          <w:szCs w:val="24"/>
        </w:rPr>
        <w:t>nd dificult</w:t>
      </w:r>
      <w:r>
        <w:rPr>
          <w:rFonts w:eastAsia="Times New Roman" w:cs="Times New Roman"/>
          <w:sz w:val="24"/>
          <w:szCs w:val="24"/>
        </w:rPr>
        <w:t>ăț</w:t>
      </w:r>
      <w:r w:rsidRPr="00CA06AA">
        <w:rPr>
          <w:rFonts w:eastAsia="Times New Roman" w:cs="Times New Roman"/>
          <w:sz w:val="24"/>
          <w:szCs w:val="24"/>
        </w:rPr>
        <w:t xml:space="preserve">i </w:t>
      </w:r>
      <w:r>
        <w:rPr>
          <w:rFonts w:eastAsia="Times New Roman" w:cs="Times New Roman"/>
          <w:sz w:val="24"/>
          <w:szCs w:val="24"/>
        </w:rPr>
        <w:t>î</w:t>
      </w:r>
      <w:r w:rsidRPr="00CA06AA">
        <w:rPr>
          <w:rFonts w:eastAsia="Times New Roman" w:cs="Times New Roman"/>
          <w:sz w:val="24"/>
          <w:szCs w:val="24"/>
        </w:rPr>
        <w:t>n derularea procedurilor de import/export, ineficien</w:t>
      </w:r>
      <w:r>
        <w:rPr>
          <w:rFonts w:eastAsia="Times New Roman" w:cs="Times New Roman"/>
          <w:sz w:val="24"/>
          <w:szCs w:val="24"/>
        </w:rPr>
        <w:t>ț</w:t>
      </w:r>
      <w:r w:rsidRPr="00CA06AA">
        <w:rPr>
          <w:rFonts w:eastAsia="Times New Roman" w:cs="Times New Roman"/>
          <w:sz w:val="24"/>
          <w:szCs w:val="24"/>
        </w:rPr>
        <w:t>a bir</w:t>
      </w:r>
      <w:r>
        <w:rPr>
          <w:rFonts w:eastAsia="Times New Roman" w:cs="Times New Roman"/>
          <w:sz w:val="24"/>
          <w:szCs w:val="24"/>
        </w:rPr>
        <w:t>ocratică, starea transportului ș</w:t>
      </w:r>
      <w:r w:rsidRPr="00CA06AA">
        <w:rPr>
          <w:rFonts w:eastAsia="Times New Roman" w:cs="Times New Roman"/>
          <w:sz w:val="24"/>
          <w:szCs w:val="24"/>
        </w:rPr>
        <w:t xml:space="preserve">i </w:t>
      </w:r>
      <w:r>
        <w:rPr>
          <w:rFonts w:eastAsia="Times New Roman" w:cs="Times New Roman"/>
          <w:sz w:val="24"/>
          <w:szCs w:val="24"/>
        </w:rPr>
        <w:t xml:space="preserve">a </w:t>
      </w:r>
      <w:r w:rsidRPr="00CA06AA">
        <w:rPr>
          <w:rFonts w:eastAsia="Times New Roman" w:cs="Times New Roman"/>
          <w:sz w:val="24"/>
          <w:szCs w:val="24"/>
        </w:rPr>
        <w:t xml:space="preserve">infrastructurii </w:t>
      </w:r>
      <w:r>
        <w:rPr>
          <w:rFonts w:eastAsia="Times New Roman" w:cs="Times New Roman"/>
          <w:sz w:val="24"/>
          <w:szCs w:val="24"/>
        </w:rPr>
        <w:t>î</w:t>
      </w:r>
      <w:r w:rsidRPr="00CA06AA">
        <w:rPr>
          <w:rFonts w:eastAsia="Times New Roman" w:cs="Times New Roman"/>
          <w:sz w:val="24"/>
          <w:szCs w:val="24"/>
        </w:rPr>
        <w:t xml:space="preserve">n interiorul </w:t>
      </w:r>
      <w:r>
        <w:rPr>
          <w:rFonts w:eastAsia="Times New Roman" w:cs="Times New Roman"/>
          <w:sz w:val="24"/>
          <w:szCs w:val="24"/>
        </w:rPr>
        <w:t>ță</w:t>
      </w:r>
      <w:r w:rsidRPr="00CA06AA">
        <w:rPr>
          <w:rFonts w:eastAsia="Times New Roman" w:cs="Times New Roman"/>
          <w:sz w:val="24"/>
          <w:szCs w:val="24"/>
        </w:rPr>
        <w:t xml:space="preserve">rii </w:t>
      </w:r>
    </w:p>
    <w:p w:rsidR="00852F75" w:rsidRPr="00CA06AA" w:rsidRDefault="00852F75" w:rsidP="00852F75">
      <w:pPr>
        <w:shd w:val="clear" w:color="auto" w:fill="FFFFFF"/>
        <w:spacing w:before="100" w:beforeAutospacing="1"/>
        <w:ind w:firstLine="720"/>
        <w:contextualSpacing/>
        <w:jc w:val="both"/>
        <w:rPr>
          <w:rFonts w:eastAsia="Times New Roman" w:cs="Times New Roman"/>
          <w:color w:val="171717"/>
          <w:sz w:val="24"/>
          <w:szCs w:val="24"/>
        </w:rPr>
      </w:pPr>
      <w:r w:rsidRPr="00CA06AA">
        <w:rPr>
          <w:rFonts w:eastAsia="Times New Roman" w:cs="Times New Roman"/>
          <w:sz w:val="24"/>
          <w:szCs w:val="24"/>
        </w:rPr>
        <w:t>4. </w:t>
      </w:r>
      <w:r w:rsidRPr="00CA06AA">
        <w:rPr>
          <w:rFonts w:eastAsia="Times New Roman" w:cs="Times New Roman"/>
          <w:i/>
          <w:iCs/>
          <w:sz w:val="24"/>
          <w:szCs w:val="24"/>
        </w:rPr>
        <w:t>factori comerciali sau de „service”</w:t>
      </w:r>
      <w:r w:rsidRPr="00CA06AA">
        <w:rPr>
          <w:rFonts w:eastAsia="Times New Roman" w:cs="Times New Roman"/>
          <w:b/>
          <w:bCs/>
          <w:sz w:val="24"/>
          <w:szCs w:val="24"/>
        </w:rPr>
        <w:t> </w:t>
      </w:r>
      <w:r w:rsidRPr="00CA06AA">
        <w:rPr>
          <w:rFonts w:eastAsia="Times New Roman" w:cs="Times New Roman"/>
          <w:sz w:val="24"/>
          <w:szCs w:val="24"/>
        </w:rPr>
        <w:t>ca: siguran</w:t>
      </w:r>
      <w:r>
        <w:rPr>
          <w:rFonts w:eastAsia="Times New Roman" w:cs="Times New Roman"/>
          <w:sz w:val="24"/>
          <w:szCs w:val="24"/>
        </w:rPr>
        <w:t>ț</w:t>
      </w:r>
      <w:r w:rsidRPr="00CA06AA">
        <w:rPr>
          <w:rFonts w:eastAsia="Times New Roman" w:cs="Times New Roman"/>
          <w:sz w:val="24"/>
          <w:szCs w:val="24"/>
        </w:rPr>
        <w:t>a respect</w:t>
      </w:r>
      <w:r>
        <w:rPr>
          <w:rFonts w:eastAsia="Times New Roman" w:cs="Times New Roman"/>
          <w:sz w:val="24"/>
          <w:szCs w:val="24"/>
        </w:rPr>
        <w:t>ă</w:t>
      </w:r>
      <w:r w:rsidRPr="00CA06AA">
        <w:rPr>
          <w:rFonts w:eastAsia="Times New Roman" w:cs="Times New Roman"/>
          <w:sz w:val="24"/>
          <w:szCs w:val="24"/>
        </w:rPr>
        <w:t>rii termenelor de livrare, calitatea produselor, respectarea specifica</w:t>
      </w:r>
      <w:r>
        <w:rPr>
          <w:rFonts w:eastAsia="Times New Roman" w:cs="Times New Roman"/>
          <w:sz w:val="24"/>
          <w:szCs w:val="24"/>
        </w:rPr>
        <w:t>ț</w:t>
      </w:r>
      <w:r w:rsidRPr="00CA06AA">
        <w:rPr>
          <w:rFonts w:eastAsia="Times New Roman" w:cs="Times New Roman"/>
          <w:sz w:val="24"/>
          <w:szCs w:val="24"/>
        </w:rPr>
        <w:t>iilor ce</w:t>
      </w:r>
      <w:r>
        <w:rPr>
          <w:rFonts w:eastAsia="Times New Roman" w:cs="Times New Roman"/>
          <w:sz w:val="24"/>
          <w:szCs w:val="24"/>
        </w:rPr>
        <w:t>rute de client, flexibilitatea și ră</w:t>
      </w:r>
      <w:r w:rsidRPr="00CA06AA">
        <w:rPr>
          <w:rFonts w:eastAsia="Times New Roman" w:cs="Times New Roman"/>
          <w:sz w:val="24"/>
          <w:szCs w:val="24"/>
        </w:rPr>
        <w:t>spunsul rapid la comenzi, designul si crea</w:t>
      </w:r>
      <w:r>
        <w:rPr>
          <w:rFonts w:eastAsia="Times New Roman" w:cs="Times New Roman"/>
          <w:sz w:val="24"/>
          <w:szCs w:val="24"/>
        </w:rPr>
        <w:t>țiile proprii de modă</w:t>
      </w:r>
      <w:r w:rsidRPr="00CA06AA">
        <w:rPr>
          <w:rFonts w:eastAsia="Times New Roman" w:cs="Times New Roman"/>
          <w:sz w:val="24"/>
          <w:szCs w:val="24"/>
        </w:rPr>
        <w:t>, proximitatea geografic</w:t>
      </w:r>
      <w:r>
        <w:rPr>
          <w:rFonts w:eastAsia="Times New Roman" w:cs="Times New Roman"/>
          <w:sz w:val="24"/>
          <w:szCs w:val="24"/>
        </w:rPr>
        <w:t>ă</w:t>
      </w:r>
      <w:r w:rsidRPr="00CA06AA">
        <w:rPr>
          <w:rFonts w:eastAsia="Times New Roman" w:cs="Times New Roman"/>
          <w:sz w:val="24"/>
          <w:szCs w:val="24"/>
        </w:rPr>
        <w:t xml:space="preserve"> fa</w:t>
      </w:r>
      <w:r>
        <w:rPr>
          <w:rFonts w:eastAsia="Times New Roman" w:cs="Times New Roman"/>
          <w:sz w:val="24"/>
          <w:szCs w:val="24"/>
        </w:rPr>
        <w:t>ță</w:t>
      </w:r>
      <w:r w:rsidRPr="00CA06AA">
        <w:rPr>
          <w:rFonts w:eastAsia="Times New Roman" w:cs="Times New Roman"/>
          <w:sz w:val="24"/>
          <w:szCs w:val="24"/>
        </w:rPr>
        <w:t xml:space="preserve"> de client, proximitatea cultural</w:t>
      </w:r>
      <w:r>
        <w:rPr>
          <w:rFonts w:eastAsia="Times New Roman" w:cs="Times New Roman"/>
          <w:sz w:val="24"/>
          <w:szCs w:val="24"/>
        </w:rPr>
        <w:t>ă și de limbă</w:t>
      </w:r>
      <w:r w:rsidRPr="00CA06AA">
        <w:rPr>
          <w:rFonts w:eastAsia="Times New Roman" w:cs="Times New Roman"/>
          <w:sz w:val="24"/>
          <w:szCs w:val="24"/>
        </w:rPr>
        <w:t xml:space="preserve"> </w:t>
      </w:r>
    </w:p>
    <w:p w:rsidR="00852F75" w:rsidRPr="00CA06AA" w:rsidRDefault="00852F75" w:rsidP="00852F75">
      <w:pPr>
        <w:shd w:val="clear" w:color="auto" w:fill="FFFFFF"/>
        <w:spacing w:before="100" w:beforeAutospacing="1"/>
        <w:contextualSpacing/>
        <w:jc w:val="both"/>
        <w:rPr>
          <w:rFonts w:eastAsia="Times New Roman" w:cs="Times New Roman"/>
          <w:color w:val="171717"/>
          <w:sz w:val="24"/>
          <w:szCs w:val="24"/>
        </w:rPr>
      </w:pPr>
      <w:r w:rsidRPr="00CA06AA">
        <w:rPr>
          <w:rFonts w:eastAsia="Times New Roman" w:cs="Times New Roman"/>
          <w:color w:val="171717"/>
          <w:sz w:val="24"/>
          <w:szCs w:val="24"/>
        </w:rPr>
        <w:t>O imagine global</w:t>
      </w:r>
      <w:r>
        <w:rPr>
          <w:rFonts w:eastAsia="Times New Roman" w:cs="Times New Roman"/>
          <w:color w:val="171717"/>
          <w:sz w:val="24"/>
          <w:szCs w:val="24"/>
        </w:rPr>
        <w:t>ă</w:t>
      </w:r>
      <w:r w:rsidRPr="00CA06AA">
        <w:rPr>
          <w:rFonts w:eastAsia="Times New Roman" w:cs="Times New Roman"/>
          <w:color w:val="171717"/>
          <w:sz w:val="24"/>
          <w:szCs w:val="24"/>
        </w:rPr>
        <w:t xml:space="preserve"> a pozi</w:t>
      </w:r>
      <w:r>
        <w:rPr>
          <w:rFonts w:eastAsia="Times New Roman" w:cs="Times New Roman"/>
          <w:color w:val="171717"/>
          <w:sz w:val="24"/>
          <w:szCs w:val="24"/>
        </w:rPr>
        <w:t>ț</w:t>
      </w:r>
      <w:r w:rsidRPr="00CA06AA">
        <w:rPr>
          <w:rFonts w:eastAsia="Times New Roman" w:cs="Times New Roman"/>
          <w:color w:val="171717"/>
          <w:sz w:val="24"/>
          <w:szCs w:val="24"/>
        </w:rPr>
        <w:t>ion</w:t>
      </w:r>
      <w:r>
        <w:rPr>
          <w:rFonts w:eastAsia="Times New Roman" w:cs="Times New Roman"/>
          <w:color w:val="171717"/>
          <w:sz w:val="24"/>
          <w:szCs w:val="24"/>
        </w:rPr>
        <w:t>ă</w:t>
      </w:r>
      <w:r w:rsidRPr="00CA06AA">
        <w:rPr>
          <w:rFonts w:eastAsia="Times New Roman" w:cs="Times New Roman"/>
          <w:color w:val="171717"/>
          <w:sz w:val="24"/>
          <w:szCs w:val="24"/>
        </w:rPr>
        <w:t>rii elementelor de competitivitate ca furnizori de textile-</w:t>
      </w:r>
      <w:r>
        <w:rPr>
          <w:rFonts w:eastAsia="Times New Roman" w:cs="Times New Roman"/>
          <w:color w:val="171717"/>
          <w:sz w:val="24"/>
          <w:szCs w:val="24"/>
        </w:rPr>
        <w:t>î</w:t>
      </w:r>
      <w:r w:rsidRPr="00CA06AA">
        <w:rPr>
          <w:rFonts w:eastAsia="Times New Roman" w:cs="Times New Roman"/>
          <w:color w:val="171717"/>
          <w:sz w:val="24"/>
          <w:szCs w:val="24"/>
        </w:rPr>
        <w:t>mbr</w:t>
      </w:r>
      <w:r>
        <w:rPr>
          <w:rFonts w:eastAsia="Times New Roman" w:cs="Times New Roman"/>
          <w:color w:val="171717"/>
          <w:sz w:val="24"/>
          <w:szCs w:val="24"/>
        </w:rPr>
        <w:t>ăcă</w:t>
      </w:r>
      <w:r w:rsidRPr="00CA06AA">
        <w:rPr>
          <w:rFonts w:eastAsia="Times New Roman" w:cs="Times New Roman"/>
          <w:color w:val="171717"/>
          <w:sz w:val="24"/>
          <w:szCs w:val="24"/>
        </w:rPr>
        <w:t>minte pe pia</w:t>
      </w:r>
      <w:r>
        <w:rPr>
          <w:rFonts w:eastAsia="Times New Roman" w:cs="Times New Roman"/>
          <w:color w:val="171717"/>
          <w:sz w:val="24"/>
          <w:szCs w:val="24"/>
        </w:rPr>
        <w:t>ța internaț</w:t>
      </w:r>
      <w:r w:rsidRPr="00CA06AA">
        <w:rPr>
          <w:rFonts w:eastAsia="Times New Roman" w:cs="Times New Roman"/>
          <w:color w:val="171717"/>
          <w:sz w:val="24"/>
          <w:szCs w:val="24"/>
        </w:rPr>
        <w:t>ional</w:t>
      </w:r>
      <w:r>
        <w:rPr>
          <w:rFonts w:eastAsia="Times New Roman" w:cs="Times New Roman"/>
          <w:color w:val="171717"/>
          <w:sz w:val="24"/>
          <w:szCs w:val="24"/>
        </w:rPr>
        <w:t>ă</w:t>
      </w:r>
      <w:r w:rsidRPr="00CA06AA">
        <w:rPr>
          <w:rFonts w:eastAsia="Times New Roman" w:cs="Times New Roman"/>
          <w:color w:val="171717"/>
          <w:sz w:val="24"/>
          <w:szCs w:val="24"/>
        </w:rPr>
        <w:t xml:space="preserve"> relev</w:t>
      </w:r>
      <w:r>
        <w:rPr>
          <w:rFonts w:eastAsia="Times New Roman" w:cs="Times New Roman"/>
          <w:color w:val="171717"/>
          <w:sz w:val="24"/>
          <w:szCs w:val="24"/>
        </w:rPr>
        <w:t>ă</w:t>
      </w:r>
      <w:r w:rsidRPr="00CA06AA">
        <w:rPr>
          <w:rFonts w:eastAsia="Times New Roman" w:cs="Times New Roman"/>
          <w:color w:val="171717"/>
          <w:sz w:val="24"/>
          <w:szCs w:val="24"/>
        </w:rPr>
        <w:t xml:space="preserve"> ca </w:t>
      </w:r>
      <w:r>
        <w:rPr>
          <w:rFonts w:eastAsia="Times New Roman" w:cs="Times New Roman"/>
          <w:color w:val="171717"/>
          <w:sz w:val="24"/>
          <w:szCs w:val="24"/>
        </w:rPr>
        <w:t>ță</w:t>
      </w:r>
      <w:r w:rsidRPr="00CA06AA">
        <w:rPr>
          <w:rFonts w:eastAsia="Times New Roman" w:cs="Times New Roman"/>
          <w:color w:val="171717"/>
          <w:sz w:val="24"/>
          <w:szCs w:val="24"/>
        </w:rPr>
        <w:t>ri competitive</w:t>
      </w:r>
      <w:r>
        <w:rPr>
          <w:rFonts w:eastAsia="Times New Roman" w:cs="Times New Roman"/>
          <w:color w:val="171717"/>
          <w:sz w:val="24"/>
          <w:szCs w:val="24"/>
        </w:rPr>
        <w:t xml:space="preserve"> China, India si Turcia, cu menț</w:t>
      </w:r>
      <w:r w:rsidRPr="00CA06AA">
        <w:rPr>
          <w:rFonts w:eastAsia="Times New Roman" w:cs="Times New Roman"/>
          <w:color w:val="171717"/>
          <w:sz w:val="24"/>
          <w:szCs w:val="24"/>
        </w:rPr>
        <w:t>iunea</w:t>
      </w:r>
      <w:r>
        <w:rPr>
          <w:rFonts w:eastAsia="Times New Roman" w:cs="Times New Roman"/>
          <w:color w:val="171717"/>
          <w:sz w:val="24"/>
          <w:szCs w:val="24"/>
        </w:rPr>
        <w:t xml:space="preserve"> </w:t>
      </w:r>
      <w:r w:rsidRPr="00CA06AA">
        <w:rPr>
          <w:rFonts w:eastAsia="Times New Roman" w:cs="Times New Roman"/>
          <w:color w:val="171717"/>
          <w:sz w:val="24"/>
          <w:szCs w:val="24"/>
        </w:rPr>
        <w:t>ca, dintre toate, China se deta</w:t>
      </w:r>
      <w:r>
        <w:rPr>
          <w:rFonts w:eastAsia="Times New Roman" w:cs="Times New Roman"/>
          <w:color w:val="171717"/>
          <w:sz w:val="24"/>
          <w:szCs w:val="24"/>
        </w:rPr>
        <w:t>ș</w:t>
      </w:r>
      <w:r w:rsidRPr="00CA06AA">
        <w:rPr>
          <w:rFonts w:eastAsia="Times New Roman" w:cs="Times New Roman"/>
          <w:color w:val="171717"/>
          <w:sz w:val="24"/>
          <w:szCs w:val="24"/>
        </w:rPr>
        <w:t>eaz</w:t>
      </w:r>
      <w:r>
        <w:rPr>
          <w:rFonts w:eastAsia="Times New Roman" w:cs="Times New Roman"/>
          <w:color w:val="171717"/>
          <w:sz w:val="24"/>
          <w:szCs w:val="24"/>
        </w:rPr>
        <w:t>ă</w:t>
      </w:r>
      <w:r w:rsidRPr="00CA06AA">
        <w:rPr>
          <w:rFonts w:eastAsia="Times New Roman" w:cs="Times New Roman"/>
          <w:color w:val="171717"/>
          <w:sz w:val="24"/>
          <w:szCs w:val="24"/>
        </w:rPr>
        <w:t xml:space="preserve"> ca fiind cea mai competitiv</w:t>
      </w:r>
      <w:r>
        <w:rPr>
          <w:rFonts w:eastAsia="Times New Roman" w:cs="Times New Roman"/>
          <w:color w:val="171717"/>
          <w:sz w:val="24"/>
          <w:szCs w:val="24"/>
        </w:rPr>
        <w:t>ă</w:t>
      </w:r>
      <w:r w:rsidRPr="00CA06AA">
        <w:rPr>
          <w:rFonts w:eastAsia="Times New Roman" w:cs="Times New Roman"/>
          <w:color w:val="171717"/>
          <w:sz w:val="24"/>
          <w:szCs w:val="24"/>
        </w:rPr>
        <w:t xml:space="preserve"> pentru</w:t>
      </w:r>
      <w:r>
        <w:rPr>
          <w:rFonts w:eastAsia="Times New Roman" w:cs="Times New Roman"/>
          <w:color w:val="171717"/>
          <w:sz w:val="24"/>
          <w:szCs w:val="24"/>
        </w:rPr>
        <w:t xml:space="preserve"> produsele din segmentul de piață</w:t>
      </w:r>
      <w:r w:rsidRPr="00CA06AA">
        <w:rPr>
          <w:rFonts w:eastAsia="Times New Roman" w:cs="Times New Roman"/>
          <w:color w:val="171717"/>
          <w:sz w:val="24"/>
          <w:szCs w:val="24"/>
        </w:rPr>
        <w:t xml:space="preserve"> la care pre</w:t>
      </w:r>
      <w:r>
        <w:rPr>
          <w:rFonts w:eastAsia="Times New Roman" w:cs="Times New Roman"/>
          <w:color w:val="171717"/>
          <w:sz w:val="24"/>
          <w:szCs w:val="24"/>
        </w:rPr>
        <w:t>ț</w:t>
      </w:r>
      <w:r w:rsidRPr="00CA06AA">
        <w:rPr>
          <w:rFonts w:eastAsia="Times New Roman" w:cs="Times New Roman"/>
          <w:color w:val="171717"/>
          <w:sz w:val="24"/>
          <w:szCs w:val="24"/>
        </w:rPr>
        <w:t>ul este criteriul prioritar. Turcia, de asemenea este bine pozi</w:t>
      </w:r>
      <w:r>
        <w:rPr>
          <w:rFonts w:eastAsia="Times New Roman" w:cs="Times New Roman"/>
          <w:color w:val="171717"/>
          <w:sz w:val="24"/>
          <w:szCs w:val="24"/>
        </w:rPr>
        <w:t>ț</w:t>
      </w:r>
      <w:r w:rsidRPr="00CA06AA">
        <w:rPr>
          <w:rFonts w:eastAsia="Times New Roman" w:cs="Times New Roman"/>
          <w:color w:val="171717"/>
          <w:sz w:val="24"/>
          <w:szCs w:val="24"/>
        </w:rPr>
        <w:t>ionat</w:t>
      </w:r>
      <w:r>
        <w:rPr>
          <w:rFonts w:eastAsia="Times New Roman" w:cs="Times New Roman"/>
          <w:color w:val="171717"/>
          <w:sz w:val="24"/>
          <w:szCs w:val="24"/>
        </w:rPr>
        <w:t>ă</w:t>
      </w:r>
      <w:r w:rsidRPr="00CA06AA">
        <w:rPr>
          <w:rFonts w:eastAsia="Times New Roman" w:cs="Times New Roman"/>
          <w:color w:val="171717"/>
          <w:sz w:val="24"/>
          <w:szCs w:val="24"/>
        </w:rPr>
        <w:t xml:space="preserve"> pe pie</w:t>
      </w:r>
      <w:r>
        <w:rPr>
          <w:rFonts w:eastAsia="Times New Roman" w:cs="Times New Roman"/>
          <w:color w:val="171717"/>
          <w:sz w:val="24"/>
          <w:szCs w:val="24"/>
        </w:rPr>
        <w:t>ț</w:t>
      </w:r>
      <w:r w:rsidRPr="00CA06AA">
        <w:rPr>
          <w:rFonts w:eastAsia="Times New Roman" w:cs="Times New Roman"/>
          <w:color w:val="171717"/>
          <w:sz w:val="24"/>
          <w:szCs w:val="24"/>
        </w:rPr>
        <w:t xml:space="preserve">ele </w:t>
      </w:r>
      <w:r>
        <w:rPr>
          <w:rFonts w:eastAsia="Times New Roman" w:cs="Times New Roman"/>
          <w:color w:val="171717"/>
          <w:sz w:val="24"/>
          <w:szCs w:val="24"/>
        </w:rPr>
        <w:t>î</w:t>
      </w:r>
      <w:r w:rsidRPr="00CA06AA">
        <w:rPr>
          <w:rFonts w:eastAsia="Times New Roman" w:cs="Times New Roman"/>
          <w:color w:val="171717"/>
          <w:sz w:val="24"/>
          <w:szCs w:val="24"/>
        </w:rPr>
        <w:t xml:space="preserve">n care flexibilitatea </w:t>
      </w:r>
      <w:r>
        <w:rPr>
          <w:rFonts w:eastAsia="Times New Roman" w:cs="Times New Roman"/>
          <w:color w:val="171717"/>
          <w:sz w:val="24"/>
          <w:szCs w:val="24"/>
        </w:rPr>
        <w:t>ș</w:t>
      </w:r>
      <w:r w:rsidRPr="00CA06AA">
        <w:rPr>
          <w:rFonts w:eastAsia="Times New Roman" w:cs="Times New Roman"/>
          <w:color w:val="171717"/>
          <w:sz w:val="24"/>
          <w:szCs w:val="24"/>
        </w:rPr>
        <w:t>i r</w:t>
      </w:r>
      <w:r>
        <w:rPr>
          <w:rFonts w:eastAsia="Times New Roman" w:cs="Times New Roman"/>
          <w:color w:val="171717"/>
          <w:sz w:val="24"/>
          <w:szCs w:val="24"/>
        </w:rPr>
        <w:t>ă</w:t>
      </w:r>
      <w:r w:rsidRPr="00CA06AA">
        <w:rPr>
          <w:rFonts w:eastAsia="Times New Roman" w:cs="Times New Roman"/>
          <w:color w:val="171717"/>
          <w:sz w:val="24"/>
          <w:szCs w:val="24"/>
        </w:rPr>
        <w:t xml:space="preserve">spunsul rapid </w:t>
      </w:r>
      <w:r>
        <w:rPr>
          <w:rFonts w:eastAsia="Times New Roman" w:cs="Times New Roman"/>
          <w:color w:val="171717"/>
          <w:sz w:val="24"/>
          <w:szCs w:val="24"/>
        </w:rPr>
        <w:t>în executarea comenzilor contează</w:t>
      </w:r>
      <w:r w:rsidRPr="00CA06AA">
        <w:rPr>
          <w:rFonts w:eastAsia="Times New Roman" w:cs="Times New Roman"/>
          <w:color w:val="171717"/>
          <w:sz w:val="24"/>
          <w:szCs w:val="24"/>
        </w:rPr>
        <w:t>, respectiv pe segmentele de pia</w:t>
      </w:r>
      <w:r>
        <w:rPr>
          <w:rFonts w:eastAsia="Times New Roman" w:cs="Times New Roman"/>
          <w:color w:val="171717"/>
          <w:sz w:val="24"/>
          <w:szCs w:val="24"/>
        </w:rPr>
        <w:t>ță</w:t>
      </w:r>
      <w:r w:rsidRPr="00CA06AA">
        <w:rPr>
          <w:rFonts w:eastAsia="Times New Roman" w:cs="Times New Roman"/>
          <w:color w:val="171717"/>
          <w:sz w:val="24"/>
          <w:szCs w:val="24"/>
        </w:rPr>
        <w:t xml:space="preserve"> pentru articole de moda </w:t>
      </w:r>
      <w:r>
        <w:rPr>
          <w:rFonts w:eastAsia="Times New Roman" w:cs="Times New Roman"/>
          <w:color w:val="171717"/>
          <w:sz w:val="24"/>
          <w:szCs w:val="24"/>
        </w:rPr>
        <w:t>ș</w:t>
      </w:r>
      <w:r w:rsidRPr="00CA06AA">
        <w:rPr>
          <w:rFonts w:eastAsia="Times New Roman" w:cs="Times New Roman"/>
          <w:color w:val="171717"/>
          <w:sz w:val="24"/>
          <w:szCs w:val="24"/>
        </w:rPr>
        <w:t>i de marc</w:t>
      </w:r>
      <w:r>
        <w:rPr>
          <w:rFonts w:eastAsia="Times New Roman" w:cs="Times New Roman"/>
          <w:color w:val="171717"/>
          <w:sz w:val="24"/>
          <w:szCs w:val="24"/>
        </w:rPr>
        <w:t>ă</w:t>
      </w:r>
      <w:r w:rsidRPr="00CA06AA">
        <w:rPr>
          <w:rFonts w:eastAsia="Times New Roman" w:cs="Times New Roman"/>
          <w:color w:val="171717"/>
          <w:sz w:val="24"/>
          <w:szCs w:val="24"/>
        </w:rPr>
        <w:t>.</w:t>
      </w:r>
      <w:r w:rsidRPr="00CA06AA">
        <w:rPr>
          <w:rFonts w:eastAsia="Times New Roman" w:cs="Times New Roman"/>
          <w:i/>
          <w:iCs/>
          <w:color w:val="171717"/>
          <w:sz w:val="24"/>
          <w:szCs w:val="24"/>
        </w:rPr>
        <w:t> </w:t>
      </w:r>
      <w:r w:rsidRPr="00495800">
        <w:rPr>
          <w:rFonts w:eastAsia="Times New Roman" w:cs="Times New Roman"/>
          <w:b/>
          <w:iCs/>
          <w:color w:val="171717"/>
          <w:sz w:val="24"/>
          <w:szCs w:val="24"/>
        </w:rPr>
        <w:t>Romania</w:t>
      </w:r>
      <w:r w:rsidRPr="00495800">
        <w:rPr>
          <w:rFonts w:eastAsia="Times New Roman" w:cs="Times New Roman"/>
          <w:b/>
          <w:bCs/>
          <w:color w:val="171717"/>
          <w:sz w:val="24"/>
          <w:szCs w:val="24"/>
        </w:rPr>
        <w:t> </w:t>
      </w:r>
      <w:r w:rsidRPr="00495800">
        <w:rPr>
          <w:rFonts w:eastAsia="Times New Roman" w:cs="Times New Roman"/>
          <w:b/>
          <w:color w:val="171717"/>
          <w:sz w:val="24"/>
          <w:szCs w:val="24"/>
        </w:rPr>
        <w:t>se situează la un nivel mediu de competitivitate</w:t>
      </w:r>
      <w:r w:rsidRPr="00CA06AA">
        <w:rPr>
          <w:rFonts w:eastAsia="Times New Roman" w:cs="Times New Roman"/>
          <w:color w:val="171717"/>
          <w:sz w:val="24"/>
          <w:szCs w:val="24"/>
        </w:rPr>
        <w:t>, fiind dezavantajata sub raportul disponibilit</w:t>
      </w:r>
      <w:r>
        <w:rPr>
          <w:rFonts w:eastAsia="Times New Roman" w:cs="Times New Roman"/>
          <w:color w:val="171717"/>
          <w:sz w:val="24"/>
          <w:szCs w:val="24"/>
        </w:rPr>
        <w:t>ăț</w:t>
      </w:r>
      <w:r w:rsidRPr="00CA06AA">
        <w:rPr>
          <w:rFonts w:eastAsia="Times New Roman" w:cs="Times New Roman"/>
          <w:color w:val="171717"/>
          <w:sz w:val="24"/>
          <w:szCs w:val="24"/>
        </w:rPr>
        <w:t>i</w:t>
      </w:r>
      <w:r>
        <w:rPr>
          <w:rFonts w:eastAsia="Times New Roman" w:cs="Times New Roman"/>
          <w:color w:val="171717"/>
          <w:sz w:val="24"/>
          <w:szCs w:val="24"/>
        </w:rPr>
        <w:t>lor de materii prime din producție proprie ș</w:t>
      </w:r>
      <w:r w:rsidRPr="00CA06AA">
        <w:rPr>
          <w:rFonts w:eastAsia="Times New Roman" w:cs="Times New Roman"/>
          <w:color w:val="171717"/>
          <w:sz w:val="24"/>
          <w:szCs w:val="24"/>
        </w:rPr>
        <w:t>i al gradului de</w:t>
      </w:r>
      <w:r>
        <w:rPr>
          <w:rFonts w:eastAsia="Times New Roman" w:cs="Times New Roman"/>
          <w:color w:val="171717"/>
          <w:sz w:val="24"/>
          <w:szCs w:val="24"/>
        </w:rPr>
        <w:t xml:space="preserve"> dotare tehnică și tehnologică în filaturi, țesă</w:t>
      </w:r>
      <w:r w:rsidRPr="00CA06AA">
        <w:rPr>
          <w:rFonts w:eastAsia="Times New Roman" w:cs="Times New Roman"/>
          <w:color w:val="171717"/>
          <w:sz w:val="24"/>
          <w:szCs w:val="24"/>
        </w:rPr>
        <w:t xml:space="preserve">torii </w:t>
      </w:r>
      <w:r>
        <w:rPr>
          <w:rFonts w:eastAsia="Times New Roman" w:cs="Times New Roman"/>
          <w:color w:val="171717"/>
          <w:sz w:val="24"/>
          <w:szCs w:val="24"/>
        </w:rPr>
        <w:t>ș</w:t>
      </w:r>
      <w:r w:rsidRPr="00CA06AA">
        <w:rPr>
          <w:rFonts w:eastAsia="Times New Roman" w:cs="Times New Roman"/>
          <w:color w:val="171717"/>
          <w:sz w:val="24"/>
          <w:szCs w:val="24"/>
        </w:rPr>
        <w:t>i sec</w:t>
      </w:r>
      <w:r>
        <w:rPr>
          <w:rFonts w:eastAsia="Times New Roman" w:cs="Times New Roman"/>
          <w:color w:val="171717"/>
          <w:sz w:val="24"/>
          <w:szCs w:val="24"/>
        </w:rPr>
        <w:t>ț</w:t>
      </w:r>
      <w:r w:rsidRPr="00CA06AA">
        <w:rPr>
          <w:rFonts w:eastAsia="Times New Roman" w:cs="Times New Roman"/>
          <w:color w:val="171717"/>
          <w:sz w:val="24"/>
          <w:szCs w:val="24"/>
        </w:rPr>
        <w:t>iile de finisaj.</w:t>
      </w:r>
    </w:p>
    <w:p w:rsidR="00852F75" w:rsidRPr="00CA06AA" w:rsidRDefault="00852F75" w:rsidP="00852F75">
      <w:pPr>
        <w:pStyle w:val="Corptext"/>
        <w:spacing w:after="200" w:afterAutospacing="0" w:line="276" w:lineRule="auto"/>
        <w:contextualSpacing/>
        <w:jc w:val="both"/>
        <w:rPr>
          <w:rStyle w:val="Accentuat"/>
          <w:rFonts w:asciiTheme="minorHAnsi" w:hAnsiTheme="minorHAnsi"/>
        </w:rPr>
      </w:pPr>
      <w:r w:rsidRPr="00CA06AA">
        <w:rPr>
          <w:rStyle w:val="Accentuat"/>
          <w:rFonts w:asciiTheme="minorHAnsi" w:hAnsiTheme="minorHAnsi"/>
        </w:rPr>
        <w:t>Din analiza poten</w:t>
      </w:r>
      <w:r>
        <w:rPr>
          <w:rStyle w:val="Accentuat"/>
          <w:rFonts w:asciiTheme="minorHAnsi" w:hAnsiTheme="minorHAnsi"/>
        </w:rPr>
        <w:t>ț</w:t>
      </w:r>
      <w:r w:rsidRPr="00CA06AA">
        <w:rPr>
          <w:rStyle w:val="Accentuat"/>
          <w:rFonts w:asciiTheme="minorHAnsi" w:hAnsiTheme="minorHAnsi"/>
        </w:rPr>
        <w:t xml:space="preserve">ialului celor trei ramuri </w:t>
      </w:r>
      <w:r>
        <w:rPr>
          <w:rStyle w:val="Accentuat"/>
          <w:rFonts w:asciiTheme="minorHAnsi" w:hAnsiTheme="minorHAnsi"/>
        </w:rPr>
        <w:t>ale industriei româ</w:t>
      </w:r>
      <w:r w:rsidRPr="00CA06AA">
        <w:rPr>
          <w:rStyle w:val="Accentuat"/>
          <w:rFonts w:asciiTheme="minorHAnsi" w:hAnsiTheme="minorHAnsi"/>
        </w:rPr>
        <w:t>ne</w:t>
      </w:r>
      <w:r>
        <w:rPr>
          <w:rStyle w:val="Accentuat"/>
          <w:rFonts w:asciiTheme="minorHAnsi" w:hAnsiTheme="minorHAnsi"/>
        </w:rPr>
        <w:t>ș</w:t>
      </w:r>
      <w:r w:rsidRPr="00CA06AA">
        <w:rPr>
          <w:rStyle w:val="Accentuat"/>
          <w:rFonts w:asciiTheme="minorHAnsi" w:hAnsiTheme="minorHAnsi"/>
        </w:rPr>
        <w:t xml:space="preserve">ti </w:t>
      </w:r>
      <w:r>
        <w:rPr>
          <w:rStyle w:val="Accentuat"/>
          <w:rFonts w:asciiTheme="minorHAnsi" w:hAnsiTheme="minorHAnsi"/>
        </w:rPr>
        <w:t>î</w:t>
      </w:r>
      <w:r w:rsidRPr="00CA06AA">
        <w:rPr>
          <w:rStyle w:val="Accentuat"/>
          <w:rFonts w:asciiTheme="minorHAnsi" w:hAnsiTheme="minorHAnsi"/>
        </w:rPr>
        <w:t>n context european se constat</w:t>
      </w:r>
      <w:r>
        <w:rPr>
          <w:rStyle w:val="Accentuat"/>
          <w:rFonts w:asciiTheme="minorHAnsi" w:hAnsiTheme="minorHAnsi"/>
        </w:rPr>
        <w:t>ă</w:t>
      </w:r>
      <w:r w:rsidRPr="00CA06AA">
        <w:rPr>
          <w:rStyle w:val="Accentuat"/>
          <w:rFonts w:asciiTheme="minorHAnsi" w:hAnsiTheme="minorHAnsi"/>
        </w:rPr>
        <w:t xml:space="preserve">, </w:t>
      </w:r>
      <w:r>
        <w:rPr>
          <w:rStyle w:val="Accentuat"/>
          <w:rFonts w:asciiTheme="minorHAnsi" w:hAnsiTheme="minorHAnsi"/>
        </w:rPr>
        <w:t>î</w:t>
      </w:r>
      <w:r w:rsidRPr="00CA06AA">
        <w:rPr>
          <w:rStyle w:val="Accentuat"/>
          <w:rFonts w:asciiTheme="minorHAnsi" w:hAnsiTheme="minorHAnsi"/>
        </w:rPr>
        <w:t>n primul r</w:t>
      </w:r>
      <w:r>
        <w:rPr>
          <w:rStyle w:val="Accentuat"/>
          <w:rFonts w:asciiTheme="minorHAnsi" w:hAnsiTheme="minorHAnsi"/>
        </w:rPr>
        <w:t>â</w:t>
      </w:r>
      <w:r w:rsidRPr="00CA06AA">
        <w:rPr>
          <w:rStyle w:val="Accentuat"/>
          <w:rFonts w:asciiTheme="minorHAnsi" w:hAnsiTheme="minorHAnsi"/>
        </w:rPr>
        <w:t>nd, c</w:t>
      </w:r>
      <w:r>
        <w:rPr>
          <w:rStyle w:val="Accentuat"/>
          <w:rFonts w:asciiTheme="minorHAnsi" w:hAnsiTheme="minorHAnsi"/>
        </w:rPr>
        <w:t>ă</w:t>
      </w:r>
      <w:r w:rsidRPr="00CA06AA">
        <w:rPr>
          <w:rStyle w:val="Accentuat"/>
          <w:rFonts w:asciiTheme="minorHAnsi" w:hAnsiTheme="minorHAnsi"/>
        </w:rPr>
        <w:t xml:space="preserve"> avantajul competitiv se datoreaz</w:t>
      </w:r>
      <w:r>
        <w:rPr>
          <w:rStyle w:val="Accentuat"/>
          <w:rFonts w:asciiTheme="minorHAnsi" w:hAnsiTheme="minorHAnsi"/>
        </w:rPr>
        <w:t>ă</w:t>
      </w:r>
      <w:r w:rsidRPr="00CA06AA">
        <w:rPr>
          <w:rStyle w:val="Accentuat"/>
          <w:rFonts w:asciiTheme="minorHAnsi" w:hAnsiTheme="minorHAnsi"/>
        </w:rPr>
        <w:t xml:space="preserve"> </w:t>
      </w:r>
      <w:r>
        <w:rPr>
          <w:rStyle w:val="Accentuat"/>
          <w:rFonts w:asciiTheme="minorHAnsi" w:hAnsiTheme="minorHAnsi"/>
        </w:rPr>
        <w:t>î</w:t>
      </w:r>
      <w:r w:rsidRPr="00CA06AA">
        <w:rPr>
          <w:rStyle w:val="Accentuat"/>
          <w:rFonts w:asciiTheme="minorHAnsi" w:hAnsiTheme="minorHAnsi"/>
        </w:rPr>
        <w:t>n principal nivelului redus de salarizare. Dac</w:t>
      </w:r>
      <w:r>
        <w:rPr>
          <w:rStyle w:val="Accentuat"/>
          <w:rFonts w:asciiTheme="minorHAnsi" w:hAnsiTheme="minorHAnsi"/>
        </w:rPr>
        <w:t>ă î</w:t>
      </w:r>
      <w:r w:rsidRPr="00CA06AA">
        <w:rPr>
          <w:rStyle w:val="Accentuat"/>
          <w:rFonts w:asciiTheme="minorHAnsi" w:hAnsiTheme="minorHAnsi"/>
        </w:rPr>
        <w:t>n clasamentul valorii ad</w:t>
      </w:r>
      <w:r>
        <w:rPr>
          <w:rStyle w:val="Accentuat"/>
          <w:rFonts w:asciiTheme="minorHAnsi" w:hAnsiTheme="minorHAnsi"/>
        </w:rPr>
        <w:t>ă</w:t>
      </w:r>
      <w:r w:rsidRPr="00CA06AA">
        <w:rPr>
          <w:rStyle w:val="Accentuat"/>
          <w:rFonts w:asciiTheme="minorHAnsi" w:hAnsiTheme="minorHAnsi"/>
        </w:rPr>
        <w:t>ugate/angajat, Romania ocup</w:t>
      </w:r>
      <w:r>
        <w:rPr>
          <w:rStyle w:val="Accentuat"/>
          <w:rFonts w:asciiTheme="minorHAnsi" w:hAnsiTheme="minorHAnsi"/>
        </w:rPr>
        <w:t>ă</w:t>
      </w:r>
      <w:r w:rsidRPr="00CA06AA">
        <w:rPr>
          <w:rStyle w:val="Accentuat"/>
          <w:rFonts w:asciiTheme="minorHAnsi" w:hAnsiTheme="minorHAnsi"/>
        </w:rPr>
        <w:t xml:space="preserve"> penultimul loc </w:t>
      </w:r>
      <w:r>
        <w:rPr>
          <w:rStyle w:val="Accentuat"/>
          <w:rFonts w:asciiTheme="minorHAnsi" w:hAnsiTheme="minorHAnsi"/>
        </w:rPr>
        <w:t>î</w:t>
      </w:r>
      <w:r w:rsidRPr="00CA06AA">
        <w:rPr>
          <w:rStyle w:val="Accentuat"/>
          <w:rFonts w:asciiTheme="minorHAnsi" w:hAnsiTheme="minorHAnsi"/>
        </w:rPr>
        <w:t>naintea Bulgariei (sub 30</w:t>
      </w:r>
      <w:r>
        <w:rPr>
          <w:rStyle w:val="Accentuat"/>
          <w:rFonts w:asciiTheme="minorHAnsi" w:hAnsiTheme="minorHAnsi"/>
        </w:rPr>
        <w:t>% din media UE-27), valoarea adă</w:t>
      </w:r>
      <w:r w:rsidRPr="00CA06AA">
        <w:rPr>
          <w:rStyle w:val="Accentuat"/>
          <w:rFonts w:asciiTheme="minorHAnsi" w:hAnsiTheme="minorHAnsi"/>
        </w:rPr>
        <w:t>ugat</w:t>
      </w:r>
      <w:r>
        <w:rPr>
          <w:rStyle w:val="Accentuat"/>
          <w:rFonts w:asciiTheme="minorHAnsi" w:hAnsiTheme="minorHAnsi"/>
        </w:rPr>
        <w:t>ă</w:t>
      </w:r>
      <w:r w:rsidRPr="00CA06AA">
        <w:rPr>
          <w:rStyle w:val="Accentuat"/>
          <w:rFonts w:asciiTheme="minorHAnsi" w:hAnsiTheme="minorHAnsi"/>
        </w:rPr>
        <w:t xml:space="preserve"> raportat</w:t>
      </w:r>
      <w:r>
        <w:rPr>
          <w:rStyle w:val="Accentuat"/>
          <w:rFonts w:asciiTheme="minorHAnsi" w:hAnsiTheme="minorHAnsi"/>
        </w:rPr>
        <w:t>ă la total costuri salariale î</w:t>
      </w:r>
      <w:r w:rsidRPr="00CA06AA">
        <w:rPr>
          <w:rStyle w:val="Accentuat"/>
          <w:rFonts w:asciiTheme="minorHAnsi" w:hAnsiTheme="minorHAnsi"/>
        </w:rPr>
        <w:t>n industrie dep</w:t>
      </w:r>
      <w:r>
        <w:rPr>
          <w:rStyle w:val="Accentuat"/>
          <w:rFonts w:asciiTheme="minorHAnsi" w:hAnsiTheme="minorHAnsi"/>
        </w:rPr>
        <w:t>ăș</w:t>
      </w:r>
      <w:r w:rsidRPr="00CA06AA">
        <w:rPr>
          <w:rStyle w:val="Accentuat"/>
          <w:rFonts w:asciiTheme="minorHAnsi" w:hAnsiTheme="minorHAnsi"/>
        </w:rPr>
        <w:t>e</w:t>
      </w:r>
      <w:r>
        <w:rPr>
          <w:rStyle w:val="Accentuat"/>
          <w:rFonts w:asciiTheme="minorHAnsi" w:hAnsiTheme="minorHAnsi"/>
        </w:rPr>
        <w:t>ș</w:t>
      </w:r>
      <w:r w:rsidRPr="00CA06AA">
        <w:rPr>
          <w:rStyle w:val="Accentuat"/>
          <w:rFonts w:asciiTheme="minorHAnsi" w:hAnsiTheme="minorHAnsi"/>
        </w:rPr>
        <w:t>te media UE pentru produc</w:t>
      </w:r>
      <w:r>
        <w:rPr>
          <w:rStyle w:val="Accentuat"/>
          <w:rFonts w:asciiTheme="minorHAnsi" w:hAnsiTheme="minorHAnsi"/>
        </w:rPr>
        <w:t>ția de textile ș</w:t>
      </w:r>
      <w:r w:rsidRPr="00CA06AA">
        <w:rPr>
          <w:rStyle w:val="Accentuat"/>
          <w:rFonts w:asciiTheme="minorHAnsi" w:hAnsiTheme="minorHAnsi"/>
        </w:rPr>
        <w:t xml:space="preserve">i </w:t>
      </w:r>
      <w:r>
        <w:rPr>
          <w:rStyle w:val="Accentuat"/>
          <w:rFonts w:asciiTheme="minorHAnsi" w:hAnsiTheme="minorHAnsi"/>
        </w:rPr>
        <w:t>î</w:t>
      </w:r>
      <w:r w:rsidRPr="00CA06AA">
        <w:rPr>
          <w:rStyle w:val="Accentuat"/>
          <w:rFonts w:asciiTheme="minorHAnsi" w:hAnsiTheme="minorHAnsi"/>
        </w:rPr>
        <w:t>mbr</w:t>
      </w:r>
      <w:r>
        <w:rPr>
          <w:rStyle w:val="Accentuat"/>
          <w:rFonts w:asciiTheme="minorHAnsi" w:hAnsiTheme="minorHAnsi"/>
        </w:rPr>
        <w:t>ă</w:t>
      </w:r>
      <w:r w:rsidRPr="00CA06AA">
        <w:rPr>
          <w:rStyle w:val="Accentuat"/>
          <w:rFonts w:asciiTheme="minorHAnsi" w:hAnsiTheme="minorHAnsi"/>
        </w:rPr>
        <w:t>c</w:t>
      </w:r>
      <w:r>
        <w:rPr>
          <w:rStyle w:val="Accentuat"/>
          <w:rFonts w:asciiTheme="minorHAnsi" w:hAnsiTheme="minorHAnsi"/>
        </w:rPr>
        <w:t>ă</w:t>
      </w:r>
      <w:r w:rsidRPr="00CA06AA">
        <w:rPr>
          <w:rStyle w:val="Accentuat"/>
          <w:rFonts w:asciiTheme="minorHAnsi" w:hAnsiTheme="minorHAnsi"/>
        </w:rPr>
        <w:t xml:space="preserve">minte. Raportat la </w:t>
      </w:r>
      <w:r>
        <w:rPr>
          <w:rStyle w:val="Accentuat"/>
          <w:rFonts w:asciiTheme="minorHAnsi" w:hAnsiTheme="minorHAnsi"/>
        </w:rPr>
        <w:t>tara cu cea mai mare valoare adă</w:t>
      </w:r>
      <w:r w:rsidRPr="00CA06AA">
        <w:rPr>
          <w:rStyle w:val="Accentuat"/>
          <w:rFonts w:asciiTheme="minorHAnsi" w:hAnsiTheme="minorHAnsi"/>
        </w:rPr>
        <w:t>ugat</w:t>
      </w:r>
      <w:r>
        <w:rPr>
          <w:rStyle w:val="Accentuat"/>
          <w:rFonts w:asciiTheme="minorHAnsi" w:hAnsiTheme="minorHAnsi"/>
        </w:rPr>
        <w:t>ă</w:t>
      </w:r>
      <w:r w:rsidRPr="00CA06AA">
        <w:rPr>
          <w:rStyle w:val="Accentuat"/>
          <w:rFonts w:asciiTheme="minorHAnsi" w:hAnsiTheme="minorHAnsi"/>
        </w:rPr>
        <w:t xml:space="preserve">/angajat </w:t>
      </w:r>
      <w:r>
        <w:rPr>
          <w:rStyle w:val="Accentuat"/>
          <w:rFonts w:asciiTheme="minorHAnsi" w:hAnsiTheme="minorHAnsi"/>
        </w:rPr>
        <w:t>î</w:t>
      </w:r>
      <w:r w:rsidRPr="00CA06AA">
        <w:rPr>
          <w:rStyle w:val="Accentuat"/>
          <w:rFonts w:asciiTheme="minorHAnsi" w:hAnsiTheme="minorHAnsi"/>
        </w:rPr>
        <w:t>n UE, Rom</w:t>
      </w:r>
      <w:r>
        <w:rPr>
          <w:rStyle w:val="Accentuat"/>
          <w:rFonts w:asciiTheme="minorHAnsi" w:hAnsiTheme="minorHAnsi"/>
        </w:rPr>
        <w:t>â</w:t>
      </w:r>
      <w:r w:rsidRPr="00CA06AA">
        <w:rPr>
          <w:rStyle w:val="Accentuat"/>
          <w:rFonts w:asciiTheme="minorHAnsi" w:hAnsiTheme="minorHAnsi"/>
        </w:rPr>
        <w:t>nia nu dep</w:t>
      </w:r>
      <w:r>
        <w:rPr>
          <w:rStyle w:val="Accentuat"/>
          <w:rFonts w:asciiTheme="minorHAnsi" w:hAnsiTheme="minorHAnsi"/>
        </w:rPr>
        <w:t>ășește 12% din performanț</w:t>
      </w:r>
      <w:r w:rsidRPr="00CA06AA">
        <w:rPr>
          <w:rStyle w:val="Accentuat"/>
          <w:rFonts w:asciiTheme="minorHAnsi" w:hAnsiTheme="minorHAnsi"/>
        </w:rPr>
        <w:t xml:space="preserve">ele acesteia. </w:t>
      </w:r>
    </w:p>
    <w:p w:rsidR="00852F75" w:rsidRPr="00CA06AA" w:rsidRDefault="00852F75" w:rsidP="00852F75">
      <w:pPr>
        <w:pStyle w:val="Corptext"/>
        <w:spacing w:after="200" w:afterAutospacing="0" w:line="276" w:lineRule="auto"/>
        <w:contextualSpacing/>
        <w:jc w:val="both"/>
        <w:rPr>
          <w:rStyle w:val="Accentuat"/>
          <w:rFonts w:asciiTheme="minorHAnsi" w:hAnsiTheme="minorHAnsi"/>
        </w:rPr>
      </w:pPr>
      <w:r w:rsidRPr="00CA06AA">
        <w:rPr>
          <w:rStyle w:val="Accentuat"/>
          <w:rFonts w:asciiTheme="minorHAnsi" w:hAnsiTheme="minorHAnsi"/>
        </w:rPr>
        <w:t>De asemenea, Rom</w:t>
      </w:r>
      <w:r>
        <w:rPr>
          <w:rStyle w:val="Accentuat"/>
          <w:rFonts w:asciiTheme="minorHAnsi" w:hAnsiTheme="minorHAnsi"/>
        </w:rPr>
        <w:t>ânia deț</w:t>
      </w:r>
      <w:r w:rsidRPr="00CA06AA">
        <w:rPr>
          <w:rStyle w:val="Accentuat"/>
          <w:rFonts w:asciiTheme="minorHAnsi" w:hAnsiTheme="minorHAnsi"/>
        </w:rPr>
        <w:t>ine o pondere foarte redus</w:t>
      </w:r>
      <w:r>
        <w:rPr>
          <w:rStyle w:val="Accentuat"/>
          <w:rFonts w:asciiTheme="minorHAnsi" w:hAnsiTheme="minorHAnsi"/>
        </w:rPr>
        <w:t>ă</w:t>
      </w:r>
      <w:r w:rsidRPr="00CA06AA">
        <w:rPr>
          <w:rStyle w:val="Accentuat"/>
          <w:rFonts w:asciiTheme="minorHAnsi" w:hAnsiTheme="minorHAnsi"/>
        </w:rPr>
        <w:t xml:space="preserve"> </w:t>
      </w:r>
      <w:r>
        <w:rPr>
          <w:rStyle w:val="Accentuat"/>
          <w:rFonts w:asciiTheme="minorHAnsi" w:hAnsiTheme="minorHAnsi"/>
        </w:rPr>
        <w:t>î</w:t>
      </w:r>
      <w:r w:rsidRPr="00CA06AA">
        <w:rPr>
          <w:rStyle w:val="Accentuat"/>
          <w:rFonts w:asciiTheme="minorHAnsi" w:hAnsiTheme="minorHAnsi"/>
        </w:rPr>
        <w:t>n cifra de afaceri a UE, raportat la num</w:t>
      </w:r>
      <w:r>
        <w:rPr>
          <w:rStyle w:val="Accentuat"/>
          <w:rFonts w:asciiTheme="minorHAnsi" w:hAnsiTheme="minorHAnsi"/>
        </w:rPr>
        <w:t>ărul mare de angajaț</w:t>
      </w:r>
      <w:r w:rsidRPr="00CA06AA">
        <w:rPr>
          <w:rStyle w:val="Accentuat"/>
          <w:rFonts w:asciiTheme="minorHAnsi" w:hAnsiTheme="minorHAnsi"/>
        </w:rPr>
        <w:t>i din aceast</w:t>
      </w:r>
      <w:r>
        <w:rPr>
          <w:rStyle w:val="Accentuat"/>
          <w:rFonts w:asciiTheme="minorHAnsi" w:hAnsiTheme="minorHAnsi"/>
        </w:rPr>
        <w:t>ă</w:t>
      </w:r>
      <w:r w:rsidRPr="00CA06AA">
        <w:rPr>
          <w:rStyle w:val="Accentuat"/>
          <w:rFonts w:asciiTheme="minorHAnsi" w:hAnsiTheme="minorHAnsi"/>
        </w:rPr>
        <w:t xml:space="preserve"> industrie. Acest fapt se datoreaz</w:t>
      </w:r>
      <w:r>
        <w:rPr>
          <w:rStyle w:val="Accentuat"/>
          <w:rFonts w:asciiTheme="minorHAnsi" w:hAnsiTheme="minorHAnsi"/>
        </w:rPr>
        <w:t>ă</w:t>
      </w:r>
      <w:r w:rsidRPr="00CA06AA">
        <w:rPr>
          <w:rStyle w:val="Accentuat"/>
          <w:rFonts w:asciiTheme="minorHAnsi" w:hAnsiTheme="minorHAnsi"/>
        </w:rPr>
        <w:t xml:space="preserve"> unui lan</w:t>
      </w:r>
      <w:r>
        <w:rPr>
          <w:rStyle w:val="Accentuat"/>
          <w:rFonts w:asciiTheme="minorHAnsi" w:hAnsiTheme="minorHAnsi"/>
        </w:rPr>
        <w:t>ț</w:t>
      </w:r>
      <w:r w:rsidRPr="00CA06AA">
        <w:rPr>
          <w:rStyle w:val="Accentuat"/>
          <w:rFonts w:asciiTheme="minorHAnsi" w:hAnsiTheme="minorHAnsi"/>
        </w:rPr>
        <w:t xml:space="preserve"> incomplet de valoare ad</w:t>
      </w:r>
      <w:r>
        <w:rPr>
          <w:rStyle w:val="Accentuat"/>
          <w:rFonts w:asciiTheme="minorHAnsi" w:hAnsiTheme="minorHAnsi"/>
        </w:rPr>
        <w:t>ă</w:t>
      </w:r>
      <w:r w:rsidRPr="00CA06AA">
        <w:rPr>
          <w:rStyle w:val="Accentuat"/>
          <w:rFonts w:asciiTheme="minorHAnsi" w:hAnsiTheme="minorHAnsi"/>
        </w:rPr>
        <w:t>ugat</w:t>
      </w:r>
      <w:r>
        <w:rPr>
          <w:rStyle w:val="Accentuat"/>
          <w:rFonts w:asciiTheme="minorHAnsi" w:hAnsiTheme="minorHAnsi"/>
        </w:rPr>
        <w:t>ă</w:t>
      </w:r>
      <w:r w:rsidRPr="00CA06AA">
        <w:rPr>
          <w:rStyle w:val="Accentuat"/>
          <w:rFonts w:asciiTheme="minorHAnsi" w:hAnsiTheme="minorHAnsi"/>
        </w:rPr>
        <w:t>, din care lipsesc verigile cu cea mai mare contribu</w:t>
      </w:r>
      <w:r>
        <w:rPr>
          <w:rStyle w:val="Accentuat"/>
          <w:rFonts w:asciiTheme="minorHAnsi" w:hAnsiTheme="minorHAnsi"/>
        </w:rPr>
        <w:t>ț</w:t>
      </w:r>
      <w:r w:rsidRPr="00CA06AA">
        <w:rPr>
          <w:rStyle w:val="Accentuat"/>
          <w:rFonts w:asciiTheme="minorHAnsi" w:hAnsiTheme="minorHAnsi"/>
        </w:rPr>
        <w:t>ie poten</w:t>
      </w:r>
      <w:r>
        <w:rPr>
          <w:rStyle w:val="Accentuat"/>
          <w:rFonts w:asciiTheme="minorHAnsi" w:hAnsiTheme="minorHAnsi"/>
        </w:rPr>
        <w:t>țială</w:t>
      </w:r>
      <w:r w:rsidRPr="00CA06AA">
        <w:rPr>
          <w:rStyle w:val="Accentuat"/>
          <w:rFonts w:asciiTheme="minorHAnsi" w:hAnsiTheme="minorHAnsi"/>
        </w:rPr>
        <w:t xml:space="preserve">. </w:t>
      </w:r>
    </w:p>
    <w:p w:rsidR="00852F75" w:rsidRPr="00CA06AA" w:rsidRDefault="00852F75" w:rsidP="00852F75">
      <w:pPr>
        <w:pStyle w:val="Default"/>
        <w:spacing w:after="200" w:line="276" w:lineRule="auto"/>
        <w:contextualSpacing/>
        <w:jc w:val="both"/>
        <w:rPr>
          <w:rFonts w:asciiTheme="minorHAnsi" w:hAnsiTheme="minorHAnsi"/>
        </w:rPr>
      </w:pPr>
      <w:r w:rsidRPr="00CA06AA">
        <w:rPr>
          <w:rStyle w:val="Accentuat"/>
          <w:rFonts w:asciiTheme="minorHAnsi" w:hAnsiTheme="minorHAnsi"/>
        </w:rPr>
        <w:lastRenderedPageBreak/>
        <w:t>Un studiu</w:t>
      </w:r>
      <w:r w:rsidRPr="00CA06AA">
        <w:rPr>
          <w:rStyle w:val="Referinnotdesubsol"/>
          <w:rFonts w:asciiTheme="minorHAnsi" w:hAnsiTheme="minorHAnsi"/>
        </w:rPr>
        <w:footnoteReference w:id="14"/>
      </w:r>
      <w:r w:rsidRPr="00CA06AA">
        <w:rPr>
          <w:rStyle w:val="Accentuat"/>
          <w:rFonts w:asciiTheme="minorHAnsi" w:hAnsiTheme="minorHAnsi"/>
        </w:rPr>
        <w:t xml:space="preserve"> publicat de </w:t>
      </w:r>
      <w:r w:rsidRPr="005F0E17">
        <w:rPr>
          <w:rStyle w:val="Accentuat"/>
          <w:rFonts w:asciiTheme="minorHAnsi" w:hAnsiTheme="minorHAnsi"/>
        </w:rPr>
        <w:t xml:space="preserve">DG </w:t>
      </w:r>
      <w:r w:rsidRPr="005F0E17">
        <w:rPr>
          <w:rFonts w:asciiTheme="minorHAnsi" w:hAnsiTheme="minorHAnsi"/>
          <w:i/>
        </w:rPr>
        <w:t>Enterprise and Industry</w:t>
      </w:r>
      <w:r>
        <w:rPr>
          <w:rFonts w:asciiTheme="minorHAnsi" w:hAnsiTheme="minorHAnsi"/>
        </w:rPr>
        <w:t xml:space="preserve"> la sfâ</w:t>
      </w:r>
      <w:r w:rsidRPr="00CA06AA">
        <w:rPr>
          <w:rFonts w:asciiTheme="minorHAnsi" w:hAnsiTheme="minorHAnsi"/>
        </w:rPr>
        <w:t>r</w:t>
      </w:r>
      <w:r>
        <w:rPr>
          <w:rFonts w:asciiTheme="minorHAnsi" w:hAnsiTheme="minorHAnsi"/>
        </w:rPr>
        <w:t>șitul anului 2012 relevă faptul că</w:t>
      </w:r>
      <w:r w:rsidRPr="00CA06AA">
        <w:rPr>
          <w:rFonts w:asciiTheme="minorHAnsi" w:hAnsiTheme="minorHAnsi"/>
        </w:rPr>
        <w:t xml:space="preserve"> dintre </w:t>
      </w:r>
      <w:r>
        <w:rPr>
          <w:rFonts w:asciiTheme="minorHAnsi" w:hAnsiTheme="minorHAnsi"/>
        </w:rPr>
        <w:t>ță</w:t>
      </w:r>
      <w:r w:rsidRPr="00CA06AA">
        <w:rPr>
          <w:rFonts w:asciiTheme="minorHAnsi" w:hAnsiTheme="minorHAnsi"/>
        </w:rPr>
        <w:t>rile UE, Romania are cel mai mare poten</w:t>
      </w:r>
      <w:r>
        <w:rPr>
          <w:rFonts w:asciiTheme="minorHAnsi" w:hAnsiTheme="minorHAnsi"/>
        </w:rPr>
        <w:t>ț</w:t>
      </w:r>
      <w:r w:rsidRPr="00CA06AA">
        <w:rPr>
          <w:rFonts w:asciiTheme="minorHAnsi" w:hAnsiTheme="minorHAnsi"/>
        </w:rPr>
        <w:t xml:space="preserve">ial de export nevalorificat </w:t>
      </w:r>
      <w:r>
        <w:rPr>
          <w:rFonts w:asciiTheme="minorHAnsi" w:hAnsiTheme="minorHAnsi"/>
        </w:rPr>
        <w:t>în industria textilă, aproximativ 15% din î</w:t>
      </w:r>
      <w:r w:rsidRPr="00CA06AA">
        <w:rPr>
          <w:rFonts w:asciiTheme="minorHAnsi" w:hAnsiTheme="minorHAnsi"/>
        </w:rPr>
        <w:t>ntregul poten</w:t>
      </w:r>
      <w:r>
        <w:rPr>
          <w:rFonts w:asciiTheme="minorHAnsi" w:hAnsiTheme="minorHAnsi"/>
        </w:rPr>
        <w:t>ț</w:t>
      </w:r>
      <w:r w:rsidRPr="00CA06AA">
        <w:rPr>
          <w:rFonts w:asciiTheme="minorHAnsi" w:hAnsiTheme="minorHAnsi"/>
        </w:rPr>
        <w:t>ial nevalorificat al UE.</w:t>
      </w:r>
    </w:p>
    <w:p w:rsidR="00852F75" w:rsidRPr="00CA06AA" w:rsidRDefault="00852F75" w:rsidP="00852F75">
      <w:pPr>
        <w:pStyle w:val="Default"/>
        <w:spacing w:after="200" w:line="276" w:lineRule="auto"/>
        <w:contextualSpacing/>
        <w:jc w:val="both"/>
        <w:rPr>
          <w:rFonts w:asciiTheme="minorHAnsi" w:hAnsiTheme="minorHAnsi"/>
        </w:rPr>
      </w:pPr>
    </w:p>
    <w:p w:rsidR="00852F75" w:rsidRPr="00CA06AA" w:rsidRDefault="00852F75" w:rsidP="00852F75">
      <w:pPr>
        <w:pStyle w:val="Default"/>
        <w:spacing w:after="200" w:line="276" w:lineRule="auto"/>
        <w:contextualSpacing/>
        <w:jc w:val="both"/>
        <w:rPr>
          <w:rFonts w:asciiTheme="minorHAnsi" w:hAnsiTheme="minorHAnsi"/>
        </w:rPr>
      </w:pPr>
      <w:r w:rsidRPr="00CA06AA">
        <w:rPr>
          <w:rFonts w:asciiTheme="minorHAnsi" w:hAnsiTheme="minorHAnsi"/>
        </w:rPr>
        <w:t>Pe termen scurt</w:t>
      </w:r>
      <w:r>
        <w:rPr>
          <w:rFonts w:asciiTheme="minorHAnsi" w:hAnsiTheme="minorHAnsi"/>
        </w:rPr>
        <w:t>,</w:t>
      </w:r>
      <w:r w:rsidRPr="00CA06AA">
        <w:rPr>
          <w:rFonts w:asciiTheme="minorHAnsi" w:hAnsiTheme="minorHAnsi"/>
        </w:rPr>
        <w:t xml:space="preserve"> nivelul sc</w:t>
      </w:r>
      <w:r>
        <w:rPr>
          <w:rFonts w:asciiTheme="minorHAnsi" w:hAnsiTheme="minorHAnsi"/>
        </w:rPr>
        <w:t>ă</w:t>
      </w:r>
      <w:r w:rsidRPr="00CA06AA">
        <w:rPr>
          <w:rFonts w:asciiTheme="minorHAnsi" w:hAnsiTheme="minorHAnsi"/>
        </w:rPr>
        <w:t>zut de salarizare poate fi considerat un avantaj competitiv, de</w:t>
      </w:r>
      <w:r>
        <w:rPr>
          <w:rFonts w:asciiTheme="minorHAnsi" w:hAnsiTheme="minorHAnsi"/>
        </w:rPr>
        <w:t>ș</w:t>
      </w:r>
      <w:r w:rsidRPr="00CA06AA">
        <w:rPr>
          <w:rFonts w:asciiTheme="minorHAnsi" w:hAnsiTheme="minorHAnsi"/>
        </w:rPr>
        <w:t xml:space="preserve">i acest aspect are </w:t>
      </w:r>
      <w:r>
        <w:rPr>
          <w:rFonts w:asciiTheme="minorHAnsi" w:hAnsiTheme="minorHAnsi"/>
        </w:rPr>
        <w:t>ș</w:t>
      </w:r>
      <w:r w:rsidRPr="00CA06AA">
        <w:rPr>
          <w:rFonts w:asciiTheme="minorHAnsi" w:hAnsiTheme="minorHAnsi"/>
        </w:rPr>
        <w:t>i un impact negativ asupra competitivit</w:t>
      </w:r>
      <w:r>
        <w:rPr>
          <w:rFonts w:asciiTheme="minorHAnsi" w:hAnsiTheme="minorHAnsi"/>
        </w:rPr>
        <w:t>ăț</w:t>
      </w:r>
      <w:r w:rsidRPr="00CA06AA">
        <w:rPr>
          <w:rFonts w:asciiTheme="minorHAnsi" w:hAnsiTheme="minorHAnsi"/>
        </w:rPr>
        <w:t>ii reale a ace</w:t>
      </w:r>
      <w:r>
        <w:rPr>
          <w:rFonts w:asciiTheme="minorHAnsi" w:hAnsiTheme="minorHAnsi"/>
        </w:rPr>
        <w:t xml:space="preserve">stor industrii. Sunt necesare </w:t>
      </w:r>
      <w:r w:rsidRPr="00CA06AA">
        <w:rPr>
          <w:rFonts w:asciiTheme="minorHAnsi" w:hAnsiTheme="minorHAnsi"/>
        </w:rPr>
        <w:t>m</w:t>
      </w:r>
      <w:r>
        <w:rPr>
          <w:rFonts w:asciiTheme="minorHAnsi" w:hAnsiTheme="minorHAnsi"/>
        </w:rPr>
        <w:t>ă</w:t>
      </w:r>
      <w:r w:rsidRPr="00CA06AA">
        <w:rPr>
          <w:rFonts w:asciiTheme="minorHAnsi" w:hAnsiTheme="minorHAnsi"/>
        </w:rPr>
        <w:t xml:space="preserve">suri </w:t>
      </w:r>
      <w:r>
        <w:rPr>
          <w:rFonts w:asciiTheme="minorHAnsi" w:hAnsiTheme="minorHAnsi"/>
        </w:rPr>
        <w:t xml:space="preserve">eficiente </w:t>
      </w:r>
      <w:r w:rsidRPr="00CA06AA">
        <w:rPr>
          <w:rFonts w:asciiTheme="minorHAnsi" w:hAnsiTheme="minorHAnsi"/>
        </w:rPr>
        <w:t>pe termen mediu si lung pent</w:t>
      </w:r>
      <w:r>
        <w:rPr>
          <w:rFonts w:asciiTheme="minorHAnsi" w:hAnsiTheme="minorHAnsi"/>
        </w:rPr>
        <w:t>ru a valorifica potenț</w:t>
      </w:r>
      <w:r w:rsidRPr="00CA06AA">
        <w:rPr>
          <w:rFonts w:asciiTheme="minorHAnsi" w:hAnsiTheme="minorHAnsi"/>
        </w:rPr>
        <w:t xml:space="preserve">ialul neexploatat </w:t>
      </w:r>
      <w:r>
        <w:rPr>
          <w:rFonts w:asciiTheme="minorHAnsi" w:hAnsiTheme="minorHAnsi"/>
        </w:rPr>
        <w:t>ș</w:t>
      </w:r>
      <w:r w:rsidRPr="00CA06AA">
        <w:rPr>
          <w:rFonts w:asciiTheme="minorHAnsi" w:hAnsiTheme="minorHAnsi"/>
        </w:rPr>
        <w:t>i a cre</w:t>
      </w:r>
      <w:r>
        <w:rPr>
          <w:rFonts w:asciiTheme="minorHAnsi" w:hAnsiTheme="minorHAnsi"/>
        </w:rPr>
        <w:t>ș</w:t>
      </w:r>
      <w:r w:rsidRPr="00CA06AA">
        <w:rPr>
          <w:rFonts w:asciiTheme="minorHAnsi" w:hAnsiTheme="minorHAnsi"/>
        </w:rPr>
        <w:t>te complexitatea produselor.</w:t>
      </w:r>
    </w:p>
    <w:p w:rsidR="00852F75" w:rsidRDefault="00852F75" w:rsidP="00852F75">
      <w:pPr>
        <w:pStyle w:val="Titlu2"/>
      </w:pPr>
      <w:r>
        <w:t>Evoluția la nivel național a industriei</w:t>
      </w:r>
      <w:r w:rsidRPr="00FB3A70">
        <w:t xml:space="preserve"> textil</w:t>
      </w:r>
      <w:r>
        <w:t>e</w:t>
      </w:r>
      <w:r w:rsidRPr="00FB3A70">
        <w:t xml:space="preserve"> și de confecții</w:t>
      </w:r>
    </w:p>
    <w:p w:rsidR="00852F75" w:rsidRPr="00FB3A70" w:rsidRDefault="00852F75" w:rsidP="00852F75">
      <w:pPr>
        <w:contextualSpacing/>
        <w:rPr>
          <w:b/>
          <w:sz w:val="24"/>
          <w:szCs w:val="24"/>
        </w:rPr>
      </w:pPr>
    </w:p>
    <w:p w:rsidR="00852F75" w:rsidRDefault="00852F75" w:rsidP="00852F75">
      <w:pPr>
        <w:contextualSpacing/>
        <w:jc w:val="both"/>
        <w:rPr>
          <w:rFonts w:cstheme="minorHAnsi"/>
          <w:color w:val="000000"/>
          <w:sz w:val="24"/>
          <w:szCs w:val="24"/>
        </w:rPr>
      </w:pPr>
      <w:r w:rsidRPr="003C1C74">
        <w:rPr>
          <w:sz w:val="24"/>
          <w:szCs w:val="24"/>
        </w:rPr>
        <w:t xml:space="preserve">Ramură importantă a economiei naționale, atât în ce privește contribuția la formarea P.I.B. ului și creșterea exporturilor cât și ce privește ocuparea, industria textilă românească  a traversat în ultimii 20 ani o perioadă dificilă, de transformări și adaptări la </w:t>
      </w:r>
      <w:r>
        <w:rPr>
          <w:sz w:val="24"/>
          <w:szCs w:val="24"/>
        </w:rPr>
        <w:t xml:space="preserve">o piață în continuă </w:t>
      </w:r>
      <w:r w:rsidRPr="009C5454">
        <w:rPr>
          <w:rFonts w:cstheme="minorHAnsi"/>
          <w:sz w:val="24"/>
          <w:szCs w:val="24"/>
        </w:rPr>
        <w:t>schimbare. Sectorul textile şi confecții cuprinde producătorii de fire, fibre, confecții (îmbrăcăminte), tricotaje, ciorapi, lenjerie, textile și accesorii de origine. Conform nomenclatorului de activităţi economice CAEN</w:t>
      </w:r>
      <w:r>
        <w:rPr>
          <w:rFonts w:cstheme="minorHAnsi"/>
          <w:sz w:val="24"/>
          <w:szCs w:val="24"/>
        </w:rPr>
        <w:t xml:space="preserve"> REV2</w:t>
      </w:r>
      <w:r w:rsidRPr="009C5454">
        <w:rPr>
          <w:rFonts w:cstheme="minorHAnsi"/>
          <w:sz w:val="24"/>
          <w:szCs w:val="24"/>
        </w:rPr>
        <w:t xml:space="preserve">, acest sector include </w:t>
      </w:r>
      <w:r w:rsidRPr="009C5454">
        <w:rPr>
          <w:rFonts w:cstheme="minorHAnsi"/>
          <w:color w:val="000000"/>
          <w:sz w:val="24"/>
          <w:szCs w:val="24"/>
        </w:rPr>
        <w:t>activităţile de pregătire şi filare a fibrelor textile, precum şi ţesutul materialelor textile, finisarea articolelor textile şi a confecţiilor de îmbrăcăminte, fabricarea articolelor confecţionate din textile, cu excepţia lenjeriei.</w:t>
      </w:r>
      <w:r>
        <w:rPr>
          <w:rFonts w:cstheme="minorHAnsi"/>
          <w:color w:val="000000"/>
          <w:sz w:val="24"/>
          <w:szCs w:val="24"/>
        </w:rPr>
        <w:t xml:space="preserve"> </w:t>
      </w:r>
    </w:p>
    <w:p w:rsidR="00852F75" w:rsidRPr="00686257" w:rsidRDefault="00852F75" w:rsidP="00852F75">
      <w:pPr>
        <w:contextualSpacing/>
        <w:jc w:val="both"/>
        <w:rPr>
          <w:sz w:val="24"/>
          <w:szCs w:val="24"/>
        </w:rPr>
      </w:pPr>
      <w:r>
        <w:rPr>
          <w:rFonts w:cstheme="minorHAnsi"/>
          <w:color w:val="000000"/>
          <w:sz w:val="24"/>
          <w:szCs w:val="24"/>
        </w:rPr>
        <w:t xml:space="preserve">Diviziunea </w:t>
      </w:r>
      <w:r w:rsidRPr="00686257">
        <w:rPr>
          <w:sz w:val="24"/>
          <w:szCs w:val="24"/>
        </w:rPr>
        <w:t>”Fabricarea produselor textile”(13) conține clasele:</w:t>
      </w:r>
    </w:p>
    <w:p w:rsidR="00852F75" w:rsidRPr="009C5454" w:rsidRDefault="00852F75" w:rsidP="00852F75">
      <w:pPr>
        <w:pStyle w:val="Frspaiere"/>
        <w:spacing w:after="200" w:line="276" w:lineRule="auto"/>
        <w:contextualSpacing/>
        <w:rPr>
          <w:sz w:val="24"/>
          <w:szCs w:val="24"/>
        </w:rPr>
      </w:pPr>
      <w:r w:rsidRPr="009C5454">
        <w:rPr>
          <w:sz w:val="24"/>
          <w:szCs w:val="24"/>
        </w:rPr>
        <w:t xml:space="preserve">1310 - Pregătirea fibrelor şi filarea fibrelor </w:t>
      </w:r>
    </w:p>
    <w:p w:rsidR="00852F75" w:rsidRPr="009C5454" w:rsidRDefault="00852F75" w:rsidP="00852F75">
      <w:pPr>
        <w:pStyle w:val="Frspaiere"/>
        <w:spacing w:after="200" w:line="276" w:lineRule="auto"/>
        <w:contextualSpacing/>
        <w:rPr>
          <w:sz w:val="24"/>
          <w:szCs w:val="24"/>
        </w:rPr>
      </w:pPr>
      <w:r w:rsidRPr="009C5454">
        <w:rPr>
          <w:sz w:val="24"/>
          <w:szCs w:val="24"/>
        </w:rPr>
        <w:t>1320 - Producţia de ţesături</w:t>
      </w:r>
    </w:p>
    <w:p w:rsidR="00852F75" w:rsidRPr="009C5454" w:rsidRDefault="00852F75" w:rsidP="00852F75">
      <w:pPr>
        <w:pStyle w:val="Frspaiere"/>
        <w:spacing w:after="200" w:line="276" w:lineRule="auto"/>
        <w:contextualSpacing/>
        <w:rPr>
          <w:sz w:val="24"/>
          <w:szCs w:val="24"/>
        </w:rPr>
      </w:pPr>
      <w:r w:rsidRPr="009C5454">
        <w:rPr>
          <w:sz w:val="24"/>
          <w:szCs w:val="24"/>
        </w:rPr>
        <w:t>1391 - Fabricarea de metraje prin tricotare sau croşetare</w:t>
      </w:r>
    </w:p>
    <w:p w:rsidR="00852F75" w:rsidRPr="009C5454" w:rsidRDefault="00852F75" w:rsidP="00852F75">
      <w:pPr>
        <w:pStyle w:val="Frspaiere"/>
        <w:spacing w:after="200" w:line="276" w:lineRule="auto"/>
        <w:contextualSpacing/>
        <w:rPr>
          <w:sz w:val="24"/>
          <w:szCs w:val="24"/>
        </w:rPr>
      </w:pPr>
      <w:r w:rsidRPr="009C5454">
        <w:rPr>
          <w:sz w:val="24"/>
          <w:szCs w:val="24"/>
        </w:rPr>
        <w:t>1392 - Fabricarea de articole confecţionate din textile (cu excepţia îmbrăcămintei şi lenjeriei de corp)</w:t>
      </w:r>
    </w:p>
    <w:p w:rsidR="00852F75" w:rsidRPr="009C5454" w:rsidRDefault="00852F75" w:rsidP="00852F75">
      <w:pPr>
        <w:pStyle w:val="Frspaiere"/>
        <w:spacing w:after="200" w:line="276" w:lineRule="auto"/>
        <w:contextualSpacing/>
        <w:rPr>
          <w:sz w:val="24"/>
          <w:szCs w:val="24"/>
        </w:rPr>
      </w:pPr>
      <w:r w:rsidRPr="009C5454">
        <w:rPr>
          <w:sz w:val="24"/>
          <w:szCs w:val="24"/>
        </w:rPr>
        <w:t>1393 - Fabricarea de covoare şi mochete</w:t>
      </w:r>
    </w:p>
    <w:p w:rsidR="00852F75" w:rsidRPr="009C5454" w:rsidRDefault="00852F75" w:rsidP="00852F75">
      <w:pPr>
        <w:pStyle w:val="Frspaiere"/>
        <w:spacing w:after="200" w:line="276" w:lineRule="auto"/>
        <w:contextualSpacing/>
        <w:rPr>
          <w:sz w:val="24"/>
          <w:szCs w:val="24"/>
        </w:rPr>
      </w:pPr>
      <w:r w:rsidRPr="009C5454">
        <w:rPr>
          <w:sz w:val="24"/>
          <w:szCs w:val="24"/>
        </w:rPr>
        <w:t>1394 - Fabricarea de odgoane, frânghii, sfori şi plase</w:t>
      </w:r>
    </w:p>
    <w:p w:rsidR="00852F75" w:rsidRPr="009C5454" w:rsidRDefault="00852F75" w:rsidP="00852F75">
      <w:pPr>
        <w:pStyle w:val="Frspaiere"/>
        <w:spacing w:after="200" w:line="276" w:lineRule="auto"/>
        <w:contextualSpacing/>
        <w:rPr>
          <w:sz w:val="24"/>
          <w:szCs w:val="24"/>
        </w:rPr>
      </w:pPr>
      <w:r w:rsidRPr="009C5454">
        <w:rPr>
          <w:sz w:val="24"/>
          <w:szCs w:val="24"/>
        </w:rPr>
        <w:t>1395 - Fabricarea de textile neţesute şi articole din acestea, cu excepţia confecţiilor de îmbrăcăminte</w:t>
      </w:r>
    </w:p>
    <w:p w:rsidR="00852F75" w:rsidRPr="009C5454" w:rsidRDefault="00852F75" w:rsidP="00852F75">
      <w:pPr>
        <w:pStyle w:val="Frspaiere"/>
        <w:spacing w:after="200" w:line="276" w:lineRule="auto"/>
        <w:contextualSpacing/>
        <w:rPr>
          <w:sz w:val="24"/>
          <w:szCs w:val="24"/>
        </w:rPr>
      </w:pPr>
      <w:r w:rsidRPr="009C5454">
        <w:rPr>
          <w:sz w:val="24"/>
          <w:szCs w:val="24"/>
        </w:rPr>
        <w:t>1396 - Fabricarea de articole tehnice şi industriale din textile</w:t>
      </w:r>
    </w:p>
    <w:p w:rsidR="00852F75" w:rsidRPr="009C5454" w:rsidRDefault="00852F75" w:rsidP="00852F75">
      <w:pPr>
        <w:pStyle w:val="Frspaiere"/>
        <w:spacing w:after="200" w:line="276" w:lineRule="auto"/>
        <w:contextualSpacing/>
        <w:rPr>
          <w:sz w:val="24"/>
          <w:szCs w:val="24"/>
        </w:rPr>
      </w:pPr>
      <w:r w:rsidRPr="009C5454">
        <w:rPr>
          <w:sz w:val="24"/>
          <w:szCs w:val="24"/>
        </w:rPr>
        <w:t>1399 - Fabricarea altor articole textile n.c.a.</w:t>
      </w:r>
    </w:p>
    <w:p w:rsidR="00852F75" w:rsidRPr="00686257" w:rsidRDefault="00852F75" w:rsidP="00852F75">
      <w:pPr>
        <w:contextualSpacing/>
        <w:rPr>
          <w:sz w:val="24"/>
          <w:szCs w:val="24"/>
        </w:rPr>
      </w:pPr>
      <w:r w:rsidRPr="003C1C74">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Diviziunea </w:t>
      </w:r>
      <w:r w:rsidRPr="00686257">
        <w:rPr>
          <w:sz w:val="24"/>
          <w:szCs w:val="24"/>
        </w:rPr>
        <w:t>”Fabricarea articolelor de îmbrăcăminte”(14) conține clasele:</w:t>
      </w:r>
    </w:p>
    <w:p w:rsidR="00852F75" w:rsidRPr="00D530E1" w:rsidRDefault="00852F75" w:rsidP="00852F75">
      <w:pPr>
        <w:pStyle w:val="Frspaiere"/>
        <w:spacing w:after="200" w:line="276" w:lineRule="auto"/>
        <w:contextualSpacing/>
        <w:rPr>
          <w:sz w:val="24"/>
          <w:szCs w:val="24"/>
        </w:rPr>
      </w:pPr>
      <w:r w:rsidRPr="00D530E1">
        <w:rPr>
          <w:sz w:val="24"/>
          <w:szCs w:val="24"/>
        </w:rPr>
        <w:t>1411</w:t>
      </w:r>
      <w:r>
        <w:rPr>
          <w:sz w:val="24"/>
          <w:szCs w:val="24"/>
        </w:rPr>
        <w:t xml:space="preserve"> - </w:t>
      </w:r>
      <w:r w:rsidRPr="00D530E1">
        <w:rPr>
          <w:sz w:val="24"/>
          <w:szCs w:val="24"/>
        </w:rPr>
        <w:t>Fabricarea articolelor de îmbrăcăminte din piele</w:t>
      </w:r>
    </w:p>
    <w:p w:rsidR="00852F75" w:rsidRPr="00D530E1" w:rsidRDefault="00852F75" w:rsidP="00852F75">
      <w:pPr>
        <w:pStyle w:val="Frspaiere"/>
        <w:spacing w:after="200" w:line="276" w:lineRule="auto"/>
        <w:contextualSpacing/>
        <w:rPr>
          <w:sz w:val="24"/>
          <w:szCs w:val="24"/>
        </w:rPr>
      </w:pPr>
      <w:r w:rsidRPr="00D530E1">
        <w:rPr>
          <w:sz w:val="24"/>
          <w:szCs w:val="24"/>
        </w:rPr>
        <w:t>1412</w:t>
      </w:r>
      <w:r>
        <w:rPr>
          <w:sz w:val="24"/>
          <w:szCs w:val="24"/>
        </w:rPr>
        <w:t xml:space="preserve"> - </w:t>
      </w:r>
      <w:r w:rsidRPr="00D530E1">
        <w:rPr>
          <w:sz w:val="24"/>
          <w:szCs w:val="24"/>
        </w:rPr>
        <w:t>Fabricarea articolelor de îmbrăcăminte pentru lucru</w:t>
      </w:r>
    </w:p>
    <w:p w:rsidR="00852F75" w:rsidRPr="00D530E1" w:rsidRDefault="00852F75" w:rsidP="00852F75">
      <w:pPr>
        <w:pStyle w:val="Frspaiere"/>
        <w:spacing w:after="200" w:line="276" w:lineRule="auto"/>
        <w:contextualSpacing/>
        <w:rPr>
          <w:sz w:val="24"/>
          <w:szCs w:val="24"/>
        </w:rPr>
      </w:pPr>
      <w:r w:rsidRPr="00D530E1">
        <w:rPr>
          <w:sz w:val="24"/>
          <w:szCs w:val="24"/>
        </w:rPr>
        <w:t>1413</w:t>
      </w:r>
      <w:r>
        <w:rPr>
          <w:sz w:val="24"/>
          <w:szCs w:val="24"/>
        </w:rPr>
        <w:t xml:space="preserve"> - </w:t>
      </w:r>
      <w:r w:rsidRPr="00D530E1">
        <w:rPr>
          <w:sz w:val="24"/>
          <w:szCs w:val="24"/>
        </w:rPr>
        <w:t>Fabricarea altor articole de îmbrăcăminte (exclusiv lenjeria de corp)</w:t>
      </w:r>
    </w:p>
    <w:p w:rsidR="00852F75" w:rsidRPr="00D530E1" w:rsidRDefault="00852F75" w:rsidP="00852F75">
      <w:pPr>
        <w:pStyle w:val="Frspaiere"/>
        <w:spacing w:after="200" w:line="276" w:lineRule="auto"/>
        <w:contextualSpacing/>
        <w:rPr>
          <w:sz w:val="24"/>
          <w:szCs w:val="24"/>
        </w:rPr>
      </w:pPr>
      <w:r w:rsidRPr="00D530E1">
        <w:rPr>
          <w:sz w:val="24"/>
          <w:szCs w:val="24"/>
        </w:rPr>
        <w:t>1414</w:t>
      </w:r>
      <w:r>
        <w:rPr>
          <w:sz w:val="24"/>
          <w:szCs w:val="24"/>
        </w:rPr>
        <w:t xml:space="preserve"> - </w:t>
      </w:r>
      <w:r w:rsidRPr="00D530E1">
        <w:rPr>
          <w:sz w:val="24"/>
          <w:szCs w:val="24"/>
        </w:rPr>
        <w:t>Fabricarea de articole de lenjerie de corp</w:t>
      </w:r>
    </w:p>
    <w:p w:rsidR="00852F75" w:rsidRPr="00D530E1" w:rsidRDefault="00852F75" w:rsidP="00852F75">
      <w:pPr>
        <w:pStyle w:val="Frspaiere"/>
        <w:spacing w:after="200" w:line="276" w:lineRule="auto"/>
        <w:contextualSpacing/>
        <w:rPr>
          <w:sz w:val="24"/>
          <w:szCs w:val="24"/>
        </w:rPr>
      </w:pPr>
      <w:r w:rsidRPr="00D530E1">
        <w:rPr>
          <w:sz w:val="24"/>
          <w:szCs w:val="24"/>
        </w:rPr>
        <w:lastRenderedPageBreak/>
        <w:t>1419</w:t>
      </w:r>
      <w:r>
        <w:rPr>
          <w:sz w:val="24"/>
          <w:szCs w:val="24"/>
        </w:rPr>
        <w:t xml:space="preserve"> - </w:t>
      </w:r>
      <w:r w:rsidRPr="00D530E1">
        <w:rPr>
          <w:sz w:val="24"/>
          <w:szCs w:val="24"/>
        </w:rPr>
        <w:t xml:space="preserve"> Fabricarea altor articole de îmbrăcăminte şi accesorii n.c.a.</w:t>
      </w:r>
    </w:p>
    <w:p w:rsidR="00852F75" w:rsidRPr="00D530E1" w:rsidRDefault="00852F75" w:rsidP="00852F75">
      <w:pPr>
        <w:pStyle w:val="Frspaiere"/>
        <w:spacing w:after="200" w:line="276" w:lineRule="auto"/>
        <w:contextualSpacing/>
        <w:rPr>
          <w:sz w:val="24"/>
          <w:szCs w:val="24"/>
        </w:rPr>
      </w:pPr>
      <w:r>
        <w:rPr>
          <w:sz w:val="24"/>
          <w:szCs w:val="24"/>
        </w:rPr>
        <w:t xml:space="preserve"> </w:t>
      </w:r>
      <w:r w:rsidRPr="00D530E1">
        <w:rPr>
          <w:sz w:val="24"/>
          <w:szCs w:val="24"/>
        </w:rPr>
        <w:t>1420</w:t>
      </w:r>
      <w:r>
        <w:rPr>
          <w:sz w:val="24"/>
          <w:szCs w:val="24"/>
        </w:rPr>
        <w:t xml:space="preserve"> - </w:t>
      </w:r>
      <w:r w:rsidRPr="00D530E1">
        <w:rPr>
          <w:sz w:val="24"/>
          <w:szCs w:val="24"/>
        </w:rPr>
        <w:t>Fabricarea articolelor din blană</w:t>
      </w:r>
    </w:p>
    <w:p w:rsidR="00852F75" w:rsidRPr="00D530E1" w:rsidRDefault="00852F75" w:rsidP="00852F75">
      <w:pPr>
        <w:pStyle w:val="Frspaiere"/>
        <w:spacing w:after="200" w:line="276" w:lineRule="auto"/>
        <w:contextualSpacing/>
        <w:rPr>
          <w:sz w:val="24"/>
          <w:szCs w:val="24"/>
        </w:rPr>
      </w:pPr>
      <w:r>
        <w:rPr>
          <w:sz w:val="24"/>
          <w:szCs w:val="24"/>
        </w:rPr>
        <w:t xml:space="preserve"> </w:t>
      </w:r>
      <w:r w:rsidRPr="00D530E1">
        <w:rPr>
          <w:sz w:val="24"/>
          <w:szCs w:val="24"/>
        </w:rPr>
        <w:t>1431</w:t>
      </w:r>
      <w:r>
        <w:rPr>
          <w:sz w:val="24"/>
          <w:szCs w:val="24"/>
        </w:rPr>
        <w:t xml:space="preserve"> - </w:t>
      </w:r>
      <w:r w:rsidRPr="00D530E1">
        <w:rPr>
          <w:sz w:val="24"/>
          <w:szCs w:val="24"/>
        </w:rPr>
        <w:t>Fabricarea prin tricotare sau croşetare a ciorapilor şi articolelor de galanterie</w:t>
      </w:r>
    </w:p>
    <w:p w:rsidR="00852F75" w:rsidRDefault="00852F75" w:rsidP="00852F75">
      <w:pPr>
        <w:pStyle w:val="Frspaiere"/>
        <w:spacing w:after="200" w:line="276" w:lineRule="auto"/>
        <w:contextualSpacing/>
        <w:rPr>
          <w:sz w:val="24"/>
          <w:szCs w:val="24"/>
        </w:rPr>
      </w:pPr>
      <w:r>
        <w:rPr>
          <w:sz w:val="24"/>
          <w:szCs w:val="24"/>
        </w:rPr>
        <w:t xml:space="preserve"> </w:t>
      </w:r>
      <w:r w:rsidRPr="00D530E1">
        <w:rPr>
          <w:sz w:val="24"/>
          <w:szCs w:val="24"/>
        </w:rPr>
        <w:t>1439</w:t>
      </w:r>
      <w:r>
        <w:rPr>
          <w:sz w:val="24"/>
          <w:szCs w:val="24"/>
        </w:rPr>
        <w:t xml:space="preserve"> - </w:t>
      </w:r>
      <w:r w:rsidRPr="00D530E1">
        <w:rPr>
          <w:sz w:val="24"/>
          <w:szCs w:val="24"/>
        </w:rPr>
        <w:t>Fabricarea prin tricotare sau croşetare a altor articole de îmbrăcăminte</w:t>
      </w:r>
    </w:p>
    <w:p w:rsidR="00852F75" w:rsidRDefault="00852F75" w:rsidP="00852F75">
      <w:pPr>
        <w:spacing w:after="0"/>
        <w:jc w:val="both"/>
        <w:rPr>
          <w:sz w:val="24"/>
          <w:szCs w:val="24"/>
        </w:rPr>
      </w:pPr>
      <w:r w:rsidRPr="00184513">
        <w:rPr>
          <w:sz w:val="24"/>
          <w:szCs w:val="24"/>
        </w:rPr>
        <w:t xml:space="preserve">Ramură importantă a economiei naționale, atât în ce privește contribuția la formarea P.I.B. ului și creșterea exporturilor cât și ce privește ocuparea, industria textilă românească  a traversat în ultimii 20 ani o perioadă dificilă, de transformări și adaptări la o piață în continuă schimbare.   </w:t>
      </w:r>
    </w:p>
    <w:p w:rsidR="00852F75" w:rsidRPr="00184513" w:rsidRDefault="00852F75" w:rsidP="00852F75">
      <w:pPr>
        <w:spacing w:after="0"/>
        <w:jc w:val="both"/>
        <w:rPr>
          <w:sz w:val="24"/>
          <w:szCs w:val="24"/>
        </w:rPr>
      </w:pPr>
    </w:p>
    <w:p w:rsidR="00852F75" w:rsidRPr="00CA06AA" w:rsidRDefault="00852F75" w:rsidP="00852F75">
      <w:pPr>
        <w:spacing w:after="0"/>
        <w:jc w:val="both"/>
        <w:rPr>
          <w:sz w:val="24"/>
          <w:szCs w:val="24"/>
        </w:rPr>
      </w:pPr>
      <w:r w:rsidRPr="00184513">
        <w:rPr>
          <w:sz w:val="24"/>
          <w:szCs w:val="24"/>
        </w:rPr>
        <w:t xml:space="preserve">În primii ani după 1989, evoluția industriei textile este marcată de restrângerea și închiderea mai multor capacități de producție din industria textilă ceea ce a condus la o scădere continuă a ponderii economice a acestui subsector. Celălalt subsector al acestei industrii- subsectorul confecțiilor a înregistrat începând de la jumătatea anilor 90 o creștere remarcabilă, susținută de dezvoltarea producției în lohn și de creșterea exporturilor de confecții pe piețele europene.  </w:t>
      </w:r>
      <w:r w:rsidRPr="00CA06AA">
        <w:rPr>
          <w:rFonts w:eastAsia="Times New Roman" w:cs="Times New Roman"/>
          <w:color w:val="171717"/>
          <w:sz w:val="24"/>
          <w:szCs w:val="24"/>
        </w:rPr>
        <w:t>Lohn-ul reprezint</w:t>
      </w:r>
      <w:r>
        <w:rPr>
          <w:rFonts w:eastAsia="Times New Roman" w:cs="Times New Roman"/>
          <w:color w:val="171717"/>
          <w:sz w:val="24"/>
          <w:szCs w:val="24"/>
        </w:rPr>
        <w:t>ă</w:t>
      </w:r>
      <w:r w:rsidRPr="00CA06AA">
        <w:rPr>
          <w:rFonts w:eastAsia="Times New Roman" w:cs="Times New Roman"/>
          <w:color w:val="171717"/>
          <w:sz w:val="24"/>
          <w:szCs w:val="24"/>
        </w:rPr>
        <w:t xml:space="preserve"> un tip de contract interna</w:t>
      </w:r>
      <w:r>
        <w:rPr>
          <w:rFonts w:eastAsia="Times New Roman" w:cs="Times New Roman"/>
          <w:color w:val="171717"/>
          <w:sz w:val="24"/>
          <w:szCs w:val="24"/>
        </w:rPr>
        <w:t>țional, practicat pe scară</w:t>
      </w:r>
      <w:r w:rsidRPr="00CA06AA">
        <w:rPr>
          <w:rFonts w:eastAsia="Times New Roman" w:cs="Times New Roman"/>
          <w:color w:val="171717"/>
          <w:sz w:val="24"/>
          <w:szCs w:val="24"/>
        </w:rPr>
        <w:t xml:space="preserve"> larg</w:t>
      </w:r>
      <w:r>
        <w:rPr>
          <w:rFonts w:eastAsia="Times New Roman" w:cs="Times New Roman"/>
          <w:color w:val="171717"/>
          <w:sz w:val="24"/>
          <w:szCs w:val="24"/>
        </w:rPr>
        <w:t>ă î</w:t>
      </w:r>
      <w:r w:rsidRPr="00CA06AA">
        <w:rPr>
          <w:rFonts w:eastAsia="Times New Roman" w:cs="Times New Roman"/>
          <w:color w:val="171717"/>
          <w:sz w:val="24"/>
          <w:szCs w:val="24"/>
        </w:rPr>
        <w:t xml:space="preserve">n </w:t>
      </w:r>
      <w:r>
        <w:rPr>
          <w:rFonts w:eastAsia="Times New Roman" w:cs="Times New Roman"/>
          <w:color w:val="171717"/>
          <w:sz w:val="24"/>
          <w:szCs w:val="24"/>
        </w:rPr>
        <w:t>țările cu forț</w:t>
      </w:r>
      <w:r w:rsidRPr="00CA06AA">
        <w:rPr>
          <w:rFonts w:eastAsia="Times New Roman" w:cs="Times New Roman"/>
          <w:color w:val="171717"/>
          <w:sz w:val="24"/>
          <w:szCs w:val="24"/>
        </w:rPr>
        <w:t>a de munc</w:t>
      </w:r>
      <w:r>
        <w:rPr>
          <w:rFonts w:eastAsia="Times New Roman" w:cs="Times New Roman"/>
          <w:color w:val="171717"/>
          <w:sz w:val="24"/>
          <w:szCs w:val="24"/>
        </w:rPr>
        <w:t>ă</w:t>
      </w:r>
      <w:r w:rsidRPr="00CA06AA">
        <w:rPr>
          <w:rFonts w:eastAsia="Times New Roman" w:cs="Times New Roman"/>
          <w:color w:val="171717"/>
          <w:sz w:val="24"/>
          <w:szCs w:val="24"/>
        </w:rPr>
        <w:t xml:space="preserve"> ieftin</w:t>
      </w:r>
      <w:r>
        <w:rPr>
          <w:rFonts w:eastAsia="Times New Roman" w:cs="Times New Roman"/>
          <w:color w:val="171717"/>
          <w:sz w:val="24"/>
          <w:szCs w:val="24"/>
        </w:rPr>
        <w:t>ă, prin care un producă</w:t>
      </w:r>
      <w:r w:rsidRPr="00CA06AA">
        <w:rPr>
          <w:rFonts w:eastAsia="Times New Roman" w:cs="Times New Roman"/>
          <w:color w:val="171717"/>
          <w:sz w:val="24"/>
          <w:szCs w:val="24"/>
        </w:rPr>
        <w:t>tor se oblig</w:t>
      </w:r>
      <w:r>
        <w:rPr>
          <w:rFonts w:eastAsia="Times New Roman" w:cs="Times New Roman"/>
          <w:color w:val="171717"/>
          <w:sz w:val="24"/>
          <w:szCs w:val="24"/>
        </w:rPr>
        <w:t>ă să</w:t>
      </w:r>
      <w:r w:rsidRPr="00CA06AA">
        <w:rPr>
          <w:rFonts w:eastAsia="Times New Roman" w:cs="Times New Roman"/>
          <w:color w:val="171717"/>
          <w:sz w:val="24"/>
          <w:szCs w:val="24"/>
        </w:rPr>
        <w:t xml:space="preserve"> execute un produs la comanda unui beneficiar, </w:t>
      </w:r>
      <w:r>
        <w:rPr>
          <w:rFonts w:eastAsia="Times New Roman" w:cs="Times New Roman"/>
          <w:color w:val="171717"/>
          <w:sz w:val="24"/>
          <w:szCs w:val="24"/>
        </w:rPr>
        <w:t>în schimbul unei remuneraț</w:t>
      </w:r>
      <w:r w:rsidRPr="00CA06AA">
        <w:rPr>
          <w:rFonts w:eastAsia="Times New Roman" w:cs="Times New Roman"/>
          <w:color w:val="171717"/>
          <w:sz w:val="24"/>
          <w:szCs w:val="24"/>
        </w:rPr>
        <w:t>ii. </w:t>
      </w:r>
      <w:r>
        <w:rPr>
          <w:rFonts w:eastAsia="Times New Roman" w:cs="Times New Roman"/>
          <w:color w:val="171717"/>
          <w:sz w:val="24"/>
          <w:szCs w:val="24"/>
        </w:rPr>
        <w:t>Î</w:t>
      </w:r>
      <w:r>
        <w:rPr>
          <w:rFonts w:eastAsia="Times New Roman" w:cs="Times New Roman"/>
          <w:sz w:val="24"/>
          <w:szCs w:val="24"/>
        </w:rPr>
        <w:t>n cadrul operaț</w:t>
      </w:r>
      <w:r w:rsidRPr="00CA06AA">
        <w:rPr>
          <w:rFonts w:eastAsia="Times New Roman" w:cs="Times New Roman"/>
          <w:sz w:val="24"/>
          <w:szCs w:val="24"/>
        </w:rPr>
        <w:t xml:space="preserve">iunilor de lohn, firma </w:t>
      </w:r>
      <w:r>
        <w:rPr>
          <w:rFonts w:eastAsia="Times New Roman" w:cs="Times New Roman"/>
          <w:sz w:val="24"/>
          <w:szCs w:val="24"/>
        </w:rPr>
        <w:t>importatoare transmite de regulă</w:t>
      </w:r>
      <w:r w:rsidRPr="00CA06AA">
        <w:rPr>
          <w:rFonts w:eastAsia="Times New Roman" w:cs="Times New Roman"/>
          <w:sz w:val="24"/>
          <w:szCs w:val="24"/>
        </w:rPr>
        <w:t xml:space="preserve"> toate</w:t>
      </w:r>
      <w:r>
        <w:rPr>
          <w:rFonts w:eastAsia="Times New Roman" w:cs="Times New Roman"/>
          <w:sz w:val="24"/>
          <w:szCs w:val="24"/>
        </w:rPr>
        <w:t xml:space="preserve"> materialele textile necesare (ț</w:t>
      </w:r>
      <w:r w:rsidRPr="00CA06AA">
        <w:rPr>
          <w:rFonts w:eastAsia="Times New Roman" w:cs="Times New Roman"/>
          <w:sz w:val="24"/>
          <w:szCs w:val="24"/>
        </w:rPr>
        <w:t>es</w:t>
      </w:r>
      <w:r>
        <w:rPr>
          <w:rFonts w:eastAsia="Times New Roman" w:cs="Times New Roman"/>
          <w:sz w:val="24"/>
          <w:szCs w:val="24"/>
        </w:rPr>
        <w:t>ă</w:t>
      </w:r>
      <w:r w:rsidRPr="00CA06AA">
        <w:rPr>
          <w:rFonts w:eastAsia="Times New Roman" w:cs="Times New Roman"/>
          <w:sz w:val="24"/>
          <w:szCs w:val="24"/>
        </w:rPr>
        <w:t>turi, tric</w:t>
      </w:r>
      <w:r>
        <w:rPr>
          <w:rFonts w:eastAsia="Times New Roman" w:cs="Times New Roman"/>
          <w:sz w:val="24"/>
          <w:szCs w:val="24"/>
        </w:rPr>
        <w:t>ot metraj), designul, documentaț</w:t>
      </w:r>
      <w:r w:rsidRPr="00CA06AA">
        <w:rPr>
          <w:rFonts w:eastAsia="Times New Roman" w:cs="Times New Roman"/>
          <w:sz w:val="24"/>
          <w:szCs w:val="24"/>
        </w:rPr>
        <w:t>ia tehnic</w:t>
      </w:r>
      <w:r>
        <w:rPr>
          <w:rFonts w:eastAsia="Times New Roman" w:cs="Times New Roman"/>
          <w:sz w:val="24"/>
          <w:szCs w:val="24"/>
        </w:rPr>
        <w:t>ă</w:t>
      </w:r>
      <w:r w:rsidRPr="00CA06AA">
        <w:rPr>
          <w:rFonts w:eastAsia="Times New Roman" w:cs="Times New Roman"/>
          <w:sz w:val="24"/>
          <w:szCs w:val="24"/>
        </w:rPr>
        <w:t xml:space="preserve">, accesoriile pentru </w:t>
      </w:r>
      <w:r>
        <w:rPr>
          <w:rFonts w:eastAsia="Times New Roman" w:cs="Times New Roman"/>
          <w:sz w:val="24"/>
          <w:szCs w:val="24"/>
        </w:rPr>
        <w:t>î</w:t>
      </w:r>
      <w:r w:rsidRPr="00CA06AA">
        <w:rPr>
          <w:rFonts w:eastAsia="Times New Roman" w:cs="Times New Roman"/>
          <w:sz w:val="24"/>
          <w:szCs w:val="24"/>
        </w:rPr>
        <w:t>mbr</w:t>
      </w:r>
      <w:r>
        <w:rPr>
          <w:rFonts w:eastAsia="Times New Roman" w:cs="Times New Roman"/>
          <w:sz w:val="24"/>
          <w:szCs w:val="24"/>
        </w:rPr>
        <w:t>ăcă</w:t>
      </w:r>
      <w:r w:rsidRPr="00CA06AA">
        <w:rPr>
          <w:rFonts w:eastAsia="Times New Roman" w:cs="Times New Roman"/>
          <w:sz w:val="24"/>
          <w:szCs w:val="24"/>
        </w:rPr>
        <w:t>minte, iar produc</w:t>
      </w:r>
      <w:r>
        <w:rPr>
          <w:rFonts w:eastAsia="Times New Roman" w:cs="Times New Roman"/>
          <w:sz w:val="24"/>
          <w:szCs w:val="24"/>
        </w:rPr>
        <w:t>ă</w:t>
      </w:r>
      <w:r w:rsidRPr="00CA06AA">
        <w:rPr>
          <w:rFonts w:eastAsia="Times New Roman" w:cs="Times New Roman"/>
          <w:sz w:val="24"/>
          <w:szCs w:val="24"/>
        </w:rPr>
        <w:t xml:space="preserve">torul din </w:t>
      </w:r>
      <w:r>
        <w:rPr>
          <w:rFonts w:eastAsia="Times New Roman" w:cs="Times New Roman"/>
          <w:sz w:val="24"/>
          <w:szCs w:val="24"/>
        </w:rPr>
        <w:t>ț</w:t>
      </w:r>
      <w:r w:rsidRPr="00CA06AA">
        <w:rPr>
          <w:rFonts w:eastAsia="Times New Roman" w:cs="Times New Roman"/>
          <w:sz w:val="24"/>
          <w:szCs w:val="24"/>
        </w:rPr>
        <w:t>ara partener</w:t>
      </w:r>
      <w:r>
        <w:rPr>
          <w:rFonts w:eastAsia="Times New Roman" w:cs="Times New Roman"/>
          <w:sz w:val="24"/>
          <w:szCs w:val="24"/>
        </w:rPr>
        <w:t>ă</w:t>
      </w:r>
      <w:r w:rsidRPr="00CA06AA">
        <w:rPr>
          <w:rFonts w:eastAsia="Times New Roman" w:cs="Times New Roman"/>
          <w:sz w:val="24"/>
          <w:szCs w:val="24"/>
        </w:rPr>
        <w:t xml:space="preserve"> contribuie adesea numai cu manopera la realizarea confec</w:t>
      </w:r>
      <w:r>
        <w:rPr>
          <w:rFonts w:eastAsia="Times New Roman" w:cs="Times New Roman"/>
          <w:sz w:val="24"/>
          <w:szCs w:val="24"/>
        </w:rPr>
        <w:t>ț</w:t>
      </w:r>
      <w:r w:rsidRPr="00CA06AA">
        <w:rPr>
          <w:rFonts w:eastAsia="Times New Roman" w:cs="Times New Roman"/>
          <w:sz w:val="24"/>
          <w:szCs w:val="24"/>
        </w:rPr>
        <w:t xml:space="preserve">iilor sau tricotajelor. </w:t>
      </w:r>
    </w:p>
    <w:p w:rsidR="00852F75" w:rsidRPr="00CA06AA" w:rsidRDefault="00852F75" w:rsidP="00852F75">
      <w:pPr>
        <w:shd w:val="clear" w:color="auto" w:fill="FFFFFF"/>
        <w:spacing w:after="0"/>
        <w:jc w:val="both"/>
        <w:rPr>
          <w:rFonts w:eastAsia="Times New Roman" w:cs="Times New Roman"/>
          <w:sz w:val="24"/>
          <w:szCs w:val="24"/>
        </w:rPr>
      </w:pPr>
    </w:p>
    <w:p w:rsidR="00852F75" w:rsidRDefault="00852F75" w:rsidP="00852F75">
      <w:pPr>
        <w:shd w:val="clear" w:color="auto" w:fill="FFFFFF"/>
        <w:spacing w:after="0"/>
        <w:jc w:val="both"/>
        <w:rPr>
          <w:rFonts w:eastAsia="Times New Roman" w:cs="Times New Roman"/>
          <w:color w:val="171717"/>
          <w:sz w:val="24"/>
          <w:szCs w:val="24"/>
        </w:rPr>
      </w:pPr>
      <w:r w:rsidRPr="00CA06AA">
        <w:rPr>
          <w:rFonts w:eastAsia="Times New Roman" w:cs="Times New Roman"/>
          <w:sz w:val="24"/>
          <w:szCs w:val="24"/>
        </w:rPr>
        <w:t>Principalii </w:t>
      </w:r>
      <w:r w:rsidRPr="00CA06AA">
        <w:rPr>
          <w:rFonts w:eastAsia="Times New Roman" w:cs="Times New Roman"/>
          <w:iCs/>
          <w:sz w:val="24"/>
          <w:szCs w:val="24"/>
        </w:rPr>
        <w:t>factori</w:t>
      </w:r>
      <w:r w:rsidRPr="00184513">
        <w:rPr>
          <w:rFonts w:eastAsia="Times New Roman" w:cs="Times New Roman"/>
          <w:sz w:val="24"/>
          <w:szCs w:val="24"/>
        </w:rPr>
        <w:t xml:space="preserve"> care au condus la </w:t>
      </w:r>
      <w:r>
        <w:rPr>
          <w:rFonts w:eastAsia="Times New Roman" w:cs="Times New Roman"/>
          <w:sz w:val="24"/>
          <w:szCs w:val="24"/>
        </w:rPr>
        <w:t xml:space="preserve">dezvoltarea </w:t>
      </w:r>
      <w:r w:rsidRPr="00184513">
        <w:rPr>
          <w:rFonts w:eastAsia="Times New Roman" w:cs="Times New Roman"/>
          <w:sz w:val="24"/>
          <w:szCs w:val="24"/>
        </w:rPr>
        <w:t xml:space="preserve">producției în regim lohn </w:t>
      </w:r>
      <w:r>
        <w:rPr>
          <w:rFonts w:eastAsia="Times New Roman" w:cs="Times New Roman"/>
          <w:sz w:val="24"/>
          <w:szCs w:val="24"/>
        </w:rPr>
        <w:t>sunt</w:t>
      </w:r>
      <w:r w:rsidRPr="00184513">
        <w:rPr>
          <w:rFonts w:eastAsia="Times New Roman" w:cs="Times New Roman"/>
          <w:sz w:val="24"/>
          <w:szCs w:val="24"/>
        </w:rPr>
        <w:t>: </w:t>
      </w:r>
      <w:r w:rsidRPr="00184513">
        <w:rPr>
          <w:rFonts w:eastAsia="Times New Roman" w:cs="Times New Roman"/>
          <w:color w:val="171717"/>
          <w:sz w:val="24"/>
          <w:szCs w:val="24"/>
        </w:rPr>
        <w:t xml:space="preserve"> </w:t>
      </w:r>
    </w:p>
    <w:p w:rsidR="00852F75" w:rsidRPr="00184513" w:rsidRDefault="00852F75" w:rsidP="00852F75">
      <w:pPr>
        <w:shd w:val="clear" w:color="auto" w:fill="FFFFFF"/>
        <w:spacing w:after="0"/>
        <w:jc w:val="both"/>
        <w:rPr>
          <w:rFonts w:eastAsia="Times New Roman" w:cs="Times New Roman"/>
          <w:color w:val="171717"/>
          <w:sz w:val="24"/>
          <w:szCs w:val="24"/>
        </w:rPr>
      </w:pPr>
    </w:p>
    <w:p w:rsidR="00852F75" w:rsidRPr="00184513" w:rsidRDefault="00852F75" w:rsidP="00852F75">
      <w:pPr>
        <w:shd w:val="clear" w:color="auto" w:fill="FFFFFF"/>
        <w:spacing w:after="0"/>
        <w:ind w:left="180" w:hanging="180"/>
        <w:jc w:val="both"/>
        <w:rPr>
          <w:rFonts w:eastAsia="Times New Roman" w:cs="Times New Roman"/>
          <w:sz w:val="24"/>
          <w:szCs w:val="24"/>
        </w:rPr>
      </w:pPr>
      <w:r w:rsidRPr="00184513">
        <w:rPr>
          <w:rFonts w:eastAsia="Times New Roman" w:cs="Times New Roman"/>
          <w:sz w:val="24"/>
          <w:szCs w:val="24"/>
        </w:rPr>
        <w:t>-   </w:t>
      </w:r>
      <w:r w:rsidRPr="00184513">
        <w:rPr>
          <w:rFonts w:eastAsia="Times New Roman" w:cs="Times New Roman"/>
          <w:i/>
          <w:iCs/>
          <w:sz w:val="24"/>
          <w:szCs w:val="24"/>
        </w:rPr>
        <w:t>destr</w:t>
      </w:r>
      <w:r>
        <w:rPr>
          <w:rFonts w:eastAsia="Times New Roman" w:cs="Times New Roman"/>
          <w:i/>
          <w:iCs/>
          <w:sz w:val="24"/>
          <w:szCs w:val="24"/>
        </w:rPr>
        <w:t>ă</w:t>
      </w:r>
      <w:r w:rsidRPr="00184513">
        <w:rPr>
          <w:rFonts w:eastAsia="Times New Roman" w:cs="Times New Roman"/>
          <w:i/>
          <w:iCs/>
          <w:sz w:val="24"/>
          <w:szCs w:val="24"/>
        </w:rPr>
        <w:t xml:space="preserve">marea piețelor tradiționale de export </w:t>
      </w:r>
      <w:r w:rsidRPr="00184513">
        <w:rPr>
          <w:rFonts w:eastAsia="Times New Roman" w:cs="Times New Roman"/>
          <w:sz w:val="24"/>
          <w:szCs w:val="24"/>
        </w:rPr>
        <w:t> </w:t>
      </w:r>
    </w:p>
    <w:p w:rsidR="00852F75" w:rsidRPr="00184513" w:rsidRDefault="00852F75" w:rsidP="00852F75">
      <w:pPr>
        <w:shd w:val="clear" w:color="auto" w:fill="FFFFFF"/>
        <w:spacing w:after="0"/>
        <w:ind w:left="180" w:hanging="180"/>
        <w:jc w:val="both"/>
        <w:rPr>
          <w:rFonts w:eastAsia="Times New Roman" w:cs="Times New Roman"/>
          <w:sz w:val="24"/>
          <w:szCs w:val="24"/>
        </w:rPr>
      </w:pPr>
      <w:r w:rsidRPr="00184513">
        <w:rPr>
          <w:rFonts w:eastAsia="Times New Roman" w:cs="Times New Roman"/>
          <w:sz w:val="24"/>
          <w:szCs w:val="24"/>
        </w:rPr>
        <w:t>-   </w:t>
      </w:r>
      <w:r>
        <w:rPr>
          <w:rFonts w:eastAsia="Times New Roman" w:cs="Times New Roman"/>
          <w:i/>
          <w:iCs/>
          <w:sz w:val="24"/>
          <w:szCs w:val="24"/>
        </w:rPr>
        <w:t>declinul accentuat, după</w:t>
      </w:r>
      <w:r w:rsidRPr="00184513">
        <w:rPr>
          <w:rFonts w:eastAsia="Times New Roman" w:cs="Times New Roman"/>
          <w:i/>
          <w:iCs/>
          <w:sz w:val="24"/>
          <w:szCs w:val="24"/>
        </w:rPr>
        <w:t xml:space="preserve"> 1990, al industriei textile</w:t>
      </w:r>
      <w:r w:rsidRPr="00184513">
        <w:rPr>
          <w:rFonts w:eastAsia="Times New Roman" w:cs="Times New Roman"/>
          <w:sz w:val="24"/>
          <w:szCs w:val="24"/>
        </w:rPr>
        <w:t xml:space="preserve"> </w:t>
      </w:r>
    </w:p>
    <w:p w:rsidR="00852F75" w:rsidRPr="00184513" w:rsidRDefault="00852F75" w:rsidP="00852F75">
      <w:pPr>
        <w:shd w:val="clear" w:color="auto" w:fill="FFFFFF"/>
        <w:spacing w:after="0"/>
        <w:ind w:left="180" w:hanging="180"/>
        <w:jc w:val="both"/>
        <w:rPr>
          <w:rFonts w:eastAsia="Times New Roman" w:cs="Times New Roman"/>
          <w:i/>
          <w:iCs/>
          <w:sz w:val="24"/>
          <w:szCs w:val="24"/>
        </w:rPr>
      </w:pPr>
      <w:r w:rsidRPr="00184513">
        <w:rPr>
          <w:rFonts w:eastAsia="Times New Roman" w:cs="Times New Roman"/>
          <w:sz w:val="24"/>
          <w:szCs w:val="24"/>
        </w:rPr>
        <w:t>-   </w:t>
      </w:r>
      <w:r w:rsidRPr="00184513">
        <w:rPr>
          <w:rFonts w:eastAsia="Times New Roman" w:cs="Times New Roman"/>
          <w:i/>
          <w:iCs/>
          <w:sz w:val="24"/>
          <w:szCs w:val="24"/>
        </w:rPr>
        <w:t>ni</w:t>
      </w:r>
      <w:r>
        <w:rPr>
          <w:rFonts w:eastAsia="Times New Roman" w:cs="Times New Roman"/>
          <w:i/>
          <w:iCs/>
          <w:sz w:val="24"/>
          <w:szCs w:val="24"/>
        </w:rPr>
        <w:t>velul mai redus al costului forț</w:t>
      </w:r>
      <w:r w:rsidRPr="00184513">
        <w:rPr>
          <w:rFonts w:eastAsia="Times New Roman" w:cs="Times New Roman"/>
          <w:i/>
          <w:iCs/>
          <w:sz w:val="24"/>
          <w:szCs w:val="24"/>
        </w:rPr>
        <w:t>ei de munc</w:t>
      </w:r>
      <w:r>
        <w:rPr>
          <w:rFonts w:eastAsia="Times New Roman" w:cs="Times New Roman"/>
          <w:i/>
          <w:iCs/>
          <w:sz w:val="24"/>
          <w:szCs w:val="24"/>
        </w:rPr>
        <w:t>ă</w:t>
      </w:r>
    </w:p>
    <w:p w:rsidR="00852F75" w:rsidRPr="00184513" w:rsidRDefault="00852F75" w:rsidP="00852F75">
      <w:pPr>
        <w:shd w:val="clear" w:color="auto" w:fill="FFFFFF"/>
        <w:spacing w:after="0"/>
        <w:ind w:left="180" w:hanging="180"/>
        <w:jc w:val="both"/>
        <w:rPr>
          <w:rFonts w:eastAsia="Times New Roman" w:cs="Times New Roman"/>
          <w:color w:val="171717"/>
          <w:sz w:val="24"/>
          <w:szCs w:val="24"/>
        </w:rPr>
      </w:pPr>
      <w:r w:rsidRPr="00184513">
        <w:rPr>
          <w:rFonts w:eastAsia="Times New Roman" w:cs="Times New Roman"/>
          <w:sz w:val="24"/>
          <w:szCs w:val="24"/>
        </w:rPr>
        <w:t>-   </w:t>
      </w:r>
      <w:r w:rsidRPr="00184513">
        <w:rPr>
          <w:rFonts w:eastAsia="Times New Roman" w:cs="Times New Roman"/>
          <w:i/>
          <w:iCs/>
          <w:sz w:val="24"/>
          <w:szCs w:val="24"/>
        </w:rPr>
        <w:t>proximitatea geografic</w:t>
      </w:r>
      <w:r>
        <w:rPr>
          <w:rFonts w:eastAsia="Times New Roman" w:cs="Times New Roman"/>
          <w:i/>
          <w:iCs/>
          <w:sz w:val="24"/>
          <w:szCs w:val="24"/>
        </w:rPr>
        <w:t>ă</w:t>
      </w:r>
      <w:r w:rsidRPr="00184513">
        <w:rPr>
          <w:rFonts w:eastAsia="Times New Roman" w:cs="Times New Roman"/>
          <w:i/>
          <w:iCs/>
          <w:sz w:val="24"/>
          <w:szCs w:val="24"/>
        </w:rPr>
        <w:t xml:space="preserve"> fa</w:t>
      </w:r>
      <w:r>
        <w:rPr>
          <w:rFonts w:eastAsia="Times New Roman" w:cs="Times New Roman"/>
          <w:i/>
          <w:iCs/>
          <w:sz w:val="24"/>
          <w:szCs w:val="24"/>
        </w:rPr>
        <w:t>ță</w:t>
      </w:r>
      <w:r w:rsidRPr="00184513">
        <w:rPr>
          <w:rFonts w:eastAsia="Times New Roman" w:cs="Times New Roman"/>
          <w:i/>
          <w:iCs/>
          <w:sz w:val="24"/>
          <w:szCs w:val="24"/>
        </w:rPr>
        <w:t xml:space="preserve"> de pia</w:t>
      </w:r>
      <w:r>
        <w:rPr>
          <w:rFonts w:eastAsia="Times New Roman" w:cs="Times New Roman"/>
          <w:i/>
          <w:iCs/>
          <w:sz w:val="24"/>
          <w:szCs w:val="24"/>
        </w:rPr>
        <w:t>ț</w:t>
      </w:r>
      <w:r w:rsidRPr="00184513">
        <w:rPr>
          <w:rFonts w:eastAsia="Times New Roman" w:cs="Times New Roman"/>
          <w:i/>
          <w:iCs/>
          <w:sz w:val="24"/>
          <w:szCs w:val="24"/>
        </w:rPr>
        <w:t>a UE</w:t>
      </w:r>
    </w:p>
    <w:p w:rsidR="00852F75" w:rsidRPr="00184513" w:rsidRDefault="00852F75" w:rsidP="00852F75">
      <w:pPr>
        <w:shd w:val="clear" w:color="auto" w:fill="FFFFFF"/>
        <w:spacing w:after="0"/>
        <w:ind w:left="180" w:hanging="180"/>
        <w:jc w:val="both"/>
        <w:rPr>
          <w:rFonts w:eastAsia="Times New Roman" w:cs="Times New Roman"/>
          <w:color w:val="171717"/>
          <w:sz w:val="24"/>
          <w:szCs w:val="24"/>
        </w:rPr>
      </w:pPr>
      <w:r w:rsidRPr="00184513">
        <w:rPr>
          <w:rFonts w:eastAsia="Times New Roman" w:cs="Times New Roman"/>
          <w:sz w:val="24"/>
          <w:szCs w:val="24"/>
        </w:rPr>
        <w:t>-   </w:t>
      </w:r>
      <w:r w:rsidRPr="00184513">
        <w:rPr>
          <w:rFonts w:eastAsia="Times New Roman" w:cs="Times New Roman"/>
          <w:i/>
          <w:iCs/>
          <w:sz w:val="24"/>
          <w:szCs w:val="24"/>
        </w:rPr>
        <w:t>tradi</w:t>
      </w:r>
      <w:r>
        <w:rPr>
          <w:rFonts w:eastAsia="Times New Roman" w:cs="Times New Roman"/>
          <w:i/>
          <w:iCs/>
          <w:sz w:val="24"/>
          <w:szCs w:val="24"/>
        </w:rPr>
        <w:t>ț</w:t>
      </w:r>
      <w:r w:rsidRPr="00184513">
        <w:rPr>
          <w:rFonts w:eastAsia="Times New Roman" w:cs="Times New Roman"/>
          <w:i/>
          <w:iCs/>
          <w:sz w:val="24"/>
          <w:szCs w:val="24"/>
        </w:rPr>
        <w:t xml:space="preserve">ia </w:t>
      </w:r>
      <w:r>
        <w:rPr>
          <w:rFonts w:eastAsia="Times New Roman" w:cs="Times New Roman"/>
          <w:i/>
          <w:iCs/>
          <w:sz w:val="24"/>
          <w:szCs w:val="24"/>
        </w:rPr>
        <w:t>î</w:t>
      </w:r>
      <w:r w:rsidRPr="00184513">
        <w:rPr>
          <w:rFonts w:eastAsia="Times New Roman" w:cs="Times New Roman"/>
          <w:i/>
          <w:iCs/>
          <w:sz w:val="24"/>
          <w:szCs w:val="24"/>
        </w:rPr>
        <w:t>ndelungat</w:t>
      </w:r>
      <w:r>
        <w:rPr>
          <w:rFonts w:eastAsia="Times New Roman" w:cs="Times New Roman"/>
          <w:i/>
          <w:iCs/>
          <w:sz w:val="24"/>
          <w:szCs w:val="24"/>
        </w:rPr>
        <w:t>ă</w:t>
      </w:r>
      <w:r w:rsidRPr="00184513">
        <w:rPr>
          <w:rFonts w:eastAsia="Times New Roman" w:cs="Times New Roman"/>
          <w:i/>
          <w:iCs/>
          <w:sz w:val="24"/>
          <w:szCs w:val="24"/>
        </w:rPr>
        <w:t xml:space="preserve"> </w:t>
      </w:r>
      <w:r>
        <w:rPr>
          <w:rFonts w:eastAsia="Times New Roman" w:cs="Times New Roman"/>
          <w:i/>
          <w:iCs/>
          <w:sz w:val="24"/>
          <w:szCs w:val="24"/>
        </w:rPr>
        <w:t>î</w:t>
      </w:r>
      <w:r w:rsidRPr="00184513">
        <w:rPr>
          <w:rFonts w:eastAsia="Times New Roman" w:cs="Times New Roman"/>
          <w:i/>
          <w:iCs/>
          <w:sz w:val="24"/>
          <w:szCs w:val="24"/>
        </w:rPr>
        <w:t>n produc</w:t>
      </w:r>
      <w:r>
        <w:rPr>
          <w:rFonts w:eastAsia="Times New Roman" w:cs="Times New Roman"/>
          <w:i/>
          <w:iCs/>
          <w:sz w:val="24"/>
          <w:szCs w:val="24"/>
        </w:rPr>
        <w:t>ț</w:t>
      </w:r>
      <w:r w:rsidRPr="00184513">
        <w:rPr>
          <w:rFonts w:eastAsia="Times New Roman" w:cs="Times New Roman"/>
          <w:i/>
          <w:iCs/>
          <w:sz w:val="24"/>
          <w:szCs w:val="24"/>
        </w:rPr>
        <w:t>ia de textile – confec</w:t>
      </w:r>
      <w:r>
        <w:rPr>
          <w:rFonts w:eastAsia="Times New Roman" w:cs="Times New Roman"/>
          <w:i/>
          <w:iCs/>
          <w:sz w:val="24"/>
          <w:szCs w:val="24"/>
        </w:rPr>
        <w:t>ț</w:t>
      </w:r>
      <w:r w:rsidRPr="00184513">
        <w:rPr>
          <w:rFonts w:eastAsia="Times New Roman" w:cs="Times New Roman"/>
          <w:i/>
          <w:iCs/>
          <w:sz w:val="24"/>
          <w:szCs w:val="24"/>
        </w:rPr>
        <w:t>ii</w:t>
      </w:r>
    </w:p>
    <w:p w:rsidR="00852F75" w:rsidRDefault="00852F75" w:rsidP="00852F75">
      <w:pPr>
        <w:shd w:val="clear" w:color="auto" w:fill="FFFFFF"/>
        <w:spacing w:after="0"/>
        <w:ind w:left="180" w:hanging="180"/>
        <w:jc w:val="both"/>
        <w:rPr>
          <w:rFonts w:eastAsia="Times New Roman" w:cs="Times New Roman"/>
          <w:sz w:val="24"/>
          <w:szCs w:val="24"/>
        </w:rPr>
      </w:pPr>
      <w:r w:rsidRPr="00184513">
        <w:rPr>
          <w:rFonts w:eastAsia="Times New Roman" w:cs="Times New Roman"/>
          <w:sz w:val="24"/>
          <w:szCs w:val="24"/>
        </w:rPr>
        <w:t>-   o </w:t>
      </w:r>
      <w:r w:rsidRPr="00184513">
        <w:rPr>
          <w:rFonts w:eastAsia="Times New Roman" w:cs="Times New Roman"/>
          <w:i/>
          <w:iCs/>
          <w:sz w:val="24"/>
          <w:szCs w:val="24"/>
        </w:rPr>
        <w:t>for</w:t>
      </w:r>
      <w:r>
        <w:rPr>
          <w:rFonts w:eastAsia="Times New Roman" w:cs="Times New Roman"/>
          <w:i/>
          <w:iCs/>
          <w:sz w:val="24"/>
          <w:szCs w:val="24"/>
        </w:rPr>
        <w:t>ță</w:t>
      </w:r>
      <w:r w:rsidRPr="00184513">
        <w:rPr>
          <w:rFonts w:eastAsia="Times New Roman" w:cs="Times New Roman"/>
          <w:i/>
          <w:iCs/>
          <w:sz w:val="24"/>
          <w:szCs w:val="24"/>
        </w:rPr>
        <w:t xml:space="preserve"> de munca bine preg</w:t>
      </w:r>
      <w:r>
        <w:rPr>
          <w:rFonts w:eastAsia="Times New Roman" w:cs="Times New Roman"/>
          <w:i/>
          <w:iCs/>
          <w:sz w:val="24"/>
          <w:szCs w:val="24"/>
        </w:rPr>
        <w:t>ă</w:t>
      </w:r>
      <w:r w:rsidRPr="00184513">
        <w:rPr>
          <w:rFonts w:eastAsia="Times New Roman" w:cs="Times New Roman"/>
          <w:i/>
          <w:iCs/>
          <w:sz w:val="24"/>
          <w:szCs w:val="24"/>
        </w:rPr>
        <w:t>tit</w:t>
      </w:r>
      <w:r>
        <w:rPr>
          <w:rFonts w:eastAsia="Times New Roman" w:cs="Times New Roman"/>
          <w:i/>
          <w:iCs/>
          <w:sz w:val="24"/>
          <w:szCs w:val="24"/>
        </w:rPr>
        <w:t>ă</w:t>
      </w:r>
    </w:p>
    <w:p w:rsidR="00852F75" w:rsidRPr="00184513" w:rsidRDefault="00852F75" w:rsidP="00852F75">
      <w:pPr>
        <w:shd w:val="clear" w:color="auto" w:fill="FFFFFF"/>
        <w:spacing w:after="0"/>
        <w:ind w:left="180" w:hanging="180"/>
        <w:jc w:val="both"/>
        <w:rPr>
          <w:rFonts w:eastAsia="Times New Roman" w:cs="Times New Roman"/>
          <w:sz w:val="24"/>
          <w:szCs w:val="24"/>
        </w:rPr>
      </w:pPr>
    </w:p>
    <w:p w:rsidR="00852F75" w:rsidRPr="00BE1BEB" w:rsidRDefault="00852F75" w:rsidP="00852F75">
      <w:pPr>
        <w:shd w:val="clear" w:color="auto" w:fill="FFFFFF"/>
        <w:spacing w:after="0"/>
        <w:jc w:val="both"/>
        <w:rPr>
          <w:rFonts w:eastAsia="Times New Roman" w:cs="Times New Roman"/>
          <w:color w:val="171717"/>
          <w:sz w:val="24"/>
          <w:szCs w:val="24"/>
        </w:rPr>
      </w:pPr>
      <w:r>
        <w:rPr>
          <w:rFonts w:eastAsia="Times New Roman" w:cs="Times New Roman"/>
          <w:sz w:val="24"/>
          <w:szCs w:val="24"/>
        </w:rPr>
        <w:t>În acest context, lohnul î</w:t>
      </w:r>
      <w:r w:rsidRPr="00186C03">
        <w:rPr>
          <w:rFonts w:eastAsia="Times New Roman" w:cs="Times New Roman"/>
          <w:sz w:val="24"/>
          <w:szCs w:val="24"/>
        </w:rPr>
        <w:t>n sectorul industriei u</w:t>
      </w:r>
      <w:r>
        <w:rPr>
          <w:rFonts w:eastAsia="Times New Roman" w:cs="Times New Roman"/>
          <w:sz w:val="24"/>
          <w:szCs w:val="24"/>
        </w:rPr>
        <w:t>ș</w:t>
      </w:r>
      <w:r w:rsidRPr="00186C03">
        <w:rPr>
          <w:rFonts w:eastAsia="Times New Roman" w:cs="Times New Roman"/>
          <w:sz w:val="24"/>
          <w:szCs w:val="24"/>
        </w:rPr>
        <w:t xml:space="preserve">oare a constituit un factor benefic pe termen scurt </w:t>
      </w:r>
      <w:r>
        <w:rPr>
          <w:rFonts w:eastAsia="Times New Roman" w:cs="Times New Roman"/>
          <w:sz w:val="24"/>
          <w:szCs w:val="24"/>
        </w:rPr>
        <w:t>ș</w:t>
      </w:r>
      <w:r w:rsidRPr="00186C03">
        <w:rPr>
          <w:rFonts w:eastAsia="Times New Roman" w:cs="Times New Roman"/>
          <w:sz w:val="24"/>
          <w:szCs w:val="24"/>
        </w:rPr>
        <w:t>i mediu, asigur</w:t>
      </w:r>
      <w:r>
        <w:rPr>
          <w:rFonts w:eastAsia="Times New Roman" w:cs="Times New Roman"/>
          <w:sz w:val="24"/>
          <w:szCs w:val="24"/>
        </w:rPr>
        <w:t>â</w:t>
      </w:r>
      <w:r w:rsidRPr="00186C03">
        <w:rPr>
          <w:rFonts w:eastAsia="Times New Roman" w:cs="Times New Roman"/>
          <w:sz w:val="24"/>
          <w:szCs w:val="24"/>
        </w:rPr>
        <w:t>nd </w:t>
      </w:r>
      <w:r w:rsidRPr="00186C03">
        <w:rPr>
          <w:rFonts w:eastAsia="Times New Roman" w:cs="Times New Roman"/>
          <w:color w:val="171717"/>
          <w:sz w:val="24"/>
          <w:szCs w:val="24"/>
        </w:rPr>
        <w:t>transferul de tehnologie, cre</w:t>
      </w:r>
      <w:r>
        <w:rPr>
          <w:rFonts w:eastAsia="Times New Roman" w:cs="Times New Roman"/>
          <w:color w:val="171717"/>
          <w:sz w:val="24"/>
          <w:szCs w:val="24"/>
        </w:rPr>
        <w:t>ș</w:t>
      </w:r>
      <w:r w:rsidRPr="00186C03">
        <w:rPr>
          <w:rFonts w:eastAsia="Times New Roman" w:cs="Times New Roman"/>
          <w:color w:val="171717"/>
          <w:sz w:val="24"/>
          <w:szCs w:val="24"/>
        </w:rPr>
        <w:t>tere</w:t>
      </w:r>
      <w:r>
        <w:rPr>
          <w:rFonts w:eastAsia="Times New Roman" w:cs="Times New Roman"/>
          <w:color w:val="171717"/>
          <w:sz w:val="24"/>
          <w:szCs w:val="24"/>
        </w:rPr>
        <w:t>a nivelului de calificare a forț</w:t>
      </w:r>
      <w:r w:rsidRPr="00186C03">
        <w:rPr>
          <w:rFonts w:eastAsia="Times New Roman" w:cs="Times New Roman"/>
          <w:color w:val="171717"/>
          <w:sz w:val="24"/>
          <w:szCs w:val="24"/>
        </w:rPr>
        <w:t>ei de munc</w:t>
      </w:r>
      <w:r>
        <w:rPr>
          <w:rFonts w:eastAsia="Times New Roman" w:cs="Times New Roman"/>
          <w:color w:val="171717"/>
          <w:sz w:val="24"/>
          <w:szCs w:val="24"/>
        </w:rPr>
        <w:t>ă</w:t>
      </w:r>
      <w:r w:rsidRPr="00186C03">
        <w:rPr>
          <w:rFonts w:eastAsia="Times New Roman" w:cs="Times New Roman"/>
          <w:color w:val="171717"/>
          <w:sz w:val="24"/>
          <w:szCs w:val="24"/>
        </w:rPr>
        <w:t xml:space="preserve"> </w:t>
      </w:r>
      <w:r>
        <w:rPr>
          <w:rFonts w:eastAsia="Times New Roman" w:cs="Times New Roman"/>
          <w:color w:val="171717"/>
          <w:sz w:val="24"/>
          <w:szCs w:val="24"/>
        </w:rPr>
        <w:t>ș</w:t>
      </w:r>
      <w:r w:rsidRPr="00186C03">
        <w:rPr>
          <w:rFonts w:eastAsia="Times New Roman" w:cs="Times New Roman"/>
          <w:color w:val="171717"/>
          <w:sz w:val="24"/>
          <w:szCs w:val="24"/>
        </w:rPr>
        <w:t>i a capacit</w:t>
      </w:r>
      <w:r>
        <w:rPr>
          <w:rFonts w:eastAsia="Times New Roman" w:cs="Times New Roman"/>
          <w:color w:val="171717"/>
          <w:sz w:val="24"/>
          <w:szCs w:val="24"/>
        </w:rPr>
        <w:t>ăț</w:t>
      </w:r>
      <w:r w:rsidRPr="00186C03">
        <w:rPr>
          <w:rFonts w:eastAsia="Times New Roman" w:cs="Times New Roman"/>
          <w:color w:val="171717"/>
          <w:sz w:val="24"/>
          <w:szCs w:val="24"/>
        </w:rPr>
        <w:t>ii manageriale, a competitivit</w:t>
      </w:r>
      <w:r>
        <w:rPr>
          <w:rFonts w:eastAsia="Times New Roman" w:cs="Times New Roman"/>
          <w:color w:val="171717"/>
          <w:sz w:val="24"/>
          <w:szCs w:val="24"/>
        </w:rPr>
        <w:t>ăț</w:t>
      </w:r>
      <w:r w:rsidRPr="00186C03">
        <w:rPr>
          <w:rFonts w:eastAsia="Times New Roman" w:cs="Times New Roman"/>
          <w:color w:val="171717"/>
          <w:sz w:val="24"/>
          <w:szCs w:val="24"/>
        </w:rPr>
        <w:t xml:space="preserve">ii, conectarea la standardele de calitate </w:t>
      </w:r>
      <w:r>
        <w:rPr>
          <w:rFonts w:eastAsia="Times New Roman" w:cs="Times New Roman"/>
          <w:color w:val="171717"/>
          <w:sz w:val="24"/>
          <w:szCs w:val="24"/>
        </w:rPr>
        <w:t>ș</w:t>
      </w:r>
      <w:r w:rsidRPr="00186C03">
        <w:rPr>
          <w:rFonts w:eastAsia="Times New Roman" w:cs="Times New Roman"/>
          <w:color w:val="171717"/>
          <w:sz w:val="24"/>
          <w:szCs w:val="24"/>
        </w:rPr>
        <w:t xml:space="preserve">i </w:t>
      </w:r>
      <w:r>
        <w:rPr>
          <w:rFonts w:eastAsia="Times New Roman" w:cs="Times New Roman"/>
          <w:color w:val="171717"/>
          <w:sz w:val="24"/>
          <w:szCs w:val="24"/>
        </w:rPr>
        <w:t>control internaț</w:t>
      </w:r>
      <w:r w:rsidRPr="00186C03">
        <w:rPr>
          <w:rFonts w:eastAsia="Times New Roman" w:cs="Times New Roman"/>
          <w:color w:val="171717"/>
          <w:sz w:val="24"/>
          <w:szCs w:val="24"/>
        </w:rPr>
        <w:t>ionale. Locurile de munc</w:t>
      </w:r>
      <w:r>
        <w:rPr>
          <w:rFonts w:eastAsia="Times New Roman" w:cs="Times New Roman"/>
          <w:color w:val="171717"/>
          <w:sz w:val="24"/>
          <w:szCs w:val="24"/>
        </w:rPr>
        <w:t>ă</w:t>
      </w:r>
      <w:r w:rsidRPr="00186C03">
        <w:rPr>
          <w:rFonts w:eastAsia="Times New Roman" w:cs="Times New Roman"/>
          <w:color w:val="171717"/>
          <w:sz w:val="24"/>
          <w:szCs w:val="24"/>
        </w:rPr>
        <w:t xml:space="preserve"> create prin im</w:t>
      </w:r>
      <w:r>
        <w:rPr>
          <w:rFonts w:eastAsia="Times New Roman" w:cs="Times New Roman"/>
          <w:color w:val="171717"/>
          <w:sz w:val="24"/>
          <w:szCs w:val="24"/>
        </w:rPr>
        <w:t>plementarea sistemului de lohn î</w:t>
      </w:r>
      <w:r w:rsidRPr="00186C03">
        <w:rPr>
          <w:rFonts w:eastAsia="Times New Roman" w:cs="Times New Roman"/>
          <w:color w:val="171717"/>
          <w:sz w:val="24"/>
          <w:szCs w:val="24"/>
        </w:rPr>
        <w:t>ns</w:t>
      </w:r>
      <w:r>
        <w:rPr>
          <w:rFonts w:eastAsia="Times New Roman" w:cs="Times New Roman"/>
          <w:color w:val="171717"/>
          <w:sz w:val="24"/>
          <w:szCs w:val="24"/>
        </w:rPr>
        <w:t>ă</w:t>
      </w:r>
      <w:r w:rsidRPr="00186C03">
        <w:rPr>
          <w:rFonts w:eastAsia="Times New Roman" w:cs="Times New Roman"/>
          <w:color w:val="171717"/>
          <w:sz w:val="24"/>
          <w:szCs w:val="24"/>
        </w:rPr>
        <w:t>, sunt deosebit de pr</w:t>
      </w:r>
      <w:r>
        <w:rPr>
          <w:rFonts w:eastAsia="Times New Roman" w:cs="Times New Roman"/>
          <w:color w:val="171717"/>
          <w:sz w:val="24"/>
          <w:szCs w:val="24"/>
        </w:rPr>
        <w:t>ecare, fiind supuse, î</w:t>
      </w:r>
      <w:r w:rsidRPr="00186C03">
        <w:rPr>
          <w:rFonts w:eastAsia="Times New Roman" w:cs="Times New Roman"/>
          <w:color w:val="171717"/>
          <w:sz w:val="24"/>
          <w:szCs w:val="24"/>
        </w:rPr>
        <w:t xml:space="preserve">n orice moment, riscului de a fi transferate </w:t>
      </w:r>
      <w:r>
        <w:rPr>
          <w:rFonts w:eastAsia="Times New Roman" w:cs="Times New Roman"/>
          <w:color w:val="171717"/>
          <w:sz w:val="24"/>
          <w:szCs w:val="24"/>
        </w:rPr>
        <w:t>î</w:t>
      </w:r>
      <w:r w:rsidRPr="00186C03">
        <w:rPr>
          <w:rFonts w:eastAsia="Times New Roman" w:cs="Times New Roman"/>
          <w:color w:val="171717"/>
          <w:sz w:val="24"/>
          <w:szCs w:val="24"/>
        </w:rPr>
        <w:t>ntr-o alt</w:t>
      </w:r>
      <w:r>
        <w:rPr>
          <w:rFonts w:eastAsia="Times New Roman" w:cs="Times New Roman"/>
          <w:color w:val="171717"/>
          <w:sz w:val="24"/>
          <w:szCs w:val="24"/>
        </w:rPr>
        <w:t>ă ț</w:t>
      </w:r>
      <w:r w:rsidRPr="00186C03">
        <w:rPr>
          <w:rFonts w:eastAsia="Times New Roman" w:cs="Times New Roman"/>
          <w:color w:val="171717"/>
          <w:sz w:val="24"/>
          <w:szCs w:val="24"/>
        </w:rPr>
        <w:t>ar</w:t>
      </w:r>
      <w:r>
        <w:rPr>
          <w:rFonts w:eastAsia="Times New Roman" w:cs="Times New Roman"/>
          <w:color w:val="171717"/>
          <w:sz w:val="24"/>
          <w:szCs w:val="24"/>
        </w:rPr>
        <w:t>ă, în care costurile cu forț</w:t>
      </w:r>
      <w:r w:rsidRPr="00186C03">
        <w:rPr>
          <w:rFonts w:eastAsia="Times New Roman" w:cs="Times New Roman"/>
          <w:color w:val="171717"/>
          <w:sz w:val="24"/>
          <w:szCs w:val="24"/>
        </w:rPr>
        <w:t>a de munc</w:t>
      </w:r>
      <w:r>
        <w:rPr>
          <w:rFonts w:eastAsia="Times New Roman" w:cs="Times New Roman"/>
          <w:color w:val="171717"/>
          <w:sz w:val="24"/>
          <w:szCs w:val="24"/>
        </w:rPr>
        <w:t>ă</w:t>
      </w:r>
      <w:r w:rsidRPr="00186C03">
        <w:rPr>
          <w:rFonts w:eastAsia="Times New Roman" w:cs="Times New Roman"/>
          <w:color w:val="171717"/>
          <w:sz w:val="24"/>
          <w:szCs w:val="24"/>
        </w:rPr>
        <w:t xml:space="preserve"> sunt inferioare. </w:t>
      </w:r>
      <w:r>
        <w:rPr>
          <w:rFonts w:eastAsia="Times New Roman" w:cs="Times New Roman"/>
          <w:sz w:val="24"/>
          <w:szCs w:val="24"/>
        </w:rPr>
        <w:t>Pe termen lung este î</w:t>
      </w:r>
      <w:r w:rsidRPr="00186C03">
        <w:rPr>
          <w:rFonts w:eastAsia="Times New Roman" w:cs="Times New Roman"/>
          <w:sz w:val="24"/>
          <w:szCs w:val="24"/>
        </w:rPr>
        <w:t>ns</w:t>
      </w:r>
      <w:r>
        <w:rPr>
          <w:rFonts w:eastAsia="Times New Roman" w:cs="Times New Roman"/>
          <w:sz w:val="24"/>
          <w:szCs w:val="24"/>
        </w:rPr>
        <w:t>ă</w:t>
      </w:r>
      <w:r w:rsidRPr="00186C03">
        <w:rPr>
          <w:rFonts w:eastAsia="Times New Roman" w:cs="Times New Roman"/>
          <w:sz w:val="24"/>
          <w:szCs w:val="24"/>
        </w:rPr>
        <w:t xml:space="preserve"> oportun</w:t>
      </w:r>
      <w:r>
        <w:rPr>
          <w:rFonts w:eastAsia="Times New Roman" w:cs="Times New Roman"/>
          <w:sz w:val="24"/>
          <w:szCs w:val="24"/>
        </w:rPr>
        <w:t>ă</w:t>
      </w:r>
      <w:r w:rsidRPr="00186C03">
        <w:rPr>
          <w:rFonts w:eastAsia="Times New Roman" w:cs="Times New Roman"/>
          <w:sz w:val="24"/>
          <w:szCs w:val="24"/>
        </w:rPr>
        <w:t xml:space="preserve"> reorientarea treptat</w:t>
      </w:r>
      <w:r>
        <w:rPr>
          <w:rFonts w:eastAsia="Times New Roman" w:cs="Times New Roman"/>
          <w:sz w:val="24"/>
          <w:szCs w:val="24"/>
        </w:rPr>
        <w:t>ă</w:t>
      </w:r>
      <w:r w:rsidRPr="00186C03">
        <w:rPr>
          <w:rFonts w:eastAsia="Times New Roman" w:cs="Times New Roman"/>
          <w:sz w:val="24"/>
          <w:szCs w:val="24"/>
        </w:rPr>
        <w:t xml:space="preserve"> a produc</w:t>
      </w:r>
      <w:r>
        <w:rPr>
          <w:rFonts w:eastAsia="Times New Roman" w:cs="Times New Roman"/>
          <w:sz w:val="24"/>
          <w:szCs w:val="24"/>
        </w:rPr>
        <w:t>ț</w:t>
      </w:r>
      <w:r w:rsidRPr="00186C03">
        <w:rPr>
          <w:rFonts w:eastAsia="Times New Roman" w:cs="Times New Roman"/>
          <w:sz w:val="24"/>
          <w:szCs w:val="24"/>
        </w:rPr>
        <w:t>iei, fiind mai rentabil</w:t>
      </w:r>
      <w:r>
        <w:rPr>
          <w:rFonts w:eastAsia="Times New Roman" w:cs="Times New Roman"/>
          <w:sz w:val="24"/>
          <w:szCs w:val="24"/>
        </w:rPr>
        <w:t>ă</w:t>
      </w:r>
      <w:r w:rsidRPr="00186C03">
        <w:rPr>
          <w:rFonts w:eastAsia="Times New Roman" w:cs="Times New Roman"/>
          <w:sz w:val="24"/>
          <w:szCs w:val="24"/>
        </w:rPr>
        <w:t xml:space="preserve"> realizarea exportului direct </w:t>
      </w:r>
      <w:r>
        <w:rPr>
          <w:rFonts w:eastAsia="Times New Roman" w:cs="Times New Roman"/>
          <w:sz w:val="24"/>
          <w:szCs w:val="24"/>
        </w:rPr>
        <w:t>în î</w:t>
      </w:r>
      <w:r w:rsidRPr="00186C03">
        <w:rPr>
          <w:rFonts w:eastAsia="Times New Roman" w:cs="Times New Roman"/>
          <w:sz w:val="24"/>
          <w:szCs w:val="24"/>
        </w:rPr>
        <w:t xml:space="preserve">ntregime din </w:t>
      </w:r>
      <w:r>
        <w:rPr>
          <w:rFonts w:eastAsia="Times New Roman" w:cs="Times New Roman"/>
          <w:sz w:val="24"/>
          <w:szCs w:val="24"/>
        </w:rPr>
        <w:t>producț</w:t>
      </w:r>
      <w:r w:rsidRPr="00186C03">
        <w:rPr>
          <w:rFonts w:eastAsia="Times New Roman" w:cs="Times New Roman"/>
          <w:sz w:val="24"/>
          <w:szCs w:val="24"/>
        </w:rPr>
        <w:t>ie propri</w:t>
      </w:r>
      <w:r w:rsidRPr="00186C03">
        <w:rPr>
          <w:rFonts w:eastAsia="Times New Roman" w:cs="Times New Roman"/>
          <w:bCs/>
          <w:sz w:val="24"/>
          <w:szCs w:val="24"/>
        </w:rPr>
        <w:t>e</w:t>
      </w:r>
      <w:r w:rsidRPr="00E77549">
        <w:rPr>
          <w:rFonts w:eastAsia="Times New Roman" w:cs="Times New Roman"/>
          <w:b/>
          <w:sz w:val="24"/>
          <w:szCs w:val="24"/>
        </w:rPr>
        <w:t>.</w:t>
      </w:r>
      <w:r w:rsidRPr="00184513">
        <w:rPr>
          <w:rFonts w:eastAsia="Times New Roman" w:cs="Times New Roman"/>
          <w:sz w:val="24"/>
          <w:szCs w:val="24"/>
        </w:rPr>
        <w:t xml:space="preserve"> </w:t>
      </w:r>
      <w:r>
        <w:rPr>
          <w:rFonts w:eastAsia="Times New Roman" w:cs="Times New Roman"/>
          <w:color w:val="171717"/>
          <w:sz w:val="24"/>
          <w:szCs w:val="24"/>
          <w:lang w:val="pt-BR"/>
        </w:rPr>
        <w:t>Modificarea acordurilor comerciale mondiale î</w:t>
      </w:r>
      <w:r w:rsidRPr="00BE1BEB">
        <w:rPr>
          <w:rFonts w:eastAsia="Times New Roman" w:cs="Times New Roman"/>
          <w:color w:val="171717"/>
          <w:sz w:val="24"/>
          <w:szCs w:val="24"/>
          <w:lang w:val="pt-BR"/>
        </w:rPr>
        <w:t>ncepand cu anul </w:t>
      </w:r>
      <w:r w:rsidRPr="00E77549">
        <w:rPr>
          <w:rFonts w:eastAsia="Times New Roman" w:cs="Times New Roman"/>
          <w:bCs/>
          <w:color w:val="171717"/>
          <w:sz w:val="24"/>
          <w:szCs w:val="24"/>
          <w:lang w:val="pt-BR"/>
        </w:rPr>
        <w:t xml:space="preserve">2005 au condus la un declin al </w:t>
      </w:r>
      <w:r w:rsidRPr="00E77549">
        <w:rPr>
          <w:rFonts w:eastAsia="Times New Roman" w:cs="Times New Roman"/>
          <w:color w:val="171717"/>
          <w:sz w:val="24"/>
          <w:szCs w:val="24"/>
          <w:lang w:val="pt-BR"/>
        </w:rPr>
        <w:t>i</w:t>
      </w:r>
      <w:r w:rsidRPr="00BE1BEB">
        <w:rPr>
          <w:rFonts w:eastAsia="Times New Roman" w:cs="Times New Roman"/>
          <w:color w:val="171717"/>
          <w:sz w:val="24"/>
          <w:szCs w:val="24"/>
          <w:lang w:val="pt-BR"/>
        </w:rPr>
        <w:t>ndustri</w:t>
      </w:r>
      <w:r>
        <w:rPr>
          <w:rFonts w:eastAsia="Times New Roman" w:cs="Times New Roman"/>
          <w:color w:val="171717"/>
          <w:sz w:val="24"/>
          <w:szCs w:val="24"/>
          <w:lang w:val="pt-BR"/>
        </w:rPr>
        <w:t xml:space="preserve">ei romamânești </w:t>
      </w:r>
      <w:r w:rsidRPr="00BE1BEB">
        <w:rPr>
          <w:rFonts w:eastAsia="Times New Roman" w:cs="Times New Roman"/>
          <w:color w:val="171717"/>
          <w:sz w:val="24"/>
          <w:szCs w:val="24"/>
          <w:lang w:val="pt-BR"/>
        </w:rPr>
        <w:t xml:space="preserve">de </w:t>
      </w:r>
      <w:r>
        <w:rPr>
          <w:rFonts w:eastAsia="Times New Roman" w:cs="Times New Roman"/>
          <w:color w:val="171717"/>
          <w:sz w:val="24"/>
          <w:szCs w:val="24"/>
          <w:lang w:val="pt-BR"/>
        </w:rPr>
        <w:t>textile și confecții</w:t>
      </w:r>
      <w:r w:rsidRPr="00BE1BEB">
        <w:rPr>
          <w:rFonts w:eastAsia="Times New Roman" w:cs="Times New Roman"/>
          <w:color w:val="171717"/>
          <w:sz w:val="24"/>
          <w:szCs w:val="24"/>
          <w:lang w:val="pt-BR"/>
        </w:rPr>
        <w:t xml:space="preserve">. </w:t>
      </w:r>
      <w:r w:rsidRPr="00BE1BEB">
        <w:rPr>
          <w:rFonts w:eastAsia="Times New Roman" w:cs="Times New Roman"/>
          <w:sz w:val="24"/>
          <w:szCs w:val="24"/>
        </w:rPr>
        <w:t xml:space="preserve">La 1 ianuarie 2005 a </w:t>
      </w:r>
      <w:r>
        <w:rPr>
          <w:rFonts w:eastAsia="Times New Roman" w:cs="Times New Roman"/>
          <w:sz w:val="24"/>
          <w:szCs w:val="24"/>
        </w:rPr>
        <w:t>î</w:t>
      </w:r>
      <w:r w:rsidRPr="00BE1BEB">
        <w:rPr>
          <w:rFonts w:eastAsia="Times New Roman" w:cs="Times New Roman"/>
          <w:sz w:val="24"/>
          <w:szCs w:val="24"/>
        </w:rPr>
        <w:t>ncetat valabilitat</w:t>
      </w:r>
      <w:r>
        <w:rPr>
          <w:rFonts w:eastAsia="Times New Roman" w:cs="Times New Roman"/>
          <w:sz w:val="24"/>
          <w:szCs w:val="24"/>
        </w:rPr>
        <w:t>ea Acordului pentru Textile și Î</w:t>
      </w:r>
      <w:r w:rsidRPr="00BE1BEB">
        <w:rPr>
          <w:rFonts w:eastAsia="Times New Roman" w:cs="Times New Roman"/>
          <w:sz w:val="24"/>
          <w:szCs w:val="24"/>
        </w:rPr>
        <w:t>mbr</w:t>
      </w:r>
      <w:r>
        <w:rPr>
          <w:rFonts w:eastAsia="Times New Roman" w:cs="Times New Roman"/>
          <w:sz w:val="24"/>
          <w:szCs w:val="24"/>
        </w:rPr>
        <w:t>ă</w:t>
      </w:r>
      <w:r w:rsidRPr="00BE1BEB">
        <w:rPr>
          <w:rFonts w:eastAsia="Times New Roman" w:cs="Times New Roman"/>
          <w:sz w:val="24"/>
          <w:szCs w:val="24"/>
        </w:rPr>
        <w:t>c</w:t>
      </w:r>
      <w:r>
        <w:rPr>
          <w:rFonts w:eastAsia="Times New Roman" w:cs="Times New Roman"/>
          <w:sz w:val="24"/>
          <w:szCs w:val="24"/>
        </w:rPr>
        <w:t>ă</w:t>
      </w:r>
      <w:r w:rsidRPr="00BE1BEB">
        <w:rPr>
          <w:rFonts w:eastAsia="Times New Roman" w:cs="Times New Roman"/>
          <w:sz w:val="24"/>
          <w:szCs w:val="24"/>
        </w:rPr>
        <w:t xml:space="preserve">minte </w:t>
      </w:r>
      <w:r>
        <w:rPr>
          <w:rFonts w:eastAsia="Times New Roman" w:cs="Times New Roman"/>
          <w:sz w:val="24"/>
          <w:szCs w:val="24"/>
        </w:rPr>
        <w:t>ș</w:t>
      </w:r>
      <w:r w:rsidRPr="00BE1BEB">
        <w:rPr>
          <w:rFonts w:eastAsia="Times New Roman" w:cs="Times New Roman"/>
          <w:sz w:val="24"/>
          <w:szCs w:val="24"/>
        </w:rPr>
        <w:t xml:space="preserve">i implicit </w:t>
      </w:r>
      <w:r>
        <w:rPr>
          <w:rFonts w:eastAsia="Times New Roman" w:cs="Times New Roman"/>
          <w:sz w:val="24"/>
          <w:szCs w:val="24"/>
        </w:rPr>
        <w:t xml:space="preserve">s-a </w:t>
      </w:r>
      <w:r>
        <w:rPr>
          <w:rFonts w:eastAsia="Times New Roman" w:cs="Times New Roman"/>
          <w:sz w:val="24"/>
          <w:szCs w:val="24"/>
        </w:rPr>
        <w:lastRenderedPageBreak/>
        <w:t>produs o modificare radicală î</w:t>
      </w:r>
      <w:r w:rsidRPr="00BE1BEB">
        <w:rPr>
          <w:rFonts w:eastAsia="Times New Roman" w:cs="Times New Roman"/>
          <w:sz w:val="24"/>
          <w:szCs w:val="24"/>
        </w:rPr>
        <w:t>n comer</w:t>
      </w:r>
      <w:r>
        <w:rPr>
          <w:rFonts w:eastAsia="Times New Roman" w:cs="Times New Roman"/>
          <w:sz w:val="24"/>
          <w:szCs w:val="24"/>
        </w:rPr>
        <w:t>ț</w:t>
      </w:r>
      <w:r w:rsidRPr="00BE1BEB">
        <w:rPr>
          <w:rFonts w:eastAsia="Times New Roman" w:cs="Times New Roman"/>
          <w:sz w:val="24"/>
          <w:szCs w:val="24"/>
        </w:rPr>
        <w:t>ul interna</w:t>
      </w:r>
      <w:r>
        <w:rPr>
          <w:rFonts w:eastAsia="Times New Roman" w:cs="Times New Roman"/>
          <w:sz w:val="24"/>
          <w:szCs w:val="24"/>
        </w:rPr>
        <w:t>ț</w:t>
      </w:r>
      <w:r w:rsidRPr="00BE1BEB">
        <w:rPr>
          <w:rFonts w:eastAsia="Times New Roman" w:cs="Times New Roman"/>
          <w:sz w:val="24"/>
          <w:szCs w:val="24"/>
        </w:rPr>
        <w:t>ional</w:t>
      </w:r>
      <w:r>
        <w:rPr>
          <w:rFonts w:eastAsia="Times New Roman" w:cs="Times New Roman"/>
          <w:sz w:val="24"/>
          <w:szCs w:val="24"/>
        </w:rPr>
        <w:t xml:space="preserve"> prin</w:t>
      </w:r>
      <w:r w:rsidRPr="00BE1BEB">
        <w:rPr>
          <w:rFonts w:eastAsia="Times New Roman" w:cs="Times New Roman"/>
          <w:sz w:val="24"/>
          <w:szCs w:val="24"/>
        </w:rPr>
        <w:t xml:space="preserve"> liberalizarea complet</w:t>
      </w:r>
      <w:r>
        <w:rPr>
          <w:rFonts w:eastAsia="Times New Roman" w:cs="Times New Roman"/>
          <w:sz w:val="24"/>
          <w:szCs w:val="24"/>
        </w:rPr>
        <w:t>ă</w:t>
      </w:r>
      <w:r w:rsidRPr="00BE1BEB">
        <w:rPr>
          <w:rFonts w:eastAsia="Times New Roman" w:cs="Times New Roman"/>
          <w:sz w:val="24"/>
          <w:szCs w:val="24"/>
        </w:rPr>
        <w:t xml:space="preserve"> a comer</w:t>
      </w:r>
      <w:r>
        <w:rPr>
          <w:rFonts w:eastAsia="Times New Roman" w:cs="Times New Roman"/>
          <w:sz w:val="24"/>
          <w:szCs w:val="24"/>
        </w:rPr>
        <w:t>țului și eliminarea orică</w:t>
      </w:r>
      <w:r w:rsidRPr="00BE1BEB">
        <w:rPr>
          <w:rFonts w:eastAsia="Times New Roman" w:cs="Times New Roman"/>
          <w:sz w:val="24"/>
          <w:szCs w:val="24"/>
        </w:rPr>
        <w:t>ror restric</w:t>
      </w:r>
      <w:r>
        <w:rPr>
          <w:rFonts w:eastAsia="Times New Roman" w:cs="Times New Roman"/>
          <w:sz w:val="24"/>
          <w:szCs w:val="24"/>
        </w:rPr>
        <w:t>ț</w:t>
      </w:r>
      <w:r w:rsidRPr="00BE1BEB">
        <w:rPr>
          <w:rFonts w:eastAsia="Times New Roman" w:cs="Times New Roman"/>
          <w:sz w:val="24"/>
          <w:szCs w:val="24"/>
        </w:rPr>
        <w:t xml:space="preserve">ii cantitative. </w:t>
      </w:r>
    </w:p>
    <w:p w:rsidR="00852F75" w:rsidRPr="00186C03" w:rsidRDefault="00852F75" w:rsidP="00852F75">
      <w:pPr>
        <w:pStyle w:val="Titlu2"/>
      </w:pPr>
      <w:r w:rsidRPr="00186C03">
        <w:t>Situația industriei textile și de confecții în Regiunea Centru</w:t>
      </w:r>
    </w:p>
    <w:p w:rsidR="00852F75" w:rsidRDefault="00852F75" w:rsidP="00852F75">
      <w:pPr>
        <w:pStyle w:val="Listparagraf"/>
        <w:ind w:left="0"/>
        <w:rPr>
          <w:sz w:val="24"/>
          <w:szCs w:val="24"/>
        </w:rPr>
      </w:pPr>
    </w:p>
    <w:p w:rsidR="00852F75" w:rsidRDefault="00852F75" w:rsidP="00852F75">
      <w:pPr>
        <w:pStyle w:val="Listparagraf"/>
        <w:ind w:left="0"/>
        <w:jc w:val="both"/>
        <w:rPr>
          <w:sz w:val="24"/>
          <w:szCs w:val="24"/>
        </w:rPr>
      </w:pPr>
      <w:r w:rsidRPr="0089265B">
        <w:rPr>
          <w:sz w:val="24"/>
          <w:szCs w:val="24"/>
        </w:rPr>
        <w:t>Industria textilă</w:t>
      </w:r>
      <w:r>
        <w:rPr>
          <w:sz w:val="24"/>
          <w:szCs w:val="24"/>
        </w:rPr>
        <w:t xml:space="preserve"> are o tradiție multiseculară în Regiunea Centru ce începe cu apariția și dezvoltarea primelor manufacturi textile </w:t>
      </w:r>
      <w:r w:rsidRPr="0089265B">
        <w:rPr>
          <w:sz w:val="24"/>
          <w:szCs w:val="24"/>
        </w:rPr>
        <w:t xml:space="preserve"> </w:t>
      </w:r>
      <w:r>
        <w:rPr>
          <w:sz w:val="24"/>
          <w:szCs w:val="24"/>
        </w:rPr>
        <w:t xml:space="preserve">din Transilvania la mijlocul secolului XVIII. A urmat o perioadă  de dezvoltare progresivă a industriei textile, numărul de salariați din acest sector ajungând la câteva zeci de mii în 1990. </w:t>
      </w:r>
    </w:p>
    <w:p w:rsidR="00852F75" w:rsidRDefault="00852F75" w:rsidP="00852F75">
      <w:pPr>
        <w:pStyle w:val="Listparagraf"/>
        <w:ind w:left="0"/>
        <w:jc w:val="both"/>
        <w:rPr>
          <w:sz w:val="24"/>
          <w:szCs w:val="24"/>
        </w:rPr>
      </w:pPr>
    </w:p>
    <w:p w:rsidR="00852F75" w:rsidRDefault="00852F75" w:rsidP="00852F75">
      <w:pPr>
        <w:pStyle w:val="Listparagraf"/>
        <w:ind w:left="0"/>
        <w:jc w:val="both"/>
        <w:rPr>
          <w:sz w:val="24"/>
          <w:szCs w:val="24"/>
        </w:rPr>
      </w:pPr>
      <w:r w:rsidRPr="002D5107">
        <w:rPr>
          <w:sz w:val="24"/>
          <w:szCs w:val="24"/>
        </w:rPr>
        <w:t xml:space="preserve">După anul 1989, industria textilă și de confecții din Regiunea Centru a înregistrat o evoluție similară cu cea înregistrată la nivel național. Declinul accentuat din anii 90 a fost urmat de perioada de dezvoltare a lohn-ului, apoi schimbările intervenite în relațiile comerciale la nivel internațional (aderarea în 2005 a Chinei la Organizația Mondială a Comerțului) peste care s-a suprapus criza economico-financiară au afectat negativ situația industriei textile și a confecțiilor din Regiunea Centru. </w:t>
      </w:r>
    </w:p>
    <w:p w:rsidR="00852F75" w:rsidRDefault="00852F75" w:rsidP="00852F75">
      <w:pPr>
        <w:pStyle w:val="Listparagraf"/>
        <w:ind w:left="0"/>
        <w:jc w:val="both"/>
        <w:rPr>
          <w:sz w:val="24"/>
          <w:szCs w:val="24"/>
        </w:rPr>
      </w:pPr>
    </w:p>
    <w:p w:rsidR="00852F75" w:rsidRDefault="00852F75" w:rsidP="00852F75">
      <w:pPr>
        <w:pStyle w:val="Listparagraf"/>
        <w:ind w:left="0"/>
        <w:jc w:val="both"/>
        <w:rPr>
          <w:sz w:val="24"/>
          <w:szCs w:val="24"/>
        </w:rPr>
      </w:pPr>
      <w:r>
        <w:rPr>
          <w:sz w:val="24"/>
          <w:szCs w:val="24"/>
        </w:rPr>
        <w:t>Multe dintre întreprinderile ce activează în industria confecțiilor sunt întreprinderi înființate după anul 1990, în perioada de dezvoltare a producției în lohn, unele dintre ele având capital majoritar sau integral străin. Alături de aceste companii noi funcționează firme cu o îndelungată tradiție, în special în subramura textilă (Carpatex, Textila Oltul, Transilana), dar și în industria confecțiilor textile (</w:t>
      </w:r>
      <w:r w:rsidRPr="00372F92">
        <w:rPr>
          <w:sz w:val="24"/>
          <w:szCs w:val="24"/>
        </w:rPr>
        <w:t>Ikos Conf</w:t>
      </w:r>
      <w:r>
        <w:rPr>
          <w:sz w:val="24"/>
          <w:szCs w:val="24"/>
        </w:rPr>
        <w:t>,</w:t>
      </w:r>
      <w:r w:rsidRPr="00372F92">
        <w:rPr>
          <w:sz w:val="24"/>
          <w:szCs w:val="24"/>
        </w:rPr>
        <w:t xml:space="preserve"> </w:t>
      </w:r>
      <w:r>
        <w:rPr>
          <w:sz w:val="24"/>
          <w:szCs w:val="24"/>
        </w:rPr>
        <w:t xml:space="preserve">Ciserom, Târnava, </w:t>
      </w:r>
      <w:r w:rsidRPr="00ED2634">
        <w:rPr>
          <w:sz w:val="24"/>
          <w:szCs w:val="24"/>
        </w:rPr>
        <w:t>Mondex Prod,</w:t>
      </w:r>
      <w:r>
        <w:rPr>
          <w:sz w:val="24"/>
          <w:szCs w:val="24"/>
        </w:rPr>
        <w:t xml:space="preserve"> Secuiana, Norada etc). </w:t>
      </w:r>
    </w:p>
    <w:p w:rsidR="00852F75" w:rsidRPr="005A2F2D" w:rsidRDefault="00852F75" w:rsidP="00852F75">
      <w:pPr>
        <w:contextualSpacing/>
        <w:jc w:val="both"/>
        <w:rPr>
          <w:sz w:val="24"/>
          <w:szCs w:val="24"/>
        </w:rPr>
      </w:pPr>
      <w:r w:rsidRPr="005A2F2D">
        <w:rPr>
          <w:sz w:val="24"/>
          <w:szCs w:val="24"/>
        </w:rPr>
        <w:t>Din punct de vedere al indicatorilor analizaţi, în perioada 2010-2015 în Regiunea Centru  </w:t>
      </w:r>
      <w:r w:rsidRPr="005A2F2D">
        <w:rPr>
          <w:sz w:val="24"/>
          <w:szCs w:val="24"/>
          <w:shd w:val="clear" w:color="auto" w:fill="FFFFFF"/>
        </w:rPr>
        <w:t>există o</w:t>
      </w:r>
      <w:r w:rsidRPr="005A2F2D">
        <w:rPr>
          <w:sz w:val="24"/>
          <w:szCs w:val="24"/>
        </w:rPr>
        <w:t xml:space="preserve"> concentrare </w:t>
      </w:r>
      <w:r w:rsidRPr="005A2F2D">
        <w:rPr>
          <w:sz w:val="24"/>
          <w:szCs w:val="24"/>
          <w:shd w:val="clear" w:color="auto" w:fill="FFFFFF"/>
        </w:rPr>
        <w:t>puternică a producţiei</w:t>
      </w:r>
      <w:r w:rsidRPr="005A2F2D">
        <w:rPr>
          <w:sz w:val="24"/>
          <w:szCs w:val="24"/>
        </w:rPr>
        <w:t xml:space="preserve"> industriale </w:t>
      </w:r>
      <w:r w:rsidRPr="005A2F2D">
        <w:rPr>
          <w:sz w:val="24"/>
          <w:szCs w:val="24"/>
          <w:shd w:val="clear" w:color="auto" w:fill="FFFFFF"/>
        </w:rPr>
        <w:t>în judeţele Covasna si Harghita. De asemenea, judeţele Alba, Braşov, Mureş şi Sibiu au o contribuție semnificativă atât în ce privește numărul total de angajaţi în industria textilă şi de confecţii la nivel regional cât și la totalul cifrei de afaceri a sectorului la nivel regional</w:t>
      </w:r>
      <w:r w:rsidRPr="005A2F2D">
        <w:rPr>
          <w:sz w:val="24"/>
          <w:szCs w:val="24"/>
        </w:rPr>
        <w:t>.</w:t>
      </w:r>
    </w:p>
    <w:p w:rsidR="00852F75" w:rsidRDefault="00852F75" w:rsidP="00852F75">
      <w:pPr>
        <w:pStyle w:val="Titlu2"/>
      </w:pPr>
      <w:r>
        <w:t xml:space="preserve">Date cheie privind industria textilă și de confecții în Regiunea Centru </w:t>
      </w:r>
    </w:p>
    <w:p w:rsidR="00852F75" w:rsidRDefault="00852F75" w:rsidP="00852F75">
      <w:pPr>
        <w:pStyle w:val="Titlu3"/>
      </w:pPr>
      <w:r>
        <w:t>Cifra de afaceri din industria textilă şi a confecţiilor</w:t>
      </w:r>
    </w:p>
    <w:p w:rsidR="00852F75" w:rsidRPr="00DE225E" w:rsidRDefault="00852F75" w:rsidP="00852F75"/>
    <w:p w:rsidR="00852F75" w:rsidRDefault="00852F75" w:rsidP="00852F75">
      <w:pPr>
        <w:pStyle w:val="Frspaiere"/>
        <w:spacing w:after="200" w:line="276" w:lineRule="auto"/>
        <w:contextualSpacing/>
        <w:jc w:val="both"/>
        <w:rPr>
          <w:sz w:val="24"/>
          <w:szCs w:val="24"/>
        </w:rPr>
      </w:pPr>
      <w:r w:rsidRPr="007A5A87">
        <w:rPr>
          <w:sz w:val="24"/>
          <w:szCs w:val="24"/>
        </w:rPr>
        <w:t>Întreprinderile celor două ramuri ale industriei uşoare au raportat cifre de afaceri în creştere în 2015 faţă de rezultatele anului 2010</w:t>
      </w:r>
      <w:r>
        <w:rPr>
          <w:sz w:val="24"/>
          <w:szCs w:val="24"/>
        </w:rPr>
        <w:t xml:space="preserve"> atât la nivelul României cât și la nivelul Regiunii Centru și în cazul a 5 dintre județele componente. Excepţie face judeţul Sibiu care a înregistrat o scădere cu cca 30% în ultimii 5 ani. Trebuie menționat faptul că datele financiare cumulate ale firmelor prezentate în tabelul de mai jos sunt exprimate în prețuri curente,  iar pentru evoluția ,,reală” a cifrei de afaceri în acest domeniu este nevoie de exprimarea în prețuri constante  (din anul de referință) a cifrei de afaceri.</w:t>
      </w:r>
    </w:p>
    <w:p w:rsidR="00852F75" w:rsidRDefault="00852F75" w:rsidP="00852F75">
      <w:pPr>
        <w:pStyle w:val="Frspaiere"/>
        <w:spacing w:after="200" w:line="276" w:lineRule="auto"/>
        <w:contextualSpacing/>
        <w:jc w:val="both"/>
        <w:rPr>
          <w:sz w:val="24"/>
          <w:szCs w:val="24"/>
        </w:rPr>
      </w:pPr>
    </w:p>
    <w:p w:rsidR="00852F75" w:rsidRPr="008602C9" w:rsidRDefault="00852F75" w:rsidP="00852F75">
      <w:pPr>
        <w:pStyle w:val="Frspaiere"/>
        <w:spacing w:line="276" w:lineRule="auto"/>
        <w:contextualSpacing/>
        <w:jc w:val="center"/>
        <w:rPr>
          <w:rFonts w:ascii="Calibri" w:eastAsia="Times New Roman" w:hAnsi="Calibri" w:cs="Calibri"/>
          <w:b/>
          <w:sz w:val="24"/>
          <w:szCs w:val="24"/>
          <w:lang w:eastAsia="en-US"/>
        </w:rPr>
      </w:pPr>
      <w:r>
        <w:rPr>
          <w:rFonts w:ascii="Calibri" w:eastAsia="Times New Roman" w:hAnsi="Calibri" w:cs="Calibri"/>
          <w:b/>
          <w:sz w:val="24"/>
          <w:szCs w:val="24"/>
          <w:lang w:eastAsia="en-US"/>
        </w:rPr>
        <w:lastRenderedPageBreak/>
        <w:t xml:space="preserve">Tab. 1 </w:t>
      </w:r>
      <w:r w:rsidRPr="008602C9">
        <w:rPr>
          <w:rFonts w:ascii="Calibri" w:eastAsia="Times New Roman" w:hAnsi="Calibri" w:cs="Calibri"/>
          <w:b/>
          <w:sz w:val="24"/>
          <w:szCs w:val="24"/>
          <w:lang w:eastAsia="en-US"/>
        </w:rPr>
        <w:t>Cifra de afaceri realizată de firmele din industria textilă și de confecții textile</w:t>
      </w:r>
    </w:p>
    <w:p w:rsidR="00852F75" w:rsidRPr="008602C9" w:rsidRDefault="00852F75" w:rsidP="00852F75">
      <w:pPr>
        <w:pStyle w:val="Frspaiere"/>
        <w:spacing w:line="276" w:lineRule="auto"/>
        <w:contextualSpacing/>
        <w:jc w:val="center"/>
        <w:rPr>
          <w:rFonts w:ascii="Calibri" w:eastAsia="Times New Roman" w:hAnsi="Calibri" w:cs="Calibri"/>
          <w:b/>
          <w:lang w:eastAsia="en-US"/>
        </w:rPr>
      </w:pPr>
    </w:p>
    <w:p w:rsidR="00852F75" w:rsidRPr="008602C9" w:rsidRDefault="00852F75" w:rsidP="00852F75">
      <w:pPr>
        <w:pStyle w:val="Frspaiere"/>
        <w:spacing w:line="276" w:lineRule="auto"/>
        <w:contextualSpacing/>
        <w:jc w:val="center"/>
        <w:rPr>
          <w:b/>
          <w:sz w:val="24"/>
          <w:szCs w:val="24"/>
        </w:rPr>
      </w:pPr>
      <w:r w:rsidRPr="008602C9">
        <w:rPr>
          <w:rFonts w:ascii="Calibri" w:eastAsia="Times New Roman" w:hAnsi="Calibri" w:cs="Calibri"/>
          <w:b/>
          <w:lang w:eastAsia="en-US"/>
        </w:rPr>
        <w:t xml:space="preserve">                                                                                                         -   mil. lei</w:t>
      </w:r>
      <w:r w:rsidRPr="008602C9">
        <w:rPr>
          <w:b/>
          <w:sz w:val="24"/>
          <w:szCs w:val="24"/>
        </w:rPr>
        <w:t xml:space="preserve"> </w:t>
      </w:r>
      <w:r w:rsidRPr="00DE225E">
        <w:rPr>
          <w:b/>
        </w:rPr>
        <w:t>preţuri curente-</w:t>
      </w:r>
    </w:p>
    <w:tbl>
      <w:tblPr>
        <w:tblW w:w="7828" w:type="dxa"/>
        <w:jc w:val="center"/>
        <w:tblInd w:w="-63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tblBorders>
        <w:tblLook w:val="04A0"/>
      </w:tblPr>
      <w:tblGrid>
        <w:gridCol w:w="1780"/>
        <w:gridCol w:w="1480"/>
        <w:gridCol w:w="1480"/>
        <w:gridCol w:w="1544"/>
        <w:gridCol w:w="1544"/>
      </w:tblGrid>
      <w:tr w:rsidR="00852F75" w:rsidRPr="003E1F0C" w:rsidTr="005F5D09">
        <w:trPr>
          <w:trHeight w:val="315"/>
          <w:jc w:val="center"/>
        </w:trPr>
        <w:tc>
          <w:tcPr>
            <w:tcW w:w="1780" w:type="dxa"/>
            <w:vMerge w:val="restart"/>
            <w:tcBorders>
              <w:top w:val="single" w:sz="4" w:space="0" w:color="auto"/>
              <w:left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rPr>
                <w:rFonts w:ascii="Calibri" w:eastAsia="Times New Roman" w:hAnsi="Calibri" w:cs="Calibri"/>
                <w:color w:val="000000"/>
                <w:sz w:val="24"/>
                <w:szCs w:val="24"/>
              </w:rPr>
            </w:pPr>
            <w:r w:rsidRPr="003E1F0C">
              <w:rPr>
                <w:rFonts w:ascii="Calibri" w:eastAsia="Times New Roman" w:hAnsi="Calibri" w:cs="Calibri"/>
                <w:color w:val="000000"/>
                <w:sz w:val="24"/>
                <w:szCs w:val="24"/>
              </w:rPr>
              <w:t> </w:t>
            </w:r>
          </w:p>
        </w:tc>
        <w:tc>
          <w:tcPr>
            <w:tcW w:w="296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Ind. textilă</w:t>
            </w:r>
          </w:p>
        </w:tc>
        <w:tc>
          <w:tcPr>
            <w:tcW w:w="308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Ind. confecțiilor textile</w:t>
            </w:r>
          </w:p>
        </w:tc>
      </w:tr>
      <w:tr w:rsidR="00852F75" w:rsidRPr="003E1F0C" w:rsidTr="005F5D09">
        <w:trPr>
          <w:trHeight w:val="315"/>
          <w:jc w:val="center"/>
        </w:trPr>
        <w:tc>
          <w:tcPr>
            <w:tcW w:w="1780" w:type="dxa"/>
            <w:vMerge/>
            <w:tcBorders>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rPr>
                <w:rFonts w:ascii="Calibri" w:eastAsia="Times New Roman" w:hAnsi="Calibri" w:cs="Calibri"/>
                <w:color w:val="000000"/>
                <w:sz w:val="24"/>
                <w:szCs w:val="24"/>
              </w:rPr>
            </w:pPr>
          </w:p>
        </w:tc>
        <w:tc>
          <w:tcPr>
            <w:tcW w:w="14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jc w:val="center"/>
              <w:rPr>
                <w:rFonts w:ascii="Calibri" w:eastAsia="Times New Roman" w:hAnsi="Calibri" w:cs="Calibri"/>
                <w:b/>
                <w:color w:val="000000"/>
                <w:sz w:val="24"/>
                <w:szCs w:val="24"/>
              </w:rPr>
            </w:pPr>
            <w:r w:rsidRPr="003E1F0C">
              <w:rPr>
                <w:rFonts w:ascii="Calibri" w:eastAsia="Times New Roman" w:hAnsi="Calibri" w:cs="Calibri"/>
                <w:b/>
                <w:color w:val="000000"/>
                <w:sz w:val="24"/>
                <w:szCs w:val="24"/>
              </w:rPr>
              <w:t>2010</w:t>
            </w:r>
          </w:p>
        </w:tc>
        <w:tc>
          <w:tcPr>
            <w:tcW w:w="14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jc w:val="center"/>
              <w:rPr>
                <w:rFonts w:ascii="Calibri" w:eastAsia="Times New Roman" w:hAnsi="Calibri" w:cs="Calibri"/>
                <w:b/>
                <w:color w:val="000000"/>
                <w:sz w:val="24"/>
                <w:szCs w:val="24"/>
              </w:rPr>
            </w:pPr>
            <w:r w:rsidRPr="003E1F0C">
              <w:rPr>
                <w:rFonts w:ascii="Calibri" w:eastAsia="Times New Roman" w:hAnsi="Calibri" w:cs="Calibri"/>
                <w:b/>
                <w:color w:val="000000"/>
                <w:sz w:val="24"/>
                <w:szCs w:val="24"/>
              </w:rPr>
              <w:t>2015</w:t>
            </w:r>
          </w:p>
        </w:tc>
        <w:tc>
          <w:tcPr>
            <w:tcW w:w="1544"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jc w:val="center"/>
              <w:rPr>
                <w:rFonts w:ascii="Calibri" w:eastAsia="Times New Roman" w:hAnsi="Calibri" w:cs="Calibri"/>
                <w:b/>
                <w:color w:val="000000"/>
                <w:sz w:val="24"/>
                <w:szCs w:val="24"/>
              </w:rPr>
            </w:pPr>
            <w:r w:rsidRPr="003E1F0C">
              <w:rPr>
                <w:rFonts w:ascii="Calibri" w:eastAsia="Times New Roman" w:hAnsi="Calibri" w:cs="Calibri"/>
                <w:b/>
                <w:color w:val="000000"/>
                <w:sz w:val="24"/>
                <w:szCs w:val="24"/>
              </w:rPr>
              <w:t>2010</w:t>
            </w:r>
          </w:p>
        </w:tc>
        <w:tc>
          <w:tcPr>
            <w:tcW w:w="1544"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852F75" w:rsidRPr="003E1F0C" w:rsidRDefault="00852F75" w:rsidP="005F5D09">
            <w:pPr>
              <w:contextualSpacing/>
              <w:jc w:val="center"/>
              <w:rPr>
                <w:rFonts w:ascii="Calibri" w:eastAsia="Times New Roman" w:hAnsi="Calibri" w:cs="Calibri"/>
                <w:b/>
                <w:color w:val="000000"/>
                <w:sz w:val="24"/>
                <w:szCs w:val="24"/>
              </w:rPr>
            </w:pPr>
            <w:r w:rsidRPr="003E1F0C">
              <w:rPr>
                <w:rFonts w:ascii="Calibri" w:eastAsia="Times New Roman" w:hAnsi="Calibri" w:cs="Calibri"/>
                <w:b/>
                <w:color w:val="000000"/>
                <w:sz w:val="24"/>
                <w:szCs w:val="24"/>
              </w:rPr>
              <w:t>2015</w:t>
            </w:r>
          </w:p>
        </w:tc>
      </w:tr>
      <w:tr w:rsidR="00852F75" w:rsidRPr="003E1F0C" w:rsidTr="005F5D09">
        <w:trPr>
          <w:trHeight w:val="346"/>
          <w:jc w:val="center"/>
        </w:trPr>
        <w:tc>
          <w:tcPr>
            <w:tcW w:w="1780" w:type="dxa"/>
            <w:tcBorders>
              <w:top w:val="single" w:sz="4" w:space="0" w:color="auto"/>
            </w:tcBorders>
            <w:shd w:val="clear" w:color="000000" w:fill="FFFFFF"/>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TOTAL</w:t>
            </w:r>
          </w:p>
        </w:tc>
        <w:tc>
          <w:tcPr>
            <w:tcW w:w="1480" w:type="dxa"/>
            <w:tcBorders>
              <w:top w:val="single" w:sz="4" w:space="0" w:color="auto"/>
            </w:tcBorders>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3783</w:t>
            </w:r>
          </w:p>
        </w:tc>
        <w:tc>
          <w:tcPr>
            <w:tcW w:w="1480" w:type="dxa"/>
            <w:tcBorders>
              <w:top w:val="single" w:sz="4" w:space="0" w:color="auto"/>
            </w:tcBorders>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6252</w:t>
            </w:r>
          </w:p>
        </w:tc>
        <w:tc>
          <w:tcPr>
            <w:tcW w:w="1544" w:type="dxa"/>
            <w:tcBorders>
              <w:top w:val="single" w:sz="4" w:space="0" w:color="auto"/>
            </w:tcBorders>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7649</w:t>
            </w:r>
          </w:p>
        </w:tc>
        <w:tc>
          <w:tcPr>
            <w:tcW w:w="1544" w:type="dxa"/>
            <w:tcBorders>
              <w:top w:val="single" w:sz="4" w:space="0" w:color="auto"/>
            </w:tcBorders>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9495</w:t>
            </w:r>
          </w:p>
        </w:tc>
      </w:tr>
      <w:tr w:rsidR="00852F75" w:rsidRPr="003E1F0C" w:rsidTr="005F5D09">
        <w:trPr>
          <w:trHeight w:val="330"/>
          <w:jc w:val="center"/>
        </w:trPr>
        <w:tc>
          <w:tcPr>
            <w:tcW w:w="1780" w:type="dxa"/>
            <w:shd w:val="clear" w:color="auto" w:fill="C6D9F1" w:themeFill="text2" w:themeFillTint="33"/>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Reg.</w:t>
            </w:r>
            <w:r>
              <w:rPr>
                <w:rFonts w:eastAsia="Times New Roman" w:cstheme="minorHAnsi"/>
                <w:b/>
                <w:bCs/>
                <w:color w:val="000000"/>
                <w:sz w:val="24"/>
                <w:szCs w:val="24"/>
              </w:rPr>
              <w:t xml:space="preserve"> </w:t>
            </w:r>
            <w:r w:rsidRPr="00D2709F">
              <w:rPr>
                <w:rFonts w:eastAsia="Times New Roman" w:cstheme="minorHAnsi"/>
                <w:b/>
                <w:bCs/>
                <w:color w:val="000000"/>
                <w:sz w:val="24"/>
                <w:szCs w:val="24"/>
              </w:rPr>
              <w:t>CENTRU</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678</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976</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1622</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1399</w:t>
            </w:r>
          </w:p>
        </w:tc>
      </w:tr>
      <w:tr w:rsidR="00852F75" w:rsidRPr="003E1F0C" w:rsidTr="005F5D09">
        <w:trPr>
          <w:trHeight w:val="330"/>
          <w:jc w:val="center"/>
        </w:trPr>
        <w:tc>
          <w:tcPr>
            <w:tcW w:w="1780" w:type="dxa"/>
            <w:shd w:val="clear" w:color="auto" w:fill="auto"/>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Alba</w:t>
            </w:r>
          </w:p>
        </w:tc>
        <w:tc>
          <w:tcPr>
            <w:tcW w:w="1480"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39</w:t>
            </w:r>
          </w:p>
        </w:tc>
        <w:tc>
          <w:tcPr>
            <w:tcW w:w="1480"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36</w:t>
            </w:r>
          </w:p>
        </w:tc>
        <w:tc>
          <w:tcPr>
            <w:tcW w:w="1544"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120</w:t>
            </w:r>
          </w:p>
        </w:tc>
        <w:tc>
          <w:tcPr>
            <w:tcW w:w="1544"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138</w:t>
            </w:r>
          </w:p>
        </w:tc>
      </w:tr>
      <w:tr w:rsidR="00852F75" w:rsidRPr="003E1F0C" w:rsidTr="005F5D09">
        <w:trPr>
          <w:trHeight w:val="330"/>
          <w:jc w:val="center"/>
        </w:trPr>
        <w:tc>
          <w:tcPr>
            <w:tcW w:w="1780" w:type="dxa"/>
            <w:shd w:val="clear" w:color="auto" w:fill="C6D9F1" w:themeFill="text2" w:themeFillTint="33"/>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Brasov</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164</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202</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187</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189</w:t>
            </w:r>
          </w:p>
        </w:tc>
      </w:tr>
      <w:tr w:rsidR="00852F75" w:rsidRPr="003E1F0C" w:rsidTr="005F5D09">
        <w:trPr>
          <w:trHeight w:val="330"/>
          <w:jc w:val="center"/>
        </w:trPr>
        <w:tc>
          <w:tcPr>
            <w:tcW w:w="1780" w:type="dxa"/>
            <w:shd w:val="clear" w:color="auto" w:fill="auto"/>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Covasna</w:t>
            </w:r>
          </w:p>
        </w:tc>
        <w:tc>
          <w:tcPr>
            <w:tcW w:w="1480"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50</w:t>
            </w:r>
          </w:p>
        </w:tc>
        <w:tc>
          <w:tcPr>
            <w:tcW w:w="1480"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63</w:t>
            </w:r>
          </w:p>
        </w:tc>
        <w:tc>
          <w:tcPr>
            <w:tcW w:w="1544"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254</w:t>
            </w:r>
          </w:p>
        </w:tc>
        <w:tc>
          <w:tcPr>
            <w:tcW w:w="1544"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272</w:t>
            </w:r>
          </w:p>
        </w:tc>
      </w:tr>
      <w:tr w:rsidR="00852F75" w:rsidRPr="003E1F0C" w:rsidTr="005F5D09">
        <w:trPr>
          <w:trHeight w:val="310"/>
          <w:jc w:val="center"/>
        </w:trPr>
        <w:tc>
          <w:tcPr>
            <w:tcW w:w="1780" w:type="dxa"/>
            <w:shd w:val="clear" w:color="auto" w:fill="C6D9F1" w:themeFill="text2" w:themeFillTint="33"/>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Harghita</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159</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221</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186</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207</w:t>
            </w:r>
          </w:p>
        </w:tc>
      </w:tr>
      <w:tr w:rsidR="00852F75" w:rsidRPr="003E1F0C" w:rsidTr="005F5D09">
        <w:trPr>
          <w:trHeight w:val="330"/>
          <w:jc w:val="center"/>
        </w:trPr>
        <w:tc>
          <w:tcPr>
            <w:tcW w:w="1780" w:type="dxa"/>
            <w:shd w:val="clear" w:color="auto" w:fill="auto"/>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Mures</w:t>
            </w:r>
          </w:p>
        </w:tc>
        <w:tc>
          <w:tcPr>
            <w:tcW w:w="1480"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144</w:t>
            </w:r>
          </w:p>
        </w:tc>
        <w:tc>
          <w:tcPr>
            <w:tcW w:w="1480"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279</w:t>
            </w:r>
          </w:p>
        </w:tc>
        <w:tc>
          <w:tcPr>
            <w:tcW w:w="1544"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139</w:t>
            </w:r>
          </w:p>
        </w:tc>
        <w:tc>
          <w:tcPr>
            <w:tcW w:w="1544" w:type="dxa"/>
            <w:shd w:val="clear" w:color="auto" w:fill="auto"/>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161</w:t>
            </w:r>
          </w:p>
        </w:tc>
      </w:tr>
      <w:tr w:rsidR="00852F75" w:rsidRPr="003E1F0C" w:rsidTr="005F5D09">
        <w:trPr>
          <w:trHeight w:val="330"/>
          <w:jc w:val="center"/>
        </w:trPr>
        <w:tc>
          <w:tcPr>
            <w:tcW w:w="1780" w:type="dxa"/>
            <w:shd w:val="clear" w:color="auto" w:fill="C6D9F1" w:themeFill="text2" w:themeFillTint="33"/>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Sibiu</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122</w:t>
            </w:r>
          </w:p>
        </w:tc>
        <w:tc>
          <w:tcPr>
            <w:tcW w:w="1480"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176</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735</w:t>
            </w:r>
          </w:p>
        </w:tc>
        <w:tc>
          <w:tcPr>
            <w:tcW w:w="1544" w:type="dxa"/>
            <w:shd w:val="clear" w:color="auto" w:fill="C6D9F1" w:themeFill="text2" w:themeFillTint="33"/>
            <w:noWrap/>
            <w:vAlign w:val="bottom"/>
            <w:hideMark/>
          </w:tcPr>
          <w:p w:rsidR="00852F75" w:rsidRPr="00D2709F" w:rsidRDefault="00852F75" w:rsidP="005F5D09">
            <w:pPr>
              <w:contextualSpacing/>
              <w:jc w:val="center"/>
              <w:rPr>
                <w:rFonts w:cstheme="minorHAnsi"/>
                <w:color w:val="000000"/>
                <w:sz w:val="24"/>
                <w:szCs w:val="24"/>
              </w:rPr>
            </w:pPr>
            <w:r w:rsidRPr="00D2709F">
              <w:rPr>
                <w:rFonts w:cstheme="minorHAnsi"/>
                <w:color w:val="000000"/>
                <w:sz w:val="24"/>
                <w:szCs w:val="24"/>
              </w:rPr>
              <w:t>432</w:t>
            </w:r>
          </w:p>
        </w:tc>
      </w:tr>
    </w:tbl>
    <w:p w:rsidR="00852F75" w:rsidRDefault="00852F75" w:rsidP="00852F75">
      <w:pPr>
        <w:contextualSpacing/>
        <w:rPr>
          <w:rFonts w:cstheme="minorHAnsi"/>
          <w:noProof/>
          <w:color w:val="000000" w:themeColor="text1"/>
          <w:sz w:val="24"/>
          <w:szCs w:val="24"/>
          <w:shd w:val="clear" w:color="auto" w:fill="FFFFFF"/>
        </w:rPr>
      </w:pPr>
      <w:r>
        <w:rPr>
          <w:rFonts w:cstheme="minorHAnsi"/>
          <w:noProof/>
          <w:color w:val="000000" w:themeColor="text1"/>
          <w:sz w:val="24"/>
          <w:szCs w:val="24"/>
          <w:shd w:val="clear" w:color="auto" w:fill="FFFFFF"/>
        </w:rPr>
        <w:tab/>
        <w:t>Sursa datelor: ONRC</w:t>
      </w:r>
    </w:p>
    <w:p w:rsidR="00852F75" w:rsidRDefault="00852F75" w:rsidP="00852F75">
      <w:pPr>
        <w:contextualSpacing/>
        <w:rPr>
          <w:rFonts w:cstheme="minorHAnsi"/>
          <w:noProof/>
          <w:color w:val="000000" w:themeColor="text1"/>
          <w:sz w:val="24"/>
          <w:szCs w:val="24"/>
          <w:shd w:val="clear" w:color="auto" w:fill="FFFFFF"/>
        </w:rPr>
      </w:pPr>
    </w:p>
    <w:p w:rsidR="00852F75" w:rsidRDefault="00852F75" w:rsidP="00852F75">
      <w:pPr>
        <w:contextualSpacing/>
        <w:rPr>
          <w:rFonts w:cstheme="minorHAnsi"/>
          <w:color w:val="000000" w:themeColor="text1"/>
          <w:sz w:val="24"/>
          <w:szCs w:val="24"/>
          <w:shd w:val="clear" w:color="auto" w:fill="FFFFFF"/>
        </w:rPr>
      </w:pPr>
      <w:r w:rsidRPr="008602C9">
        <w:rPr>
          <w:rFonts w:cstheme="minorHAnsi"/>
          <w:noProof/>
          <w:color w:val="000000" w:themeColor="text1"/>
          <w:sz w:val="24"/>
          <w:szCs w:val="24"/>
          <w:shd w:val="clear" w:color="auto" w:fill="FFFFFF"/>
        </w:rPr>
        <w:drawing>
          <wp:inline distT="0" distB="0" distL="0" distR="0">
            <wp:extent cx="5579494" cy="3416060"/>
            <wp:effectExtent l="19050" t="0" r="21206" b="0"/>
            <wp:docPr id="4"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2F75" w:rsidRPr="00BC6D40" w:rsidRDefault="00852F75" w:rsidP="00852F75">
      <w:pPr>
        <w:contextualSpacing/>
        <w:rPr>
          <w:rFonts w:cstheme="minorHAnsi"/>
          <w:b/>
          <w:color w:val="000000" w:themeColor="text1"/>
          <w:sz w:val="24"/>
          <w:szCs w:val="24"/>
          <w:shd w:val="clear" w:color="auto" w:fill="FFFFFF"/>
        </w:rPr>
      </w:pPr>
      <w:r w:rsidRPr="00BC6D40">
        <w:rPr>
          <w:rFonts w:cstheme="minorHAnsi"/>
          <w:b/>
          <w:color w:val="000000" w:themeColor="text1"/>
          <w:sz w:val="24"/>
          <w:szCs w:val="24"/>
          <w:shd w:val="clear" w:color="auto" w:fill="FFFFFF"/>
        </w:rPr>
        <w:t>Fig. 1</w:t>
      </w:r>
    </w:p>
    <w:p w:rsidR="00852F75" w:rsidRPr="00502236" w:rsidRDefault="00852F75" w:rsidP="00852F75">
      <w:pPr>
        <w:contextualSpacing/>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Raportându-ne </w:t>
      </w:r>
      <w:r w:rsidRPr="00D66309">
        <w:rPr>
          <w:rFonts w:cstheme="minorHAnsi"/>
          <w:color w:val="000000" w:themeColor="text1"/>
          <w:sz w:val="24"/>
          <w:szCs w:val="24"/>
          <w:shd w:val="clear" w:color="auto" w:fill="FFFFFF"/>
        </w:rPr>
        <w:t xml:space="preserve">la cifra de afaceri la nivel naţional realizată de firmele din industria textilă și </w:t>
      </w:r>
      <w:r>
        <w:rPr>
          <w:rFonts w:cstheme="minorHAnsi"/>
          <w:color w:val="000000" w:themeColor="text1"/>
          <w:sz w:val="24"/>
          <w:szCs w:val="24"/>
          <w:shd w:val="clear" w:color="auto" w:fill="FFFFFF"/>
        </w:rPr>
        <w:t xml:space="preserve"> din industria </w:t>
      </w:r>
      <w:r w:rsidRPr="00D66309">
        <w:rPr>
          <w:rFonts w:cstheme="minorHAnsi"/>
          <w:color w:val="000000" w:themeColor="text1"/>
          <w:sz w:val="24"/>
          <w:szCs w:val="24"/>
          <w:shd w:val="clear" w:color="auto" w:fill="FFFFFF"/>
        </w:rPr>
        <w:t>confecțiilor, Regiunii Centru are o</w:t>
      </w:r>
      <w:r w:rsidRPr="00D66309">
        <w:rPr>
          <w:rFonts w:cstheme="minorHAnsi"/>
          <w:color w:val="000000" w:themeColor="text1"/>
          <w:sz w:val="24"/>
          <w:szCs w:val="24"/>
        </w:rPr>
        <w:t> </w:t>
      </w:r>
      <w:r w:rsidRPr="00D66309">
        <w:rPr>
          <w:rFonts w:cstheme="minorHAnsi"/>
          <w:bCs/>
          <w:color w:val="000000" w:themeColor="text1"/>
          <w:sz w:val="24"/>
          <w:szCs w:val="24"/>
        </w:rPr>
        <w:t>pondere</w:t>
      </w:r>
      <w:r w:rsidRPr="00D66309">
        <w:rPr>
          <w:rFonts w:cstheme="minorHAnsi"/>
          <w:color w:val="000000" w:themeColor="text1"/>
          <w:sz w:val="24"/>
          <w:szCs w:val="24"/>
        </w:rPr>
        <w:t> </w:t>
      </w:r>
      <w:r w:rsidRPr="00D66309">
        <w:rPr>
          <w:rFonts w:cstheme="minorHAnsi"/>
          <w:color w:val="000000" w:themeColor="text1"/>
          <w:sz w:val="24"/>
          <w:szCs w:val="24"/>
          <w:shd w:val="clear" w:color="auto" w:fill="FFFFFF"/>
        </w:rPr>
        <w:t xml:space="preserve">importantă </w:t>
      </w:r>
      <w:r>
        <w:rPr>
          <w:rFonts w:cstheme="minorHAnsi"/>
          <w:color w:val="000000" w:themeColor="text1"/>
          <w:sz w:val="24"/>
          <w:szCs w:val="24"/>
          <w:shd w:val="clear" w:color="auto" w:fill="FFFFFF"/>
        </w:rPr>
        <w:t>în ambele industrii, însă se remarcă în ultimii 5 ani un regres vizibil în ambele subsectoare. Astfel,</w:t>
      </w:r>
      <w:r w:rsidRPr="00D66309">
        <w:rPr>
          <w:rFonts w:cstheme="minorHAnsi"/>
          <w:color w:val="000000" w:themeColor="text1"/>
          <w:sz w:val="24"/>
          <w:szCs w:val="24"/>
          <w:shd w:val="clear" w:color="auto" w:fill="FFFFFF"/>
        </w:rPr>
        <w:t xml:space="preserve"> în anul 2015 sectorul textilelor deţinea un procent de 15,6% faţă de 17,9% în 2010, iar sectorul confecţiilor </w:t>
      </w:r>
      <w:r>
        <w:rPr>
          <w:rFonts w:cstheme="minorHAnsi"/>
          <w:color w:val="000000" w:themeColor="text1"/>
          <w:sz w:val="24"/>
          <w:szCs w:val="24"/>
          <w:shd w:val="clear" w:color="auto" w:fill="FFFFFF"/>
        </w:rPr>
        <w:t xml:space="preserve">a scăzut la 14,7%  în 2015 de la </w:t>
      </w:r>
      <w:r w:rsidRPr="00D66309">
        <w:rPr>
          <w:rFonts w:cstheme="minorHAnsi"/>
          <w:color w:val="000000" w:themeColor="text1"/>
          <w:sz w:val="24"/>
          <w:szCs w:val="24"/>
          <w:shd w:val="clear" w:color="auto" w:fill="FFFFFF"/>
        </w:rPr>
        <w:t>21,2%</w:t>
      </w:r>
      <w:r>
        <w:rPr>
          <w:rFonts w:cstheme="minorHAnsi"/>
          <w:color w:val="000000" w:themeColor="text1"/>
          <w:sz w:val="24"/>
          <w:szCs w:val="24"/>
          <w:shd w:val="clear" w:color="auto" w:fill="FFFFFF"/>
        </w:rPr>
        <w:t xml:space="preserve"> în 2010</w:t>
      </w:r>
      <w:r w:rsidRPr="00D66309">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 xml:space="preserve">La nivelul județelor, pe primul loc în Regiunea Centru se </w:t>
      </w:r>
      <w:r w:rsidRPr="00D66309">
        <w:rPr>
          <w:rFonts w:cstheme="minorHAnsi"/>
          <w:color w:val="000000" w:themeColor="text1"/>
          <w:sz w:val="24"/>
          <w:szCs w:val="24"/>
          <w:shd w:val="clear" w:color="auto" w:fill="FFFFFF"/>
        </w:rPr>
        <w:t>plasează judeţul Harghita (subsectorul textile) şi judeţul Sibiu (subsectorul confecţii), iar pe ultimul loc judeţul Alba în ambele subsectoare.</w:t>
      </w:r>
    </w:p>
    <w:p w:rsidR="00852F75" w:rsidRDefault="00852F75" w:rsidP="00852F75">
      <w:pPr>
        <w:contextualSpacing/>
        <w:jc w:val="center"/>
        <w:rPr>
          <w:b/>
          <w:sz w:val="24"/>
          <w:szCs w:val="24"/>
        </w:rPr>
      </w:pPr>
    </w:p>
    <w:p w:rsidR="00852F75" w:rsidRDefault="00852F75" w:rsidP="00852F75">
      <w:pPr>
        <w:contextualSpacing/>
        <w:jc w:val="center"/>
        <w:rPr>
          <w:b/>
          <w:sz w:val="24"/>
          <w:szCs w:val="24"/>
        </w:rPr>
      </w:pPr>
    </w:p>
    <w:p w:rsidR="00852F75" w:rsidRPr="00DE225E" w:rsidRDefault="00852F75" w:rsidP="00852F75">
      <w:pPr>
        <w:contextualSpacing/>
        <w:jc w:val="center"/>
        <w:rPr>
          <w:b/>
        </w:rPr>
      </w:pPr>
      <w:r>
        <w:rPr>
          <w:b/>
        </w:rPr>
        <w:lastRenderedPageBreak/>
        <w:t xml:space="preserve">Tab. 2 </w:t>
      </w:r>
      <w:r w:rsidRPr="00DE225E">
        <w:rPr>
          <w:b/>
        </w:rPr>
        <w:t>Ponderea Regiunii Centru în totalul cifrei de afaceri a industriei textile și de confecții</w:t>
      </w:r>
    </w:p>
    <w:p w:rsidR="00852F75" w:rsidRPr="00DE225E" w:rsidRDefault="00852F75" w:rsidP="00852F75">
      <w:pPr>
        <w:contextualSpacing/>
        <w:jc w:val="center"/>
        <w:rPr>
          <w:b/>
        </w:rPr>
      </w:pPr>
      <w:r w:rsidRPr="00DE225E">
        <w:rPr>
          <w:b/>
        </w:rPr>
        <w:t>realizate la nivel naţional</w:t>
      </w:r>
    </w:p>
    <w:p w:rsidR="00852F75" w:rsidRPr="00DE225E" w:rsidRDefault="00852F75" w:rsidP="00852F75">
      <w:pPr>
        <w:contextualSpacing/>
        <w:jc w:val="center"/>
        <w:rPr>
          <w:b/>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E225E">
        <w:rPr>
          <w:b/>
        </w:rPr>
        <w:t>%</w:t>
      </w:r>
    </w:p>
    <w:tbl>
      <w:tblPr>
        <w:tblStyle w:val="Umbriremedie1-Accentuare13"/>
        <w:tblW w:w="8060" w:type="dxa"/>
        <w:jc w:val="center"/>
        <w:tblLook w:val="04A0"/>
      </w:tblPr>
      <w:tblGrid>
        <w:gridCol w:w="1920"/>
        <w:gridCol w:w="1425"/>
        <w:gridCol w:w="1425"/>
        <w:gridCol w:w="1670"/>
        <w:gridCol w:w="1620"/>
      </w:tblGrid>
      <w:tr w:rsidR="00852F75" w:rsidRPr="00F959DF" w:rsidTr="005F5D09">
        <w:trPr>
          <w:cnfStyle w:val="100000000000"/>
          <w:trHeight w:val="330"/>
          <w:jc w:val="center"/>
        </w:trPr>
        <w:tc>
          <w:tcPr>
            <w:cnfStyle w:val="001000000000"/>
            <w:tcW w:w="1920" w:type="dxa"/>
            <w:vMerge w:val="restart"/>
            <w:noWrap/>
            <w:hideMark/>
          </w:tcPr>
          <w:p w:rsidR="00852F75" w:rsidRPr="00F959DF" w:rsidRDefault="00852F75" w:rsidP="005F5D09">
            <w:pPr>
              <w:contextualSpacing/>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 </w:t>
            </w:r>
          </w:p>
        </w:tc>
        <w:tc>
          <w:tcPr>
            <w:tcW w:w="2850" w:type="dxa"/>
            <w:gridSpan w:val="2"/>
            <w:noWrap/>
            <w:hideMark/>
          </w:tcPr>
          <w:p w:rsidR="00852F75" w:rsidRPr="00064D28" w:rsidRDefault="00852F75" w:rsidP="005F5D09">
            <w:pPr>
              <w:contextualSpacing/>
              <w:jc w:val="center"/>
              <w:cnfStyle w:val="100000000000"/>
              <w:rPr>
                <w:rFonts w:ascii="Calibri" w:eastAsia="Times New Roman" w:hAnsi="Calibri" w:cs="Calibri"/>
                <w:color w:val="000000"/>
                <w:sz w:val="24"/>
                <w:szCs w:val="24"/>
                <w:lang w:val="en-US" w:eastAsia="en-US"/>
              </w:rPr>
            </w:pPr>
            <w:r w:rsidRPr="00064D28">
              <w:rPr>
                <w:rFonts w:ascii="Calibri" w:eastAsia="Times New Roman" w:hAnsi="Calibri" w:cs="Calibri"/>
                <w:color w:val="000000"/>
                <w:sz w:val="24"/>
                <w:szCs w:val="24"/>
                <w:lang w:val="en-US" w:eastAsia="en-US"/>
              </w:rPr>
              <w:t>Ind. textilă</w:t>
            </w:r>
          </w:p>
        </w:tc>
        <w:tc>
          <w:tcPr>
            <w:tcW w:w="3290" w:type="dxa"/>
            <w:gridSpan w:val="2"/>
            <w:noWrap/>
            <w:hideMark/>
          </w:tcPr>
          <w:p w:rsidR="00852F75" w:rsidRPr="00064D28" w:rsidRDefault="00852F75" w:rsidP="005F5D09">
            <w:pPr>
              <w:contextualSpacing/>
              <w:jc w:val="center"/>
              <w:cnfStyle w:val="100000000000"/>
              <w:rPr>
                <w:rFonts w:ascii="Calibri" w:eastAsia="Times New Roman" w:hAnsi="Calibri" w:cs="Calibri"/>
                <w:color w:val="000000"/>
                <w:sz w:val="24"/>
                <w:szCs w:val="24"/>
                <w:lang w:val="en-US" w:eastAsia="en-US"/>
              </w:rPr>
            </w:pPr>
            <w:r w:rsidRPr="00064D28">
              <w:rPr>
                <w:rFonts w:ascii="Calibri" w:eastAsia="Times New Roman" w:hAnsi="Calibri" w:cs="Calibri"/>
                <w:color w:val="000000"/>
                <w:sz w:val="24"/>
                <w:szCs w:val="24"/>
                <w:lang w:val="en-US" w:eastAsia="en-US"/>
              </w:rPr>
              <w:t>Ind de confecții</w:t>
            </w:r>
          </w:p>
        </w:tc>
      </w:tr>
      <w:tr w:rsidR="00852F75" w:rsidRPr="00F959DF" w:rsidTr="005F5D09">
        <w:trPr>
          <w:cnfStyle w:val="000000100000"/>
          <w:trHeight w:val="330"/>
          <w:jc w:val="center"/>
        </w:trPr>
        <w:tc>
          <w:tcPr>
            <w:cnfStyle w:val="001000000000"/>
            <w:tcW w:w="1920" w:type="dxa"/>
            <w:vMerge/>
            <w:noWrap/>
            <w:hideMark/>
          </w:tcPr>
          <w:p w:rsidR="00852F75" w:rsidRPr="00F959DF" w:rsidRDefault="00852F75" w:rsidP="005F5D09">
            <w:pPr>
              <w:contextualSpacing/>
              <w:rPr>
                <w:rFonts w:ascii="Calibri" w:eastAsia="Times New Roman" w:hAnsi="Calibri" w:cs="Calibri"/>
                <w:color w:val="000000"/>
                <w:sz w:val="24"/>
                <w:szCs w:val="24"/>
                <w:lang w:val="en-US" w:eastAsia="en-US"/>
              </w:rPr>
            </w:pPr>
          </w:p>
        </w:tc>
        <w:tc>
          <w:tcPr>
            <w:tcW w:w="1425" w:type="dxa"/>
            <w:noWrap/>
            <w:hideMark/>
          </w:tcPr>
          <w:p w:rsidR="00852F75" w:rsidRPr="00F959DF" w:rsidRDefault="00852F75" w:rsidP="005F5D09">
            <w:pPr>
              <w:contextualSpacing/>
              <w:jc w:val="right"/>
              <w:cnfStyle w:val="000000100000"/>
              <w:rPr>
                <w:rFonts w:ascii="Calibri" w:eastAsia="Times New Roman" w:hAnsi="Calibri" w:cs="Calibri"/>
                <w:b/>
                <w:color w:val="000000"/>
                <w:sz w:val="24"/>
                <w:szCs w:val="24"/>
                <w:lang w:val="en-US" w:eastAsia="en-US"/>
              </w:rPr>
            </w:pPr>
            <w:r w:rsidRPr="00F959DF">
              <w:rPr>
                <w:rFonts w:ascii="Calibri" w:eastAsia="Times New Roman" w:hAnsi="Calibri" w:cs="Calibri"/>
                <w:b/>
                <w:color w:val="000000"/>
                <w:sz w:val="24"/>
                <w:szCs w:val="24"/>
                <w:lang w:val="en-US" w:eastAsia="en-US"/>
              </w:rPr>
              <w:t>2010</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b/>
                <w:color w:val="000000"/>
                <w:sz w:val="24"/>
                <w:szCs w:val="24"/>
                <w:lang w:val="en-US" w:eastAsia="en-US"/>
              </w:rPr>
            </w:pPr>
            <w:r w:rsidRPr="00F959DF">
              <w:rPr>
                <w:rFonts w:ascii="Calibri" w:eastAsia="Times New Roman" w:hAnsi="Calibri" w:cs="Calibri"/>
                <w:b/>
                <w:color w:val="000000"/>
                <w:sz w:val="24"/>
                <w:szCs w:val="24"/>
                <w:lang w:val="en-US" w:eastAsia="en-US"/>
              </w:rPr>
              <w:t>2015</w:t>
            </w:r>
          </w:p>
        </w:tc>
        <w:tc>
          <w:tcPr>
            <w:tcW w:w="1670" w:type="dxa"/>
            <w:noWrap/>
            <w:hideMark/>
          </w:tcPr>
          <w:p w:rsidR="00852F75" w:rsidRPr="00F959DF" w:rsidRDefault="00852F75" w:rsidP="005F5D09">
            <w:pPr>
              <w:contextualSpacing/>
              <w:jc w:val="right"/>
              <w:cnfStyle w:val="000000100000"/>
              <w:rPr>
                <w:rFonts w:ascii="Calibri" w:eastAsia="Times New Roman" w:hAnsi="Calibri" w:cs="Calibri"/>
                <w:b/>
                <w:color w:val="000000"/>
                <w:sz w:val="24"/>
                <w:szCs w:val="24"/>
                <w:lang w:val="en-US" w:eastAsia="en-US"/>
              </w:rPr>
            </w:pPr>
            <w:r w:rsidRPr="00F959DF">
              <w:rPr>
                <w:rFonts w:ascii="Calibri" w:eastAsia="Times New Roman" w:hAnsi="Calibri" w:cs="Calibri"/>
                <w:b/>
                <w:color w:val="000000"/>
                <w:sz w:val="24"/>
                <w:szCs w:val="24"/>
                <w:lang w:val="en-US" w:eastAsia="en-US"/>
              </w:rPr>
              <w:t>2010</w:t>
            </w:r>
          </w:p>
        </w:tc>
        <w:tc>
          <w:tcPr>
            <w:tcW w:w="1620" w:type="dxa"/>
            <w:noWrap/>
            <w:hideMark/>
          </w:tcPr>
          <w:p w:rsidR="00852F75" w:rsidRPr="00F959DF" w:rsidRDefault="00852F75" w:rsidP="005F5D09">
            <w:pPr>
              <w:contextualSpacing/>
              <w:jc w:val="right"/>
              <w:cnfStyle w:val="000000100000"/>
              <w:rPr>
                <w:rFonts w:ascii="Calibri" w:eastAsia="Times New Roman" w:hAnsi="Calibri" w:cs="Calibri"/>
                <w:b/>
                <w:color w:val="000000"/>
                <w:sz w:val="24"/>
                <w:szCs w:val="24"/>
                <w:lang w:val="en-US" w:eastAsia="en-US"/>
              </w:rPr>
            </w:pPr>
            <w:r w:rsidRPr="00F959DF">
              <w:rPr>
                <w:rFonts w:ascii="Calibri" w:eastAsia="Times New Roman" w:hAnsi="Calibri" w:cs="Calibri"/>
                <w:b/>
                <w:color w:val="000000"/>
                <w:sz w:val="24"/>
                <w:szCs w:val="24"/>
                <w:lang w:val="en-US" w:eastAsia="en-US"/>
              </w:rPr>
              <w:t>2015</w:t>
            </w:r>
          </w:p>
        </w:tc>
      </w:tr>
      <w:tr w:rsidR="00852F75" w:rsidRPr="00F959DF" w:rsidTr="005F5D09">
        <w:trPr>
          <w:cnfStyle w:val="000000010000"/>
          <w:trHeight w:val="330"/>
          <w:jc w:val="center"/>
        </w:trPr>
        <w:tc>
          <w:tcPr>
            <w:cnfStyle w:val="001000000000"/>
            <w:tcW w:w="1920" w:type="dxa"/>
            <w:hideMark/>
          </w:tcPr>
          <w:p w:rsidR="00852F75" w:rsidRPr="00F959DF" w:rsidRDefault="00852F75" w:rsidP="005F5D09">
            <w:pPr>
              <w:contextualSpacing/>
              <w:rPr>
                <w:rFonts w:ascii="Calibri" w:eastAsia="Times New Roman" w:hAnsi="Calibri" w:cs="Calibri"/>
                <w:b w:val="0"/>
                <w:bCs w:val="0"/>
                <w:color w:val="000000"/>
                <w:sz w:val="24"/>
                <w:szCs w:val="24"/>
                <w:lang w:val="en-US" w:eastAsia="en-US"/>
              </w:rPr>
            </w:pPr>
            <w:r w:rsidRPr="00F959DF">
              <w:rPr>
                <w:rFonts w:ascii="Calibri" w:eastAsia="Times New Roman" w:hAnsi="Calibri" w:cs="Calibri"/>
                <w:b w:val="0"/>
                <w:bCs w:val="0"/>
                <w:color w:val="000000"/>
                <w:sz w:val="24"/>
                <w:szCs w:val="24"/>
                <w:lang w:val="en-US" w:eastAsia="en-US"/>
              </w:rPr>
              <w:t>Reg.</w:t>
            </w:r>
            <w:r>
              <w:rPr>
                <w:rFonts w:ascii="Calibri" w:eastAsia="Times New Roman" w:hAnsi="Calibri" w:cs="Calibri"/>
                <w:b w:val="0"/>
                <w:bCs w:val="0"/>
                <w:color w:val="000000"/>
                <w:sz w:val="24"/>
                <w:szCs w:val="24"/>
                <w:lang w:val="en-US" w:eastAsia="en-US"/>
              </w:rPr>
              <w:t xml:space="preserve"> </w:t>
            </w:r>
            <w:r w:rsidRPr="00F959DF">
              <w:rPr>
                <w:rFonts w:ascii="Calibri" w:eastAsia="Times New Roman" w:hAnsi="Calibri" w:cs="Calibri"/>
                <w:b w:val="0"/>
                <w:bCs w:val="0"/>
                <w:color w:val="000000"/>
                <w:sz w:val="24"/>
                <w:szCs w:val="24"/>
                <w:lang w:val="en-US" w:eastAsia="en-US"/>
              </w:rPr>
              <w:t>CENTRU</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17</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91</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15</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61</w:t>
            </w:r>
          </w:p>
        </w:tc>
        <w:tc>
          <w:tcPr>
            <w:tcW w:w="167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21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20</w:t>
            </w:r>
          </w:p>
        </w:tc>
        <w:tc>
          <w:tcPr>
            <w:tcW w:w="162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14</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74</w:t>
            </w:r>
          </w:p>
        </w:tc>
      </w:tr>
      <w:tr w:rsidR="00852F75" w:rsidRPr="00F959DF" w:rsidTr="005F5D09">
        <w:trPr>
          <w:cnfStyle w:val="000000100000"/>
          <w:trHeight w:val="330"/>
          <w:jc w:val="center"/>
        </w:trPr>
        <w:tc>
          <w:tcPr>
            <w:cnfStyle w:val="001000000000"/>
            <w:tcW w:w="1920" w:type="dxa"/>
            <w:hideMark/>
          </w:tcPr>
          <w:p w:rsidR="00852F75" w:rsidRPr="00F959DF" w:rsidRDefault="00852F75" w:rsidP="005F5D09">
            <w:pPr>
              <w:contextualSpacing/>
              <w:rPr>
                <w:rFonts w:ascii="Calibri" w:eastAsia="Times New Roman" w:hAnsi="Calibri" w:cs="Calibri"/>
                <w:b w:val="0"/>
                <w:bCs w:val="0"/>
                <w:color w:val="000000"/>
                <w:sz w:val="24"/>
                <w:szCs w:val="24"/>
                <w:lang w:val="en-US" w:eastAsia="en-US"/>
              </w:rPr>
            </w:pPr>
            <w:r w:rsidRPr="00F959DF">
              <w:rPr>
                <w:rFonts w:ascii="Calibri" w:eastAsia="Times New Roman" w:hAnsi="Calibri" w:cs="Calibri"/>
                <w:b w:val="0"/>
                <w:bCs w:val="0"/>
                <w:color w:val="000000"/>
                <w:sz w:val="24"/>
                <w:szCs w:val="24"/>
                <w:lang w:val="en-US" w:eastAsia="en-US"/>
              </w:rPr>
              <w:t>Alba</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03</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0</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57</w:t>
            </w:r>
          </w:p>
        </w:tc>
        <w:tc>
          <w:tcPr>
            <w:tcW w:w="1670"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58</w:t>
            </w:r>
          </w:p>
        </w:tc>
        <w:tc>
          <w:tcPr>
            <w:tcW w:w="1620"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46</w:t>
            </w:r>
          </w:p>
        </w:tc>
      </w:tr>
      <w:tr w:rsidR="00852F75" w:rsidRPr="00F959DF" w:rsidTr="005F5D09">
        <w:trPr>
          <w:cnfStyle w:val="000000010000"/>
          <w:trHeight w:val="330"/>
          <w:jc w:val="center"/>
        </w:trPr>
        <w:tc>
          <w:tcPr>
            <w:cnfStyle w:val="001000000000"/>
            <w:tcW w:w="1920" w:type="dxa"/>
            <w:hideMark/>
          </w:tcPr>
          <w:p w:rsidR="00852F75" w:rsidRPr="00F959DF" w:rsidRDefault="00852F75" w:rsidP="005F5D09">
            <w:pPr>
              <w:contextualSpacing/>
              <w:rPr>
                <w:rFonts w:ascii="Calibri" w:eastAsia="Times New Roman" w:hAnsi="Calibri" w:cs="Calibri"/>
                <w:b w:val="0"/>
                <w:bCs w:val="0"/>
                <w:color w:val="000000"/>
                <w:sz w:val="24"/>
                <w:szCs w:val="24"/>
                <w:lang w:val="en-US" w:eastAsia="en-US"/>
              </w:rPr>
            </w:pPr>
            <w:r w:rsidRPr="00F959DF">
              <w:rPr>
                <w:rFonts w:ascii="Calibri" w:eastAsia="Times New Roman" w:hAnsi="Calibri" w:cs="Calibri"/>
                <w:b w:val="0"/>
                <w:bCs w:val="0"/>
                <w:color w:val="000000"/>
                <w:sz w:val="24"/>
                <w:szCs w:val="24"/>
                <w:lang w:val="en-US" w:eastAsia="en-US"/>
              </w:rPr>
              <w:t>Brasov</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4</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34</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3</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22</w:t>
            </w:r>
          </w:p>
        </w:tc>
        <w:tc>
          <w:tcPr>
            <w:tcW w:w="167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2</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44</w:t>
            </w:r>
          </w:p>
        </w:tc>
        <w:tc>
          <w:tcPr>
            <w:tcW w:w="162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99</w:t>
            </w:r>
          </w:p>
        </w:tc>
      </w:tr>
      <w:tr w:rsidR="00852F75" w:rsidRPr="00F959DF" w:rsidTr="005F5D09">
        <w:trPr>
          <w:cnfStyle w:val="000000100000"/>
          <w:trHeight w:val="330"/>
          <w:jc w:val="center"/>
        </w:trPr>
        <w:tc>
          <w:tcPr>
            <w:cnfStyle w:val="001000000000"/>
            <w:tcW w:w="1920" w:type="dxa"/>
            <w:hideMark/>
          </w:tcPr>
          <w:p w:rsidR="00852F75" w:rsidRPr="00F959DF" w:rsidRDefault="00852F75" w:rsidP="005F5D09">
            <w:pPr>
              <w:contextualSpacing/>
              <w:rPr>
                <w:rFonts w:ascii="Calibri" w:eastAsia="Times New Roman" w:hAnsi="Calibri" w:cs="Calibri"/>
                <w:b w:val="0"/>
                <w:bCs w:val="0"/>
                <w:color w:val="000000"/>
                <w:sz w:val="24"/>
                <w:szCs w:val="24"/>
                <w:lang w:val="en-US" w:eastAsia="en-US"/>
              </w:rPr>
            </w:pPr>
            <w:r w:rsidRPr="00F959DF">
              <w:rPr>
                <w:rFonts w:ascii="Calibri" w:eastAsia="Times New Roman" w:hAnsi="Calibri" w:cs="Calibri"/>
                <w:b w:val="0"/>
                <w:bCs w:val="0"/>
                <w:color w:val="000000"/>
                <w:sz w:val="24"/>
                <w:szCs w:val="24"/>
                <w:lang w:val="en-US" w:eastAsia="en-US"/>
              </w:rPr>
              <w:t>Covasna</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33</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00</w:t>
            </w:r>
          </w:p>
        </w:tc>
        <w:tc>
          <w:tcPr>
            <w:tcW w:w="1670"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3</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32</w:t>
            </w:r>
          </w:p>
        </w:tc>
        <w:tc>
          <w:tcPr>
            <w:tcW w:w="1620"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2</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87</w:t>
            </w:r>
          </w:p>
        </w:tc>
      </w:tr>
      <w:tr w:rsidR="00852F75" w:rsidRPr="00F959DF" w:rsidTr="005F5D09">
        <w:trPr>
          <w:cnfStyle w:val="000000010000"/>
          <w:trHeight w:val="330"/>
          <w:jc w:val="center"/>
        </w:trPr>
        <w:tc>
          <w:tcPr>
            <w:cnfStyle w:val="001000000000"/>
            <w:tcW w:w="1920" w:type="dxa"/>
            <w:hideMark/>
          </w:tcPr>
          <w:p w:rsidR="00852F75" w:rsidRPr="00936B64" w:rsidRDefault="00852F75" w:rsidP="005F5D09">
            <w:pPr>
              <w:contextualSpacing/>
              <w:rPr>
                <w:rFonts w:ascii="Calibri" w:eastAsia="Times New Roman" w:hAnsi="Calibri" w:cs="Calibri"/>
                <w:b w:val="0"/>
                <w:bCs w:val="0"/>
                <w:color w:val="000000"/>
                <w:sz w:val="24"/>
                <w:szCs w:val="24"/>
                <w:lang w:eastAsia="en-US"/>
              </w:rPr>
            </w:pPr>
            <w:r w:rsidRPr="00936B64">
              <w:rPr>
                <w:rFonts w:ascii="Calibri" w:eastAsia="Times New Roman" w:hAnsi="Calibri" w:cs="Calibri"/>
                <w:b w:val="0"/>
                <w:bCs w:val="0"/>
                <w:color w:val="000000"/>
                <w:sz w:val="24"/>
                <w:szCs w:val="24"/>
                <w:lang w:eastAsia="en-US"/>
              </w:rPr>
              <w:t>Harghita</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4</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19</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3</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54</w:t>
            </w:r>
          </w:p>
        </w:tc>
        <w:tc>
          <w:tcPr>
            <w:tcW w:w="167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2</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43</w:t>
            </w:r>
          </w:p>
        </w:tc>
        <w:tc>
          <w:tcPr>
            <w:tcW w:w="162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2</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18</w:t>
            </w:r>
          </w:p>
        </w:tc>
      </w:tr>
      <w:tr w:rsidR="00852F75" w:rsidRPr="00F959DF" w:rsidTr="005F5D09">
        <w:trPr>
          <w:cnfStyle w:val="000000100000"/>
          <w:trHeight w:val="330"/>
          <w:jc w:val="center"/>
        </w:trPr>
        <w:tc>
          <w:tcPr>
            <w:cnfStyle w:val="001000000000"/>
            <w:tcW w:w="1920" w:type="dxa"/>
            <w:hideMark/>
          </w:tcPr>
          <w:p w:rsidR="00852F75" w:rsidRPr="00F959DF" w:rsidRDefault="00852F75" w:rsidP="005F5D09">
            <w:pPr>
              <w:contextualSpacing/>
              <w:rPr>
                <w:rFonts w:ascii="Calibri" w:eastAsia="Times New Roman" w:hAnsi="Calibri" w:cs="Calibri"/>
                <w:b w:val="0"/>
                <w:bCs w:val="0"/>
                <w:color w:val="000000"/>
                <w:sz w:val="24"/>
                <w:szCs w:val="24"/>
                <w:lang w:val="en-US" w:eastAsia="en-US"/>
              </w:rPr>
            </w:pPr>
            <w:r w:rsidRPr="00F959DF">
              <w:rPr>
                <w:rFonts w:ascii="Calibri" w:eastAsia="Times New Roman" w:hAnsi="Calibri" w:cs="Calibri"/>
                <w:b w:val="0"/>
                <w:bCs w:val="0"/>
                <w:color w:val="000000"/>
                <w:sz w:val="24"/>
                <w:szCs w:val="24"/>
                <w:lang w:val="en-US" w:eastAsia="en-US"/>
              </w:rPr>
              <w:t>Mure</w:t>
            </w:r>
            <w:r>
              <w:rPr>
                <w:rFonts w:ascii="Calibri" w:eastAsia="Times New Roman" w:hAnsi="Calibri" w:cs="Calibri"/>
                <w:b w:val="0"/>
                <w:bCs w:val="0"/>
                <w:color w:val="000000"/>
                <w:sz w:val="24"/>
                <w:szCs w:val="24"/>
                <w:lang w:val="en-US" w:eastAsia="en-US"/>
              </w:rPr>
              <w:t>ş</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3</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81</w:t>
            </w:r>
          </w:p>
        </w:tc>
        <w:tc>
          <w:tcPr>
            <w:tcW w:w="1425"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4</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47</w:t>
            </w:r>
          </w:p>
        </w:tc>
        <w:tc>
          <w:tcPr>
            <w:tcW w:w="1670"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82</w:t>
            </w:r>
          </w:p>
        </w:tc>
        <w:tc>
          <w:tcPr>
            <w:tcW w:w="1620" w:type="dxa"/>
            <w:noWrap/>
            <w:hideMark/>
          </w:tcPr>
          <w:p w:rsidR="00852F75" w:rsidRPr="00F959DF" w:rsidRDefault="00852F75" w:rsidP="005F5D09">
            <w:pPr>
              <w:contextualSpacing/>
              <w:jc w:val="right"/>
              <w:cnfStyle w:val="00000010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1</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69</w:t>
            </w:r>
          </w:p>
        </w:tc>
      </w:tr>
      <w:tr w:rsidR="00852F75" w:rsidRPr="00F959DF" w:rsidTr="005F5D09">
        <w:trPr>
          <w:cnfStyle w:val="000000010000"/>
          <w:trHeight w:val="330"/>
          <w:jc w:val="center"/>
        </w:trPr>
        <w:tc>
          <w:tcPr>
            <w:cnfStyle w:val="001000000000"/>
            <w:tcW w:w="1920" w:type="dxa"/>
            <w:hideMark/>
          </w:tcPr>
          <w:p w:rsidR="00852F75" w:rsidRPr="00F959DF" w:rsidRDefault="00852F75" w:rsidP="005F5D09">
            <w:pPr>
              <w:contextualSpacing/>
              <w:rPr>
                <w:rFonts w:ascii="Calibri" w:eastAsia="Times New Roman" w:hAnsi="Calibri" w:cs="Calibri"/>
                <w:b w:val="0"/>
                <w:bCs w:val="0"/>
                <w:color w:val="000000"/>
                <w:sz w:val="24"/>
                <w:szCs w:val="24"/>
                <w:lang w:val="en-US" w:eastAsia="en-US"/>
              </w:rPr>
            </w:pPr>
            <w:r w:rsidRPr="00F959DF">
              <w:rPr>
                <w:rFonts w:ascii="Calibri" w:eastAsia="Times New Roman" w:hAnsi="Calibri" w:cs="Calibri"/>
                <w:b w:val="0"/>
                <w:bCs w:val="0"/>
                <w:color w:val="000000"/>
                <w:sz w:val="24"/>
                <w:szCs w:val="24"/>
                <w:lang w:val="en-US" w:eastAsia="en-US"/>
              </w:rPr>
              <w:t>Sibiu</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3</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22</w:t>
            </w:r>
          </w:p>
        </w:tc>
        <w:tc>
          <w:tcPr>
            <w:tcW w:w="1425"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2</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81</w:t>
            </w:r>
          </w:p>
        </w:tc>
        <w:tc>
          <w:tcPr>
            <w:tcW w:w="167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9</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61</w:t>
            </w:r>
          </w:p>
        </w:tc>
        <w:tc>
          <w:tcPr>
            <w:tcW w:w="1620" w:type="dxa"/>
            <w:noWrap/>
            <w:hideMark/>
          </w:tcPr>
          <w:p w:rsidR="00852F75" w:rsidRPr="00F959DF" w:rsidRDefault="00852F75" w:rsidP="005F5D09">
            <w:pPr>
              <w:contextualSpacing/>
              <w:jc w:val="right"/>
              <w:cnfStyle w:val="000000010000"/>
              <w:rPr>
                <w:rFonts w:ascii="Calibri" w:eastAsia="Times New Roman" w:hAnsi="Calibri" w:cs="Calibri"/>
                <w:color w:val="000000"/>
                <w:sz w:val="24"/>
                <w:szCs w:val="24"/>
                <w:lang w:val="en-US" w:eastAsia="en-US"/>
              </w:rPr>
            </w:pPr>
            <w:r w:rsidRPr="00F959DF">
              <w:rPr>
                <w:rFonts w:ascii="Calibri" w:eastAsia="Times New Roman" w:hAnsi="Calibri" w:cs="Calibri"/>
                <w:color w:val="000000"/>
                <w:sz w:val="24"/>
                <w:szCs w:val="24"/>
                <w:lang w:val="en-US" w:eastAsia="en-US"/>
              </w:rPr>
              <w:t>4</w:t>
            </w:r>
            <w:r>
              <w:rPr>
                <w:rFonts w:ascii="Calibri" w:eastAsia="Times New Roman" w:hAnsi="Calibri" w:cs="Calibri"/>
                <w:color w:val="000000"/>
                <w:sz w:val="24"/>
                <w:szCs w:val="24"/>
                <w:lang w:val="en-US" w:eastAsia="en-US"/>
              </w:rPr>
              <w:t>,</w:t>
            </w:r>
            <w:r w:rsidRPr="00F959DF">
              <w:rPr>
                <w:rFonts w:ascii="Calibri" w:eastAsia="Times New Roman" w:hAnsi="Calibri" w:cs="Calibri"/>
                <w:color w:val="000000"/>
                <w:sz w:val="24"/>
                <w:szCs w:val="24"/>
                <w:lang w:val="en-US" w:eastAsia="en-US"/>
              </w:rPr>
              <w:t>55</w:t>
            </w:r>
          </w:p>
        </w:tc>
      </w:tr>
    </w:tbl>
    <w:p w:rsidR="00852F75" w:rsidRDefault="00852F75" w:rsidP="00852F75">
      <w:pPr>
        <w:contextualSpacing/>
        <w:jc w:val="both"/>
        <w:rPr>
          <w:b/>
          <w:sz w:val="24"/>
          <w:szCs w:val="24"/>
        </w:rPr>
      </w:pPr>
    </w:p>
    <w:p w:rsidR="00852F75" w:rsidRDefault="00852F75" w:rsidP="00852F75">
      <w:pPr>
        <w:pStyle w:val="Titlu3"/>
      </w:pPr>
      <w:r>
        <w:t>Resursele de muncă</w:t>
      </w:r>
    </w:p>
    <w:p w:rsidR="00852F75" w:rsidRDefault="00852F75" w:rsidP="00852F75">
      <w:pPr>
        <w:contextualSpacing/>
        <w:jc w:val="both"/>
        <w:rPr>
          <w:sz w:val="24"/>
          <w:szCs w:val="24"/>
        </w:rPr>
      </w:pPr>
      <w:r w:rsidRPr="00337BCD">
        <w:rPr>
          <w:sz w:val="24"/>
          <w:szCs w:val="24"/>
        </w:rPr>
        <w:t xml:space="preserve">Industria textilă și a confecțiilor joacă </w:t>
      </w:r>
      <w:r>
        <w:rPr>
          <w:sz w:val="24"/>
          <w:szCs w:val="24"/>
        </w:rPr>
        <w:t xml:space="preserve">încă </w:t>
      </w:r>
      <w:r w:rsidRPr="00337BCD">
        <w:rPr>
          <w:sz w:val="24"/>
          <w:szCs w:val="24"/>
        </w:rPr>
        <w:t xml:space="preserve">un </w:t>
      </w:r>
      <w:r>
        <w:rPr>
          <w:sz w:val="24"/>
          <w:szCs w:val="24"/>
        </w:rPr>
        <w:t xml:space="preserve">rol major în ce privește oferta de locuri de muncă și asigurarea unei rate crescute a ocupării. Potrivit datelor statistice oficiale, în anul 2015, numărul mediu de angajați din industria textilă și a confecțiilor depășește 26 mii la nivel regional, </w:t>
      </w:r>
      <w:r w:rsidRPr="00E52A2F">
        <w:rPr>
          <w:sz w:val="24"/>
          <w:szCs w:val="24"/>
        </w:rPr>
        <w:t xml:space="preserve"> </w:t>
      </w:r>
      <w:r w:rsidRPr="00C96721">
        <w:rPr>
          <w:sz w:val="24"/>
          <w:szCs w:val="24"/>
        </w:rPr>
        <w:t>Regiunea Centru deți</w:t>
      </w:r>
      <w:r>
        <w:rPr>
          <w:sz w:val="24"/>
          <w:szCs w:val="24"/>
        </w:rPr>
        <w:t>nând</w:t>
      </w:r>
      <w:r w:rsidRPr="00C96721">
        <w:rPr>
          <w:sz w:val="24"/>
          <w:szCs w:val="24"/>
        </w:rPr>
        <w:t xml:space="preserve"> cca 15% din</w:t>
      </w:r>
      <w:r>
        <w:rPr>
          <w:sz w:val="24"/>
          <w:szCs w:val="24"/>
        </w:rPr>
        <w:t xml:space="preserve"> cei peste 180 mii persoane angajate</w:t>
      </w:r>
      <w:r w:rsidRPr="00C96721">
        <w:rPr>
          <w:sz w:val="24"/>
          <w:szCs w:val="24"/>
        </w:rPr>
        <w:t xml:space="preserve"> la nivel național </w:t>
      </w:r>
      <w:r>
        <w:rPr>
          <w:sz w:val="24"/>
          <w:szCs w:val="24"/>
        </w:rPr>
        <w:t xml:space="preserve">de către firmele din </w:t>
      </w:r>
      <w:r w:rsidRPr="00C96721">
        <w:rPr>
          <w:sz w:val="24"/>
          <w:szCs w:val="24"/>
        </w:rPr>
        <w:t xml:space="preserve">cele două ramuri  </w:t>
      </w:r>
      <w:r>
        <w:rPr>
          <w:sz w:val="24"/>
          <w:szCs w:val="24"/>
        </w:rPr>
        <w:t>industriale. Atât România cât şi Regiunea Centru au înregistrat ușoare creșteri ale  numărului de salariaţi în i</w:t>
      </w:r>
      <w:r w:rsidRPr="00337BCD">
        <w:rPr>
          <w:sz w:val="24"/>
          <w:szCs w:val="24"/>
        </w:rPr>
        <w:t>ndustria textilă și a confecțiilor</w:t>
      </w:r>
      <w:r>
        <w:rPr>
          <w:sz w:val="24"/>
          <w:szCs w:val="24"/>
        </w:rPr>
        <w:t xml:space="preserve"> faţă de anii precedenţi.</w:t>
      </w:r>
      <w:r w:rsidRPr="00E52A2F">
        <w:rPr>
          <w:sz w:val="24"/>
          <w:szCs w:val="24"/>
        </w:rPr>
        <w:t xml:space="preserve"> </w:t>
      </w:r>
    </w:p>
    <w:p w:rsidR="00852F75" w:rsidRPr="00E701BA" w:rsidRDefault="00852F75" w:rsidP="00852F75">
      <w:pPr>
        <w:contextualSpacing/>
        <w:jc w:val="both"/>
        <w:rPr>
          <w:sz w:val="24"/>
          <w:szCs w:val="24"/>
        </w:rPr>
      </w:pPr>
    </w:p>
    <w:p w:rsidR="00852F75" w:rsidRDefault="00852F75" w:rsidP="00852F75">
      <w:pPr>
        <w:ind w:firstLine="706"/>
        <w:contextualSpacing/>
        <w:jc w:val="center"/>
        <w:rPr>
          <w:b/>
          <w:sz w:val="24"/>
          <w:szCs w:val="24"/>
        </w:rPr>
      </w:pPr>
      <w:r>
        <w:rPr>
          <w:b/>
          <w:sz w:val="24"/>
          <w:szCs w:val="24"/>
        </w:rPr>
        <w:t xml:space="preserve">Tab. 3 Numărul mediu de salariați din </w:t>
      </w:r>
      <w:r w:rsidRPr="000C04AC">
        <w:rPr>
          <w:b/>
          <w:sz w:val="24"/>
          <w:szCs w:val="24"/>
        </w:rPr>
        <w:t>industria textilă și a confecțiilor textile</w:t>
      </w:r>
    </w:p>
    <w:p w:rsidR="00852F75" w:rsidRPr="00855541" w:rsidRDefault="00852F75" w:rsidP="00852F75">
      <w:pPr>
        <w:ind w:firstLine="706"/>
        <w:contextualSpacing/>
        <w:rPr>
          <w:b/>
          <w:sz w:val="24"/>
          <w:szCs w:val="24"/>
        </w:rPr>
      </w:pPr>
    </w:p>
    <w:tbl>
      <w:tblPr>
        <w:tblW w:w="8095" w:type="dxa"/>
        <w:jc w:val="center"/>
        <w:tblInd w:w="108" w:type="dxa"/>
        <w:tblLook w:val="04A0"/>
      </w:tblPr>
      <w:tblGrid>
        <w:gridCol w:w="2238"/>
        <w:gridCol w:w="955"/>
        <w:gridCol w:w="1082"/>
        <w:gridCol w:w="955"/>
        <w:gridCol w:w="955"/>
        <w:gridCol w:w="955"/>
        <w:gridCol w:w="955"/>
      </w:tblGrid>
      <w:tr w:rsidR="00852F75" w:rsidRPr="00855541" w:rsidTr="005F5D09">
        <w:trPr>
          <w:trHeight w:val="309"/>
          <w:jc w:val="center"/>
        </w:trPr>
        <w:tc>
          <w:tcPr>
            <w:tcW w:w="2238" w:type="dxa"/>
            <w:vMerge w:val="restart"/>
            <w:tcBorders>
              <w:top w:val="single" w:sz="8" w:space="0" w:color="7BA0CD"/>
              <w:left w:val="single" w:sz="8" w:space="0" w:color="7BA0CD"/>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FFFFFF"/>
              </w:rPr>
            </w:pPr>
          </w:p>
        </w:tc>
        <w:tc>
          <w:tcPr>
            <w:tcW w:w="955" w:type="dxa"/>
            <w:vMerge w:val="restart"/>
            <w:tcBorders>
              <w:top w:val="single" w:sz="8" w:space="0" w:color="7BA0CD"/>
              <w:left w:val="nil"/>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2010</w:t>
            </w:r>
          </w:p>
        </w:tc>
        <w:tc>
          <w:tcPr>
            <w:tcW w:w="1082" w:type="dxa"/>
            <w:vMerge w:val="restart"/>
            <w:tcBorders>
              <w:top w:val="single" w:sz="8" w:space="0" w:color="7BA0CD"/>
              <w:left w:val="nil"/>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2011</w:t>
            </w:r>
          </w:p>
        </w:tc>
        <w:tc>
          <w:tcPr>
            <w:tcW w:w="955" w:type="dxa"/>
            <w:vMerge w:val="restart"/>
            <w:tcBorders>
              <w:top w:val="single" w:sz="8" w:space="0" w:color="7BA0CD"/>
              <w:left w:val="nil"/>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2012</w:t>
            </w:r>
          </w:p>
        </w:tc>
        <w:tc>
          <w:tcPr>
            <w:tcW w:w="955" w:type="dxa"/>
            <w:vMerge w:val="restart"/>
            <w:tcBorders>
              <w:top w:val="single" w:sz="8" w:space="0" w:color="7BA0CD"/>
              <w:left w:val="nil"/>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2013</w:t>
            </w:r>
          </w:p>
        </w:tc>
        <w:tc>
          <w:tcPr>
            <w:tcW w:w="955" w:type="dxa"/>
            <w:vMerge w:val="restart"/>
            <w:tcBorders>
              <w:top w:val="single" w:sz="8" w:space="0" w:color="7BA0CD"/>
              <w:left w:val="nil"/>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2014</w:t>
            </w:r>
          </w:p>
        </w:tc>
        <w:tc>
          <w:tcPr>
            <w:tcW w:w="955" w:type="dxa"/>
            <w:vMerge w:val="restart"/>
            <w:tcBorders>
              <w:top w:val="single" w:sz="8" w:space="0" w:color="7BA0CD"/>
              <w:left w:val="nil"/>
              <w:bottom w:val="single" w:sz="8" w:space="0" w:color="7BA0CD"/>
              <w:right w:val="nil"/>
            </w:tcBorders>
            <w:shd w:val="clear" w:color="000000" w:fill="4F81BD"/>
            <w:hideMark/>
          </w:tcPr>
          <w:p w:rsidR="00852F75" w:rsidRPr="00855541" w:rsidRDefault="00852F75" w:rsidP="005F5D09">
            <w:pPr>
              <w:contextualSpacing/>
              <w:jc w:val="center"/>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2015</w:t>
            </w:r>
          </w:p>
        </w:tc>
      </w:tr>
      <w:tr w:rsidR="00852F75" w:rsidRPr="00855541" w:rsidTr="005F5D09">
        <w:trPr>
          <w:trHeight w:val="315"/>
          <w:jc w:val="center"/>
        </w:trPr>
        <w:tc>
          <w:tcPr>
            <w:tcW w:w="2238" w:type="dxa"/>
            <w:vMerge/>
            <w:tcBorders>
              <w:top w:val="single" w:sz="8" w:space="0" w:color="7BA0CD"/>
              <w:left w:val="single" w:sz="8" w:space="0" w:color="7BA0CD"/>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FFFFFF"/>
              </w:rPr>
            </w:pPr>
          </w:p>
        </w:tc>
        <w:tc>
          <w:tcPr>
            <w:tcW w:w="955" w:type="dxa"/>
            <w:vMerge/>
            <w:tcBorders>
              <w:top w:val="single" w:sz="8" w:space="0" w:color="7BA0CD"/>
              <w:left w:val="nil"/>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000000"/>
                <w:sz w:val="24"/>
                <w:szCs w:val="24"/>
              </w:rPr>
            </w:pPr>
          </w:p>
        </w:tc>
        <w:tc>
          <w:tcPr>
            <w:tcW w:w="1082" w:type="dxa"/>
            <w:vMerge/>
            <w:tcBorders>
              <w:top w:val="single" w:sz="8" w:space="0" w:color="7BA0CD"/>
              <w:left w:val="nil"/>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000000"/>
                <w:sz w:val="24"/>
                <w:szCs w:val="24"/>
              </w:rPr>
            </w:pPr>
          </w:p>
        </w:tc>
        <w:tc>
          <w:tcPr>
            <w:tcW w:w="955" w:type="dxa"/>
            <w:vMerge/>
            <w:tcBorders>
              <w:top w:val="single" w:sz="8" w:space="0" w:color="7BA0CD"/>
              <w:left w:val="nil"/>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000000"/>
                <w:sz w:val="24"/>
                <w:szCs w:val="24"/>
              </w:rPr>
            </w:pPr>
          </w:p>
        </w:tc>
        <w:tc>
          <w:tcPr>
            <w:tcW w:w="955" w:type="dxa"/>
            <w:vMerge/>
            <w:tcBorders>
              <w:top w:val="single" w:sz="8" w:space="0" w:color="7BA0CD"/>
              <w:left w:val="nil"/>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000000"/>
                <w:sz w:val="24"/>
                <w:szCs w:val="24"/>
              </w:rPr>
            </w:pPr>
          </w:p>
        </w:tc>
        <w:tc>
          <w:tcPr>
            <w:tcW w:w="955" w:type="dxa"/>
            <w:vMerge/>
            <w:tcBorders>
              <w:top w:val="single" w:sz="8" w:space="0" w:color="7BA0CD"/>
              <w:left w:val="nil"/>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000000"/>
                <w:sz w:val="24"/>
                <w:szCs w:val="24"/>
              </w:rPr>
            </w:pPr>
          </w:p>
        </w:tc>
        <w:tc>
          <w:tcPr>
            <w:tcW w:w="955" w:type="dxa"/>
            <w:vMerge/>
            <w:tcBorders>
              <w:top w:val="single" w:sz="8" w:space="0" w:color="7BA0CD"/>
              <w:left w:val="nil"/>
              <w:bottom w:val="single" w:sz="8" w:space="0" w:color="7BA0CD"/>
              <w:right w:val="nil"/>
            </w:tcBorders>
            <w:vAlign w:val="center"/>
            <w:hideMark/>
          </w:tcPr>
          <w:p w:rsidR="00852F75" w:rsidRPr="00855541" w:rsidRDefault="00852F75" w:rsidP="005F5D09">
            <w:pPr>
              <w:contextualSpacing/>
              <w:jc w:val="center"/>
              <w:rPr>
                <w:rFonts w:ascii="Calibri" w:eastAsia="Times New Roman" w:hAnsi="Calibri" w:cs="Calibri"/>
                <w:b/>
                <w:bCs/>
                <w:color w:val="000000"/>
                <w:sz w:val="24"/>
                <w:szCs w:val="24"/>
              </w:rPr>
            </w:pP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000000" w:fill="FFFFFF"/>
            <w:hideMark/>
          </w:tcPr>
          <w:p w:rsidR="00852F75" w:rsidRPr="00855541"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România</w:t>
            </w:r>
          </w:p>
        </w:tc>
        <w:tc>
          <w:tcPr>
            <w:tcW w:w="955" w:type="dxa"/>
            <w:tcBorders>
              <w:top w:val="nil"/>
              <w:left w:val="nil"/>
              <w:bottom w:val="single" w:sz="8" w:space="0" w:color="7BA0CD"/>
              <w:right w:val="nil"/>
            </w:tcBorders>
            <w:shd w:val="clear" w:color="000000" w:fill="FFFFFF"/>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162847</w:t>
            </w:r>
          </w:p>
        </w:tc>
        <w:tc>
          <w:tcPr>
            <w:tcW w:w="1082" w:type="dxa"/>
            <w:tcBorders>
              <w:top w:val="nil"/>
              <w:left w:val="nil"/>
              <w:bottom w:val="single" w:sz="8" w:space="0" w:color="7BA0CD"/>
              <w:right w:val="nil"/>
            </w:tcBorders>
            <w:shd w:val="clear" w:color="000000" w:fill="FFFFFF"/>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172342</w:t>
            </w:r>
          </w:p>
        </w:tc>
        <w:tc>
          <w:tcPr>
            <w:tcW w:w="955" w:type="dxa"/>
            <w:tcBorders>
              <w:top w:val="nil"/>
              <w:left w:val="nil"/>
              <w:bottom w:val="single" w:sz="8" w:space="0" w:color="7BA0CD"/>
              <w:right w:val="nil"/>
            </w:tcBorders>
            <w:shd w:val="clear" w:color="000000" w:fill="FFFFFF"/>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175345</w:t>
            </w:r>
          </w:p>
        </w:tc>
        <w:tc>
          <w:tcPr>
            <w:tcW w:w="955" w:type="dxa"/>
            <w:tcBorders>
              <w:top w:val="nil"/>
              <w:left w:val="nil"/>
              <w:bottom w:val="single" w:sz="8" w:space="0" w:color="7BA0CD"/>
              <w:right w:val="nil"/>
            </w:tcBorders>
            <w:shd w:val="clear" w:color="000000" w:fill="FFFFFF"/>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174193</w:t>
            </w:r>
          </w:p>
        </w:tc>
        <w:tc>
          <w:tcPr>
            <w:tcW w:w="955" w:type="dxa"/>
            <w:tcBorders>
              <w:top w:val="nil"/>
              <w:left w:val="nil"/>
              <w:bottom w:val="single" w:sz="8" w:space="0" w:color="7BA0CD"/>
              <w:right w:val="nil"/>
            </w:tcBorders>
            <w:shd w:val="clear" w:color="000000" w:fill="FFFFFF"/>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175872</w:t>
            </w:r>
          </w:p>
        </w:tc>
        <w:tc>
          <w:tcPr>
            <w:tcW w:w="955" w:type="dxa"/>
            <w:tcBorders>
              <w:top w:val="nil"/>
              <w:left w:val="nil"/>
              <w:bottom w:val="single" w:sz="8" w:space="0" w:color="7BA0CD"/>
              <w:right w:val="single" w:sz="8" w:space="0" w:color="7BA0CD"/>
            </w:tcBorders>
            <w:shd w:val="clear" w:color="000000" w:fill="FFFFFF"/>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180881</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000000" w:fill="D3DFEE"/>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Reg.</w:t>
            </w:r>
            <w:r>
              <w:rPr>
                <w:rFonts w:ascii="Calibri" w:eastAsia="Times New Roman" w:hAnsi="Calibri" w:cs="Calibri"/>
                <w:b/>
                <w:bCs/>
                <w:color w:val="000000"/>
                <w:sz w:val="24"/>
                <w:szCs w:val="24"/>
              </w:rPr>
              <w:t xml:space="preserve"> </w:t>
            </w:r>
            <w:r w:rsidRPr="00855541">
              <w:rPr>
                <w:rFonts w:ascii="Calibri" w:eastAsia="Times New Roman" w:hAnsi="Calibri" w:cs="Calibri"/>
                <w:b/>
                <w:bCs/>
                <w:color w:val="000000"/>
                <w:sz w:val="24"/>
                <w:szCs w:val="24"/>
              </w:rPr>
              <w:t>CENTRU</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25936</w:t>
            </w:r>
          </w:p>
        </w:tc>
        <w:tc>
          <w:tcPr>
            <w:tcW w:w="1082"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27064</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27229</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26603</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25641</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26679</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auto" w:fill="auto"/>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Alba</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4038</w:t>
            </w:r>
          </w:p>
        </w:tc>
        <w:tc>
          <w:tcPr>
            <w:tcW w:w="1082"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4036</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4044</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3811</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3</w:t>
            </w:r>
            <w:r>
              <w:rPr>
                <w:rFonts w:ascii="Calibri" w:eastAsia="Times New Roman" w:hAnsi="Calibri" w:cs="Calibri"/>
                <w:color w:val="000000"/>
                <w:sz w:val="24"/>
                <w:szCs w:val="24"/>
              </w:rPr>
              <w:t>947</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3003</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000000" w:fill="D3DFEE"/>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Brasov</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2482</w:t>
            </w:r>
          </w:p>
        </w:tc>
        <w:tc>
          <w:tcPr>
            <w:tcW w:w="1082"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2573</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2677</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2555</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2693</w:t>
            </w:r>
          </w:p>
        </w:tc>
        <w:tc>
          <w:tcPr>
            <w:tcW w:w="955" w:type="dxa"/>
            <w:tcBorders>
              <w:top w:val="nil"/>
              <w:left w:val="nil"/>
              <w:bottom w:val="single" w:sz="8" w:space="0" w:color="7BA0CD"/>
              <w:right w:val="single" w:sz="8" w:space="0" w:color="7BA0CD"/>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3508</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auto" w:fill="auto"/>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Covasna</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4536</w:t>
            </w:r>
          </w:p>
        </w:tc>
        <w:tc>
          <w:tcPr>
            <w:tcW w:w="1082"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5020</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4940</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4969</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4850</w:t>
            </w:r>
          </w:p>
        </w:tc>
        <w:tc>
          <w:tcPr>
            <w:tcW w:w="955" w:type="dxa"/>
            <w:tcBorders>
              <w:top w:val="nil"/>
              <w:left w:val="nil"/>
              <w:bottom w:val="single" w:sz="8" w:space="0" w:color="7BA0CD"/>
              <w:right w:val="single" w:sz="8" w:space="0" w:color="7BA0CD"/>
            </w:tcBorders>
            <w:shd w:val="clear" w:color="auto" w:fill="auto"/>
            <w:hideMark/>
          </w:tcPr>
          <w:p w:rsidR="00852F75" w:rsidRPr="00265A71" w:rsidRDefault="00852F75" w:rsidP="005F5D09">
            <w:pPr>
              <w:contextualSpacing/>
              <w:jc w:val="center"/>
              <w:rPr>
                <w:rFonts w:ascii="Calibri" w:eastAsia="Times New Roman" w:hAnsi="Calibri" w:cs="Calibri"/>
                <w:color w:val="000000"/>
                <w:sz w:val="24"/>
                <w:szCs w:val="24"/>
              </w:rPr>
            </w:pPr>
            <w:r w:rsidRPr="00265A71">
              <w:rPr>
                <w:rFonts w:ascii="Calibri" w:eastAsia="Times New Roman" w:hAnsi="Calibri" w:cs="Calibri"/>
                <w:color w:val="000000"/>
                <w:sz w:val="24"/>
                <w:szCs w:val="24"/>
              </w:rPr>
              <w:t>5351</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000000" w:fill="D3DFEE"/>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Harghita</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4366</w:t>
            </w:r>
          </w:p>
        </w:tc>
        <w:tc>
          <w:tcPr>
            <w:tcW w:w="1082"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4708</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4807</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4472</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4357</w:t>
            </w:r>
          </w:p>
        </w:tc>
        <w:tc>
          <w:tcPr>
            <w:tcW w:w="955" w:type="dxa"/>
            <w:tcBorders>
              <w:top w:val="nil"/>
              <w:left w:val="nil"/>
              <w:bottom w:val="single" w:sz="8" w:space="0" w:color="7BA0CD"/>
              <w:right w:val="single" w:sz="8" w:space="0" w:color="7BA0CD"/>
            </w:tcBorders>
            <w:shd w:val="clear" w:color="000000" w:fill="D3DFEE"/>
            <w:hideMark/>
          </w:tcPr>
          <w:p w:rsidR="00852F75" w:rsidRPr="00265A71" w:rsidRDefault="00852F75" w:rsidP="005F5D09">
            <w:pPr>
              <w:contextualSpacing/>
              <w:jc w:val="center"/>
              <w:rPr>
                <w:rFonts w:ascii="Calibri" w:eastAsia="Times New Roman" w:hAnsi="Calibri" w:cs="Calibri"/>
                <w:color w:val="000000"/>
                <w:sz w:val="24"/>
                <w:szCs w:val="24"/>
              </w:rPr>
            </w:pPr>
            <w:r w:rsidRPr="00265A71">
              <w:rPr>
                <w:rFonts w:ascii="Calibri" w:eastAsia="Times New Roman" w:hAnsi="Calibri" w:cs="Calibri"/>
                <w:color w:val="000000"/>
                <w:sz w:val="24"/>
                <w:szCs w:val="24"/>
              </w:rPr>
              <w:t>4751</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auto" w:fill="auto"/>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Mures</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5271</w:t>
            </w:r>
          </w:p>
        </w:tc>
        <w:tc>
          <w:tcPr>
            <w:tcW w:w="1082"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5868</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5720</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5619</w:t>
            </w:r>
          </w:p>
        </w:tc>
        <w:tc>
          <w:tcPr>
            <w:tcW w:w="955" w:type="dxa"/>
            <w:tcBorders>
              <w:top w:val="nil"/>
              <w:left w:val="nil"/>
              <w:bottom w:val="single" w:sz="8" w:space="0" w:color="7BA0CD"/>
              <w:right w:val="nil"/>
            </w:tcBorders>
            <w:shd w:val="clear" w:color="auto" w:fill="auto"/>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5495</w:t>
            </w:r>
          </w:p>
        </w:tc>
        <w:tc>
          <w:tcPr>
            <w:tcW w:w="955" w:type="dxa"/>
            <w:tcBorders>
              <w:top w:val="nil"/>
              <w:left w:val="nil"/>
              <w:bottom w:val="single" w:sz="8" w:space="0" w:color="7BA0CD"/>
              <w:right w:val="single" w:sz="8" w:space="0" w:color="7BA0CD"/>
            </w:tcBorders>
            <w:shd w:val="clear" w:color="auto" w:fill="auto"/>
            <w:hideMark/>
          </w:tcPr>
          <w:p w:rsidR="00852F75" w:rsidRPr="00265A71" w:rsidRDefault="00852F75" w:rsidP="005F5D09">
            <w:pPr>
              <w:contextualSpacing/>
              <w:jc w:val="center"/>
              <w:rPr>
                <w:rFonts w:ascii="Calibri" w:eastAsia="Times New Roman" w:hAnsi="Calibri" w:cs="Calibri"/>
                <w:color w:val="000000"/>
                <w:sz w:val="24"/>
                <w:szCs w:val="24"/>
              </w:rPr>
            </w:pPr>
            <w:r w:rsidRPr="00265A71">
              <w:rPr>
                <w:rFonts w:ascii="Calibri" w:eastAsia="Times New Roman" w:hAnsi="Calibri" w:cs="Calibri"/>
                <w:color w:val="000000"/>
                <w:sz w:val="24"/>
                <w:szCs w:val="24"/>
              </w:rPr>
              <w:t>5678</w:t>
            </w:r>
          </w:p>
        </w:tc>
      </w:tr>
      <w:tr w:rsidR="00852F75" w:rsidRPr="00855541" w:rsidTr="005F5D09">
        <w:trPr>
          <w:trHeight w:val="330"/>
          <w:jc w:val="center"/>
        </w:trPr>
        <w:tc>
          <w:tcPr>
            <w:tcW w:w="2238" w:type="dxa"/>
            <w:tcBorders>
              <w:top w:val="nil"/>
              <w:left w:val="single" w:sz="8" w:space="0" w:color="7BA0CD"/>
              <w:bottom w:val="single" w:sz="8" w:space="0" w:color="7BA0CD"/>
              <w:right w:val="nil"/>
            </w:tcBorders>
            <w:shd w:val="clear" w:color="000000" w:fill="D3DFEE"/>
            <w:hideMark/>
          </w:tcPr>
          <w:p w:rsidR="00852F75" w:rsidRPr="00855541" w:rsidRDefault="00852F75" w:rsidP="005F5D09">
            <w:pPr>
              <w:contextualSpacing/>
              <w:rPr>
                <w:rFonts w:ascii="Calibri" w:eastAsia="Times New Roman" w:hAnsi="Calibri" w:cs="Calibri"/>
                <w:b/>
                <w:bCs/>
                <w:color w:val="000000"/>
                <w:sz w:val="24"/>
                <w:szCs w:val="24"/>
              </w:rPr>
            </w:pPr>
            <w:r w:rsidRPr="00855541">
              <w:rPr>
                <w:rFonts w:ascii="Calibri" w:eastAsia="Times New Roman" w:hAnsi="Calibri" w:cs="Calibri"/>
                <w:b/>
                <w:bCs/>
                <w:color w:val="000000"/>
                <w:sz w:val="24"/>
                <w:szCs w:val="24"/>
              </w:rPr>
              <w:t>Sibiu</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5243</w:t>
            </w:r>
          </w:p>
        </w:tc>
        <w:tc>
          <w:tcPr>
            <w:tcW w:w="1082"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4859</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5041</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5177</w:t>
            </w:r>
          </w:p>
        </w:tc>
        <w:tc>
          <w:tcPr>
            <w:tcW w:w="955" w:type="dxa"/>
            <w:tcBorders>
              <w:top w:val="nil"/>
              <w:left w:val="nil"/>
              <w:bottom w:val="single" w:sz="8" w:space="0" w:color="7BA0CD"/>
              <w:right w:val="nil"/>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4963</w:t>
            </w:r>
          </w:p>
        </w:tc>
        <w:tc>
          <w:tcPr>
            <w:tcW w:w="955" w:type="dxa"/>
            <w:tcBorders>
              <w:top w:val="nil"/>
              <w:left w:val="nil"/>
              <w:bottom w:val="single" w:sz="8" w:space="0" w:color="7BA0CD"/>
              <w:right w:val="single" w:sz="8" w:space="0" w:color="7BA0CD"/>
            </w:tcBorders>
            <w:shd w:val="clear" w:color="000000" w:fill="D3DFEE"/>
            <w:hideMark/>
          </w:tcPr>
          <w:p w:rsidR="00852F75" w:rsidRPr="00855541" w:rsidRDefault="00852F75" w:rsidP="005F5D09">
            <w:pPr>
              <w:contextualSpacing/>
              <w:jc w:val="center"/>
              <w:rPr>
                <w:rFonts w:ascii="Calibri" w:eastAsia="Times New Roman" w:hAnsi="Calibri" w:cs="Calibri"/>
                <w:color w:val="000000"/>
                <w:sz w:val="24"/>
                <w:szCs w:val="24"/>
              </w:rPr>
            </w:pPr>
            <w:r w:rsidRPr="00855541">
              <w:rPr>
                <w:rFonts w:ascii="Calibri" w:eastAsia="Times New Roman" w:hAnsi="Calibri" w:cs="Calibri"/>
                <w:color w:val="000000"/>
                <w:sz w:val="24"/>
                <w:szCs w:val="24"/>
              </w:rPr>
              <w:t>4388</w:t>
            </w:r>
          </w:p>
        </w:tc>
      </w:tr>
    </w:tbl>
    <w:p w:rsidR="00852F75" w:rsidRDefault="00852F75" w:rsidP="00852F75">
      <w:pPr>
        <w:ind w:firstLine="706"/>
        <w:contextualSpacing/>
      </w:pPr>
      <w:r w:rsidRPr="0075380E">
        <w:rPr>
          <w:b/>
        </w:rPr>
        <w:t>Sursa:</w:t>
      </w:r>
      <w:r w:rsidRPr="0075380E">
        <w:t xml:space="preserve"> Institutul Național de Statistică</w:t>
      </w:r>
    </w:p>
    <w:p w:rsidR="00852F75" w:rsidRDefault="00852F75" w:rsidP="00852F75">
      <w:pPr>
        <w:ind w:firstLine="706"/>
        <w:contextualSpacing/>
        <w:rPr>
          <w:sz w:val="24"/>
          <w:szCs w:val="24"/>
        </w:rPr>
      </w:pPr>
    </w:p>
    <w:p w:rsidR="00852F75" w:rsidRDefault="00852F75" w:rsidP="00852F75">
      <w:pPr>
        <w:contextualSpacing/>
        <w:jc w:val="center"/>
        <w:rPr>
          <w:sz w:val="24"/>
          <w:szCs w:val="24"/>
        </w:rPr>
      </w:pPr>
      <w:r w:rsidRPr="00195CD2">
        <w:rPr>
          <w:noProof/>
          <w:sz w:val="24"/>
          <w:szCs w:val="24"/>
        </w:rPr>
        <w:lastRenderedPageBreak/>
        <w:drawing>
          <wp:inline distT="0" distB="0" distL="0" distR="0">
            <wp:extent cx="5234436" cy="2872596"/>
            <wp:effectExtent l="19050" t="0" r="23364" b="3954"/>
            <wp:docPr id="5"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52F75" w:rsidRPr="00BC6D40" w:rsidRDefault="00852F75" w:rsidP="00852F75">
      <w:pPr>
        <w:contextualSpacing/>
        <w:jc w:val="both"/>
        <w:rPr>
          <w:b/>
          <w:color w:val="000000" w:themeColor="text1"/>
          <w:sz w:val="24"/>
          <w:szCs w:val="24"/>
        </w:rPr>
      </w:pPr>
      <w:r>
        <w:rPr>
          <w:color w:val="000000" w:themeColor="text1"/>
          <w:sz w:val="24"/>
          <w:szCs w:val="24"/>
        </w:rPr>
        <w:tab/>
      </w:r>
      <w:r w:rsidRPr="00BC6D40">
        <w:rPr>
          <w:b/>
          <w:color w:val="000000" w:themeColor="text1"/>
          <w:sz w:val="24"/>
          <w:szCs w:val="24"/>
        </w:rPr>
        <w:t>Fig. 2</w:t>
      </w:r>
    </w:p>
    <w:p w:rsidR="00852F75" w:rsidRPr="000B11CF" w:rsidRDefault="00852F75" w:rsidP="00852F75">
      <w:pPr>
        <w:contextualSpacing/>
        <w:jc w:val="both"/>
        <w:rPr>
          <w:color w:val="000000" w:themeColor="text1"/>
          <w:sz w:val="24"/>
          <w:szCs w:val="24"/>
        </w:rPr>
      </w:pPr>
      <w:r w:rsidRPr="000B11CF">
        <w:rPr>
          <w:color w:val="000000" w:themeColor="text1"/>
          <w:sz w:val="24"/>
          <w:szCs w:val="24"/>
        </w:rPr>
        <w:t>Numărul salariaţilor în industria textilă din Regiunea Centru însuma în anul 2015 peste 7</w:t>
      </w:r>
      <w:r>
        <w:rPr>
          <w:color w:val="000000" w:themeColor="text1"/>
          <w:sz w:val="24"/>
          <w:szCs w:val="24"/>
        </w:rPr>
        <w:t>,</w:t>
      </w:r>
      <w:r w:rsidRPr="000B11CF">
        <w:rPr>
          <w:color w:val="000000" w:themeColor="text1"/>
          <w:sz w:val="24"/>
          <w:szCs w:val="24"/>
        </w:rPr>
        <w:t xml:space="preserve">7 mii de persoane, aproximativ </w:t>
      </w:r>
      <w:r>
        <w:rPr>
          <w:color w:val="000000" w:themeColor="text1"/>
          <w:sz w:val="24"/>
          <w:szCs w:val="24"/>
        </w:rPr>
        <w:t>21</w:t>
      </w:r>
      <w:r w:rsidRPr="000B11CF">
        <w:rPr>
          <w:color w:val="000000" w:themeColor="text1"/>
          <w:sz w:val="24"/>
          <w:szCs w:val="24"/>
        </w:rPr>
        <w:t xml:space="preserve">% din forţa de muncă a sectorului la nivel naţional. Perioada 2010-2015 este caracterizată de o creştere continuă a personalului angajat în judeţele </w:t>
      </w:r>
      <w:r>
        <w:rPr>
          <w:color w:val="000000" w:themeColor="text1"/>
          <w:sz w:val="24"/>
          <w:szCs w:val="24"/>
        </w:rPr>
        <w:t>Regiunii Centru</w:t>
      </w:r>
      <w:r w:rsidRPr="000B11CF">
        <w:rPr>
          <w:color w:val="000000" w:themeColor="text1"/>
          <w:sz w:val="24"/>
          <w:szCs w:val="24"/>
        </w:rPr>
        <w:t xml:space="preserve">, </w:t>
      </w:r>
      <w:r>
        <w:rPr>
          <w:color w:val="000000" w:themeColor="text1"/>
          <w:sz w:val="24"/>
          <w:szCs w:val="24"/>
        </w:rPr>
        <w:t>cu precădere</w:t>
      </w:r>
      <w:r w:rsidRPr="000B11CF">
        <w:rPr>
          <w:color w:val="000000" w:themeColor="text1"/>
          <w:sz w:val="24"/>
          <w:szCs w:val="24"/>
        </w:rPr>
        <w:t xml:space="preserve"> judeţul </w:t>
      </w:r>
      <w:r w:rsidRPr="00195CD2">
        <w:rPr>
          <w:color w:val="000000" w:themeColor="text1"/>
          <w:sz w:val="24"/>
          <w:szCs w:val="24"/>
        </w:rPr>
        <w:t xml:space="preserve">Covasna </w:t>
      </w:r>
      <w:r w:rsidRPr="000B11CF">
        <w:rPr>
          <w:color w:val="000000" w:themeColor="text1"/>
          <w:sz w:val="24"/>
          <w:szCs w:val="24"/>
        </w:rPr>
        <w:t xml:space="preserve">în care se poate observa o </w:t>
      </w:r>
      <w:r>
        <w:rPr>
          <w:color w:val="000000" w:themeColor="text1"/>
          <w:sz w:val="24"/>
          <w:szCs w:val="24"/>
        </w:rPr>
        <w:t>creștere</w:t>
      </w:r>
      <w:r w:rsidRPr="000B11CF">
        <w:rPr>
          <w:color w:val="000000" w:themeColor="text1"/>
          <w:sz w:val="24"/>
          <w:szCs w:val="24"/>
        </w:rPr>
        <w:t xml:space="preserve"> semnificativă a numărului de angajaţi.  Singurul judeţ al cărui trend este unul descendent este judeţul Alba, care a înregistrat o scădere cu 6% în anul 2015 faţă de anul 2010. </w:t>
      </w:r>
    </w:p>
    <w:p w:rsidR="00852F75" w:rsidRDefault="00852F75" w:rsidP="00852F75">
      <w:pPr>
        <w:ind w:firstLine="706"/>
        <w:contextualSpacing/>
        <w:rPr>
          <w:b/>
          <w:sz w:val="24"/>
          <w:szCs w:val="24"/>
        </w:rPr>
      </w:pPr>
    </w:p>
    <w:p w:rsidR="00852F75" w:rsidRDefault="00852F75" w:rsidP="00852F75">
      <w:pPr>
        <w:ind w:firstLine="706"/>
        <w:contextualSpacing/>
        <w:jc w:val="center"/>
        <w:rPr>
          <w:b/>
          <w:sz w:val="24"/>
          <w:szCs w:val="24"/>
        </w:rPr>
      </w:pPr>
      <w:r>
        <w:rPr>
          <w:b/>
          <w:sz w:val="24"/>
          <w:szCs w:val="24"/>
        </w:rPr>
        <w:t xml:space="preserve">Tab. 4 </w:t>
      </w:r>
      <w:r w:rsidRPr="00A72E16">
        <w:rPr>
          <w:b/>
          <w:sz w:val="24"/>
          <w:szCs w:val="24"/>
        </w:rPr>
        <w:t>Fabricarea produselor textile</w:t>
      </w:r>
    </w:p>
    <w:p w:rsidR="00852F75" w:rsidRPr="00DE225E" w:rsidRDefault="00852F75" w:rsidP="00852F75">
      <w:pPr>
        <w:ind w:firstLine="706"/>
        <w:contextualSpacing/>
        <w:rPr>
          <w:b/>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t>
      </w:r>
      <w:r w:rsidRPr="00DE225E">
        <w:rPr>
          <w:b/>
        </w:rPr>
        <w:t>Nr. salariați</w:t>
      </w:r>
      <w:r>
        <w:rPr>
          <w:b/>
        </w:rPr>
        <w:t>-</w:t>
      </w:r>
    </w:p>
    <w:tbl>
      <w:tblPr>
        <w:tblW w:w="7820" w:type="dxa"/>
        <w:jc w:val="center"/>
        <w:tblInd w:w="378" w:type="dxa"/>
        <w:tblLook w:val="04A0"/>
      </w:tblPr>
      <w:tblGrid>
        <w:gridCol w:w="1983"/>
        <w:gridCol w:w="941"/>
        <w:gridCol w:w="1128"/>
        <w:gridCol w:w="942"/>
        <w:gridCol w:w="942"/>
        <w:gridCol w:w="942"/>
        <w:gridCol w:w="942"/>
      </w:tblGrid>
      <w:tr w:rsidR="00852F75" w:rsidRPr="00A72E16" w:rsidTr="005F5D09">
        <w:trPr>
          <w:trHeight w:val="309"/>
          <w:jc w:val="center"/>
        </w:trPr>
        <w:tc>
          <w:tcPr>
            <w:tcW w:w="1983" w:type="dxa"/>
            <w:vMerge w:val="restart"/>
            <w:tcBorders>
              <w:top w:val="single" w:sz="8" w:space="0" w:color="7BA0CD"/>
              <w:left w:val="single" w:sz="8" w:space="0" w:color="7BA0CD"/>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FFFFFF"/>
              </w:rPr>
            </w:pPr>
          </w:p>
        </w:tc>
        <w:tc>
          <w:tcPr>
            <w:tcW w:w="941"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2010</w:t>
            </w:r>
          </w:p>
        </w:tc>
        <w:tc>
          <w:tcPr>
            <w:tcW w:w="1128"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2011</w:t>
            </w:r>
          </w:p>
        </w:tc>
        <w:tc>
          <w:tcPr>
            <w:tcW w:w="942"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2012</w:t>
            </w:r>
          </w:p>
        </w:tc>
        <w:tc>
          <w:tcPr>
            <w:tcW w:w="942"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2013</w:t>
            </w:r>
          </w:p>
        </w:tc>
        <w:tc>
          <w:tcPr>
            <w:tcW w:w="942"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2014</w:t>
            </w:r>
          </w:p>
        </w:tc>
        <w:tc>
          <w:tcPr>
            <w:tcW w:w="942"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center"/>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2015</w:t>
            </w:r>
          </w:p>
        </w:tc>
      </w:tr>
      <w:tr w:rsidR="00852F75" w:rsidRPr="00A72E16" w:rsidTr="005F5D09">
        <w:trPr>
          <w:trHeight w:val="315"/>
          <w:jc w:val="center"/>
        </w:trPr>
        <w:tc>
          <w:tcPr>
            <w:tcW w:w="1983" w:type="dxa"/>
            <w:vMerge/>
            <w:tcBorders>
              <w:top w:val="single" w:sz="8" w:space="0" w:color="7BA0CD"/>
              <w:left w:val="single" w:sz="8" w:space="0" w:color="7BA0CD"/>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FFFFFF"/>
              </w:rPr>
            </w:pPr>
          </w:p>
        </w:tc>
        <w:tc>
          <w:tcPr>
            <w:tcW w:w="941"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000000"/>
                <w:sz w:val="24"/>
                <w:szCs w:val="24"/>
              </w:rPr>
            </w:pPr>
          </w:p>
        </w:tc>
        <w:tc>
          <w:tcPr>
            <w:tcW w:w="1128"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000000"/>
                <w:sz w:val="24"/>
                <w:szCs w:val="24"/>
              </w:rPr>
            </w:pPr>
          </w:p>
        </w:tc>
        <w:tc>
          <w:tcPr>
            <w:tcW w:w="942"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000000"/>
                <w:sz w:val="24"/>
                <w:szCs w:val="24"/>
              </w:rPr>
            </w:pPr>
          </w:p>
        </w:tc>
        <w:tc>
          <w:tcPr>
            <w:tcW w:w="942"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000000"/>
                <w:sz w:val="24"/>
                <w:szCs w:val="24"/>
              </w:rPr>
            </w:pPr>
          </w:p>
        </w:tc>
        <w:tc>
          <w:tcPr>
            <w:tcW w:w="942"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000000"/>
                <w:sz w:val="24"/>
                <w:szCs w:val="24"/>
              </w:rPr>
            </w:pPr>
          </w:p>
        </w:tc>
        <w:tc>
          <w:tcPr>
            <w:tcW w:w="942"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jc w:val="center"/>
              <w:rPr>
                <w:rFonts w:ascii="Calibri" w:eastAsia="Times New Roman" w:hAnsi="Calibri" w:cs="Calibri"/>
                <w:b/>
                <w:bCs/>
                <w:color w:val="000000"/>
                <w:sz w:val="24"/>
                <w:szCs w:val="24"/>
              </w:rPr>
            </w:pP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000000" w:fill="FFFFFF"/>
            <w:hideMark/>
          </w:tcPr>
          <w:p w:rsidR="00852F75" w:rsidRPr="00A72E16"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România</w:t>
            </w:r>
          </w:p>
        </w:tc>
        <w:tc>
          <w:tcPr>
            <w:tcW w:w="941" w:type="dxa"/>
            <w:tcBorders>
              <w:top w:val="nil"/>
              <w:left w:val="nil"/>
              <w:bottom w:val="single" w:sz="8" w:space="0" w:color="7BA0CD"/>
              <w:right w:val="nil"/>
            </w:tcBorders>
            <w:shd w:val="clear" w:color="000000" w:fill="FFFFFF"/>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24700</w:t>
            </w:r>
          </w:p>
        </w:tc>
        <w:tc>
          <w:tcPr>
            <w:tcW w:w="1128" w:type="dxa"/>
            <w:tcBorders>
              <w:top w:val="nil"/>
              <w:left w:val="nil"/>
              <w:bottom w:val="single" w:sz="8" w:space="0" w:color="7BA0CD"/>
              <w:right w:val="nil"/>
            </w:tcBorders>
            <w:shd w:val="clear" w:color="000000" w:fill="FFFFFF"/>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28081</w:t>
            </w:r>
          </w:p>
        </w:tc>
        <w:tc>
          <w:tcPr>
            <w:tcW w:w="942" w:type="dxa"/>
            <w:tcBorders>
              <w:top w:val="nil"/>
              <w:left w:val="nil"/>
              <w:bottom w:val="single" w:sz="8" w:space="0" w:color="7BA0CD"/>
              <w:right w:val="nil"/>
            </w:tcBorders>
            <w:shd w:val="clear" w:color="000000" w:fill="FFFFFF"/>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29971</w:t>
            </w:r>
          </w:p>
        </w:tc>
        <w:tc>
          <w:tcPr>
            <w:tcW w:w="942" w:type="dxa"/>
            <w:tcBorders>
              <w:top w:val="nil"/>
              <w:left w:val="nil"/>
              <w:bottom w:val="single" w:sz="8" w:space="0" w:color="7BA0CD"/>
              <w:right w:val="nil"/>
            </w:tcBorders>
            <w:shd w:val="clear" w:color="000000" w:fill="FFFFFF"/>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31653</w:t>
            </w:r>
          </w:p>
        </w:tc>
        <w:tc>
          <w:tcPr>
            <w:tcW w:w="942" w:type="dxa"/>
            <w:tcBorders>
              <w:top w:val="nil"/>
              <w:left w:val="nil"/>
              <w:bottom w:val="single" w:sz="8" w:space="0" w:color="7BA0CD"/>
              <w:right w:val="nil"/>
            </w:tcBorders>
            <w:shd w:val="clear" w:color="000000" w:fill="FFFFFF"/>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33917</w:t>
            </w:r>
          </w:p>
        </w:tc>
        <w:tc>
          <w:tcPr>
            <w:tcW w:w="942" w:type="dxa"/>
            <w:tcBorders>
              <w:top w:val="nil"/>
              <w:left w:val="nil"/>
              <w:bottom w:val="single" w:sz="8" w:space="0" w:color="7BA0CD"/>
              <w:right w:val="single" w:sz="8" w:space="0" w:color="7BA0CD"/>
            </w:tcBorders>
            <w:shd w:val="clear" w:color="000000" w:fill="FFFFFF"/>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36673</w:t>
            </w:r>
          </w:p>
        </w:tc>
      </w:tr>
      <w:tr w:rsidR="00852F75" w:rsidRPr="00A72E16" w:rsidTr="005F5D09">
        <w:trPr>
          <w:trHeight w:val="318"/>
          <w:jc w:val="center"/>
        </w:trPr>
        <w:tc>
          <w:tcPr>
            <w:tcW w:w="1983"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Reg. </w:t>
            </w:r>
            <w:r w:rsidRPr="00A72E16">
              <w:rPr>
                <w:rFonts w:ascii="Calibri" w:eastAsia="Times New Roman" w:hAnsi="Calibri" w:cs="Calibri"/>
                <w:b/>
                <w:bCs/>
                <w:color w:val="000000"/>
                <w:sz w:val="24"/>
                <w:szCs w:val="24"/>
              </w:rPr>
              <w:t>CENTRU</w:t>
            </w:r>
          </w:p>
        </w:tc>
        <w:tc>
          <w:tcPr>
            <w:tcW w:w="941"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4705</w:t>
            </w:r>
          </w:p>
        </w:tc>
        <w:tc>
          <w:tcPr>
            <w:tcW w:w="1128"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5319</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5651</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5598</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5355</w:t>
            </w:r>
          </w:p>
        </w:tc>
        <w:tc>
          <w:tcPr>
            <w:tcW w:w="942" w:type="dxa"/>
            <w:tcBorders>
              <w:top w:val="nil"/>
              <w:left w:val="nil"/>
              <w:bottom w:val="single" w:sz="8" w:space="0" w:color="7BA0CD"/>
              <w:right w:val="single" w:sz="8" w:space="0" w:color="7BA0CD"/>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7714</w:t>
            </w: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auto" w:fill="auto"/>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Alba</w:t>
            </w:r>
          </w:p>
        </w:tc>
        <w:tc>
          <w:tcPr>
            <w:tcW w:w="941"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644</w:t>
            </w:r>
          </w:p>
        </w:tc>
        <w:tc>
          <w:tcPr>
            <w:tcW w:w="1128"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608</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622</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625</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Pr>
                <w:rFonts w:ascii="Calibri" w:hAnsi="Calibri" w:cs="Calibri"/>
                <w:color w:val="000000"/>
                <w:sz w:val="24"/>
                <w:szCs w:val="24"/>
              </w:rPr>
              <w:t>664</w:t>
            </w:r>
          </w:p>
        </w:tc>
        <w:tc>
          <w:tcPr>
            <w:tcW w:w="942" w:type="dxa"/>
            <w:tcBorders>
              <w:top w:val="nil"/>
              <w:left w:val="nil"/>
              <w:bottom w:val="single" w:sz="8" w:space="0" w:color="7BA0CD"/>
              <w:right w:val="single" w:sz="8" w:space="0" w:color="7BA0CD"/>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599</w:t>
            </w: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Braş</w:t>
            </w:r>
            <w:r w:rsidRPr="00A72E16">
              <w:rPr>
                <w:rFonts w:ascii="Calibri" w:eastAsia="Times New Roman" w:hAnsi="Calibri" w:cs="Calibri"/>
                <w:b/>
                <w:bCs/>
                <w:color w:val="000000"/>
                <w:sz w:val="24"/>
                <w:szCs w:val="24"/>
              </w:rPr>
              <w:t>ov</w:t>
            </w:r>
          </w:p>
        </w:tc>
        <w:tc>
          <w:tcPr>
            <w:tcW w:w="941"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725</w:t>
            </w:r>
          </w:p>
        </w:tc>
        <w:tc>
          <w:tcPr>
            <w:tcW w:w="1128"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877</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1032</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867</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1082</w:t>
            </w:r>
          </w:p>
        </w:tc>
        <w:tc>
          <w:tcPr>
            <w:tcW w:w="942" w:type="dxa"/>
            <w:tcBorders>
              <w:top w:val="nil"/>
              <w:left w:val="nil"/>
              <w:bottom w:val="single" w:sz="8" w:space="0" w:color="7BA0CD"/>
              <w:right w:val="single" w:sz="8" w:space="0" w:color="7BA0CD"/>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1113</w:t>
            </w: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auto" w:fill="auto"/>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Covasna</w:t>
            </w:r>
          </w:p>
        </w:tc>
        <w:tc>
          <w:tcPr>
            <w:tcW w:w="941"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254</w:t>
            </w:r>
          </w:p>
        </w:tc>
        <w:tc>
          <w:tcPr>
            <w:tcW w:w="1128"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459</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472</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568</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384</w:t>
            </w:r>
          </w:p>
        </w:tc>
        <w:tc>
          <w:tcPr>
            <w:tcW w:w="942" w:type="dxa"/>
            <w:tcBorders>
              <w:top w:val="nil"/>
              <w:left w:val="nil"/>
              <w:bottom w:val="single" w:sz="8" w:space="0" w:color="7BA0CD"/>
              <w:right w:val="single" w:sz="8" w:space="0" w:color="7BA0CD"/>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1721</w:t>
            </w: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Harghita</w:t>
            </w:r>
          </w:p>
        </w:tc>
        <w:tc>
          <w:tcPr>
            <w:tcW w:w="941"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558</w:t>
            </w:r>
          </w:p>
        </w:tc>
        <w:tc>
          <w:tcPr>
            <w:tcW w:w="1128"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646</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612</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551</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595</w:t>
            </w:r>
          </w:p>
        </w:tc>
        <w:tc>
          <w:tcPr>
            <w:tcW w:w="942" w:type="dxa"/>
            <w:tcBorders>
              <w:top w:val="nil"/>
              <w:left w:val="nil"/>
              <w:bottom w:val="single" w:sz="8" w:space="0" w:color="7BA0CD"/>
              <w:right w:val="single" w:sz="8" w:space="0" w:color="7BA0CD"/>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741</w:t>
            </w: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auto" w:fill="auto"/>
            <w:hideMark/>
          </w:tcPr>
          <w:p w:rsidR="00852F75" w:rsidRPr="00A72E16"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Mureş</w:t>
            </w:r>
          </w:p>
        </w:tc>
        <w:tc>
          <w:tcPr>
            <w:tcW w:w="941"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1555</w:t>
            </w:r>
          </w:p>
        </w:tc>
        <w:tc>
          <w:tcPr>
            <w:tcW w:w="1128"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1742</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1754</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1856</w:t>
            </w:r>
          </w:p>
        </w:tc>
        <w:tc>
          <w:tcPr>
            <w:tcW w:w="942" w:type="dxa"/>
            <w:tcBorders>
              <w:top w:val="nil"/>
              <w:left w:val="nil"/>
              <w:bottom w:val="single" w:sz="8" w:space="0" w:color="7BA0CD"/>
              <w:right w:val="nil"/>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2011</w:t>
            </w:r>
          </w:p>
        </w:tc>
        <w:tc>
          <w:tcPr>
            <w:tcW w:w="942" w:type="dxa"/>
            <w:tcBorders>
              <w:top w:val="nil"/>
              <w:left w:val="nil"/>
              <w:bottom w:val="single" w:sz="8" w:space="0" w:color="7BA0CD"/>
              <w:right w:val="single" w:sz="8" w:space="0" w:color="7BA0CD"/>
            </w:tcBorders>
            <w:shd w:val="clear" w:color="auto" w:fill="auto"/>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2150</w:t>
            </w:r>
          </w:p>
        </w:tc>
      </w:tr>
      <w:tr w:rsidR="00852F75" w:rsidRPr="00A72E16" w:rsidTr="005F5D09">
        <w:trPr>
          <w:trHeight w:val="330"/>
          <w:jc w:val="center"/>
        </w:trPr>
        <w:tc>
          <w:tcPr>
            <w:tcW w:w="1983"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Sibiu</w:t>
            </w:r>
          </w:p>
        </w:tc>
        <w:tc>
          <w:tcPr>
            <w:tcW w:w="941"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969</w:t>
            </w:r>
          </w:p>
        </w:tc>
        <w:tc>
          <w:tcPr>
            <w:tcW w:w="1128"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987</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1159</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1131</w:t>
            </w:r>
          </w:p>
        </w:tc>
        <w:tc>
          <w:tcPr>
            <w:tcW w:w="942" w:type="dxa"/>
            <w:tcBorders>
              <w:top w:val="nil"/>
              <w:left w:val="nil"/>
              <w:bottom w:val="single" w:sz="8" w:space="0" w:color="7BA0CD"/>
              <w:right w:val="nil"/>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1283</w:t>
            </w:r>
          </w:p>
        </w:tc>
        <w:tc>
          <w:tcPr>
            <w:tcW w:w="942" w:type="dxa"/>
            <w:tcBorders>
              <w:top w:val="nil"/>
              <w:left w:val="nil"/>
              <w:bottom w:val="single" w:sz="8" w:space="0" w:color="7BA0CD"/>
              <w:right w:val="single" w:sz="8" w:space="0" w:color="7BA0CD"/>
            </w:tcBorders>
            <w:shd w:val="clear" w:color="000000" w:fill="D3DFEE"/>
            <w:hideMark/>
          </w:tcPr>
          <w:p w:rsidR="00852F75" w:rsidRPr="00265A71" w:rsidRDefault="00852F75" w:rsidP="005F5D09">
            <w:pPr>
              <w:contextualSpacing/>
              <w:jc w:val="center"/>
              <w:rPr>
                <w:rFonts w:ascii="Calibri" w:hAnsi="Calibri" w:cs="Calibri"/>
                <w:color w:val="000000"/>
                <w:sz w:val="24"/>
                <w:szCs w:val="24"/>
              </w:rPr>
            </w:pPr>
            <w:r w:rsidRPr="00265A71">
              <w:rPr>
                <w:rFonts w:ascii="Calibri" w:hAnsi="Calibri" w:cs="Calibri"/>
                <w:color w:val="000000"/>
                <w:sz w:val="24"/>
                <w:szCs w:val="24"/>
              </w:rPr>
              <w:t>1390</w:t>
            </w:r>
          </w:p>
        </w:tc>
      </w:tr>
    </w:tbl>
    <w:p w:rsidR="00852F75" w:rsidRDefault="00852F75" w:rsidP="00852F75">
      <w:pPr>
        <w:ind w:firstLine="706"/>
        <w:contextualSpacing/>
      </w:pPr>
      <w:r w:rsidRPr="0075380E">
        <w:rPr>
          <w:b/>
        </w:rPr>
        <w:t>Sursa:</w:t>
      </w:r>
      <w:r w:rsidRPr="0075380E">
        <w:t xml:space="preserve"> Institutul Național de Statistică</w:t>
      </w:r>
    </w:p>
    <w:p w:rsidR="00852F75" w:rsidRDefault="00852F75" w:rsidP="00852F75">
      <w:pPr>
        <w:contextualSpacing/>
        <w:jc w:val="both"/>
        <w:rPr>
          <w:color w:val="000000" w:themeColor="text1"/>
          <w:sz w:val="24"/>
          <w:szCs w:val="24"/>
        </w:rPr>
      </w:pPr>
    </w:p>
    <w:p w:rsidR="00852F75" w:rsidRPr="0023547F" w:rsidRDefault="00852F75" w:rsidP="00852F75">
      <w:pPr>
        <w:contextualSpacing/>
        <w:jc w:val="both"/>
        <w:rPr>
          <w:sz w:val="24"/>
          <w:szCs w:val="24"/>
        </w:rPr>
      </w:pPr>
      <w:r w:rsidRPr="0023547F">
        <w:rPr>
          <w:sz w:val="24"/>
          <w:szCs w:val="24"/>
        </w:rPr>
        <w:t xml:space="preserve">Spre deosebire de industria textilă, fabricarea articolelor de îmbrăcăminte (industria confecţiilor) este un sector care nu beneficiază de o creștere a numărului de angajați. </w:t>
      </w:r>
      <w:r>
        <w:rPr>
          <w:sz w:val="24"/>
          <w:szCs w:val="24"/>
        </w:rPr>
        <w:t xml:space="preserve">Deşi, la nivel regional,  numărul de salariaţi din </w:t>
      </w:r>
      <w:r w:rsidRPr="0023547F">
        <w:rPr>
          <w:sz w:val="24"/>
          <w:szCs w:val="24"/>
        </w:rPr>
        <w:t>întrepri</w:t>
      </w:r>
      <w:r>
        <w:rPr>
          <w:sz w:val="24"/>
          <w:szCs w:val="24"/>
        </w:rPr>
        <w:t xml:space="preserve">nderile active în industria confecţiilor este 2,5 ori </w:t>
      </w:r>
      <w:r w:rsidRPr="0023547F">
        <w:rPr>
          <w:sz w:val="24"/>
          <w:szCs w:val="24"/>
        </w:rPr>
        <w:t xml:space="preserve">mai mare decât cel al </w:t>
      </w:r>
      <w:r>
        <w:rPr>
          <w:sz w:val="24"/>
          <w:szCs w:val="24"/>
        </w:rPr>
        <w:t xml:space="preserve">salariaților din </w:t>
      </w:r>
      <w:r w:rsidRPr="0023547F">
        <w:rPr>
          <w:sz w:val="24"/>
          <w:szCs w:val="24"/>
        </w:rPr>
        <w:t>industri</w:t>
      </w:r>
      <w:r>
        <w:rPr>
          <w:sz w:val="24"/>
          <w:szCs w:val="24"/>
        </w:rPr>
        <w:t>a</w:t>
      </w:r>
      <w:r w:rsidRPr="0023547F">
        <w:rPr>
          <w:sz w:val="24"/>
          <w:szCs w:val="24"/>
        </w:rPr>
        <w:t xml:space="preserve"> textil</w:t>
      </w:r>
      <w:r>
        <w:rPr>
          <w:sz w:val="24"/>
          <w:szCs w:val="24"/>
        </w:rPr>
        <w:t xml:space="preserve">ă, putem observa o scădere ale acestui indicator  </w:t>
      </w:r>
      <w:r w:rsidRPr="0023547F">
        <w:rPr>
          <w:sz w:val="24"/>
          <w:szCs w:val="24"/>
        </w:rPr>
        <w:t xml:space="preserve">în 4 din cele 6 judeţe ale regiunii. </w:t>
      </w:r>
    </w:p>
    <w:p w:rsidR="00852F75" w:rsidRDefault="00852F75" w:rsidP="00852F75">
      <w:pPr>
        <w:ind w:firstLine="706"/>
        <w:contextualSpacing/>
        <w:jc w:val="center"/>
        <w:rPr>
          <w:b/>
          <w:sz w:val="24"/>
          <w:szCs w:val="24"/>
        </w:rPr>
      </w:pPr>
      <w:r>
        <w:rPr>
          <w:b/>
          <w:sz w:val="24"/>
          <w:szCs w:val="24"/>
        </w:rPr>
        <w:lastRenderedPageBreak/>
        <w:t>Tab. 5 Fabricarea articolelor de îmbrăcă</w:t>
      </w:r>
      <w:r w:rsidRPr="00A72E16">
        <w:rPr>
          <w:b/>
          <w:sz w:val="24"/>
          <w:szCs w:val="24"/>
        </w:rPr>
        <w:t>minte</w:t>
      </w:r>
    </w:p>
    <w:p w:rsidR="00852F75" w:rsidRPr="00A72E16" w:rsidRDefault="00852F75" w:rsidP="00852F75">
      <w:pPr>
        <w:ind w:firstLine="706"/>
        <w:contextualSpacing/>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E225E">
        <w:rPr>
          <w:b/>
        </w:rPr>
        <w:t>Nr. salariați</w:t>
      </w:r>
    </w:p>
    <w:tbl>
      <w:tblPr>
        <w:tblW w:w="7820" w:type="dxa"/>
        <w:jc w:val="center"/>
        <w:tblInd w:w="378" w:type="dxa"/>
        <w:tblLook w:val="04A0"/>
      </w:tblPr>
      <w:tblGrid>
        <w:gridCol w:w="1860"/>
        <w:gridCol w:w="960"/>
        <w:gridCol w:w="1160"/>
        <w:gridCol w:w="960"/>
        <w:gridCol w:w="960"/>
        <w:gridCol w:w="960"/>
        <w:gridCol w:w="960"/>
      </w:tblGrid>
      <w:tr w:rsidR="00852F75" w:rsidRPr="00A72E16" w:rsidTr="005F5D09">
        <w:trPr>
          <w:trHeight w:val="309"/>
          <w:tblHeader/>
          <w:jc w:val="center"/>
        </w:trPr>
        <w:tc>
          <w:tcPr>
            <w:tcW w:w="1860" w:type="dxa"/>
            <w:vMerge w:val="restart"/>
            <w:tcBorders>
              <w:top w:val="single" w:sz="8" w:space="0" w:color="7BA0CD"/>
              <w:left w:val="single" w:sz="8" w:space="0" w:color="7BA0CD"/>
              <w:bottom w:val="single" w:sz="8" w:space="0" w:color="7BA0CD"/>
              <w:right w:val="nil"/>
            </w:tcBorders>
            <w:shd w:val="clear" w:color="000000" w:fill="4F81BD"/>
            <w:hideMark/>
          </w:tcPr>
          <w:p w:rsidR="00852F75" w:rsidRPr="00A72E16" w:rsidRDefault="00852F75" w:rsidP="005F5D09">
            <w:pPr>
              <w:contextualSpacing/>
              <w:rPr>
                <w:rFonts w:ascii="Calibri" w:eastAsia="Times New Roman" w:hAnsi="Calibri" w:cs="Calibri"/>
                <w:b/>
                <w:bCs/>
                <w:color w:val="FFFFFF"/>
              </w:rPr>
            </w:pPr>
            <w:r w:rsidRPr="00A72E16">
              <w:rPr>
                <w:rFonts w:ascii="Calibri" w:eastAsia="Times New Roman" w:hAnsi="Calibri" w:cs="Calibri"/>
                <w:b/>
                <w:bCs/>
                <w:color w:val="FFFFFF"/>
              </w:rPr>
              <w:t> </w:t>
            </w:r>
          </w:p>
        </w:tc>
        <w:tc>
          <w:tcPr>
            <w:tcW w:w="960"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right"/>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2010</w:t>
            </w:r>
          </w:p>
        </w:tc>
        <w:tc>
          <w:tcPr>
            <w:tcW w:w="1160"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right"/>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2011</w:t>
            </w:r>
          </w:p>
        </w:tc>
        <w:tc>
          <w:tcPr>
            <w:tcW w:w="960"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right"/>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2012</w:t>
            </w:r>
          </w:p>
        </w:tc>
        <w:tc>
          <w:tcPr>
            <w:tcW w:w="960"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right"/>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2013</w:t>
            </w:r>
          </w:p>
        </w:tc>
        <w:tc>
          <w:tcPr>
            <w:tcW w:w="960"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right"/>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2014</w:t>
            </w:r>
          </w:p>
        </w:tc>
        <w:tc>
          <w:tcPr>
            <w:tcW w:w="960" w:type="dxa"/>
            <w:vMerge w:val="restart"/>
            <w:tcBorders>
              <w:top w:val="single" w:sz="8" w:space="0" w:color="7BA0CD"/>
              <w:left w:val="nil"/>
              <w:bottom w:val="single" w:sz="8" w:space="0" w:color="7BA0CD"/>
              <w:right w:val="nil"/>
            </w:tcBorders>
            <w:shd w:val="clear" w:color="000000" w:fill="4F81BD"/>
            <w:hideMark/>
          </w:tcPr>
          <w:p w:rsidR="00852F75" w:rsidRPr="00A72E16" w:rsidRDefault="00852F75" w:rsidP="005F5D09">
            <w:pPr>
              <w:contextualSpacing/>
              <w:jc w:val="right"/>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2015</w:t>
            </w:r>
          </w:p>
        </w:tc>
      </w:tr>
      <w:tr w:rsidR="00852F75" w:rsidRPr="00A72E16" w:rsidTr="005F5D09">
        <w:trPr>
          <w:trHeight w:val="315"/>
          <w:jc w:val="center"/>
        </w:trPr>
        <w:tc>
          <w:tcPr>
            <w:tcW w:w="1860" w:type="dxa"/>
            <w:vMerge/>
            <w:tcBorders>
              <w:top w:val="single" w:sz="8" w:space="0" w:color="7BA0CD"/>
              <w:left w:val="single" w:sz="8" w:space="0" w:color="7BA0CD"/>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FFFFFF"/>
              </w:rPr>
            </w:pPr>
          </w:p>
        </w:tc>
        <w:tc>
          <w:tcPr>
            <w:tcW w:w="960"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000000"/>
                <w:sz w:val="24"/>
                <w:szCs w:val="24"/>
              </w:rPr>
            </w:pPr>
          </w:p>
        </w:tc>
        <w:tc>
          <w:tcPr>
            <w:tcW w:w="1160"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000000"/>
                <w:sz w:val="24"/>
                <w:szCs w:val="24"/>
              </w:rPr>
            </w:pPr>
          </w:p>
        </w:tc>
        <w:tc>
          <w:tcPr>
            <w:tcW w:w="960"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000000"/>
                <w:sz w:val="24"/>
                <w:szCs w:val="24"/>
              </w:rPr>
            </w:pPr>
          </w:p>
        </w:tc>
        <w:tc>
          <w:tcPr>
            <w:tcW w:w="960"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000000"/>
                <w:sz w:val="24"/>
                <w:szCs w:val="24"/>
              </w:rPr>
            </w:pPr>
          </w:p>
        </w:tc>
        <w:tc>
          <w:tcPr>
            <w:tcW w:w="960"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000000"/>
                <w:sz w:val="24"/>
                <w:szCs w:val="24"/>
              </w:rPr>
            </w:pPr>
          </w:p>
        </w:tc>
        <w:tc>
          <w:tcPr>
            <w:tcW w:w="960" w:type="dxa"/>
            <w:vMerge/>
            <w:tcBorders>
              <w:top w:val="single" w:sz="8" w:space="0" w:color="7BA0CD"/>
              <w:left w:val="nil"/>
              <w:bottom w:val="single" w:sz="8" w:space="0" w:color="7BA0CD"/>
              <w:right w:val="nil"/>
            </w:tcBorders>
            <w:vAlign w:val="center"/>
            <w:hideMark/>
          </w:tcPr>
          <w:p w:rsidR="00852F75" w:rsidRPr="00A72E16" w:rsidRDefault="00852F75" w:rsidP="005F5D09">
            <w:pPr>
              <w:contextualSpacing/>
              <w:rPr>
                <w:rFonts w:ascii="Calibri" w:eastAsia="Times New Roman" w:hAnsi="Calibri" w:cs="Calibri"/>
                <w:b/>
                <w:bCs/>
                <w:color w:val="000000"/>
                <w:sz w:val="24"/>
                <w:szCs w:val="24"/>
              </w:rPr>
            </w:pP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000000" w:fill="FFFFFF"/>
            <w:hideMark/>
          </w:tcPr>
          <w:p w:rsidR="00852F75" w:rsidRPr="00A72E16"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România</w:t>
            </w:r>
          </w:p>
        </w:tc>
        <w:tc>
          <w:tcPr>
            <w:tcW w:w="960" w:type="dxa"/>
            <w:tcBorders>
              <w:top w:val="nil"/>
              <w:left w:val="nil"/>
              <w:bottom w:val="single" w:sz="8" w:space="0" w:color="7BA0CD"/>
              <w:right w:val="nil"/>
            </w:tcBorders>
            <w:shd w:val="clear" w:color="000000" w:fill="FFFFFF"/>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138147</w:t>
            </w:r>
          </w:p>
        </w:tc>
        <w:tc>
          <w:tcPr>
            <w:tcW w:w="1160" w:type="dxa"/>
            <w:tcBorders>
              <w:top w:val="nil"/>
              <w:left w:val="nil"/>
              <w:bottom w:val="single" w:sz="8" w:space="0" w:color="7BA0CD"/>
              <w:right w:val="nil"/>
            </w:tcBorders>
            <w:shd w:val="clear" w:color="000000" w:fill="FFFFFF"/>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144261</w:t>
            </w:r>
          </w:p>
        </w:tc>
        <w:tc>
          <w:tcPr>
            <w:tcW w:w="960" w:type="dxa"/>
            <w:tcBorders>
              <w:top w:val="nil"/>
              <w:left w:val="nil"/>
              <w:bottom w:val="single" w:sz="8" w:space="0" w:color="7BA0CD"/>
              <w:right w:val="nil"/>
            </w:tcBorders>
            <w:shd w:val="clear" w:color="000000" w:fill="FFFFFF"/>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145374</w:t>
            </w:r>
          </w:p>
        </w:tc>
        <w:tc>
          <w:tcPr>
            <w:tcW w:w="960" w:type="dxa"/>
            <w:tcBorders>
              <w:top w:val="nil"/>
              <w:left w:val="nil"/>
              <w:bottom w:val="single" w:sz="8" w:space="0" w:color="7BA0CD"/>
              <w:right w:val="nil"/>
            </w:tcBorders>
            <w:shd w:val="clear" w:color="000000" w:fill="FFFFFF"/>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142540</w:t>
            </w:r>
          </w:p>
        </w:tc>
        <w:tc>
          <w:tcPr>
            <w:tcW w:w="960" w:type="dxa"/>
            <w:tcBorders>
              <w:top w:val="nil"/>
              <w:left w:val="nil"/>
              <w:bottom w:val="single" w:sz="8" w:space="0" w:color="7BA0CD"/>
              <w:right w:val="nil"/>
            </w:tcBorders>
            <w:shd w:val="clear" w:color="000000" w:fill="FFFFFF"/>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141955</w:t>
            </w:r>
          </w:p>
        </w:tc>
        <w:tc>
          <w:tcPr>
            <w:tcW w:w="960" w:type="dxa"/>
            <w:tcBorders>
              <w:top w:val="nil"/>
              <w:left w:val="nil"/>
              <w:bottom w:val="single" w:sz="8" w:space="0" w:color="7BA0CD"/>
              <w:right w:val="single" w:sz="8" w:space="0" w:color="7BA0CD"/>
            </w:tcBorders>
            <w:shd w:val="clear" w:color="000000" w:fill="FFFFFF"/>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144208</w:t>
            </w:r>
          </w:p>
        </w:tc>
      </w:tr>
      <w:tr w:rsidR="00852F75" w:rsidRPr="00A72E16" w:rsidTr="005F5D09">
        <w:trPr>
          <w:trHeight w:val="381"/>
          <w:jc w:val="center"/>
        </w:trPr>
        <w:tc>
          <w:tcPr>
            <w:tcW w:w="1860"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Reg. </w:t>
            </w:r>
            <w:r w:rsidRPr="00A72E16">
              <w:rPr>
                <w:rFonts w:ascii="Calibri" w:eastAsia="Times New Roman" w:hAnsi="Calibri" w:cs="Calibri"/>
                <w:b/>
                <w:bCs/>
                <w:color w:val="000000"/>
                <w:sz w:val="24"/>
                <w:szCs w:val="24"/>
              </w:rPr>
              <w:t>CENTRU</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21231</w:t>
            </w:r>
          </w:p>
        </w:tc>
        <w:tc>
          <w:tcPr>
            <w:tcW w:w="11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21745</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21578</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21005</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20286</w:t>
            </w:r>
          </w:p>
        </w:tc>
        <w:tc>
          <w:tcPr>
            <w:tcW w:w="960" w:type="dxa"/>
            <w:tcBorders>
              <w:top w:val="nil"/>
              <w:left w:val="nil"/>
              <w:bottom w:val="single" w:sz="8" w:space="0" w:color="7BA0CD"/>
              <w:right w:val="single" w:sz="8" w:space="0" w:color="7BA0CD"/>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18965</w:t>
            </w: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auto" w:fill="auto"/>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Alba</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3394</w:t>
            </w:r>
          </w:p>
        </w:tc>
        <w:tc>
          <w:tcPr>
            <w:tcW w:w="11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3428</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3422</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3186</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3283</w:t>
            </w:r>
          </w:p>
        </w:tc>
        <w:tc>
          <w:tcPr>
            <w:tcW w:w="960" w:type="dxa"/>
            <w:tcBorders>
              <w:top w:val="nil"/>
              <w:left w:val="nil"/>
              <w:bottom w:val="single" w:sz="8" w:space="0" w:color="7BA0CD"/>
              <w:right w:val="single" w:sz="8" w:space="0" w:color="7BA0CD"/>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2404</w:t>
            </w: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Brasov</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1757</w:t>
            </w:r>
          </w:p>
        </w:tc>
        <w:tc>
          <w:tcPr>
            <w:tcW w:w="11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1696</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1645</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1688</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1611</w:t>
            </w:r>
          </w:p>
        </w:tc>
        <w:tc>
          <w:tcPr>
            <w:tcW w:w="960" w:type="dxa"/>
            <w:tcBorders>
              <w:top w:val="nil"/>
              <w:left w:val="nil"/>
              <w:bottom w:val="single" w:sz="8" w:space="0" w:color="7BA0CD"/>
              <w:right w:val="single" w:sz="8" w:space="0" w:color="7BA0CD"/>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2395</w:t>
            </w: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auto" w:fill="auto"/>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Covasna</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4282</w:t>
            </w:r>
          </w:p>
        </w:tc>
        <w:tc>
          <w:tcPr>
            <w:tcW w:w="11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4561</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4468</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4401</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4466</w:t>
            </w:r>
          </w:p>
        </w:tc>
        <w:tc>
          <w:tcPr>
            <w:tcW w:w="960" w:type="dxa"/>
            <w:tcBorders>
              <w:top w:val="nil"/>
              <w:left w:val="nil"/>
              <w:bottom w:val="single" w:sz="8" w:space="0" w:color="7BA0CD"/>
              <w:right w:val="single" w:sz="8" w:space="0" w:color="7BA0CD"/>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3630</w:t>
            </w: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Harghita</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3808</w:t>
            </w:r>
          </w:p>
        </w:tc>
        <w:tc>
          <w:tcPr>
            <w:tcW w:w="11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4062</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4195</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3921</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3762</w:t>
            </w:r>
          </w:p>
        </w:tc>
        <w:tc>
          <w:tcPr>
            <w:tcW w:w="960" w:type="dxa"/>
            <w:tcBorders>
              <w:top w:val="nil"/>
              <w:left w:val="nil"/>
              <w:bottom w:val="single" w:sz="8" w:space="0" w:color="7BA0CD"/>
              <w:right w:val="single" w:sz="8" w:space="0" w:color="7BA0CD"/>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4010</w:t>
            </w: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auto" w:fill="auto"/>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Mures</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3716</w:t>
            </w:r>
          </w:p>
        </w:tc>
        <w:tc>
          <w:tcPr>
            <w:tcW w:w="11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4126</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3966</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3763</w:t>
            </w:r>
          </w:p>
        </w:tc>
        <w:tc>
          <w:tcPr>
            <w:tcW w:w="960" w:type="dxa"/>
            <w:tcBorders>
              <w:top w:val="nil"/>
              <w:left w:val="nil"/>
              <w:bottom w:val="single" w:sz="8" w:space="0" w:color="7BA0CD"/>
              <w:right w:val="nil"/>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3484</w:t>
            </w:r>
          </w:p>
        </w:tc>
        <w:tc>
          <w:tcPr>
            <w:tcW w:w="960" w:type="dxa"/>
            <w:tcBorders>
              <w:top w:val="nil"/>
              <w:left w:val="nil"/>
              <w:bottom w:val="single" w:sz="8" w:space="0" w:color="7BA0CD"/>
              <w:right w:val="single" w:sz="8" w:space="0" w:color="7BA0CD"/>
            </w:tcBorders>
            <w:shd w:val="clear" w:color="auto" w:fill="auto"/>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3528</w:t>
            </w:r>
          </w:p>
        </w:tc>
      </w:tr>
      <w:tr w:rsidR="00852F75" w:rsidRPr="00A72E16" w:rsidTr="005F5D09">
        <w:trPr>
          <w:trHeight w:val="330"/>
          <w:jc w:val="center"/>
        </w:trPr>
        <w:tc>
          <w:tcPr>
            <w:tcW w:w="1860" w:type="dxa"/>
            <w:tcBorders>
              <w:top w:val="nil"/>
              <w:left w:val="single" w:sz="8" w:space="0" w:color="7BA0CD"/>
              <w:bottom w:val="single" w:sz="8" w:space="0" w:color="7BA0CD"/>
              <w:right w:val="nil"/>
            </w:tcBorders>
            <w:shd w:val="clear" w:color="000000" w:fill="D3DFEE"/>
            <w:hideMark/>
          </w:tcPr>
          <w:p w:rsidR="00852F75" w:rsidRPr="00A72E16" w:rsidRDefault="00852F75" w:rsidP="005F5D09">
            <w:pPr>
              <w:contextualSpacing/>
              <w:rPr>
                <w:rFonts w:ascii="Calibri" w:eastAsia="Times New Roman" w:hAnsi="Calibri" w:cs="Calibri"/>
                <w:b/>
                <w:bCs/>
                <w:color w:val="000000"/>
                <w:sz w:val="24"/>
                <w:szCs w:val="24"/>
              </w:rPr>
            </w:pPr>
            <w:r w:rsidRPr="00A72E16">
              <w:rPr>
                <w:rFonts w:ascii="Calibri" w:eastAsia="Times New Roman" w:hAnsi="Calibri" w:cs="Calibri"/>
                <w:b/>
                <w:bCs/>
                <w:color w:val="000000"/>
                <w:sz w:val="24"/>
                <w:szCs w:val="24"/>
              </w:rPr>
              <w:t>Sibiu</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4274</w:t>
            </w:r>
          </w:p>
        </w:tc>
        <w:tc>
          <w:tcPr>
            <w:tcW w:w="11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3872</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3882</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4046</w:t>
            </w:r>
          </w:p>
        </w:tc>
        <w:tc>
          <w:tcPr>
            <w:tcW w:w="960" w:type="dxa"/>
            <w:tcBorders>
              <w:top w:val="nil"/>
              <w:left w:val="nil"/>
              <w:bottom w:val="single" w:sz="8" w:space="0" w:color="7BA0CD"/>
              <w:right w:val="nil"/>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3680</w:t>
            </w:r>
          </w:p>
        </w:tc>
        <w:tc>
          <w:tcPr>
            <w:tcW w:w="960" w:type="dxa"/>
            <w:tcBorders>
              <w:top w:val="nil"/>
              <w:left w:val="nil"/>
              <w:bottom w:val="single" w:sz="8" w:space="0" w:color="7BA0CD"/>
              <w:right w:val="single" w:sz="8" w:space="0" w:color="7BA0CD"/>
            </w:tcBorders>
            <w:shd w:val="clear" w:color="000000" w:fill="D3DFEE"/>
            <w:hideMark/>
          </w:tcPr>
          <w:p w:rsidR="00852F75" w:rsidRPr="00A72E16" w:rsidRDefault="00852F75" w:rsidP="005F5D09">
            <w:pPr>
              <w:contextualSpacing/>
              <w:jc w:val="right"/>
              <w:rPr>
                <w:rFonts w:ascii="Calibri" w:eastAsia="Times New Roman" w:hAnsi="Calibri" w:cs="Calibri"/>
                <w:color w:val="000000"/>
                <w:sz w:val="24"/>
                <w:szCs w:val="24"/>
              </w:rPr>
            </w:pPr>
            <w:r w:rsidRPr="00A72E16">
              <w:rPr>
                <w:rFonts w:ascii="Calibri" w:eastAsia="Times New Roman" w:hAnsi="Calibri" w:cs="Calibri"/>
                <w:color w:val="000000"/>
                <w:sz w:val="24"/>
                <w:szCs w:val="24"/>
              </w:rPr>
              <w:t>2998</w:t>
            </w:r>
          </w:p>
        </w:tc>
      </w:tr>
    </w:tbl>
    <w:p w:rsidR="00852F75" w:rsidRDefault="00852F75" w:rsidP="00852F75">
      <w:pPr>
        <w:ind w:firstLine="706"/>
        <w:contextualSpacing/>
      </w:pPr>
      <w:r>
        <w:rPr>
          <w:b/>
        </w:rPr>
        <w:t xml:space="preserve">  </w:t>
      </w:r>
      <w:r w:rsidRPr="0075380E">
        <w:rPr>
          <w:b/>
        </w:rPr>
        <w:t>Sursa:</w:t>
      </w:r>
      <w:r w:rsidRPr="0075380E">
        <w:t xml:space="preserve"> Institutul Național de Statistică</w:t>
      </w:r>
    </w:p>
    <w:p w:rsidR="00852F75" w:rsidRDefault="00852F75" w:rsidP="00852F75">
      <w:pPr>
        <w:contextualSpacing/>
        <w:rPr>
          <w:b/>
          <w:sz w:val="24"/>
          <w:szCs w:val="24"/>
        </w:rPr>
      </w:pPr>
    </w:p>
    <w:p w:rsidR="00852F75" w:rsidRPr="00195CD2" w:rsidRDefault="00852F75" w:rsidP="00852F75">
      <w:pPr>
        <w:pStyle w:val="Titlu3"/>
      </w:pPr>
      <w:r>
        <w:t>Locul i</w:t>
      </w:r>
      <w:r w:rsidRPr="00195CD2">
        <w:t>ndustri</w:t>
      </w:r>
      <w:r>
        <w:t>ei</w:t>
      </w:r>
      <w:r w:rsidRPr="00195CD2">
        <w:t xml:space="preserve"> textil</w:t>
      </w:r>
      <w:r>
        <w:t>e</w:t>
      </w:r>
      <w:r w:rsidRPr="00195CD2">
        <w:t xml:space="preserve"> și de confecții </w:t>
      </w:r>
      <w:r>
        <w:t xml:space="preserve">pe piața regională a muncii </w:t>
      </w:r>
    </w:p>
    <w:p w:rsidR="00852F75" w:rsidRPr="00AF4C8A" w:rsidRDefault="00852F75" w:rsidP="00852F75">
      <w:pPr>
        <w:contextualSpacing/>
        <w:jc w:val="center"/>
      </w:pPr>
    </w:p>
    <w:p w:rsidR="00852F75" w:rsidRPr="00420286" w:rsidRDefault="00852F75" w:rsidP="00852F75">
      <w:pPr>
        <w:contextualSpacing/>
        <w:jc w:val="both"/>
        <w:rPr>
          <w:sz w:val="24"/>
          <w:szCs w:val="24"/>
        </w:rPr>
      </w:pPr>
      <w:r>
        <w:rPr>
          <w:sz w:val="24"/>
          <w:szCs w:val="24"/>
        </w:rPr>
        <w:t>Dacă la nivelul Regiunii Centru industria textilă și de confecții deține cca 10% din salariații industriei prelucrătoare, a</w:t>
      </w:r>
      <w:r w:rsidRPr="008E72DD">
        <w:rPr>
          <w:sz w:val="24"/>
          <w:szCs w:val="24"/>
        </w:rPr>
        <w:t xml:space="preserve">naliza în profil teritorial </w:t>
      </w:r>
      <w:r>
        <w:rPr>
          <w:sz w:val="24"/>
          <w:szCs w:val="24"/>
        </w:rPr>
        <w:t xml:space="preserve">relevă diferențe notabile între cele 6 județe ale regiunii. </w:t>
      </w:r>
      <w:r w:rsidRPr="008E72DD">
        <w:rPr>
          <w:sz w:val="24"/>
          <w:szCs w:val="24"/>
        </w:rPr>
        <w:t xml:space="preserve">Industria textilă și de confecții </w:t>
      </w:r>
      <w:r>
        <w:rPr>
          <w:sz w:val="24"/>
          <w:szCs w:val="24"/>
        </w:rPr>
        <w:t xml:space="preserve">deține peste 21% din numărul de angajați din industria prelucrătoare a județului Covasna și aproximativ 15% din forța de muncă angajată în industria prelucrătoare a județului Harghita. O pondere semnificativ mai mică întâlnim în Brașov, județ în care cele 2 ramuri cumulează aproximativ 4,5% din numărul de salariați din industria prelucrătoare la sfârşitul anului 2015, urmat de judeţul Alba cu 7,8%, Sibiu cu 9,4 şi Mureş cu un procent de 11,5% al numărului de salariaţi.    </w:t>
      </w:r>
    </w:p>
    <w:p w:rsidR="00852F75" w:rsidRDefault="00852F75" w:rsidP="00852F75">
      <w:pPr>
        <w:contextualSpacing/>
        <w:jc w:val="center"/>
        <w:rPr>
          <w:b/>
          <w:sz w:val="24"/>
          <w:szCs w:val="24"/>
        </w:rPr>
      </w:pPr>
    </w:p>
    <w:p w:rsidR="00852F75" w:rsidRDefault="00852F75" w:rsidP="00852F75">
      <w:pPr>
        <w:contextualSpacing/>
        <w:jc w:val="center"/>
        <w:rPr>
          <w:b/>
          <w:sz w:val="24"/>
          <w:szCs w:val="24"/>
        </w:rPr>
      </w:pPr>
      <w:r>
        <w:rPr>
          <w:b/>
          <w:sz w:val="24"/>
          <w:szCs w:val="24"/>
        </w:rPr>
        <w:t xml:space="preserve">Tab. 6 </w:t>
      </w:r>
      <w:r w:rsidRPr="000C04AC">
        <w:rPr>
          <w:b/>
          <w:sz w:val="24"/>
          <w:szCs w:val="24"/>
        </w:rPr>
        <w:t>Ponderea salariaților din industria textilă și a confecțiilor textile</w:t>
      </w:r>
    </w:p>
    <w:p w:rsidR="00852F75" w:rsidRDefault="00852F75" w:rsidP="00852F75">
      <w:pPr>
        <w:contextualSpacing/>
        <w:jc w:val="center"/>
        <w:rPr>
          <w:b/>
          <w:sz w:val="24"/>
          <w:szCs w:val="24"/>
        </w:rPr>
      </w:pPr>
      <w:r w:rsidRPr="000C04AC">
        <w:rPr>
          <w:b/>
          <w:sz w:val="24"/>
          <w:szCs w:val="24"/>
        </w:rPr>
        <w:t xml:space="preserve"> în numărul total al salariaților</w:t>
      </w:r>
      <w:r>
        <w:rPr>
          <w:b/>
          <w:sz w:val="24"/>
          <w:szCs w:val="24"/>
        </w:rPr>
        <w:t xml:space="preserve"> din industria prelucrătoare</w:t>
      </w:r>
    </w:p>
    <w:p w:rsidR="00852F75" w:rsidRPr="00DE225E" w:rsidRDefault="00852F75" w:rsidP="00852F75">
      <w:pPr>
        <w:tabs>
          <w:tab w:val="left" w:pos="705"/>
          <w:tab w:val="left" w:pos="8145"/>
        </w:tabs>
        <w:ind w:left="75" w:right="1062"/>
        <w:contextualSpacing/>
        <w:jc w:val="right"/>
        <w:rPr>
          <w:b/>
        </w:rPr>
      </w:pPr>
      <w:r>
        <w:rPr>
          <w:rFonts w:ascii="Calibri" w:eastAsia="Times New Roman" w:hAnsi="Calibri" w:cs="Calibri"/>
          <w:b/>
          <w:color w:val="000000"/>
          <w:sz w:val="24"/>
          <w:szCs w:val="24"/>
        </w:rPr>
        <w:t xml:space="preserve">                                                             </w:t>
      </w:r>
      <w:r w:rsidRPr="00DE225E">
        <w:rPr>
          <w:rFonts w:ascii="Calibri" w:eastAsia="Times New Roman" w:hAnsi="Calibri" w:cs="Calibri"/>
          <w:b/>
          <w:color w:val="000000"/>
        </w:rPr>
        <w:t>-%-</w:t>
      </w:r>
    </w:p>
    <w:tbl>
      <w:tblPr>
        <w:tblW w:w="7633" w:type="dxa"/>
        <w:jc w:val="center"/>
        <w:tblInd w:w="93" w:type="dxa"/>
        <w:tblLook w:val="04A0"/>
      </w:tblPr>
      <w:tblGrid>
        <w:gridCol w:w="1766"/>
        <w:gridCol w:w="1207"/>
        <w:gridCol w:w="1183"/>
        <w:gridCol w:w="1159"/>
        <w:gridCol w:w="1159"/>
        <w:gridCol w:w="1159"/>
      </w:tblGrid>
      <w:tr w:rsidR="00852F75" w:rsidRPr="00D2709F" w:rsidTr="005F5D09">
        <w:trPr>
          <w:trHeight w:val="325"/>
          <w:jc w:val="center"/>
        </w:trPr>
        <w:tc>
          <w:tcPr>
            <w:tcW w:w="1766" w:type="dxa"/>
            <w:tcBorders>
              <w:top w:val="single" w:sz="4" w:space="0" w:color="538ED5"/>
              <w:left w:val="single" w:sz="4" w:space="0" w:color="538ED5"/>
              <w:bottom w:val="single" w:sz="4" w:space="0" w:color="538ED5"/>
              <w:right w:val="nil"/>
            </w:tcBorders>
            <w:shd w:val="clear" w:color="000000" w:fill="8DB4E3"/>
            <w:noWrap/>
            <w:vAlign w:val="bottom"/>
            <w:hideMark/>
          </w:tcPr>
          <w:p w:rsidR="00852F75" w:rsidRPr="00D2709F" w:rsidRDefault="00852F75" w:rsidP="005F5D09">
            <w:pPr>
              <w:contextualSpacing/>
              <w:rPr>
                <w:rFonts w:eastAsia="Times New Roman" w:cstheme="minorHAnsi"/>
                <w:color w:val="000000"/>
                <w:sz w:val="24"/>
                <w:szCs w:val="24"/>
              </w:rPr>
            </w:pPr>
            <w:r w:rsidRPr="00D2709F">
              <w:rPr>
                <w:rFonts w:eastAsia="Times New Roman" w:cstheme="minorHAnsi"/>
                <w:color w:val="000000"/>
                <w:sz w:val="24"/>
                <w:szCs w:val="24"/>
              </w:rPr>
              <w:t> </w:t>
            </w:r>
          </w:p>
        </w:tc>
        <w:tc>
          <w:tcPr>
            <w:tcW w:w="1207" w:type="dxa"/>
            <w:tcBorders>
              <w:top w:val="single" w:sz="4" w:space="0" w:color="538ED5"/>
              <w:left w:val="nil"/>
              <w:bottom w:val="single" w:sz="4" w:space="0" w:color="538ED5"/>
              <w:right w:val="nil"/>
            </w:tcBorders>
            <w:shd w:val="clear" w:color="000000" w:fill="8DB4E3"/>
            <w:hideMark/>
          </w:tcPr>
          <w:p w:rsidR="00852F75" w:rsidRPr="00D2709F" w:rsidRDefault="00852F75" w:rsidP="005F5D09">
            <w:pPr>
              <w:contextualSpacing/>
              <w:jc w:val="right"/>
              <w:rPr>
                <w:rFonts w:eastAsia="Times New Roman" w:cstheme="minorHAnsi"/>
                <w:b/>
                <w:color w:val="000000"/>
                <w:sz w:val="24"/>
                <w:szCs w:val="24"/>
              </w:rPr>
            </w:pPr>
            <w:r w:rsidRPr="00D2709F">
              <w:rPr>
                <w:rFonts w:eastAsia="Times New Roman" w:cstheme="minorHAnsi"/>
                <w:b/>
                <w:color w:val="000000"/>
                <w:sz w:val="24"/>
                <w:szCs w:val="24"/>
              </w:rPr>
              <w:t>2010</w:t>
            </w:r>
          </w:p>
        </w:tc>
        <w:tc>
          <w:tcPr>
            <w:tcW w:w="1183" w:type="dxa"/>
            <w:tcBorders>
              <w:top w:val="single" w:sz="4" w:space="0" w:color="538ED5"/>
              <w:left w:val="nil"/>
              <w:bottom w:val="single" w:sz="4" w:space="0" w:color="538ED5"/>
              <w:right w:val="nil"/>
            </w:tcBorders>
            <w:shd w:val="clear" w:color="000000" w:fill="8DB4E3"/>
            <w:hideMark/>
          </w:tcPr>
          <w:p w:rsidR="00852F75" w:rsidRPr="00D2709F" w:rsidRDefault="00852F75" w:rsidP="005F5D09">
            <w:pPr>
              <w:contextualSpacing/>
              <w:jc w:val="right"/>
              <w:rPr>
                <w:rFonts w:eastAsia="Times New Roman" w:cstheme="minorHAnsi"/>
                <w:b/>
                <w:color w:val="000000"/>
                <w:sz w:val="24"/>
                <w:szCs w:val="24"/>
              </w:rPr>
            </w:pPr>
            <w:r w:rsidRPr="00D2709F">
              <w:rPr>
                <w:rFonts w:eastAsia="Times New Roman" w:cstheme="minorHAnsi"/>
                <w:b/>
                <w:color w:val="000000"/>
                <w:sz w:val="24"/>
                <w:szCs w:val="24"/>
              </w:rPr>
              <w:t>2011</w:t>
            </w:r>
          </w:p>
        </w:tc>
        <w:tc>
          <w:tcPr>
            <w:tcW w:w="1159" w:type="dxa"/>
            <w:tcBorders>
              <w:top w:val="single" w:sz="4" w:space="0" w:color="538ED5"/>
              <w:left w:val="nil"/>
              <w:bottom w:val="single" w:sz="4" w:space="0" w:color="538ED5"/>
              <w:right w:val="nil"/>
            </w:tcBorders>
            <w:shd w:val="clear" w:color="000000" w:fill="8DB4E3"/>
            <w:hideMark/>
          </w:tcPr>
          <w:p w:rsidR="00852F75" w:rsidRPr="00D2709F" w:rsidRDefault="00852F75" w:rsidP="005F5D09">
            <w:pPr>
              <w:contextualSpacing/>
              <w:jc w:val="right"/>
              <w:rPr>
                <w:rFonts w:eastAsia="Times New Roman" w:cstheme="minorHAnsi"/>
                <w:b/>
                <w:color w:val="000000"/>
                <w:sz w:val="24"/>
                <w:szCs w:val="24"/>
              </w:rPr>
            </w:pPr>
            <w:r w:rsidRPr="00D2709F">
              <w:rPr>
                <w:rFonts w:eastAsia="Times New Roman" w:cstheme="minorHAnsi"/>
                <w:b/>
                <w:color w:val="000000"/>
                <w:sz w:val="24"/>
                <w:szCs w:val="24"/>
              </w:rPr>
              <w:t>2012</w:t>
            </w:r>
          </w:p>
        </w:tc>
        <w:tc>
          <w:tcPr>
            <w:tcW w:w="1159" w:type="dxa"/>
            <w:tcBorders>
              <w:top w:val="single" w:sz="4" w:space="0" w:color="538ED5"/>
              <w:left w:val="nil"/>
              <w:bottom w:val="single" w:sz="4" w:space="0" w:color="538ED5"/>
              <w:right w:val="nil"/>
            </w:tcBorders>
            <w:shd w:val="clear" w:color="000000" w:fill="8DB4E3"/>
            <w:hideMark/>
          </w:tcPr>
          <w:p w:rsidR="00852F75" w:rsidRPr="00D2709F" w:rsidRDefault="00852F75" w:rsidP="005F5D09">
            <w:pPr>
              <w:contextualSpacing/>
              <w:jc w:val="right"/>
              <w:rPr>
                <w:rFonts w:eastAsia="Times New Roman" w:cstheme="minorHAnsi"/>
                <w:b/>
                <w:color w:val="000000"/>
                <w:sz w:val="24"/>
                <w:szCs w:val="24"/>
              </w:rPr>
            </w:pPr>
            <w:r w:rsidRPr="00D2709F">
              <w:rPr>
                <w:rFonts w:eastAsia="Times New Roman" w:cstheme="minorHAnsi"/>
                <w:b/>
                <w:color w:val="000000"/>
                <w:sz w:val="24"/>
                <w:szCs w:val="24"/>
              </w:rPr>
              <w:t>2013</w:t>
            </w:r>
          </w:p>
        </w:tc>
        <w:tc>
          <w:tcPr>
            <w:tcW w:w="1159" w:type="dxa"/>
            <w:tcBorders>
              <w:top w:val="single" w:sz="4" w:space="0" w:color="538ED5"/>
              <w:left w:val="nil"/>
              <w:bottom w:val="single" w:sz="4" w:space="0" w:color="538ED5"/>
              <w:right w:val="single" w:sz="4" w:space="0" w:color="538ED5"/>
            </w:tcBorders>
            <w:shd w:val="clear" w:color="000000" w:fill="8DB4E3"/>
            <w:hideMark/>
          </w:tcPr>
          <w:p w:rsidR="00852F75" w:rsidRPr="00D2709F" w:rsidRDefault="00852F75" w:rsidP="005F5D09">
            <w:pPr>
              <w:contextualSpacing/>
              <w:jc w:val="right"/>
              <w:rPr>
                <w:rFonts w:eastAsia="Times New Roman" w:cstheme="minorHAnsi"/>
                <w:b/>
                <w:color w:val="000000"/>
                <w:sz w:val="24"/>
                <w:szCs w:val="24"/>
              </w:rPr>
            </w:pPr>
            <w:r w:rsidRPr="00D2709F">
              <w:rPr>
                <w:rFonts w:eastAsia="Times New Roman" w:cstheme="minorHAnsi"/>
                <w:b/>
                <w:color w:val="000000"/>
                <w:sz w:val="24"/>
                <w:szCs w:val="24"/>
              </w:rPr>
              <w:t>2014</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000000" w:fill="C5D9F1"/>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Reg.CENTRU</w:t>
            </w:r>
          </w:p>
        </w:tc>
        <w:tc>
          <w:tcPr>
            <w:tcW w:w="1207"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10</w:t>
            </w:r>
            <w:r>
              <w:rPr>
                <w:rFonts w:eastAsia="Times New Roman" w:cstheme="minorHAnsi"/>
                <w:color w:val="000000"/>
                <w:sz w:val="24"/>
                <w:szCs w:val="24"/>
              </w:rPr>
              <w:t>,</w:t>
            </w:r>
            <w:r w:rsidRPr="00D2709F">
              <w:rPr>
                <w:rFonts w:eastAsia="Times New Roman" w:cstheme="minorHAnsi"/>
                <w:color w:val="000000"/>
                <w:sz w:val="24"/>
                <w:szCs w:val="24"/>
              </w:rPr>
              <w:t>94</w:t>
            </w:r>
          </w:p>
        </w:tc>
        <w:tc>
          <w:tcPr>
            <w:tcW w:w="1183"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11</w:t>
            </w:r>
            <w:r>
              <w:rPr>
                <w:rFonts w:eastAsia="Times New Roman" w:cstheme="minorHAnsi"/>
                <w:color w:val="000000"/>
                <w:sz w:val="24"/>
                <w:szCs w:val="24"/>
              </w:rPr>
              <w:t>,</w:t>
            </w:r>
            <w:r w:rsidRPr="00D2709F">
              <w:rPr>
                <w:rFonts w:eastAsia="Times New Roman" w:cstheme="minorHAnsi"/>
                <w:color w:val="000000"/>
                <w:sz w:val="24"/>
                <w:szCs w:val="24"/>
              </w:rPr>
              <w:t>13</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10</w:t>
            </w:r>
            <w:r>
              <w:rPr>
                <w:rFonts w:eastAsia="Times New Roman" w:cstheme="minorHAnsi"/>
                <w:color w:val="000000"/>
                <w:sz w:val="24"/>
                <w:szCs w:val="24"/>
              </w:rPr>
              <w:t>,</w:t>
            </w:r>
            <w:r w:rsidRPr="00D2709F">
              <w:rPr>
                <w:rFonts w:eastAsia="Times New Roman" w:cstheme="minorHAnsi"/>
                <w:color w:val="000000"/>
                <w:sz w:val="24"/>
                <w:szCs w:val="24"/>
              </w:rPr>
              <w:t>89</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10</w:t>
            </w:r>
            <w:r>
              <w:rPr>
                <w:rFonts w:eastAsia="Times New Roman" w:cstheme="minorHAnsi"/>
                <w:color w:val="000000"/>
                <w:sz w:val="24"/>
                <w:szCs w:val="24"/>
              </w:rPr>
              <w:t>,</w:t>
            </w:r>
            <w:r w:rsidRPr="00D2709F">
              <w:rPr>
                <w:rFonts w:eastAsia="Times New Roman" w:cstheme="minorHAnsi"/>
                <w:color w:val="000000"/>
                <w:sz w:val="24"/>
                <w:szCs w:val="24"/>
              </w:rPr>
              <w:t>40</w:t>
            </w:r>
          </w:p>
        </w:tc>
        <w:tc>
          <w:tcPr>
            <w:tcW w:w="1159" w:type="dxa"/>
            <w:tcBorders>
              <w:top w:val="nil"/>
              <w:left w:val="nil"/>
              <w:bottom w:val="single" w:sz="4" w:space="0" w:color="538ED5"/>
              <w:right w:val="single" w:sz="4" w:space="0" w:color="538ED5"/>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10</w:t>
            </w:r>
            <w:r>
              <w:rPr>
                <w:rFonts w:eastAsia="Times New Roman" w:cstheme="minorHAnsi"/>
                <w:color w:val="000000"/>
                <w:sz w:val="24"/>
                <w:szCs w:val="24"/>
              </w:rPr>
              <w:t>,</w:t>
            </w:r>
            <w:r w:rsidRPr="00D2709F">
              <w:rPr>
                <w:rFonts w:eastAsia="Times New Roman" w:cstheme="minorHAnsi"/>
                <w:color w:val="000000"/>
                <w:sz w:val="24"/>
                <w:szCs w:val="24"/>
              </w:rPr>
              <w:t>13</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auto" w:fill="auto"/>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Alba</w:t>
            </w:r>
          </w:p>
        </w:tc>
        <w:tc>
          <w:tcPr>
            <w:tcW w:w="1207"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10</w:t>
            </w:r>
            <w:r>
              <w:rPr>
                <w:rFonts w:eastAsia="Times New Roman" w:cstheme="minorHAnsi"/>
                <w:color w:val="000000"/>
                <w:sz w:val="24"/>
                <w:szCs w:val="24"/>
              </w:rPr>
              <w:t>,</w:t>
            </w:r>
            <w:r w:rsidRPr="00D2709F">
              <w:rPr>
                <w:rFonts w:eastAsia="Times New Roman" w:cstheme="minorHAnsi"/>
                <w:color w:val="000000"/>
                <w:sz w:val="24"/>
                <w:szCs w:val="24"/>
              </w:rPr>
              <w:t>49</w:t>
            </w:r>
          </w:p>
        </w:tc>
        <w:tc>
          <w:tcPr>
            <w:tcW w:w="1183"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87</w:t>
            </w:r>
          </w:p>
        </w:tc>
        <w:tc>
          <w:tcPr>
            <w:tcW w:w="1159"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82</w:t>
            </w:r>
          </w:p>
        </w:tc>
        <w:tc>
          <w:tcPr>
            <w:tcW w:w="1159"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10</w:t>
            </w:r>
          </w:p>
        </w:tc>
        <w:tc>
          <w:tcPr>
            <w:tcW w:w="1159" w:type="dxa"/>
            <w:tcBorders>
              <w:top w:val="nil"/>
              <w:left w:val="nil"/>
              <w:bottom w:val="single" w:sz="4" w:space="0" w:color="538ED5"/>
              <w:right w:val="single" w:sz="4" w:space="0" w:color="538ED5"/>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7</w:t>
            </w:r>
            <w:r>
              <w:rPr>
                <w:rFonts w:eastAsia="Times New Roman" w:cstheme="minorHAnsi"/>
                <w:color w:val="000000"/>
                <w:sz w:val="24"/>
                <w:szCs w:val="24"/>
              </w:rPr>
              <w:t>,</w:t>
            </w:r>
            <w:r w:rsidRPr="00D2709F">
              <w:rPr>
                <w:rFonts w:eastAsia="Times New Roman" w:cstheme="minorHAnsi"/>
                <w:color w:val="000000"/>
                <w:sz w:val="24"/>
                <w:szCs w:val="24"/>
              </w:rPr>
              <w:t>85</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000000" w:fill="C5D9F1"/>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Brasov</w:t>
            </w:r>
          </w:p>
        </w:tc>
        <w:tc>
          <w:tcPr>
            <w:tcW w:w="1207"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4</w:t>
            </w:r>
            <w:r>
              <w:rPr>
                <w:rFonts w:eastAsia="Times New Roman" w:cstheme="minorHAnsi"/>
                <w:color w:val="000000"/>
                <w:sz w:val="24"/>
                <w:szCs w:val="24"/>
              </w:rPr>
              <w:t>,</w:t>
            </w:r>
            <w:r w:rsidRPr="00D2709F">
              <w:rPr>
                <w:rFonts w:eastAsia="Times New Roman" w:cstheme="minorHAnsi"/>
                <w:color w:val="000000"/>
                <w:sz w:val="24"/>
                <w:szCs w:val="24"/>
              </w:rPr>
              <w:t>79</w:t>
            </w:r>
          </w:p>
        </w:tc>
        <w:tc>
          <w:tcPr>
            <w:tcW w:w="1183"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4</w:t>
            </w:r>
            <w:r>
              <w:rPr>
                <w:rFonts w:eastAsia="Times New Roman" w:cstheme="minorHAnsi"/>
                <w:color w:val="000000"/>
                <w:sz w:val="24"/>
                <w:szCs w:val="24"/>
              </w:rPr>
              <w:t>,</w:t>
            </w:r>
            <w:r w:rsidRPr="00D2709F">
              <w:rPr>
                <w:rFonts w:eastAsia="Times New Roman" w:cstheme="minorHAnsi"/>
                <w:color w:val="000000"/>
                <w:sz w:val="24"/>
                <w:szCs w:val="24"/>
              </w:rPr>
              <w:t>76</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4</w:t>
            </w:r>
            <w:r>
              <w:rPr>
                <w:rFonts w:eastAsia="Times New Roman" w:cstheme="minorHAnsi"/>
                <w:color w:val="000000"/>
                <w:sz w:val="24"/>
                <w:szCs w:val="24"/>
              </w:rPr>
              <w:t>,</w:t>
            </w:r>
            <w:r w:rsidRPr="00D2709F">
              <w:rPr>
                <w:rFonts w:eastAsia="Times New Roman" w:cstheme="minorHAnsi"/>
                <w:color w:val="000000"/>
                <w:sz w:val="24"/>
                <w:szCs w:val="24"/>
              </w:rPr>
              <w:t>70</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4</w:t>
            </w:r>
            <w:r>
              <w:rPr>
                <w:rFonts w:eastAsia="Times New Roman" w:cstheme="minorHAnsi"/>
                <w:color w:val="000000"/>
                <w:sz w:val="24"/>
                <w:szCs w:val="24"/>
              </w:rPr>
              <w:t>,</w:t>
            </w:r>
            <w:r w:rsidRPr="00D2709F">
              <w:rPr>
                <w:rFonts w:eastAsia="Times New Roman" w:cstheme="minorHAnsi"/>
                <w:color w:val="000000"/>
                <w:sz w:val="24"/>
                <w:szCs w:val="24"/>
              </w:rPr>
              <w:t>20</w:t>
            </w:r>
          </w:p>
        </w:tc>
        <w:tc>
          <w:tcPr>
            <w:tcW w:w="1159" w:type="dxa"/>
            <w:tcBorders>
              <w:top w:val="nil"/>
              <w:left w:val="nil"/>
              <w:bottom w:val="single" w:sz="4" w:space="0" w:color="538ED5"/>
              <w:right w:val="single" w:sz="4" w:space="0" w:color="538ED5"/>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4</w:t>
            </w:r>
            <w:r>
              <w:rPr>
                <w:rFonts w:eastAsia="Times New Roman" w:cstheme="minorHAnsi"/>
                <w:color w:val="000000"/>
                <w:sz w:val="24"/>
                <w:szCs w:val="24"/>
              </w:rPr>
              <w:t>,</w:t>
            </w:r>
            <w:r w:rsidRPr="00D2709F">
              <w:rPr>
                <w:rFonts w:eastAsia="Times New Roman" w:cstheme="minorHAnsi"/>
                <w:color w:val="000000"/>
                <w:sz w:val="24"/>
                <w:szCs w:val="24"/>
              </w:rPr>
              <w:t>54</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auto" w:fill="auto"/>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Covasna</w:t>
            </w:r>
          </w:p>
        </w:tc>
        <w:tc>
          <w:tcPr>
            <w:tcW w:w="1207"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21</w:t>
            </w:r>
            <w:r>
              <w:rPr>
                <w:rFonts w:eastAsia="Times New Roman" w:cstheme="minorHAnsi"/>
                <w:color w:val="000000"/>
                <w:sz w:val="24"/>
                <w:szCs w:val="24"/>
              </w:rPr>
              <w:t>,</w:t>
            </w:r>
            <w:r w:rsidRPr="00D2709F">
              <w:rPr>
                <w:rFonts w:eastAsia="Times New Roman" w:cstheme="minorHAnsi"/>
                <w:color w:val="000000"/>
                <w:sz w:val="24"/>
                <w:szCs w:val="24"/>
              </w:rPr>
              <w:t>81</w:t>
            </w:r>
          </w:p>
        </w:tc>
        <w:tc>
          <w:tcPr>
            <w:tcW w:w="1183"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24</w:t>
            </w:r>
            <w:r>
              <w:rPr>
                <w:rFonts w:eastAsia="Times New Roman" w:cstheme="minorHAnsi"/>
                <w:color w:val="000000"/>
                <w:sz w:val="24"/>
                <w:szCs w:val="24"/>
              </w:rPr>
              <w:t>,</w:t>
            </w:r>
            <w:r w:rsidRPr="00D2709F">
              <w:rPr>
                <w:rFonts w:eastAsia="Times New Roman" w:cstheme="minorHAnsi"/>
                <w:color w:val="000000"/>
                <w:sz w:val="24"/>
                <w:szCs w:val="24"/>
              </w:rPr>
              <w:t>02</w:t>
            </w:r>
          </w:p>
        </w:tc>
        <w:tc>
          <w:tcPr>
            <w:tcW w:w="1159"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22</w:t>
            </w:r>
            <w:r>
              <w:rPr>
                <w:rFonts w:eastAsia="Times New Roman" w:cstheme="minorHAnsi"/>
                <w:color w:val="000000"/>
                <w:sz w:val="24"/>
                <w:szCs w:val="24"/>
              </w:rPr>
              <w:t>,</w:t>
            </w:r>
            <w:r w:rsidRPr="00D2709F">
              <w:rPr>
                <w:rFonts w:eastAsia="Times New Roman" w:cstheme="minorHAnsi"/>
                <w:color w:val="000000"/>
                <w:sz w:val="24"/>
                <w:szCs w:val="24"/>
              </w:rPr>
              <w:t>98</w:t>
            </w:r>
          </w:p>
        </w:tc>
        <w:tc>
          <w:tcPr>
            <w:tcW w:w="1159"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22</w:t>
            </w:r>
            <w:r>
              <w:rPr>
                <w:rFonts w:eastAsia="Times New Roman" w:cstheme="minorHAnsi"/>
                <w:color w:val="000000"/>
                <w:sz w:val="24"/>
                <w:szCs w:val="24"/>
              </w:rPr>
              <w:t>,</w:t>
            </w:r>
            <w:r w:rsidRPr="00D2709F">
              <w:rPr>
                <w:rFonts w:eastAsia="Times New Roman" w:cstheme="minorHAnsi"/>
                <w:color w:val="000000"/>
                <w:sz w:val="24"/>
                <w:szCs w:val="24"/>
              </w:rPr>
              <w:t>90</w:t>
            </w:r>
          </w:p>
        </w:tc>
        <w:tc>
          <w:tcPr>
            <w:tcW w:w="1159" w:type="dxa"/>
            <w:tcBorders>
              <w:top w:val="nil"/>
              <w:left w:val="nil"/>
              <w:bottom w:val="single" w:sz="4" w:space="0" w:color="538ED5"/>
              <w:right w:val="single" w:sz="4" w:space="0" w:color="538ED5"/>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21</w:t>
            </w:r>
            <w:r>
              <w:rPr>
                <w:rFonts w:eastAsia="Times New Roman" w:cstheme="minorHAnsi"/>
                <w:color w:val="000000"/>
                <w:sz w:val="24"/>
                <w:szCs w:val="24"/>
              </w:rPr>
              <w:t>,</w:t>
            </w:r>
            <w:r w:rsidRPr="00D2709F">
              <w:rPr>
                <w:rFonts w:eastAsia="Times New Roman" w:cstheme="minorHAnsi"/>
                <w:color w:val="000000"/>
                <w:sz w:val="24"/>
                <w:szCs w:val="24"/>
              </w:rPr>
              <w:t>37</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000000" w:fill="C5D9F1"/>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Harghita</w:t>
            </w:r>
          </w:p>
        </w:tc>
        <w:tc>
          <w:tcPr>
            <w:tcW w:w="1207"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14</w:t>
            </w:r>
            <w:r>
              <w:rPr>
                <w:rFonts w:eastAsia="Times New Roman" w:cstheme="minorHAnsi"/>
                <w:color w:val="000000"/>
                <w:sz w:val="24"/>
                <w:szCs w:val="24"/>
              </w:rPr>
              <w:t>,</w:t>
            </w:r>
            <w:r w:rsidRPr="00D2709F">
              <w:rPr>
                <w:rFonts w:eastAsia="Times New Roman" w:cstheme="minorHAnsi"/>
                <w:color w:val="000000"/>
                <w:sz w:val="24"/>
                <w:szCs w:val="24"/>
              </w:rPr>
              <w:t>70</w:t>
            </w:r>
          </w:p>
        </w:tc>
        <w:tc>
          <w:tcPr>
            <w:tcW w:w="1183"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15</w:t>
            </w:r>
            <w:r>
              <w:rPr>
                <w:rFonts w:eastAsia="Times New Roman" w:cstheme="minorHAnsi"/>
                <w:color w:val="000000"/>
                <w:sz w:val="24"/>
                <w:szCs w:val="24"/>
              </w:rPr>
              <w:t>,</w:t>
            </w:r>
            <w:r w:rsidRPr="00D2709F">
              <w:rPr>
                <w:rFonts w:eastAsia="Times New Roman" w:cstheme="minorHAnsi"/>
                <w:color w:val="000000"/>
                <w:sz w:val="24"/>
                <w:szCs w:val="24"/>
              </w:rPr>
              <w:t>91</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16</w:t>
            </w:r>
            <w:r>
              <w:rPr>
                <w:rFonts w:eastAsia="Times New Roman" w:cstheme="minorHAnsi"/>
                <w:color w:val="000000"/>
                <w:sz w:val="24"/>
                <w:szCs w:val="24"/>
              </w:rPr>
              <w:t>,</w:t>
            </w:r>
            <w:r w:rsidRPr="00D2709F">
              <w:rPr>
                <w:rFonts w:eastAsia="Times New Roman" w:cstheme="minorHAnsi"/>
                <w:color w:val="000000"/>
                <w:sz w:val="24"/>
                <w:szCs w:val="24"/>
              </w:rPr>
              <w:t>19</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15</w:t>
            </w:r>
            <w:r>
              <w:rPr>
                <w:rFonts w:eastAsia="Times New Roman" w:cstheme="minorHAnsi"/>
                <w:color w:val="000000"/>
                <w:sz w:val="24"/>
                <w:szCs w:val="24"/>
              </w:rPr>
              <w:t>,</w:t>
            </w:r>
            <w:r w:rsidRPr="00D2709F">
              <w:rPr>
                <w:rFonts w:eastAsia="Times New Roman" w:cstheme="minorHAnsi"/>
                <w:color w:val="000000"/>
                <w:sz w:val="24"/>
                <w:szCs w:val="24"/>
              </w:rPr>
              <w:t>32</w:t>
            </w:r>
          </w:p>
        </w:tc>
        <w:tc>
          <w:tcPr>
            <w:tcW w:w="1159" w:type="dxa"/>
            <w:tcBorders>
              <w:top w:val="nil"/>
              <w:left w:val="nil"/>
              <w:bottom w:val="single" w:sz="4" w:space="0" w:color="538ED5"/>
              <w:right w:val="single" w:sz="4" w:space="0" w:color="538ED5"/>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15</w:t>
            </w:r>
            <w:r>
              <w:rPr>
                <w:rFonts w:eastAsia="Times New Roman" w:cstheme="minorHAnsi"/>
                <w:color w:val="000000"/>
                <w:sz w:val="24"/>
                <w:szCs w:val="24"/>
              </w:rPr>
              <w:t>,</w:t>
            </w:r>
            <w:r w:rsidRPr="00D2709F">
              <w:rPr>
                <w:rFonts w:eastAsia="Times New Roman" w:cstheme="minorHAnsi"/>
                <w:color w:val="000000"/>
                <w:sz w:val="24"/>
                <w:szCs w:val="24"/>
              </w:rPr>
              <w:t>18</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auto" w:fill="auto"/>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Mures</w:t>
            </w:r>
          </w:p>
        </w:tc>
        <w:tc>
          <w:tcPr>
            <w:tcW w:w="1207"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11</w:t>
            </w:r>
            <w:r>
              <w:rPr>
                <w:rFonts w:eastAsia="Times New Roman" w:cstheme="minorHAnsi"/>
                <w:color w:val="000000"/>
                <w:sz w:val="24"/>
                <w:szCs w:val="24"/>
              </w:rPr>
              <w:t>,</w:t>
            </w:r>
            <w:r w:rsidRPr="00D2709F">
              <w:rPr>
                <w:rFonts w:eastAsia="Times New Roman" w:cstheme="minorHAnsi"/>
                <w:color w:val="000000"/>
                <w:sz w:val="24"/>
                <w:szCs w:val="24"/>
              </w:rPr>
              <w:t>03</w:t>
            </w:r>
          </w:p>
        </w:tc>
        <w:tc>
          <w:tcPr>
            <w:tcW w:w="1183"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12</w:t>
            </w:r>
            <w:r>
              <w:rPr>
                <w:rFonts w:eastAsia="Times New Roman" w:cstheme="minorHAnsi"/>
                <w:color w:val="000000"/>
                <w:sz w:val="24"/>
                <w:szCs w:val="24"/>
              </w:rPr>
              <w:t>,</w:t>
            </w:r>
            <w:r w:rsidRPr="00D2709F">
              <w:rPr>
                <w:rFonts w:eastAsia="Times New Roman" w:cstheme="minorHAnsi"/>
                <w:color w:val="000000"/>
                <w:sz w:val="24"/>
                <w:szCs w:val="24"/>
              </w:rPr>
              <w:t>20</w:t>
            </w:r>
          </w:p>
        </w:tc>
        <w:tc>
          <w:tcPr>
            <w:tcW w:w="1159"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11</w:t>
            </w:r>
            <w:r>
              <w:rPr>
                <w:rFonts w:eastAsia="Times New Roman" w:cstheme="minorHAnsi"/>
                <w:color w:val="000000"/>
                <w:sz w:val="24"/>
                <w:szCs w:val="24"/>
              </w:rPr>
              <w:t>,</w:t>
            </w:r>
            <w:r w:rsidRPr="00D2709F">
              <w:rPr>
                <w:rFonts w:eastAsia="Times New Roman" w:cstheme="minorHAnsi"/>
                <w:color w:val="000000"/>
                <w:sz w:val="24"/>
                <w:szCs w:val="24"/>
              </w:rPr>
              <w:t>65</w:t>
            </w:r>
          </w:p>
        </w:tc>
        <w:tc>
          <w:tcPr>
            <w:tcW w:w="1159" w:type="dxa"/>
            <w:tcBorders>
              <w:top w:val="nil"/>
              <w:left w:val="nil"/>
              <w:bottom w:val="single" w:sz="4" w:space="0" w:color="538ED5"/>
              <w:right w:val="nil"/>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11</w:t>
            </w:r>
            <w:r>
              <w:rPr>
                <w:rFonts w:eastAsia="Times New Roman" w:cstheme="minorHAnsi"/>
                <w:color w:val="000000"/>
                <w:sz w:val="24"/>
                <w:szCs w:val="24"/>
              </w:rPr>
              <w:t>,</w:t>
            </w:r>
            <w:r w:rsidRPr="00D2709F">
              <w:rPr>
                <w:rFonts w:eastAsia="Times New Roman" w:cstheme="minorHAnsi"/>
                <w:color w:val="000000"/>
                <w:sz w:val="24"/>
                <w:szCs w:val="24"/>
              </w:rPr>
              <w:t>49</w:t>
            </w:r>
          </w:p>
        </w:tc>
        <w:tc>
          <w:tcPr>
            <w:tcW w:w="1159" w:type="dxa"/>
            <w:tcBorders>
              <w:top w:val="nil"/>
              <w:left w:val="nil"/>
              <w:bottom w:val="single" w:sz="4" w:space="0" w:color="538ED5"/>
              <w:right w:val="single" w:sz="4" w:space="0" w:color="538ED5"/>
            </w:tcBorders>
            <w:shd w:val="clear" w:color="auto" w:fill="auto"/>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11</w:t>
            </w:r>
            <w:r>
              <w:rPr>
                <w:rFonts w:eastAsia="Times New Roman" w:cstheme="minorHAnsi"/>
                <w:color w:val="000000"/>
                <w:sz w:val="24"/>
                <w:szCs w:val="24"/>
              </w:rPr>
              <w:t>,</w:t>
            </w:r>
            <w:r w:rsidRPr="00D2709F">
              <w:rPr>
                <w:rFonts w:eastAsia="Times New Roman" w:cstheme="minorHAnsi"/>
                <w:color w:val="000000"/>
                <w:sz w:val="24"/>
                <w:szCs w:val="24"/>
              </w:rPr>
              <w:t>52</w:t>
            </w:r>
          </w:p>
        </w:tc>
      </w:tr>
      <w:tr w:rsidR="00852F75" w:rsidRPr="00D2709F" w:rsidTr="005F5D09">
        <w:trPr>
          <w:trHeight w:val="325"/>
          <w:jc w:val="center"/>
        </w:trPr>
        <w:tc>
          <w:tcPr>
            <w:tcW w:w="1766" w:type="dxa"/>
            <w:tcBorders>
              <w:top w:val="nil"/>
              <w:left w:val="single" w:sz="4" w:space="0" w:color="538ED5"/>
              <w:bottom w:val="single" w:sz="4" w:space="0" w:color="538ED5"/>
              <w:right w:val="nil"/>
            </w:tcBorders>
            <w:shd w:val="clear" w:color="000000" w:fill="C5D9F1"/>
            <w:hideMark/>
          </w:tcPr>
          <w:p w:rsidR="00852F75" w:rsidRPr="00D2709F" w:rsidRDefault="00852F75" w:rsidP="005F5D09">
            <w:pPr>
              <w:contextualSpacing/>
              <w:rPr>
                <w:rFonts w:eastAsia="Times New Roman" w:cstheme="minorHAnsi"/>
                <w:b/>
                <w:bCs/>
                <w:color w:val="000000"/>
                <w:sz w:val="24"/>
                <w:szCs w:val="24"/>
              </w:rPr>
            </w:pPr>
            <w:r w:rsidRPr="00D2709F">
              <w:rPr>
                <w:rFonts w:eastAsia="Times New Roman" w:cstheme="minorHAnsi"/>
                <w:b/>
                <w:bCs/>
                <w:color w:val="000000"/>
                <w:sz w:val="24"/>
                <w:szCs w:val="24"/>
              </w:rPr>
              <w:t>Sibiu</w:t>
            </w:r>
          </w:p>
        </w:tc>
        <w:tc>
          <w:tcPr>
            <w:tcW w:w="1207"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10</w:t>
            </w:r>
            <w:r>
              <w:rPr>
                <w:rFonts w:eastAsia="Times New Roman" w:cstheme="minorHAnsi"/>
                <w:color w:val="000000"/>
                <w:sz w:val="24"/>
                <w:szCs w:val="24"/>
              </w:rPr>
              <w:t>,</w:t>
            </w:r>
            <w:r w:rsidRPr="00D2709F">
              <w:rPr>
                <w:rFonts w:eastAsia="Times New Roman" w:cstheme="minorHAnsi"/>
                <w:color w:val="000000"/>
                <w:sz w:val="24"/>
                <w:szCs w:val="24"/>
              </w:rPr>
              <w:t>83</w:t>
            </w:r>
          </w:p>
        </w:tc>
        <w:tc>
          <w:tcPr>
            <w:tcW w:w="1183"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80</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75</w:t>
            </w:r>
          </w:p>
        </w:tc>
        <w:tc>
          <w:tcPr>
            <w:tcW w:w="1159" w:type="dxa"/>
            <w:tcBorders>
              <w:top w:val="nil"/>
              <w:left w:val="nil"/>
              <w:bottom w:val="single" w:sz="4" w:space="0" w:color="538ED5"/>
              <w:right w:val="nil"/>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69</w:t>
            </w:r>
          </w:p>
        </w:tc>
        <w:tc>
          <w:tcPr>
            <w:tcW w:w="1159" w:type="dxa"/>
            <w:tcBorders>
              <w:top w:val="nil"/>
              <w:left w:val="nil"/>
              <w:bottom w:val="single" w:sz="4" w:space="0" w:color="538ED5"/>
              <w:right w:val="single" w:sz="4" w:space="0" w:color="538ED5"/>
            </w:tcBorders>
            <w:shd w:val="clear" w:color="000000" w:fill="C5D9F1"/>
            <w:noWrap/>
            <w:vAlign w:val="bottom"/>
            <w:hideMark/>
          </w:tcPr>
          <w:p w:rsidR="00852F75" w:rsidRPr="00D2709F" w:rsidRDefault="00852F75" w:rsidP="005F5D09">
            <w:pPr>
              <w:contextualSpacing/>
              <w:jc w:val="right"/>
              <w:rPr>
                <w:rFonts w:eastAsia="Times New Roman" w:cstheme="minorHAnsi"/>
                <w:color w:val="000000"/>
                <w:sz w:val="24"/>
                <w:szCs w:val="24"/>
              </w:rPr>
            </w:pPr>
            <w:r w:rsidRPr="00D2709F">
              <w:rPr>
                <w:rFonts w:eastAsia="Times New Roman" w:cstheme="minorHAnsi"/>
                <w:color w:val="000000"/>
                <w:sz w:val="24"/>
                <w:szCs w:val="24"/>
              </w:rPr>
              <w:t>9</w:t>
            </w:r>
            <w:r>
              <w:rPr>
                <w:rFonts w:eastAsia="Times New Roman" w:cstheme="minorHAnsi"/>
                <w:color w:val="000000"/>
                <w:sz w:val="24"/>
                <w:szCs w:val="24"/>
              </w:rPr>
              <w:t>,</w:t>
            </w:r>
            <w:r w:rsidRPr="00D2709F">
              <w:rPr>
                <w:rFonts w:eastAsia="Times New Roman" w:cstheme="minorHAnsi"/>
                <w:color w:val="000000"/>
                <w:sz w:val="24"/>
                <w:szCs w:val="24"/>
              </w:rPr>
              <w:t>38</w:t>
            </w:r>
          </w:p>
        </w:tc>
      </w:tr>
    </w:tbl>
    <w:p w:rsidR="00852F75" w:rsidRPr="008906DA" w:rsidRDefault="00852F75" w:rsidP="00852F75">
      <w:pPr>
        <w:ind w:firstLine="706"/>
        <w:contextualSpacing/>
        <w:rPr>
          <w:b/>
          <w:sz w:val="24"/>
          <w:szCs w:val="24"/>
        </w:rPr>
      </w:pPr>
      <w:r w:rsidRPr="00833466">
        <w:rPr>
          <w:b/>
        </w:rPr>
        <w:t>Sursa:</w:t>
      </w:r>
      <w:r w:rsidRPr="00833466">
        <w:t xml:space="preserve"> Institutul Național de Statistică</w:t>
      </w:r>
    </w:p>
    <w:p w:rsidR="00852F75" w:rsidRDefault="00852F75" w:rsidP="00852F75">
      <w:pPr>
        <w:contextualSpacing/>
        <w:jc w:val="both"/>
        <w:rPr>
          <w:sz w:val="24"/>
          <w:szCs w:val="24"/>
        </w:rPr>
      </w:pPr>
    </w:p>
    <w:p w:rsidR="00852F75" w:rsidRDefault="00852F75" w:rsidP="00852F75">
      <w:pPr>
        <w:contextualSpacing/>
        <w:jc w:val="both"/>
        <w:rPr>
          <w:sz w:val="24"/>
          <w:szCs w:val="24"/>
        </w:rPr>
      </w:pPr>
      <w:r w:rsidRPr="001B3980">
        <w:rPr>
          <w:sz w:val="24"/>
          <w:szCs w:val="24"/>
        </w:rPr>
        <w:t>Dacă ne raportăm la numărul total de angajați, ponderea industriei textile și de confecț</w:t>
      </w:r>
      <w:r>
        <w:rPr>
          <w:sz w:val="24"/>
          <w:szCs w:val="24"/>
        </w:rPr>
        <w:t>ii la nivel regional era în 2014</w:t>
      </w:r>
      <w:r w:rsidRPr="001B3980">
        <w:rPr>
          <w:sz w:val="24"/>
          <w:szCs w:val="24"/>
        </w:rPr>
        <w:t xml:space="preserve"> de 4,4%, ponderea la nivel național fiind de 3,9%. Importanța </w:t>
      </w:r>
      <w:r w:rsidRPr="001B3980">
        <w:rPr>
          <w:sz w:val="24"/>
          <w:szCs w:val="24"/>
        </w:rPr>
        <w:lastRenderedPageBreak/>
        <w:t xml:space="preserve">industriei textile pentru județul Covasna este clar evidențiată prin procentajul ridicat al  angajaților din industria textilă (10,7% din numărul total angajaților din județ). </w:t>
      </w:r>
    </w:p>
    <w:p w:rsidR="00852F75" w:rsidRPr="001B3980" w:rsidRDefault="00852F75" w:rsidP="00852F75">
      <w:pPr>
        <w:contextualSpacing/>
        <w:jc w:val="both"/>
        <w:rPr>
          <w:sz w:val="24"/>
          <w:szCs w:val="24"/>
        </w:rPr>
      </w:pPr>
    </w:p>
    <w:p w:rsidR="00852F75" w:rsidRPr="00C96721" w:rsidRDefault="00852F75" w:rsidP="00852F75">
      <w:pPr>
        <w:contextualSpacing/>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Tab. 7  </w:t>
      </w:r>
      <w:r w:rsidRPr="00C96721">
        <w:rPr>
          <w:rFonts w:ascii="Calibri" w:eastAsia="Times New Roman" w:hAnsi="Calibri" w:cs="Calibri"/>
          <w:b/>
          <w:color w:val="000000"/>
          <w:sz w:val="24"/>
          <w:szCs w:val="24"/>
        </w:rPr>
        <w:t>Ponderea salariaţilor din industria textilă si a confec</w:t>
      </w:r>
      <w:r>
        <w:rPr>
          <w:rFonts w:ascii="Calibri" w:eastAsia="Times New Roman" w:hAnsi="Calibri" w:cs="Calibri"/>
          <w:b/>
          <w:color w:val="000000"/>
          <w:sz w:val="24"/>
          <w:szCs w:val="24"/>
        </w:rPr>
        <w:t>ț</w:t>
      </w:r>
      <w:r w:rsidRPr="00C96721">
        <w:rPr>
          <w:rFonts w:ascii="Calibri" w:eastAsia="Times New Roman" w:hAnsi="Calibri" w:cs="Calibri"/>
          <w:b/>
          <w:color w:val="000000"/>
          <w:sz w:val="24"/>
          <w:szCs w:val="24"/>
        </w:rPr>
        <w:t>iilor în totalul salariaţilor</w:t>
      </w:r>
    </w:p>
    <w:p w:rsidR="00852F75" w:rsidRPr="00DE225E" w:rsidRDefault="00852F75" w:rsidP="00852F75">
      <w:pPr>
        <w:contextualSpacing/>
        <w:jc w:val="center"/>
        <w:rPr>
          <w:rFonts w:ascii="Calibri" w:eastAsia="Times New Roman" w:hAnsi="Calibri" w:cs="Calibri"/>
          <w:b/>
          <w:color w:val="000000"/>
        </w:rPr>
      </w:pPr>
      <w:r w:rsidRPr="00DE225E">
        <w:rPr>
          <w:b/>
        </w:rPr>
        <w:t xml:space="preserve">                                                                                                     -%-</w:t>
      </w:r>
    </w:p>
    <w:tbl>
      <w:tblPr>
        <w:tblW w:w="7586" w:type="dxa"/>
        <w:jc w:val="center"/>
        <w:tblInd w:w="-852" w:type="dxa"/>
        <w:tblLook w:val="04A0"/>
      </w:tblPr>
      <w:tblGrid>
        <w:gridCol w:w="2496"/>
        <w:gridCol w:w="1018"/>
        <w:gridCol w:w="1018"/>
        <w:gridCol w:w="1018"/>
        <w:gridCol w:w="1018"/>
        <w:gridCol w:w="1018"/>
      </w:tblGrid>
      <w:tr w:rsidR="00852F75" w:rsidRPr="00A170B0" w:rsidTr="005F5D09">
        <w:trPr>
          <w:trHeight w:val="645"/>
          <w:jc w:val="center"/>
        </w:trPr>
        <w:tc>
          <w:tcPr>
            <w:tcW w:w="2496" w:type="dxa"/>
            <w:tcBorders>
              <w:top w:val="single" w:sz="8" w:space="0" w:color="538ED5"/>
              <w:left w:val="single" w:sz="8" w:space="0" w:color="538ED5"/>
              <w:bottom w:val="single" w:sz="8" w:space="0" w:color="538ED5"/>
              <w:right w:val="nil"/>
            </w:tcBorders>
            <w:shd w:val="clear" w:color="000000" w:fill="8DB4E3"/>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p>
        </w:tc>
        <w:tc>
          <w:tcPr>
            <w:tcW w:w="1018" w:type="dxa"/>
            <w:tcBorders>
              <w:top w:val="single" w:sz="8" w:space="0" w:color="538ED5"/>
              <w:left w:val="nil"/>
              <w:bottom w:val="single" w:sz="8" w:space="0" w:color="538ED5"/>
              <w:right w:val="nil"/>
            </w:tcBorders>
            <w:shd w:val="clear" w:color="000000" w:fill="8DB4E3"/>
            <w:noWrap/>
            <w:vAlign w:val="bottom"/>
            <w:hideMark/>
          </w:tcPr>
          <w:p w:rsidR="00852F75" w:rsidRPr="00A170B0" w:rsidRDefault="00852F75" w:rsidP="005F5D09">
            <w:pPr>
              <w:contextualSpacing/>
              <w:jc w:val="center"/>
              <w:rPr>
                <w:rFonts w:ascii="Calibri" w:eastAsia="Times New Roman" w:hAnsi="Calibri" w:cs="Calibri"/>
                <w:b/>
                <w:color w:val="000000"/>
                <w:sz w:val="24"/>
                <w:szCs w:val="24"/>
              </w:rPr>
            </w:pPr>
            <w:r w:rsidRPr="00A170B0">
              <w:rPr>
                <w:rFonts w:ascii="Calibri" w:eastAsia="Times New Roman" w:hAnsi="Calibri" w:cs="Calibri"/>
                <w:b/>
                <w:color w:val="000000"/>
                <w:sz w:val="24"/>
                <w:szCs w:val="24"/>
              </w:rPr>
              <w:t>2010</w:t>
            </w:r>
          </w:p>
        </w:tc>
        <w:tc>
          <w:tcPr>
            <w:tcW w:w="1018" w:type="dxa"/>
            <w:tcBorders>
              <w:top w:val="single" w:sz="8" w:space="0" w:color="538ED5"/>
              <w:left w:val="nil"/>
              <w:bottom w:val="single" w:sz="8" w:space="0" w:color="538ED5"/>
              <w:right w:val="nil"/>
            </w:tcBorders>
            <w:shd w:val="clear" w:color="000000" w:fill="8DB4E3"/>
            <w:noWrap/>
            <w:vAlign w:val="bottom"/>
            <w:hideMark/>
          </w:tcPr>
          <w:p w:rsidR="00852F75" w:rsidRPr="00A170B0" w:rsidRDefault="00852F75" w:rsidP="005F5D09">
            <w:pPr>
              <w:contextualSpacing/>
              <w:jc w:val="center"/>
              <w:rPr>
                <w:rFonts w:ascii="Calibri" w:eastAsia="Times New Roman" w:hAnsi="Calibri" w:cs="Calibri"/>
                <w:b/>
                <w:color w:val="000000"/>
                <w:sz w:val="24"/>
                <w:szCs w:val="24"/>
              </w:rPr>
            </w:pPr>
            <w:r w:rsidRPr="00A170B0">
              <w:rPr>
                <w:rFonts w:ascii="Calibri" w:eastAsia="Times New Roman" w:hAnsi="Calibri" w:cs="Calibri"/>
                <w:b/>
                <w:color w:val="000000"/>
                <w:sz w:val="24"/>
                <w:szCs w:val="24"/>
              </w:rPr>
              <w:t>2011</w:t>
            </w:r>
          </w:p>
        </w:tc>
        <w:tc>
          <w:tcPr>
            <w:tcW w:w="1018" w:type="dxa"/>
            <w:tcBorders>
              <w:top w:val="single" w:sz="8" w:space="0" w:color="538ED5"/>
              <w:left w:val="nil"/>
              <w:bottom w:val="single" w:sz="8" w:space="0" w:color="538ED5"/>
              <w:right w:val="nil"/>
            </w:tcBorders>
            <w:shd w:val="clear" w:color="000000" w:fill="8DB4E3"/>
            <w:noWrap/>
            <w:vAlign w:val="bottom"/>
            <w:hideMark/>
          </w:tcPr>
          <w:p w:rsidR="00852F75" w:rsidRPr="00A170B0" w:rsidRDefault="00852F75" w:rsidP="005F5D09">
            <w:pPr>
              <w:contextualSpacing/>
              <w:jc w:val="center"/>
              <w:rPr>
                <w:rFonts w:ascii="Calibri" w:eastAsia="Times New Roman" w:hAnsi="Calibri" w:cs="Calibri"/>
                <w:b/>
                <w:color w:val="000000"/>
                <w:sz w:val="24"/>
                <w:szCs w:val="24"/>
              </w:rPr>
            </w:pPr>
            <w:r w:rsidRPr="00A170B0">
              <w:rPr>
                <w:rFonts w:ascii="Calibri" w:eastAsia="Times New Roman" w:hAnsi="Calibri" w:cs="Calibri"/>
                <w:b/>
                <w:color w:val="000000"/>
                <w:sz w:val="24"/>
                <w:szCs w:val="24"/>
              </w:rPr>
              <w:t>2012</w:t>
            </w:r>
          </w:p>
        </w:tc>
        <w:tc>
          <w:tcPr>
            <w:tcW w:w="1018" w:type="dxa"/>
            <w:tcBorders>
              <w:top w:val="single" w:sz="8" w:space="0" w:color="538ED5"/>
              <w:left w:val="nil"/>
              <w:bottom w:val="single" w:sz="8" w:space="0" w:color="538ED5"/>
              <w:right w:val="nil"/>
            </w:tcBorders>
            <w:shd w:val="clear" w:color="000000" w:fill="8DB4E3"/>
            <w:noWrap/>
            <w:vAlign w:val="bottom"/>
            <w:hideMark/>
          </w:tcPr>
          <w:p w:rsidR="00852F75" w:rsidRPr="00A170B0" w:rsidRDefault="00852F75" w:rsidP="005F5D09">
            <w:pPr>
              <w:contextualSpacing/>
              <w:jc w:val="center"/>
              <w:rPr>
                <w:rFonts w:ascii="Calibri" w:eastAsia="Times New Roman" w:hAnsi="Calibri" w:cs="Calibri"/>
                <w:b/>
                <w:color w:val="000000"/>
                <w:sz w:val="24"/>
                <w:szCs w:val="24"/>
              </w:rPr>
            </w:pPr>
            <w:r w:rsidRPr="00A170B0">
              <w:rPr>
                <w:rFonts w:ascii="Calibri" w:eastAsia="Times New Roman" w:hAnsi="Calibri" w:cs="Calibri"/>
                <w:b/>
                <w:color w:val="000000"/>
                <w:sz w:val="24"/>
                <w:szCs w:val="24"/>
              </w:rPr>
              <w:t>2013</w:t>
            </w:r>
          </w:p>
        </w:tc>
        <w:tc>
          <w:tcPr>
            <w:tcW w:w="1018" w:type="dxa"/>
            <w:tcBorders>
              <w:top w:val="single" w:sz="8" w:space="0" w:color="538ED5"/>
              <w:left w:val="nil"/>
              <w:bottom w:val="single" w:sz="8" w:space="0" w:color="538ED5"/>
              <w:right w:val="single" w:sz="8" w:space="0" w:color="538ED5"/>
            </w:tcBorders>
            <w:shd w:val="clear" w:color="000000" w:fill="8DB4E3"/>
            <w:noWrap/>
            <w:vAlign w:val="bottom"/>
            <w:hideMark/>
          </w:tcPr>
          <w:p w:rsidR="00852F75" w:rsidRPr="00A170B0" w:rsidRDefault="00852F75" w:rsidP="005F5D09">
            <w:pPr>
              <w:contextualSpacing/>
              <w:jc w:val="center"/>
              <w:rPr>
                <w:rFonts w:ascii="Calibri" w:eastAsia="Times New Roman" w:hAnsi="Calibri" w:cs="Calibri"/>
                <w:b/>
                <w:color w:val="000000"/>
                <w:sz w:val="24"/>
                <w:szCs w:val="24"/>
              </w:rPr>
            </w:pPr>
            <w:r w:rsidRPr="00A170B0">
              <w:rPr>
                <w:rFonts w:ascii="Calibri" w:eastAsia="Times New Roman" w:hAnsi="Calibri" w:cs="Calibri"/>
                <w:b/>
                <w:color w:val="000000"/>
                <w:sz w:val="24"/>
                <w:szCs w:val="24"/>
              </w:rPr>
              <w:t>2014</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000000" w:fill="C5D9F1"/>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Romania</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3</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7</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0</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3</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9</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3</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9</w:t>
            </w:r>
          </w:p>
        </w:tc>
        <w:tc>
          <w:tcPr>
            <w:tcW w:w="1018" w:type="dxa"/>
            <w:tcBorders>
              <w:top w:val="nil"/>
              <w:left w:val="nil"/>
              <w:bottom w:val="single" w:sz="8" w:space="0" w:color="538ED5"/>
              <w:right w:val="single" w:sz="8" w:space="0" w:color="538ED5"/>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3</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9</w:t>
            </w:r>
          </w:p>
        </w:tc>
      </w:tr>
      <w:tr w:rsidR="00852F75" w:rsidRPr="00A170B0" w:rsidTr="005F5D09">
        <w:trPr>
          <w:trHeight w:val="353"/>
          <w:jc w:val="center"/>
        </w:trPr>
        <w:tc>
          <w:tcPr>
            <w:tcW w:w="2496" w:type="dxa"/>
            <w:tcBorders>
              <w:top w:val="nil"/>
              <w:left w:val="single" w:sz="8" w:space="0" w:color="538ED5"/>
              <w:bottom w:val="single" w:sz="8" w:space="0" w:color="538ED5"/>
              <w:right w:val="nil"/>
            </w:tcBorders>
            <w:shd w:val="clear" w:color="auto" w:fill="auto"/>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Reg.</w:t>
            </w:r>
            <w:r>
              <w:rPr>
                <w:rFonts w:ascii="Calibri" w:eastAsia="Times New Roman" w:hAnsi="Calibri" w:cs="Calibri"/>
                <w:b/>
                <w:bCs/>
                <w:color w:val="000000"/>
                <w:sz w:val="24"/>
                <w:szCs w:val="24"/>
              </w:rPr>
              <w:t xml:space="preserve"> </w:t>
            </w:r>
            <w:r w:rsidRPr="00A170B0">
              <w:rPr>
                <w:rFonts w:ascii="Calibri" w:eastAsia="Times New Roman" w:hAnsi="Calibri" w:cs="Calibri"/>
                <w:b/>
                <w:bCs/>
                <w:color w:val="000000"/>
                <w:sz w:val="24"/>
                <w:szCs w:val="24"/>
              </w:rPr>
              <w:t>CENTRU</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8</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5</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0</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8</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6</w:t>
            </w:r>
          </w:p>
        </w:tc>
        <w:tc>
          <w:tcPr>
            <w:tcW w:w="1018" w:type="dxa"/>
            <w:tcBorders>
              <w:top w:val="nil"/>
              <w:left w:val="nil"/>
              <w:bottom w:val="single" w:sz="8" w:space="0" w:color="538ED5"/>
              <w:right w:val="single" w:sz="8" w:space="0" w:color="538ED5"/>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4</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000000" w:fill="C5D9F1"/>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Alba</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5</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4</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5</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5</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5</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2</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9</w:t>
            </w:r>
          </w:p>
        </w:tc>
        <w:tc>
          <w:tcPr>
            <w:tcW w:w="1018" w:type="dxa"/>
            <w:tcBorders>
              <w:top w:val="nil"/>
              <w:left w:val="nil"/>
              <w:bottom w:val="single" w:sz="8" w:space="0" w:color="538ED5"/>
              <w:right w:val="single" w:sz="8" w:space="0" w:color="538ED5"/>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2</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auto" w:fill="auto"/>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Brasov</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7</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8</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8</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7</w:t>
            </w:r>
          </w:p>
        </w:tc>
        <w:tc>
          <w:tcPr>
            <w:tcW w:w="1018" w:type="dxa"/>
            <w:tcBorders>
              <w:top w:val="nil"/>
              <w:left w:val="nil"/>
              <w:bottom w:val="single" w:sz="8" w:space="0" w:color="538ED5"/>
              <w:right w:val="single" w:sz="8" w:space="0" w:color="538ED5"/>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7</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000000" w:fill="C5D9F1"/>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Covasna</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1</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12</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0</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1</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11</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1</w:t>
            </w:r>
          </w:p>
        </w:tc>
        <w:tc>
          <w:tcPr>
            <w:tcW w:w="1018" w:type="dxa"/>
            <w:tcBorders>
              <w:top w:val="nil"/>
              <w:left w:val="nil"/>
              <w:bottom w:val="single" w:sz="8" w:space="0" w:color="538ED5"/>
              <w:right w:val="single" w:sz="8" w:space="0" w:color="538ED5"/>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10</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7</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auto" w:fill="auto"/>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Harghita</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3</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9</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7</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3</w:t>
            </w:r>
          </w:p>
        </w:tc>
        <w:tc>
          <w:tcPr>
            <w:tcW w:w="1018" w:type="dxa"/>
            <w:tcBorders>
              <w:top w:val="nil"/>
              <w:left w:val="nil"/>
              <w:bottom w:val="single" w:sz="8" w:space="0" w:color="538ED5"/>
              <w:right w:val="single" w:sz="8" w:space="0" w:color="538ED5"/>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3</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000000" w:fill="C5D9F1"/>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Mures</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6</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5</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1</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9</w:t>
            </w:r>
          </w:p>
        </w:tc>
        <w:tc>
          <w:tcPr>
            <w:tcW w:w="1018" w:type="dxa"/>
            <w:tcBorders>
              <w:top w:val="nil"/>
              <w:left w:val="nil"/>
              <w:bottom w:val="single" w:sz="8" w:space="0" w:color="538ED5"/>
              <w:right w:val="nil"/>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8</w:t>
            </w:r>
          </w:p>
        </w:tc>
        <w:tc>
          <w:tcPr>
            <w:tcW w:w="1018" w:type="dxa"/>
            <w:tcBorders>
              <w:top w:val="nil"/>
              <w:left w:val="nil"/>
              <w:bottom w:val="single" w:sz="8" w:space="0" w:color="538ED5"/>
              <w:right w:val="single" w:sz="8" w:space="0" w:color="538ED5"/>
            </w:tcBorders>
            <w:shd w:val="clear" w:color="000000" w:fill="C5D9F1"/>
            <w:noWrap/>
            <w:vAlign w:val="bottom"/>
            <w:hideMark/>
          </w:tcPr>
          <w:p w:rsidR="00852F75" w:rsidRPr="00A170B0" w:rsidRDefault="00852F75" w:rsidP="005F5D09">
            <w:pPr>
              <w:contextualSpacing/>
              <w:jc w:val="center"/>
              <w:rPr>
                <w:rFonts w:ascii="Calibri" w:eastAsia="Times New Roman" w:hAnsi="Calibri" w:cs="Calibri"/>
                <w:color w:val="000000"/>
                <w:sz w:val="24"/>
                <w:szCs w:val="24"/>
              </w:rPr>
            </w:pPr>
            <w:r w:rsidRPr="00A170B0">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A170B0">
              <w:rPr>
                <w:rFonts w:ascii="Calibri" w:eastAsia="Times New Roman" w:hAnsi="Calibri" w:cs="Calibri"/>
                <w:color w:val="000000"/>
                <w:sz w:val="24"/>
                <w:szCs w:val="24"/>
              </w:rPr>
              <w:t>6</w:t>
            </w:r>
          </w:p>
        </w:tc>
      </w:tr>
      <w:tr w:rsidR="00852F75" w:rsidRPr="00A170B0" w:rsidTr="005F5D09">
        <w:trPr>
          <w:trHeight w:val="331"/>
          <w:jc w:val="center"/>
        </w:trPr>
        <w:tc>
          <w:tcPr>
            <w:tcW w:w="2496" w:type="dxa"/>
            <w:tcBorders>
              <w:top w:val="nil"/>
              <w:left w:val="single" w:sz="8" w:space="0" w:color="538ED5"/>
              <w:bottom w:val="single" w:sz="8" w:space="0" w:color="538ED5"/>
              <w:right w:val="nil"/>
            </w:tcBorders>
            <w:shd w:val="clear" w:color="auto" w:fill="auto"/>
            <w:vAlign w:val="center"/>
            <w:hideMark/>
          </w:tcPr>
          <w:p w:rsidR="00852F75" w:rsidRPr="00A170B0" w:rsidRDefault="00852F75" w:rsidP="005F5D09">
            <w:pPr>
              <w:contextualSpacing/>
              <w:rPr>
                <w:rFonts w:ascii="Calibri" w:eastAsia="Times New Roman" w:hAnsi="Calibri" w:cs="Calibri"/>
                <w:b/>
                <w:bCs/>
                <w:color w:val="000000"/>
                <w:sz w:val="24"/>
                <w:szCs w:val="24"/>
              </w:rPr>
            </w:pPr>
            <w:r w:rsidRPr="00A170B0">
              <w:rPr>
                <w:rFonts w:ascii="Calibri" w:eastAsia="Times New Roman" w:hAnsi="Calibri" w:cs="Calibri"/>
                <w:b/>
                <w:bCs/>
                <w:color w:val="000000"/>
                <w:sz w:val="24"/>
                <w:szCs w:val="24"/>
              </w:rPr>
              <w:t>Sibiu</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rPr>
            </w:pPr>
            <w:r w:rsidRPr="00A170B0">
              <w:rPr>
                <w:rFonts w:ascii="Calibri" w:eastAsia="Times New Roman" w:hAnsi="Calibri" w:cs="Calibri"/>
                <w:color w:val="000000"/>
              </w:rPr>
              <w:t>4</w:t>
            </w:r>
            <w:r>
              <w:rPr>
                <w:rFonts w:ascii="Calibri" w:eastAsia="Times New Roman" w:hAnsi="Calibri" w:cs="Calibri"/>
                <w:color w:val="000000"/>
              </w:rPr>
              <w:t>,</w:t>
            </w:r>
            <w:r w:rsidRPr="00A170B0">
              <w:rPr>
                <w:rFonts w:ascii="Calibri" w:eastAsia="Times New Roman" w:hAnsi="Calibri" w:cs="Calibri"/>
                <w:color w:val="000000"/>
              </w:rPr>
              <w:t>8</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rPr>
            </w:pPr>
            <w:r w:rsidRPr="00A170B0">
              <w:rPr>
                <w:rFonts w:ascii="Calibri" w:eastAsia="Times New Roman" w:hAnsi="Calibri" w:cs="Calibri"/>
                <w:color w:val="000000"/>
              </w:rPr>
              <w:t>4</w:t>
            </w:r>
            <w:r>
              <w:rPr>
                <w:rFonts w:ascii="Calibri" w:eastAsia="Times New Roman" w:hAnsi="Calibri" w:cs="Calibri"/>
                <w:color w:val="000000"/>
              </w:rPr>
              <w:t>,</w:t>
            </w:r>
            <w:r w:rsidRPr="00A170B0">
              <w:rPr>
                <w:rFonts w:ascii="Calibri" w:eastAsia="Times New Roman" w:hAnsi="Calibri" w:cs="Calibri"/>
                <w:color w:val="000000"/>
              </w:rPr>
              <w:t>4</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rPr>
            </w:pPr>
            <w:r w:rsidRPr="00A170B0">
              <w:rPr>
                <w:rFonts w:ascii="Calibri" w:eastAsia="Times New Roman" w:hAnsi="Calibri" w:cs="Calibri"/>
                <w:color w:val="000000"/>
              </w:rPr>
              <w:t>4</w:t>
            </w:r>
            <w:r>
              <w:rPr>
                <w:rFonts w:ascii="Calibri" w:eastAsia="Times New Roman" w:hAnsi="Calibri" w:cs="Calibri"/>
                <w:color w:val="000000"/>
              </w:rPr>
              <w:t>,</w:t>
            </w:r>
            <w:r w:rsidRPr="00A170B0">
              <w:rPr>
                <w:rFonts w:ascii="Calibri" w:eastAsia="Times New Roman" w:hAnsi="Calibri" w:cs="Calibri"/>
                <w:color w:val="000000"/>
              </w:rPr>
              <w:t>3</w:t>
            </w:r>
          </w:p>
        </w:tc>
        <w:tc>
          <w:tcPr>
            <w:tcW w:w="1018" w:type="dxa"/>
            <w:tcBorders>
              <w:top w:val="nil"/>
              <w:left w:val="nil"/>
              <w:bottom w:val="single" w:sz="8" w:space="0" w:color="538ED5"/>
              <w:right w:val="nil"/>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rPr>
            </w:pPr>
            <w:r w:rsidRPr="00A170B0">
              <w:rPr>
                <w:rFonts w:ascii="Calibri" w:eastAsia="Times New Roman" w:hAnsi="Calibri" w:cs="Calibri"/>
                <w:color w:val="000000"/>
              </w:rPr>
              <w:t>4</w:t>
            </w:r>
            <w:r>
              <w:rPr>
                <w:rFonts w:ascii="Calibri" w:eastAsia="Times New Roman" w:hAnsi="Calibri" w:cs="Calibri"/>
                <w:color w:val="000000"/>
              </w:rPr>
              <w:t>,</w:t>
            </w:r>
            <w:r w:rsidRPr="00A170B0">
              <w:rPr>
                <w:rFonts w:ascii="Calibri" w:eastAsia="Times New Roman" w:hAnsi="Calibri" w:cs="Calibri"/>
                <w:color w:val="000000"/>
              </w:rPr>
              <w:t>4</w:t>
            </w:r>
          </w:p>
        </w:tc>
        <w:tc>
          <w:tcPr>
            <w:tcW w:w="1018" w:type="dxa"/>
            <w:tcBorders>
              <w:top w:val="nil"/>
              <w:left w:val="nil"/>
              <w:bottom w:val="single" w:sz="8" w:space="0" w:color="538ED5"/>
              <w:right w:val="single" w:sz="8" w:space="0" w:color="538ED5"/>
            </w:tcBorders>
            <w:shd w:val="clear" w:color="auto" w:fill="auto"/>
            <w:noWrap/>
            <w:vAlign w:val="bottom"/>
            <w:hideMark/>
          </w:tcPr>
          <w:p w:rsidR="00852F75" w:rsidRPr="00A170B0" w:rsidRDefault="00852F75" w:rsidP="005F5D09">
            <w:pPr>
              <w:contextualSpacing/>
              <w:jc w:val="center"/>
              <w:rPr>
                <w:rFonts w:ascii="Calibri" w:eastAsia="Times New Roman" w:hAnsi="Calibri" w:cs="Calibri"/>
                <w:color w:val="000000"/>
              </w:rPr>
            </w:pPr>
            <w:r w:rsidRPr="00A170B0">
              <w:rPr>
                <w:rFonts w:ascii="Calibri" w:eastAsia="Times New Roman" w:hAnsi="Calibri" w:cs="Calibri"/>
                <w:color w:val="000000"/>
              </w:rPr>
              <w:t>4</w:t>
            </w:r>
            <w:r>
              <w:rPr>
                <w:rFonts w:ascii="Calibri" w:eastAsia="Times New Roman" w:hAnsi="Calibri" w:cs="Calibri"/>
                <w:color w:val="000000"/>
              </w:rPr>
              <w:t>,</w:t>
            </w:r>
            <w:r w:rsidRPr="00A170B0">
              <w:rPr>
                <w:rFonts w:ascii="Calibri" w:eastAsia="Times New Roman" w:hAnsi="Calibri" w:cs="Calibri"/>
                <w:color w:val="000000"/>
              </w:rPr>
              <w:t>1</w:t>
            </w:r>
          </w:p>
        </w:tc>
      </w:tr>
    </w:tbl>
    <w:p w:rsidR="00852F75" w:rsidRDefault="00852F75" w:rsidP="00852F75">
      <w:pPr>
        <w:ind w:left="706" w:firstLine="706"/>
        <w:contextualSpacing/>
      </w:pPr>
      <w:r w:rsidRPr="00833466">
        <w:rPr>
          <w:b/>
        </w:rPr>
        <w:t>Sursa:</w:t>
      </w:r>
      <w:r w:rsidRPr="00833466">
        <w:t xml:space="preserve"> Institutul Național de Statistică</w:t>
      </w:r>
    </w:p>
    <w:p w:rsidR="00852F75" w:rsidRPr="00AF4C8A" w:rsidRDefault="00852F75" w:rsidP="00852F75">
      <w:pPr>
        <w:ind w:left="706" w:firstLine="706"/>
        <w:contextualSpacing/>
        <w:rPr>
          <w:b/>
          <w:sz w:val="24"/>
          <w:szCs w:val="24"/>
        </w:rPr>
      </w:pPr>
    </w:p>
    <w:p w:rsidR="00852F75" w:rsidRPr="00AC3FBD" w:rsidRDefault="00852F75" w:rsidP="00852F75">
      <w:pPr>
        <w:pStyle w:val="Titlu3"/>
      </w:pPr>
      <w:r w:rsidRPr="00AC3FBD">
        <w:t xml:space="preserve">Indicele de specializare sectorială a forței de muncă </w:t>
      </w:r>
    </w:p>
    <w:p w:rsidR="00852F75" w:rsidRDefault="00852F75" w:rsidP="00852F75">
      <w:pPr>
        <w:spacing w:before="240"/>
        <w:contextualSpacing/>
        <w:jc w:val="both"/>
        <w:rPr>
          <w:sz w:val="24"/>
          <w:szCs w:val="24"/>
        </w:rPr>
      </w:pPr>
    </w:p>
    <w:p w:rsidR="00852F75" w:rsidRDefault="00852F75" w:rsidP="00852F75">
      <w:pPr>
        <w:spacing w:before="240"/>
        <w:contextualSpacing/>
        <w:jc w:val="both"/>
        <w:rPr>
          <w:sz w:val="24"/>
          <w:szCs w:val="24"/>
        </w:rPr>
      </w:pPr>
      <w:r w:rsidRPr="00F66F7C">
        <w:rPr>
          <w:sz w:val="24"/>
          <w:szCs w:val="24"/>
        </w:rPr>
        <w:t xml:space="preserve">Nivelul de specializare al unei regiuni în termenii forţei de muncă se poate exprima prin </w:t>
      </w:r>
      <w:r w:rsidRPr="00F66F7C">
        <w:rPr>
          <w:b/>
          <w:sz w:val="24"/>
          <w:szCs w:val="24"/>
        </w:rPr>
        <w:t>Indicele de Specializare al forţei de muncă</w:t>
      </w:r>
      <w:r w:rsidRPr="00F66F7C">
        <w:rPr>
          <w:sz w:val="24"/>
          <w:szCs w:val="24"/>
        </w:rPr>
        <w:t xml:space="preserve">, indicator </w:t>
      </w:r>
      <w:r>
        <w:rPr>
          <w:sz w:val="24"/>
          <w:szCs w:val="24"/>
        </w:rPr>
        <w:t>ce permite comparaţii ale regiunilor cu nivelul naţional.</w:t>
      </w:r>
      <w:r w:rsidRPr="00F66F7C">
        <w:rPr>
          <w:sz w:val="24"/>
          <w:szCs w:val="24"/>
        </w:rPr>
        <w:t xml:space="preserve"> </w:t>
      </w:r>
      <w:r w:rsidRPr="00FA1911">
        <w:rPr>
          <w:b/>
          <w:sz w:val="24"/>
          <w:szCs w:val="24"/>
        </w:rPr>
        <w:t>Formula de calcul a indicatorului</w:t>
      </w:r>
      <w:r w:rsidRPr="00FA1911">
        <w:rPr>
          <w:sz w:val="24"/>
          <w:szCs w:val="24"/>
        </w:rPr>
        <w:t xml:space="preserve"> este: </w:t>
      </w:r>
      <w:r w:rsidRPr="00FA1911">
        <w:rPr>
          <w:b/>
          <w:bCs/>
          <w:sz w:val="24"/>
          <w:szCs w:val="24"/>
        </w:rPr>
        <w:t>ISSS= (po</w:t>
      </w:r>
      <w:r w:rsidRPr="00FA1911">
        <w:rPr>
          <w:b/>
          <w:bCs/>
          <w:sz w:val="24"/>
          <w:szCs w:val="24"/>
          <w:vertAlign w:val="subscript"/>
        </w:rPr>
        <w:t>ij</w:t>
      </w:r>
      <w:r w:rsidRPr="00FA1911">
        <w:rPr>
          <w:b/>
          <w:bCs/>
          <w:sz w:val="24"/>
          <w:szCs w:val="24"/>
        </w:rPr>
        <w:t>/PO</w:t>
      </w:r>
      <w:r w:rsidRPr="00FA1911">
        <w:rPr>
          <w:b/>
          <w:bCs/>
          <w:sz w:val="24"/>
          <w:szCs w:val="24"/>
          <w:vertAlign w:val="subscript"/>
        </w:rPr>
        <w:t>it</w:t>
      </w:r>
      <w:r w:rsidRPr="00FA1911">
        <w:rPr>
          <w:b/>
          <w:bCs/>
          <w:sz w:val="24"/>
          <w:szCs w:val="24"/>
        </w:rPr>
        <w:t>)/ (po</w:t>
      </w:r>
      <w:r w:rsidRPr="00FA1911">
        <w:rPr>
          <w:b/>
          <w:bCs/>
          <w:sz w:val="24"/>
          <w:szCs w:val="24"/>
          <w:vertAlign w:val="subscript"/>
        </w:rPr>
        <w:t>nj</w:t>
      </w:r>
      <w:r w:rsidRPr="00FA1911">
        <w:rPr>
          <w:b/>
          <w:bCs/>
          <w:sz w:val="24"/>
          <w:szCs w:val="24"/>
        </w:rPr>
        <w:t>/PO</w:t>
      </w:r>
      <w:r w:rsidRPr="00FA1911">
        <w:rPr>
          <w:b/>
          <w:bCs/>
          <w:sz w:val="24"/>
          <w:szCs w:val="24"/>
          <w:vertAlign w:val="subscript"/>
        </w:rPr>
        <w:t>nt</w:t>
      </w:r>
      <w:r w:rsidRPr="00FA1911">
        <w:rPr>
          <w:b/>
          <w:bCs/>
          <w:sz w:val="24"/>
          <w:szCs w:val="24"/>
        </w:rPr>
        <w:t xml:space="preserve">), </w:t>
      </w:r>
      <w:r w:rsidRPr="00FA1911">
        <w:rPr>
          <w:sz w:val="24"/>
          <w:szCs w:val="24"/>
        </w:rPr>
        <w:t xml:space="preserve">unde </w:t>
      </w:r>
      <w:r w:rsidRPr="00FA1911">
        <w:rPr>
          <w:b/>
          <w:bCs/>
          <w:sz w:val="24"/>
          <w:szCs w:val="24"/>
        </w:rPr>
        <w:t>po</w:t>
      </w:r>
      <w:r w:rsidRPr="00FA1911">
        <w:rPr>
          <w:b/>
          <w:bCs/>
          <w:sz w:val="24"/>
          <w:szCs w:val="24"/>
          <w:vertAlign w:val="subscript"/>
        </w:rPr>
        <w:t>ij</w:t>
      </w:r>
      <w:r w:rsidRPr="00FA1911">
        <w:rPr>
          <w:b/>
          <w:bCs/>
          <w:sz w:val="24"/>
          <w:szCs w:val="24"/>
        </w:rPr>
        <w:t xml:space="preserve"> </w:t>
      </w:r>
      <w:r w:rsidRPr="00FA1911">
        <w:rPr>
          <w:sz w:val="24"/>
          <w:szCs w:val="24"/>
        </w:rPr>
        <w:t>și</w:t>
      </w:r>
      <w:r w:rsidRPr="00FA1911">
        <w:rPr>
          <w:b/>
          <w:bCs/>
          <w:sz w:val="24"/>
          <w:szCs w:val="24"/>
        </w:rPr>
        <w:t xml:space="preserve"> PO</w:t>
      </w:r>
      <w:r w:rsidRPr="00FA1911">
        <w:rPr>
          <w:b/>
          <w:bCs/>
          <w:sz w:val="24"/>
          <w:szCs w:val="24"/>
          <w:vertAlign w:val="subscript"/>
        </w:rPr>
        <w:t xml:space="preserve">it </w:t>
      </w:r>
      <w:r w:rsidRPr="00FA1911">
        <w:rPr>
          <w:sz w:val="24"/>
          <w:szCs w:val="24"/>
        </w:rPr>
        <w:t xml:space="preserve">reprezintă populația ocupată la nivelul Regiunii i în sectorul j respectiv populația ocupată la nivelul Regiunii i în toate sectoarele economice, iar </w:t>
      </w:r>
      <w:r w:rsidRPr="00FA1911">
        <w:rPr>
          <w:b/>
          <w:bCs/>
          <w:sz w:val="24"/>
          <w:szCs w:val="24"/>
        </w:rPr>
        <w:t>po</w:t>
      </w:r>
      <w:r w:rsidRPr="00FA1911">
        <w:rPr>
          <w:b/>
          <w:bCs/>
          <w:sz w:val="24"/>
          <w:szCs w:val="24"/>
          <w:vertAlign w:val="subscript"/>
        </w:rPr>
        <w:t>nj</w:t>
      </w:r>
      <w:r w:rsidRPr="00FA1911">
        <w:rPr>
          <w:b/>
          <w:bCs/>
          <w:sz w:val="24"/>
          <w:szCs w:val="24"/>
        </w:rPr>
        <w:t xml:space="preserve"> </w:t>
      </w:r>
      <w:r w:rsidRPr="00FA1911">
        <w:rPr>
          <w:sz w:val="24"/>
          <w:szCs w:val="24"/>
        </w:rPr>
        <w:t>și</w:t>
      </w:r>
      <w:r w:rsidRPr="00FA1911">
        <w:rPr>
          <w:b/>
          <w:bCs/>
          <w:sz w:val="24"/>
          <w:szCs w:val="24"/>
        </w:rPr>
        <w:t xml:space="preserve"> PO</w:t>
      </w:r>
      <w:r w:rsidRPr="00FA1911">
        <w:rPr>
          <w:b/>
          <w:bCs/>
          <w:sz w:val="24"/>
          <w:szCs w:val="24"/>
          <w:vertAlign w:val="subscript"/>
        </w:rPr>
        <w:t>nt</w:t>
      </w:r>
      <w:r w:rsidRPr="00FA1911">
        <w:rPr>
          <w:b/>
          <w:bCs/>
          <w:sz w:val="24"/>
          <w:szCs w:val="24"/>
        </w:rPr>
        <w:t xml:space="preserve"> </w:t>
      </w:r>
      <w:r w:rsidRPr="00FA1911">
        <w:rPr>
          <w:sz w:val="24"/>
          <w:szCs w:val="24"/>
        </w:rPr>
        <w:t>reprezintă populația ocupată la nivel național în sectorul j respectiv populația ocupată la nivelul național în toate sectoarele economice</w:t>
      </w:r>
      <w:r>
        <w:rPr>
          <w:sz w:val="24"/>
          <w:szCs w:val="24"/>
        </w:rPr>
        <w:t>.</w:t>
      </w:r>
    </w:p>
    <w:p w:rsidR="00852F75" w:rsidRDefault="00852F75" w:rsidP="00852F75">
      <w:pPr>
        <w:contextualSpacing/>
        <w:jc w:val="both"/>
        <w:rPr>
          <w:sz w:val="24"/>
          <w:szCs w:val="24"/>
        </w:rPr>
      </w:pPr>
    </w:p>
    <w:p w:rsidR="00852F75" w:rsidRPr="00AC3FBD" w:rsidRDefault="00852F75" w:rsidP="00852F75">
      <w:pPr>
        <w:contextualSpacing/>
        <w:jc w:val="both"/>
        <w:rPr>
          <w:sz w:val="24"/>
          <w:szCs w:val="24"/>
        </w:rPr>
      </w:pPr>
      <w:r w:rsidRPr="00AC3FBD">
        <w:rPr>
          <w:sz w:val="24"/>
          <w:szCs w:val="24"/>
        </w:rPr>
        <w:t xml:space="preserve">Dacă analizăm evoluţia indicelui de specializare sectorială al forţei de muncă în perioada 2010-2014, constatăm că acesta a fost supraunitar în cazul Regiunii Centru şi pentru 5 din cele 6 judeţe componente(excl. jud. Braşov) de-a lungul întregii perioade. Cu toate acestea, importanţa la nivel regional a sectorului textile şi confecţii se află într-o uşoară scădere, indicele de specializare sectorială reducându-se de la 1,3 în anul 2010 la 1,1 în 2014. Valorile cele mai mari ai acestui indice se înregistrează în judeţele Covasna şi Harghita (2,7 , respectiv 1,9 pentru anul 2014), iar cea mai redusă valoare, subunitară, se înregistrează în judeţul Braşov (0,4). </w:t>
      </w:r>
    </w:p>
    <w:p w:rsidR="00852F75" w:rsidRDefault="00852F75" w:rsidP="00852F75">
      <w:pPr>
        <w:contextualSpacing/>
        <w:jc w:val="center"/>
        <w:rPr>
          <w:b/>
          <w:sz w:val="24"/>
          <w:szCs w:val="24"/>
        </w:rPr>
      </w:pPr>
    </w:p>
    <w:p w:rsidR="00852F75" w:rsidRDefault="00852F75" w:rsidP="00852F75">
      <w:pPr>
        <w:contextualSpacing/>
        <w:jc w:val="center"/>
        <w:rPr>
          <w:b/>
          <w:sz w:val="24"/>
          <w:szCs w:val="24"/>
        </w:rPr>
      </w:pPr>
    </w:p>
    <w:p w:rsidR="00852F75" w:rsidRDefault="00852F75" w:rsidP="00852F75">
      <w:pPr>
        <w:contextualSpacing/>
        <w:jc w:val="center"/>
        <w:rPr>
          <w:b/>
          <w:sz w:val="24"/>
          <w:szCs w:val="24"/>
        </w:rPr>
      </w:pPr>
    </w:p>
    <w:p w:rsidR="00852F75" w:rsidRDefault="00852F75" w:rsidP="00852F75">
      <w:pPr>
        <w:contextualSpacing/>
        <w:jc w:val="center"/>
        <w:rPr>
          <w:b/>
          <w:sz w:val="24"/>
          <w:szCs w:val="24"/>
        </w:rPr>
      </w:pPr>
    </w:p>
    <w:p w:rsidR="00852F75" w:rsidRDefault="00852F75" w:rsidP="00852F75">
      <w:pPr>
        <w:contextualSpacing/>
        <w:jc w:val="center"/>
        <w:rPr>
          <w:b/>
          <w:sz w:val="24"/>
          <w:szCs w:val="24"/>
        </w:rPr>
      </w:pPr>
    </w:p>
    <w:p w:rsidR="00852F75" w:rsidRPr="00AC3FBD" w:rsidRDefault="00852F75" w:rsidP="00852F75">
      <w:pPr>
        <w:contextualSpacing/>
        <w:jc w:val="center"/>
        <w:rPr>
          <w:b/>
          <w:sz w:val="24"/>
          <w:szCs w:val="24"/>
        </w:rPr>
      </w:pPr>
      <w:r>
        <w:rPr>
          <w:b/>
          <w:sz w:val="24"/>
          <w:szCs w:val="24"/>
        </w:rPr>
        <w:lastRenderedPageBreak/>
        <w:t xml:space="preserve">Tab.8  </w:t>
      </w:r>
      <w:r w:rsidRPr="00AC3FBD">
        <w:rPr>
          <w:b/>
          <w:sz w:val="24"/>
          <w:szCs w:val="24"/>
        </w:rPr>
        <w:t>Indicele de specializare sectorială</w:t>
      </w:r>
    </w:p>
    <w:p w:rsidR="00852F75" w:rsidRPr="00AC3FBD" w:rsidRDefault="00852F75" w:rsidP="00852F75">
      <w:pPr>
        <w:contextualSpacing/>
        <w:jc w:val="center"/>
        <w:rPr>
          <w:b/>
          <w:sz w:val="24"/>
          <w:szCs w:val="24"/>
        </w:rPr>
      </w:pPr>
    </w:p>
    <w:tbl>
      <w:tblPr>
        <w:tblW w:w="6909" w:type="dxa"/>
        <w:jc w:val="center"/>
        <w:tblLook w:val="04A0"/>
      </w:tblPr>
      <w:tblGrid>
        <w:gridCol w:w="1614"/>
        <w:gridCol w:w="1059"/>
        <w:gridCol w:w="1059"/>
        <w:gridCol w:w="1059"/>
        <w:gridCol w:w="1059"/>
        <w:gridCol w:w="1059"/>
      </w:tblGrid>
      <w:tr w:rsidR="00852F75" w:rsidRPr="00AC3FBD" w:rsidTr="005F5D09">
        <w:trPr>
          <w:trHeight w:hRule="exact" w:val="432"/>
          <w:jc w:val="center"/>
        </w:trPr>
        <w:tc>
          <w:tcPr>
            <w:tcW w:w="1614" w:type="dxa"/>
            <w:tcBorders>
              <w:top w:val="single" w:sz="8" w:space="0" w:color="538ED5"/>
              <w:left w:val="single" w:sz="8" w:space="0" w:color="538ED5"/>
              <w:bottom w:val="single" w:sz="8" w:space="0" w:color="538ED5"/>
              <w:right w:val="nil"/>
            </w:tcBorders>
            <w:shd w:val="clear" w:color="000000" w:fill="8DB4E3"/>
            <w:noWrap/>
            <w:vAlign w:val="bottom"/>
            <w:hideMark/>
          </w:tcPr>
          <w:p w:rsidR="00852F75" w:rsidRPr="00AC3FBD" w:rsidRDefault="00852F75" w:rsidP="005F5D09">
            <w:pPr>
              <w:contextualSpacing/>
              <w:rPr>
                <w:rFonts w:ascii="Calibri" w:eastAsia="Times New Roman" w:hAnsi="Calibri" w:cs="Calibri"/>
                <w:sz w:val="24"/>
                <w:szCs w:val="24"/>
              </w:rPr>
            </w:pPr>
            <w:r w:rsidRPr="00AC3FBD">
              <w:rPr>
                <w:rFonts w:ascii="Calibri" w:eastAsia="Times New Roman" w:hAnsi="Calibri" w:cs="Calibri"/>
                <w:sz w:val="24"/>
                <w:szCs w:val="24"/>
              </w:rPr>
              <w:t> </w:t>
            </w:r>
          </w:p>
        </w:tc>
        <w:tc>
          <w:tcPr>
            <w:tcW w:w="1059" w:type="dxa"/>
            <w:tcBorders>
              <w:top w:val="single" w:sz="8" w:space="0" w:color="538ED5"/>
              <w:left w:val="nil"/>
              <w:bottom w:val="single" w:sz="8" w:space="0" w:color="538ED5"/>
              <w:right w:val="nil"/>
            </w:tcBorders>
            <w:shd w:val="clear" w:color="000000" w:fill="8DB4E3"/>
            <w:noWrap/>
            <w:vAlign w:val="center"/>
            <w:hideMark/>
          </w:tcPr>
          <w:p w:rsidR="00852F75" w:rsidRPr="00AC3FBD" w:rsidRDefault="00852F75" w:rsidP="005F5D09">
            <w:pPr>
              <w:contextualSpacing/>
              <w:jc w:val="center"/>
              <w:rPr>
                <w:rFonts w:ascii="Calibri" w:eastAsia="Times New Roman" w:hAnsi="Calibri" w:cs="Calibri"/>
                <w:b/>
                <w:sz w:val="24"/>
                <w:szCs w:val="24"/>
              </w:rPr>
            </w:pPr>
            <w:r w:rsidRPr="00AC3FBD">
              <w:rPr>
                <w:rFonts w:ascii="Calibri" w:eastAsia="Times New Roman" w:hAnsi="Calibri" w:cs="Calibri"/>
                <w:b/>
                <w:sz w:val="24"/>
                <w:szCs w:val="24"/>
              </w:rPr>
              <w:t>2010</w:t>
            </w:r>
          </w:p>
        </w:tc>
        <w:tc>
          <w:tcPr>
            <w:tcW w:w="1059" w:type="dxa"/>
            <w:tcBorders>
              <w:top w:val="single" w:sz="8" w:space="0" w:color="538ED5"/>
              <w:left w:val="nil"/>
              <w:bottom w:val="single" w:sz="8" w:space="0" w:color="538ED5"/>
              <w:right w:val="nil"/>
            </w:tcBorders>
            <w:shd w:val="clear" w:color="000000" w:fill="8DB4E3"/>
            <w:noWrap/>
            <w:vAlign w:val="center"/>
            <w:hideMark/>
          </w:tcPr>
          <w:p w:rsidR="00852F75" w:rsidRPr="00AC3FBD" w:rsidRDefault="00852F75" w:rsidP="005F5D09">
            <w:pPr>
              <w:contextualSpacing/>
              <w:jc w:val="center"/>
              <w:rPr>
                <w:rFonts w:ascii="Calibri" w:eastAsia="Times New Roman" w:hAnsi="Calibri" w:cs="Calibri"/>
                <w:b/>
                <w:sz w:val="24"/>
                <w:szCs w:val="24"/>
              </w:rPr>
            </w:pPr>
            <w:r w:rsidRPr="00AC3FBD">
              <w:rPr>
                <w:rFonts w:ascii="Calibri" w:eastAsia="Times New Roman" w:hAnsi="Calibri" w:cs="Calibri"/>
                <w:b/>
                <w:sz w:val="24"/>
                <w:szCs w:val="24"/>
              </w:rPr>
              <w:t>2011</w:t>
            </w:r>
          </w:p>
        </w:tc>
        <w:tc>
          <w:tcPr>
            <w:tcW w:w="1059" w:type="dxa"/>
            <w:tcBorders>
              <w:top w:val="single" w:sz="8" w:space="0" w:color="538ED5"/>
              <w:left w:val="nil"/>
              <w:bottom w:val="single" w:sz="8" w:space="0" w:color="538ED5"/>
              <w:right w:val="nil"/>
            </w:tcBorders>
            <w:shd w:val="clear" w:color="000000" w:fill="8DB4E3"/>
            <w:noWrap/>
            <w:vAlign w:val="center"/>
            <w:hideMark/>
          </w:tcPr>
          <w:p w:rsidR="00852F75" w:rsidRPr="00AC3FBD" w:rsidRDefault="00852F75" w:rsidP="005F5D09">
            <w:pPr>
              <w:contextualSpacing/>
              <w:jc w:val="center"/>
              <w:rPr>
                <w:rFonts w:ascii="Calibri" w:eastAsia="Times New Roman" w:hAnsi="Calibri" w:cs="Calibri"/>
                <w:b/>
                <w:sz w:val="24"/>
                <w:szCs w:val="24"/>
              </w:rPr>
            </w:pPr>
            <w:r w:rsidRPr="00AC3FBD">
              <w:rPr>
                <w:rFonts w:ascii="Calibri" w:eastAsia="Times New Roman" w:hAnsi="Calibri" w:cs="Calibri"/>
                <w:b/>
                <w:sz w:val="24"/>
                <w:szCs w:val="24"/>
              </w:rPr>
              <w:t>2012</w:t>
            </w:r>
          </w:p>
        </w:tc>
        <w:tc>
          <w:tcPr>
            <w:tcW w:w="1059" w:type="dxa"/>
            <w:tcBorders>
              <w:top w:val="single" w:sz="8" w:space="0" w:color="538ED5"/>
              <w:left w:val="nil"/>
              <w:bottom w:val="single" w:sz="8" w:space="0" w:color="538ED5"/>
              <w:right w:val="nil"/>
            </w:tcBorders>
            <w:shd w:val="clear" w:color="000000" w:fill="8DB4E3"/>
            <w:noWrap/>
            <w:vAlign w:val="center"/>
            <w:hideMark/>
          </w:tcPr>
          <w:p w:rsidR="00852F75" w:rsidRPr="00AC3FBD" w:rsidRDefault="00852F75" w:rsidP="005F5D09">
            <w:pPr>
              <w:contextualSpacing/>
              <w:jc w:val="center"/>
              <w:rPr>
                <w:rFonts w:ascii="Calibri" w:eastAsia="Times New Roman" w:hAnsi="Calibri" w:cs="Calibri"/>
                <w:b/>
                <w:sz w:val="24"/>
                <w:szCs w:val="24"/>
              </w:rPr>
            </w:pPr>
            <w:r w:rsidRPr="00AC3FBD">
              <w:rPr>
                <w:rFonts w:ascii="Calibri" w:eastAsia="Times New Roman" w:hAnsi="Calibri" w:cs="Calibri"/>
                <w:b/>
                <w:sz w:val="24"/>
                <w:szCs w:val="24"/>
              </w:rPr>
              <w:t>2013</w:t>
            </w:r>
          </w:p>
        </w:tc>
        <w:tc>
          <w:tcPr>
            <w:tcW w:w="1059" w:type="dxa"/>
            <w:tcBorders>
              <w:top w:val="single" w:sz="8" w:space="0" w:color="538ED5"/>
              <w:left w:val="nil"/>
              <w:bottom w:val="single" w:sz="8" w:space="0" w:color="538ED5"/>
              <w:right w:val="single" w:sz="8" w:space="0" w:color="538ED5"/>
            </w:tcBorders>
            <w:shd w:val="clear" w:color="000000" w:fill="8DB4E3"/>
            <w:noWrap/>
            <w:vAlign w:val="center"/>
            <w:hideMark/>
          </w:tcPr>
          <w:p w:rsidR="00852F75" w:rsidRPr="00AC3FBD" w:rsidRDefault="00852F75" w:rsidP="005F5D09">
            <w:pPr>
              <w:contextualSpacing/>
              <w:jc w:val="center"/>
              <w:rPr>
                <w:rFonts w:ascii="Calibri" w:eastAsia="Times New Roman" w:hAnsi="Calibri" w:cs="Calibri"/>
                <w:b/>
                <w:sz w:val="24"/>
                <w:szCs w:val="24"/>
              </w:rPr>
            </w:pPr>
            <w:r w:rsidRPr="00AC3FBD">
              <w:rPr>
                <w:rFonts w:ascii="Calibri" w:eastAsia="Times New Roman" w:hAnsi="Calibri" w:cs="Calibri"/>
                <w:b/>
                <w:sz w:val="24"/>
                <w:szCs w:val="24"/>
              </w:rPr>
              <w:t>2014</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000000" w:fill="C5D9F1"/>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Reg.</w:t>
            </w:r>
            <w:r>
              <w:rPr>
                <w:rFonts w:ascii="Calibri" w:eastAsia="Times New Roman" w:hAnsi="Calibri" w:cs="Calibri"/>
                <w:b/>
                <w:bCs/>
                <w:sz w:val="24"/>
                <w:szCs w:val="24"/>
              </w:rPr>
              <w:t xml:space="preserve"> </w:t>
            </w:r>
            <w:r w:rsidRPr="00AC3FBD">
              <w:rPr>
                <w:rFonts w:ascii="Calibri" w:eastAsia="Times New Roman" w:hAnsi="Calibri" w:cs="Calibri"/>
                <w:b/>
                <w:bCs/>
                <w:sz w:val="24"/>
                <w:szCs w:val="24"/>
              </w:rPr>
              <w:t>CENTRU</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1,3</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1,2</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1,2</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1,2</w:t>
            </w:r>
          </w:p>
        </w:tc>
        <w:tc>
          <w:tcPr>
            <w:tcW w:w="1059" w:type="dxa"/>
            <w:tcBorders>
              <w:top w:val="nil"/>
              <w:left w:val="nil"/>
              <w:bottom w:val="single" w:sz="8" w:space="0" w:color="538ED5"/>
              <w:right w:val="single" w:sz="8" w:space="0" w:color="538ED5"/>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1,1</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auto" w:fill="auto"/>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Alba</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1,5</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1,4</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1,3</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1,3</w:t>
            </w:r>
          </w:p>
        </w:tc>
        <w:tc>
          <w:tcPr>
            <w:tcW w:w="1059" w:type="dxa"/>
            <w:tcBorders>
              <w:top w:val="nil"/>
              <w:left w:val="nil"/>
              <w:bottom w:val="single" w:sz="8" w:space="0" w:color="538ED5"/>
              <w:right w:val="single" w:sz="8" w:space="0" w:color="538ED5"/>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1,1</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000000" w:fill="C5D9F1"/>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Brasov</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0,5</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0,4</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0,4</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0,4</w:t>
            </w:r>
          </w:p>
        </w:tc>
        <w:tc>
          <w:tcPr>
            <w:tcW w:w="1059" w:type="dxa"/>
            <w:tcBorders>
              <w:top w:val="nil"/>
              <w:left w:val="nil"/>
              <w:bottom w:val="single" w:sz="8" w:space="0" w:color="538ED5"/>
              <w:right w:val="single" w:sz="8" w:space="0" w:color="538ED5"/>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0,4</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auto" w:fill="auto"/>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Covasna</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3,0</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3,0</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2,8</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2,8</w:t>
            </w:r>
          </w:p>
        </w:tc>
        <w:tc>
          <w:tcPr>
            <w:tcW w:w="1059" w:type="dxa"/>
            <w:tcBorders>
              <w:top w:val="nil"/>
              <w:left w:val="nil"/>
              <w:bottom w:val="single" w:sz="8" w:space="0" w:color="538ED5"/>
              <w:right w:val="single" w:sz="8" w:space="0" w:color="538ED5"/>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2,7</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000000" w:fill="C5D9F1"/>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Harghita</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2,0</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2,0</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1,9</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1,9</w:t>
            </w:r>
          </w:p>
        </w:tc>
        <w:tc>
          <w:tcPr>
            <w:tcW w:w="1059" w:type="dxa"/>
            <w:tcBorders>
              <w:top w:val="nil"/>
              <w:left w:val="nil"/>
              <w:bottom w:val="single" w:sz="8" w:space="0" w:color="538ED5"/>
              <w:right w:val="single" w:sz="8" w:space="0" w:color="538ED5"/>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1,9</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auto" w:fill="auto"/>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Mures</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1,2</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1,3</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1,3</w:t>
            </w:r>
          </w:p>
        </w:tc>
        <w:tc>
          <w:tcPr>
            <w:tcW w:w="1059" w:type="dxa"/>
            <w:tcBorders>
              <w:top w:val="nil"/>
              <w:left w:val="nil"/>
              <w:bottom w:val="single" w:sz="8" w:space="0" w:color="538ED5"/>
              <w:right w:val="nil"/>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1,2</w:t>
            </w:r>
          </w:p>
        </w:tc>
        <w:tc>
          <w:tcPr>
            <w:tcW w:w="1059" w:type="dxa"/>
            <w:tcBorders>
              <w:top w:val="nil"/>
              <w:left w:val="nil"/>
              <w:bottom w:val="single" w:sz="8" w:space="0" w:color="538ED5"/>
              <w:right w:val="single" w:sz="8" w:space="0" w:color="538ED5"/>
            </w:tcBorders>
            <w:shd w:val="clear" w:color="auto" w:fill="auto"/>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1,2</w:t>
            </w:r>
          </w:p>
        </w:tc>
      </w:tr>
      <w:tr w:rsidR="00852F75" w:rsidRPr="00AC3FBD" w:rsidTr="005F5D09">
        <w:trPr>
          <w:trHeight w:hRule="exact" w:val="432"/>
          <w:jc w:val="center"/>
        </w:trPr>
        <w:tc>
          <w:tcPr>
            <w:tcW w:w="1614" w:type="dxa"/>
            <w:tcBorders>
              <w:top w:val="nil"/>
              <w:left w:val="single" w:sz="8" w:space="0" w:color="538ED5"/>
              <w:bottom w:val="single" w:sz="8" w:space="0" w:color="538ED5"/>
              <w:right w:val="nil"/>
            </w:tcBorders>
            <w:shd w:val="clear" w:color="000000" w:fill="C5D9F1"/>
            <w:vAlign w:val="center"/>
            <w:hideMark/>
          </w:tcPr>
          <w:p w:rsidR="00852F75" w:rsidRPr="00AC3FBD" w:rsidRDefault="00852F75" w:rsidP="005F5D09">
            <w:pPr>
              <w:contextualSpacing/>
              <w:rPr>
                <w:rFonts w:ascii="Calibri" w:eastAsia="Times New Roman" w:hAnsi="Calibri" w:cs="Calibri"/>
                <w:b/>
                <w:bCs/>
                <w:sz w:val="24"/>
                <w:szCs w:val="24"/>
              </w:rPr>
            </w:pPr>
            <w:r w:rsidRPr="00AC3FBD">
              <w:rPr>
                <w:rFonts w:ascii="Calibri" w:eastAsia="Times New Roman" w:hAnsi="Calibri" w:cs="Calibri"/>
                <w:b/>
                <w:bCs/>
                <w:sz w:val="24"/>
                <w:szCs w:val="24"/>
              </w:rPr>
              <w:t>Sibiu</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1,3</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1,1</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1,1</w:t>
            </w:r>
          </w:p>
        </w:tc>
        <w:tc>
          <w:tcPr>
            <w:tcW w:w="1059" w:type="dxa"/>
            <w:tcBorders>
              <w:top w:val="nil"/>
              <w:left w:val="nil"/>
              <w:bottom w:val="single" w:sz="8" w:space="0" w:color="538ED5"/>
              <w:right w:val="nil"/>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1,1</w:t>
            </w:r>
          </w:p>
        </w:tc>
        <w:tc>
          <w:tcPr>
            <w:tcW w:w="1059" w:type="dxa"/>
            <w:tcBorders>
              <w:top w:val="nil"/>
              <w:left w:val="nil"/>
              <w:bottom w:val="single" w:sz="8" w:space="0" w:color="538ED5"/>
              <w:right w:val="single" w:sz="8" w:space="0" w:color="538ED5"/>
            </w:tcBorders>
            <w:shd w:val="clear" w:color="000000" w:fill="C5D9F1"/>
            <w:noWrap/>
            <w:vAlign w:val="center"/>
            <w:hideMark/>
          </w:tcPr>
          <w:p w:rsidR="00852F75" w:rsidRPr="00AC3FBD" w:rsidRDefault="00852F75" w:rsidP="005F5D09">
            <w:pPr>
              <w:contextualSpacing/>
              <w:jc w:val="center"/>
              <w:rPr>
                <w:rFonts w:ascii="Calibri" w:eastAsia="Times New Roman" w:hAnsi="Calibri" w:cs="Calibri"/>
                <w:sz w:val="24"/>
                <w:szCs w:val="24"/>
              </w:rPr>
            </w:pPr>
            <w:r w:rsidRPr="00AC3FBD">
              <w:rPr>
                <w:rFonts w:ascii="Calibri" w:eastAsia="Times New Roman" w:hAnsi="Calibri" w:cs="Calibri"/>
                <w:sz w:val="24"/>
                <w:szCs w:val="24"/>
              </w:rPr>
              <w:t>1,1</w:t>
            </w:r>
          </w:p>
        </w:tc>
      </w:tr>
    </w:tbl>
    <w:p w:rsidR="00852F75" w:rsidRPr="00AC3FBD" w:rsidRDefault="00852F75" w:rsidP="00852F75">
      <w:pPr>
        <w:contextualSpacing/>
        <w:jc w:val="center"/>
        <w:rPr>
          <w:b/>
          <w:sz w:val="24"/>
          <w:szCs w:val="24"/>
        </w:rPr>
      </w:pPr>
    </w:p>
    <w:p w:rsidR="00852F75" w:rsidRDefault="00852F75" w:rsidP="00852F75">
      <w:pPr>
        <w:pStyle w:val="Titlu3"/>
      </w:pPr>
      <w:r w:rsidRPr="000310E0">
        <w:t xml:space="preserve">Exporturile </w:t>
      </w:r>
      <w:r>
        <w:t xml:space="preserve">regionale </w:t>
      </w:r>
      <w:r w:rsidRPr="000310E0">
        <w:t>de textile și confecții</w:t>
      </w:r>
    </w:p>
    <w:p w:rsidR="00852F75" w:rsidRPr="000310E0" w:rsidRDefault="00852F75" w:rsidP="00852F75">
      <w:pPr>
        <w:contextualSpacing/>
        <w:jc w:val="both"/>
        <w:rPr>
          <w:b/>
          <w:sz w:val="24"/>
          <w:szCs w:val="24"/>
        </w:rPr>
      </w:pPr>
    </w:p>
    <w:p w:rsidR="00852F75" w:rsidRDefault="00852F75" w:rsidP="00852F75">
      <w:pPr>
        <w:contextualSpacing/>
        <w:jc w:val="both"/>
        <w:rPr>
          <w:sz w:val="24"/>
          <w:szCs w:val="24"/>
        </w:rPr>
      </w:pPr>
      <w:r w:rsidRPr="0024289D">
        <w:rPr>
          <w:sz w:val="24"/>
          <w:szCs w:val="24"/>
        </w:rPr>
        <w:t xml:space="preserve">Industria textilă și a confecțiilor se numără între sectoarele cu o contribuție importantă în exporturile regionale. În anul 2015 valoarea însumată exporturilor de mărfuri din cele 2 ramuri se ridica la peste 664 milioane euro. </w:t>
      </w:r>
      <w:r>
        <w:rPr>
          <w:sz w:val="24"/>
          <w:szCs w:val="24"/>
        </w:rPr>
        <w:t>E</w:t>
      </w:r>
      <w:r w:rsidRPr="0024289D">
        <w:rPr>
          <w:sz w:val="24"/>
          <w:szCs w:val="24"/>
        </w:rPr>
        <w:t xml:space="preserve">xportul de produse textile și </w:t>
      </w:r>
      <w:r>
        <w:rPr>
          <w:sz w:val="24"/>
          <w:szCs w:val="24"/>
        </w:rPr>
        <w:t xml:space="preserve">de </w:t>
      </w:r>
      <w:r w:rsidRPr="0024289D">
        <w:rPr>
          <w:sz w:val="24"/>
          <w:szCs w:val="24"/>
        </w:rPr>
        <w:t>confecții s</w:t>
      </w:r>
      <w:r>
        <w:rPr>
          <w:sz w:val="24"/>
          <w:szCs w:val="24"/>
        </w:rPr>
        <w:t>a scăzut atât valoric în perioada 2011-2015 (cu cca 10 puncte procentuale cât și ca pondere în totalul exporturilor regionale (de la 12,8</w:t>
      </w:r>
      <w:r w:rsidRPr="0024289D">
        <w:rPr>
          <w:sz w:val="24"/>
          <w:szCs w:val="24"/>
        </w:rPr>
        <w:t>% în 20</w:t>
      </w:r>
      <w:r>
        <w:rPr>
          <w:sz w:val="24"/>
          <w:szCs w:val="24"/>
        </w:rPr>
        <w:t>11</w:t>
      </w:r>
      <w:r w:rsidRPr="0024289D">
        <w:rPr>
          <w:sz w:val="24"/>
          <w:szCs w:val="24"/>
        </w:rPr>
        <w:t xml:space="preserve"> la doar 8,7% în 2015, rămânând însă peste ponderea înr</w:t>
      </w:r>
      <w:r>
        <w:rPr>
          <w:sz w:val="24"/>
          <w:szCs w:val="24"/>
        </w:rPr>
        <w:t xml:space="preserve">egistrată de acest sector la nivel național - </w:t>
      </w:r>
      <w:r w:rsidRPr="0024289D">
        <w:rPr>
          <w:sz w:val="24"/>
          <w:szCs w:val="24"/>
        </w:rPr>
        <w:t>7,2%</w:t>
      </w:r>
      <w:r>
        <w:rPr>
          <w:sz w:val="24"/>
          <w:szCs w:val="24"/>
        </w:rPr>
        <w:t xml:space="preserve">, </w:t>
      </w:r>
      <w:r w:rsidRPr="0024289D">
        <w:rPr>
          <w:sz w:val="24"/>
          <w:szCs w:val="24"/>
        </w:rPr>
        <w:t xml:space="preserve"> în anul 2015).</w:t>
      </w:r>
    </w:p>
    <w:p w:rsidR="00852F75" w:rsidRPr="00FE1679" w:rsidRDefault="00852F75" w:rsidP="00852F75">
      <w:pPr>
        <w:contextualSpacing/>
        <w:jc w:val="both"/>
        <w:rPr>
          <w:sz w:val="24"/>
          <w:szCs w:val="24"/>
        </w:rPr>
      </w:pPr>
    </w:p>
    <w:p w:rsidR="00852F75" w:rsidRDefault="00852F75" w:rsidP="00852F75">
      <w:pPr>
        <w:contextualSpacing/>
        <w:jc w:val="center"/>
        <w:rPr>
          <w:b/>
          <w:sz w:val="24"/>
          <w:szCs w:val="24"/>
        </w:rPr>
      </w:pPr>
      <w:r>
        <w:rPr>
          <w:b/>
          <w:sz w:val="24"/>
          <w:szCs w:val="24"/>
        </w:rPr>
        <w:t xml:space="preserve">Tab. 9 </w:t>
      </w:r>
      <w:r w:rsidRPr="000C04AC">
        <w:rPr>
          <w:b/>
          <w:sz w:val="24"/>
          <w:szCs w:val="24"/>
        </w:rPr>
        <w:t>V</w:t>
      </w:r>
      <w:r>
        <w:rPr>
          <w:b/>
          <w:sz w:val="24"/>
          <w:szCs w:val="24"/>
        </w:rPr>
        <w:t>aloarea exporturilor de produse</w:t>
      </w:r>
      <w:r w:rsidRPr="000C04AC">
        <w:rPr>
          <w:b/>
          <w:sz w:val="24"/>
          <w:szCs w:val="24"/>
        </w:rPr>
        <w:t xml:space="preserve"> textile și articole de îmbrăcăminte</w:t>
      </w:r>
    </w:p>
    <w:p w:rsidR="00852F75" w:rsidRDefault="00852F75" w:rsidP="00852F75">
      <w:pPr>
        <w:contextualSpacing/>
        <w:jc w:val="right"/>
        <w:rPr>
          <w:b/>
          <w:sz w:val="24"/>
          <w:szCs w:val="24"/>
        </w:rPr>
      </w:pPr>
      <w:r>
        <w:rPr>
          <w:b/>
          <w:sz w:val="24"/>
          <w:szCs w:val="24"/>
        </w:rPr>
        <w:t>-Mii euro-</w:t>
      </w:r>
    </w:p>
    <w:tbl>
      <w:tblPr>
        <w:tblW w:w="10490" w:type="dxa"/>
        <w:jc w:val="center"/>
        <w:tblLook w:val="04A0"/>
      </w:tblPr>
      <w:tblGrid>
        <w:gridCol w:w="1324"/>
        <w:gridCol w:w="1916"/>
        <w:gridCol w:w="1190"/>
        <w:gridCol w:w="1190"/>
        <w:gridCol w:w="1190"/>
        <w:gridCol w:w="1190"/>
        <w:gridCol w:w="1190"/>
        <w:gridCol w:w="1300"/>
      </w:tblGrid>
      <w:tr w:rsidR="00852F75" w:rsidRPr="0090409F" w:rsidTr="005F5D09">
        <w:trPr>
          <w:trHeight w:val="600"/>
          <w:tblHeader/>
          <w:jc w:val="center"/>
        </w:trPr>
        <w:tc>
          <w:tcPr>
            <w:tcW w:w="1324" w:type="dxa"/>
            <w:tcBorders>
              <w:top w:val="nil"/>
              <w:left w:val="nil"/>
              <w:bottom w:val="nil"/>
              <w:right w:val="nil"/>
            </w:tcBorders>
            <w:shd w:val="clear" w:color="000000" w:fill="538ED5"/>
            <w:noWrap/>
            <w:vAlign w:val="bottom"/>
            <w:hideMark/>
          </w:tcPr>
          <w:p w:rsidR="00852F75" w:rsidRPr="00495800" w:rsidRDefault="00852F75" w:rsidP="005F5D09">
            <w:pPr>
              <w:contextualSpacing/>
              <w:rPr>
                <w:rFonts w:ascii="Calibri" w:eastAsia="Times New Roman" w:hAnsi="Calibri" w:cs="Calibri"/>
                <w:color w:val="000000"/>
                <w:sz w:val="20"/>
                <w:szCs w:val="20"/>
              </w:rPr>
            </w:pPr>
            <w:r w:rsidRPr="00495800">
              <w:rPr>
                <w:rFonts w:ascii="Calibri" w:eastAsia="Times New Roman" w:hAnsi="Calibri" w:cs="Calibri"/>
                <w:color w:val="000000"/>
                <w:sz w:val="20"/>
                <w:szCs w:val="20"/>
              </w:rPr>
              <w:t> </w:t>
            </w:r>
          </w:p>
        </w:tc>
        <w:tc>
          <w:tcPr>
            <w:tcW w:w="1916" w:type="dxa"/>
            <w:tcBorders>
              <w:top w:val="nil"/>
              <w:left w:val="nil"/>
              <w:bottom w:val="nil"/>
              <w:right w:val="nil"/>
            </w:tcBorders>
            <w:shd w:val="clear" w:color="000000" w:fill="538ED5"/>
            <w:noWrap/>
            <w:vAlign w:val="bottom"/>
            <w:hideMark/>
          </w:tcPr>
          <w:p w:rsidR="00852F75" w:rsidRPr="00495800" w:rsidRDefault="00852F75" w:rsidP="005F5D09">
            <w:pPr>
              <w:contextualSpacing/>
              <w:rPr>
                <w:rFonts w:ascii="Calibri" w:eastAsia="Times New Roman" w:hAnsi="Calibri" w:cs="Calibri"/>
                <w:color w:val="000000"/>
                <w:sz w:val="20"/>
                <w:szCs w:val="20"/>
              </w:rPr>
            </w:pPr>
            <w:r w:rsidRPr="00495800">
              <w:rPr>
                <w:rFonts w:ascii="Calibri" w:eastAsia="Times New Roman" w:hAnsi="Calibri" w:cs="Calibri"/>
                <w:color w:val="000000"/>
                <w:sz w:val="20"/>
                <w:szCs w:val="20"/>
              </w:rPr>
              <w:t> </w:t>
            </w:r>
          </w:p>
        </w:tc>
        <w:tc>
          <w:tcPr>
            <w:tcW w:w="1190" w:type="dxa"/>
            <w:tcBorders>
              <w:top w:val="nil"/>
              <w:left w:val="nil"/>
              <w:bottom w:val="nil"/>
              <w:right w:val="nil"/>
            </w:tcBorders>
            <w:shd w:val="clear" w:color="000000" w:fill="538ED5"/>
            <w:noWrap/>
            <w:vAlign w:val="center"/>
            <w:hideMark/>
          </w:tcPr>
          <w:p w:rsidR="00852F75" w:rsidRPr="00495800" w:rsidRDefault="00852F75" w:rsidP="005F5D09">
            <w:pPr>
              <w:contextualSpacing/>
              <w:jc w:val="center"/>
              <w:rPr>
                <w:rFonts w:ascii="Calibri" w:eastAsia="Times New Roman" w:hAnsi="Calibri" w:cs="Calibri"/>
                <w:b/>
                <w:bCs/>
                <w:color w:val="000000"/>
                <w:sz w:val="20"/>
                <w:szCs w:val="20"/>
              </w:rPr>
            </w:pPr>
            <w:r w:rsidRPr="00495800">
              <w:rPr>
                <w:rFonts w:ascii="Calibri" w:eastAsia="Times New Roman" w:hAnsi="Calibri" w:cs="Calibri"/>
                <w:b/>
                <w:bCs/>
                <w:color w:val="000000"/>
                <w:sz w:val="20"/>
                <w:szCs w:val="20"/>
              </w:rPr>
              <w:t>2011</w:t>
            </w:r>
          </w:p>
        </w:tc>
        <w:tc>
          <w:tcPr>
            <w:tcW w:w="1190" w:type="dxa"/>
            <w:tcBorders>
              <w:top w:val="nil"/>
              <w:left w:val="nil"/>
              <w:bottom w:val="nil"/>
              <w:right w:val="nil"/>
            </w:tcBorders>
            <w:shd w:val="clear" w:color="000000" w:fill="538ED5"/>
            <w:noWrap/>
            <w:vAlign w:val="center"/>
            <w:hideMark/>
          </w:tcPr>
          <w:p w:rsidR="00852F75" w:rsidRPr="00495800" w:rsidRDefault="00852F75" w:rsidP="005F5D09">
            <w:pPr>
              <w:contextualSpacing/>
              <w:jc w:val="center"/>
              <w:rPr>
                <w:rFonts w:ascii="Calibri" w:eastAsia="Times New Roman" w:hAnsi="Calibri" w:cs="Calibri"/>
                <w:b/>
                <w:bCs/>
                <w:color w:val="000000"/>
                <w:sz w:val="20"/>
                <w:szCs w:val="20"/>
              </w:rPr>
            </w:pPr>
            <w:r w:rsidRPr="00495800">
              <w:rPr>
                <w:rFonts w:ascii="Calibri" w:eastAsia="Times New Roman" w:hAnsi="Calibri" w:cs="Calibri"/>
                <w:b/>
                <w:bCs/>
                <w:color w:val="000000"/>
                <w:sz w:val="20"/>
                <w:szCs w:val="20"/>
              </w:rPr>
              <w:t>2012</w:t>
            </w:r>
          </w:p>
        </w:tc>
        <w:tc>
          <w:tcPr>
            <w:tcW w:w="1190" w:type="dxa"/>
            <w:tcBorders>
              <w:top w:val="nil"/>
              <w:left w:val="nil"/>
              <w:bottom w:val="nil"/>
              <w:right w:val="nil"/>
            </w:tcBorders>
            <w:shd w:val="clear" w:color="000000" w:fill="538ED5"/>
            <w:noWrap/>
            <w:vAlign w:val="center"/>
            <w:hideMark/>
          </w:tcPr>
          <w:p w:rsidR="00852F75" w:rsidRPr="00495800" w:rsidRDefault="00852F75" w:rsidP="005F5D09">
            <w:pPr>
              <w:contextualSpacing/>
              <w:jc w:val="center"/>
              <w:rPr>
                <w:rFonts w:ascii="Calibri" w:eastAsia="Times New Roman" w:hAnsi="Calibri" w:cs="Calibri"/>
                <w:b/>
                <w:bCs/>
                <w:color w:val="000000"/>
                <w:sz w:val="20"/>
                <w:szCs w:val="20"/>
              </w:rPr>
            </w:pPr>
            <w:r w:rsidRPr="00495800">
              <w:rPr>
                <w:rFonts w:ascii="Calibri" w:eastAsia="Times New Roman" w:hAnsi="Calibri" w:cs="Calibri"/>
                <w:b/>
                <w:bCs/>
                <w:color w:val="000000"/>
                <w:sz w:val="20"/>
                <w:szCs w:val="20"/>
              </w:rPr>
              <w:t>2013</w:t>
            </w:r>
          </w:p>
        </w:tc>
        <w:tc>
          <w:tcPr>
            <w:tcW w:w="1190" w:type="dxa"/>
            <w:tcBorders>
              <w:top w:val="nil"/>
              <w:left w:val="nil"/>
              <w:bottom w:val="nil"/>
              <w:right w:val="nil"/>
            </w:tcBorders>
            <w:shd w:val="clear" w:color="000000" w:fill="538ED5"/>
            <w:noWrap/>
            <w:vAlign w:val="center"/>
            <w:hideMark/>
          </w:tcPr>
          <w:p w:rsidR="00852F75" w:rsidRPr="00495800" w:rsidRDefault="00852F75" w:rsidP="005F5D09">
            <w:pPr>
              <w:contextualSpacing/>
              <w:jc w:val="center"/>
              <w:rPr>
                <w:rFonts w:ascii="Calibri" w:eastAsia="Times New Roman" w:hAnsi="Calibri" w:cs="Calibri"/>
                <w:b/>
                <w:bCs/>
                <w:color w:val="000000"/>
                <w:sz w:val="20"/>
                <w:szCs w:val="20"/>
              </w:rPr>
            </w:pPr>
            <w:r w:rsidRPr="00495800">
              <w:rPr>
                <w:rFonts w:ascii="Calibri" w:eastAsia="Times New Roman" w:hAnsi="Calibri" w:cs="Calibri"/>
                <w:b/>
                <w:bCs/>
                <w:color w:val="000000"/>
                <w:sz w:val="20"/>
                <w:szCs w:val="20"/>
              </w:rPr>
              <w:t>2014</w:t>
            </w:r>
          </w:p>
        </w:tc>
        <w:tc>
          <w:tcPr>
            <w:tcW w:w="1190" w:type="dxa"/>
            <w:tcBorders>
              <w:top w:val="nil"/>
              <w:left w:val="nil"/>
              <w:bottom w:val="nil"/>
              <w:right w:val="nil"/>
            </w:tcBorders>
            <w:shd w:val="clear" w:color="000000" w:fill="538ED5"/>
            <w:noWrap/>
            <w:vAlign w:val="center"/>
            <w:hideMark/>
          </w:tcPr>
          <w:p w:rsidR="00852F75" w:rsidRPr="00495800" w:rsidRDefault="00852F75" w:rsidP="005F5D09">
            <w:pPr>
              <w:contextualSpacing/>
              <w:jc w:val="center"/>
              <w:rPr>
                <w:rFonts w:ascii="Calibri" w:eastAsia="Times New Roman" w:hAnsi="Calibri" w:cs="Calibri"/>
                <w:b/>
                <w:bCs/>
                <w:color w:val="000000"/>
                <w:sz w:val="20"/>
                <w:szCs w:val="20"/>
              </w:rPr>
            </w:pPr>
            <w:r w:rsidRPr="00495800">
              <w:rPr>
                <w:rFonts w:ascii="Calibri" w:eastAsia="Times New Roman" w:hAnsi="Calibri" w:cs="Calibri"/>
                <w:b/>
                <w:bCs/>
                <w:color w:val="000000"/>
                <w:sz w:val="20"/>
                <w:szCs w:val="20"/>
              </w:rPr>
              <w:t>2015</w:t>
            </w:r>
          </w:p>
        </w:tc>
        <w:tc>
          <w:tcPr>
            <w:tcW w:w="1300" w:type="dxa"/>
            <w:tcBorders>
              <w:top w:val="single" w:sz="4" w:space="0" w:color="538ED5"/>
              <w:left w:val="nil"/>
              <w:bottom w:val="nil"/>
              <w:right w:val="single" w:sz="4" w:space="0" w:color="538ED5"/>
            </w:tcBorders>
            <w:shd w:val="clear" w:color="000000" w:fill="538ED5"/>
            <w:vAlign w:val="center"/>
            <w:hideMark/>
          </w:tcPr>
          <w:p w:rsidR="00852F75" w:rsidRPr="00495800" w:rsidRDefault="00852F75" w:rsidP="005F5D09">
            <w:pPr>
              <w:contextualSpacing/>
              <w:jc w:val="center"/>
              <w:rPr>
                <w:rFonts w:ascii="Calibri" w:eastAsia="Times New Roman" w:hAnsi="Calibri" w:cs="Calibri"/>
                <w:b/>
                <w:color w:val="000000"/>
                <w:sz w:val="20"/>
                <w:szCs w:val="20"/>
              </w:rPr>
            </w:pPr>
            <w:r w:rsidRPr="00495800">
              <w:rPr>
                <w:rFonts w:ascii="Calibri" w:eastAsia="Times New Roman" w:hAnsi="Calibri" w:cs="Calibri"/>
                <w:b/>
                <w:color w:val="000000"/>
                <w:sz w:val="20"/>
                <w:szCs w:val="20"/>
              </w:rPr>
              <w:t>Modificarea relativă 2015/2011 (%)</w:t>
            </w:r>
          </w:p>
        </w:tc>
      </w:tr>
      <w:tr w:rsidR="00852F75" w:rsidRPr="0090409F" w:rsidTr="005F5D09">
        <w:trPr>
          <w:trHeight w:hRule="exact" w:val="360"/>
          <w:jc w:val="center"/>
        </w:trPr>
        <w:tc>
          <w:tcPr>
            <w:tcW w:w="1324" w:type="dxa"/>
            <w:tcBorders>
              <w:top w:val="single" w:sz="4" w:space="0" w:color="538ED5"/>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Româ</w:t>
            </w:r>
            <w:r w:rsidRPr="0090409F">
              <w:rPr>
                <w:rFonts w:ascii="Calibri" w:eastAsia="Times New Roman" w:hAnsi="Calibri" w:cs="Calibri"/>
                <w:b/>
                <w:bCs/>
                <w:color w:val="000000"/>
                <w:sz w:val="24"/>
                <w:szCs w:val="24"/>
              </w:rPr>
              <w:t>nia</w:t>
            </w:r>
          </w:p>
        </w:tc>
        <w:tc>
          <w:tcPr>
            <w:tcW w:w="1916" w:type="dxa"/>
            <w:tcBorders>
              <w:top w:val="single" w:sz="4" w:space="0" w:color="538ED5"/>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single" w:sz="4" w:space="0" w:color="538ED5"/>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45291535</w:t>
            </w:r>
          </w:p>
        </w:tc>
        <w:tc>
          <w:tcPr>
            <w:tcW w:w="1190" w:type="dxa"/>
            <w:tcBorders>
              <w:top w:val="single" w:sz="4" w:space="0" w:color="538ED5"/>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45069165</w:t>
            </w:r>
          </w:p>
        </w:tc>
        <w:tc>
          <w:tcPr>
            <w:tcW w:w="1190" w:type="dxa"/>
            <w:tcBorders>
              <w:top w:val="single" w:sz="4" w:space="0" w:color="538ED5"/>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49562141</w:t>
            </w:r>
          </w:p>
        </w:tc>
        <w:tc>
          <w:tcPr>
            <w:tcW w:w="1190" w:type="dxa"/>
            <w:tcBorders>
              <w:top w:val="single" w:sz="4" w:space="0" w:color="538ED5"/>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52458653</w:t>
            </w:r>
          </w:p>
        </w:tc>
        <w:tc>
          <w:tcPr>
            <w:tcW w:w="1190" w:type="dxa"/>
            <w:tcBorders>
              <w:top w:val="single" w:sz="4" w:space="0" w:color="538ED5"/>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54598298</w:t>
            </w:r>
          </w:p>
        </w:tc>
        <w:tc>
          <w:tcPr>
            <w:tcW w:w="1300" w:type="dxa"/>
            <w:tcBorders>
              <w:top w:val="single" w:sz="4" w:space="0" w:color="538ED5"/>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20,6</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000000" w:fill="FFFFFF"/>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3617315</w:t>
            </w:r>
          </w:p>
        </w:tc>
        <w:tc>
          <w:tcPr>
            <w:tcW w:w="1190" w:type="dxa"/>
            <w:tcBorders>
              <w:top w:val="nil"/>
              <w:left w:val="nil"/>
              <w:bottom w:val="single" w:sz="4" w:space="0" w:color="538ED5"/>
              <w:right w:val="nil"/>
            </w:tcBorders>
            <w:shd w:val="clear" w:color="000000" w:fill="FFFFFF"/>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3618651</w:t>
            </w:r>
          </w:p>
        </w:tc>
        <w:tc>
          <w:tcPr>
            <w:tcW w:w="1190" w:type="dxa"/>
            <w:tcBorders>
              <w:top w:val="nil"/>
              <w:left w:val="nil"/>
              <w:bottom w:val="single" w:sz="4" w:space="0" w:color="538ED5"/>
              <w:right w:val="nil"/>
            </w:tcBorders>
            <w:shd w:val="clear" w:color="000000" w:fill="FFFFFF"/>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3718077</w:t>
            </w:r>
          </w:p>
        </w:tc>
        <w:tc>
          <w:tcPr>
            <w:tcW w:w="1190" w:type="dxa"/>
            <w:tcBorders>
              <w:top w:val="nil"/>
              <w:left w:val="nil"/>
              <w:bottom w:val="single" w:sz="4" w:space="0" w:color="538ED5"/>
              <w:right w:val="nil"/>
            </w:tcBorders>
            <w:shd w:val="clear" w:color="000000" w:fill="FFFFFF"/>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3885490</w:t>
            </w:r>
          </w:p>
        </w:tc>
        <w:tc>
          <w:tcPr>
            <w:tcW w:w="1190" w:type="dxa"/>
            <w:tcBorders>
              <w:top w:val="nil"/>
              <w:left w:val="nil"/>
              <w:bottom w:val="single" w:sz="4" w:space="0" w:color="538ED5"/>
              <w:right w:val="single" w:sz="4" w:space="0" w:color="538ED5"/>
            </w:tcBorders>
            <w:shd w:val="clear" w:color="000000" w:fill="FFFFFF"/>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3946841</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9,1</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Reg.</w:t>
            </w:r>
            <w:r w:rsidRPr="0090409F">
              <w:rPr>
                <w:rFonts w:ascii="Calibri" w:eastAsia="Times New Roman" w:hAnsi="Calibri" w:cs="Calibri"/>
                <w:b/>
                <w:bCs/>
                <w:color w:val="000000"/>
                <w:sz w:val="24"/>
                <w:szCs w:val="24"/>
              </w:rPr>
              <w:t>Centru</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5799733</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6036878</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6800039</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7455861</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7652115</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31,9</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742660</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678689</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635969</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691661</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664525</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-10,5</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sidRPr="0090409F">
              <w:rPr>
                <w:rFonts w:ascii="Calibri" w:eastAsia="Times New Roman" w:hAnsi="Calibri" w:cs="Calibri"/>
                <w:b/>
                <w:bCs/>
                <w:color w:val="000000"/>
                <w:sz w:val="24"/>
                <w:szCs w:val="24"/>
              </w:rPr>
              <w:t>Alba</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888568</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906930</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1075162</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1266109</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1023541</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15,2</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62310</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56763</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52065</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50981</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44921</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-27,9</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Pr>
                <w:rFonts w:ascii="Calibri" w:eastAsia="Times New Roman" w:hAnsi="Calibri" w:cs="Calibri"/>
                <w:b/>
                <w:bCs/>
                <w:color w:val="000000"/>
                <w:sz w:val="24"/>
                <w:szCs w:val="24"/>
              </w:rPr>
              <w:t>Braş</w:t>
            </w:r>
            <w:r w:rsidRPr="0090409F">
              <w:rPr>
                <w:rFonts w:ascii="Calibri" w:eastAsia="Times New Roman" w:hAnsi="Calibri" w:cs="Calibri"/>
                <w:b/>
                <w:bCs/>
                <w:color w:val="000000"/>
                <w:sz w:val="24"/>
                <w:szCs w:val="24"/>
              </w:rPr>
              <w:t>ov</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1836115</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1962434</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2282977</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2488878</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2788931</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51,9</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93804</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87988</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102389</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115371</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114189</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21,7</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sidRPr="0090409F">
              <w:rPr>
                <w:rFonts w:ascii="Calibri" w:eastAsia="Times New Roman" w:hAnsi="Calibri" w:cs="Calibri"/>
                <w:b/>
                <w:bCs/>
                <w:color w:val="000000"/>
                <w:sz w:val="24"/>
                <w:szCs w:val="24"/>
              </w:rPr>
              <w:t>Covasna</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276101</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272631</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307543</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350709</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295449</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7,0</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142430</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125121</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131335</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156565</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149937</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5,3</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sidRPr="0090409F">
              <w:rPr>
                <w:rFonts w:ascii="Calibri" w:eastAsia="Times New Roman" w:hAnsi="Calibri" w:cs="Calibri"/>
                <w:b/>
                <w:bCs/>
                <w:color w:val="000000"/>
                <w:sz w:val="24"/>
                <w:szCs w:val="24"/>
              </w:rPr>
              <w:t>Harghita</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276884</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268110</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299813</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311005</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303389</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9,6</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107228</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101468</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93936</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95549</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99518</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-7,2</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sidRPr="0090409F">
              <w:rPr>
                <w:rFonts w:ascii="Calibri" w:eastAsia="Times New Roman" w:hAnsi="Calibri" w:cs="Calibri"/>
                <w:b/>
                <w:bCs/>
                <w:color w:val="000000"/>
                <w:sz w:val="24"/>
                <w:szCs w:val="24"/>
              </w:rPr>
              <w:lastRenderedPageBreak/>
              <w:t>Mure</w:t>
            </w:r>
            <w:r>
              <w:rPr>
                <w:rFonts w:ascii="Calibri" w:eastAsia="Times New Roman" w:hAnsi="Calibri" w:cs="Calibri"/>
                <w:b/>
                <w:bCs/>
                <w:color w:val="000000"/>
                <w:sz w:val="24"/>
                <w:szCs w:val="24"/>
              </w:rPr>
              <w:t>ş</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748393</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801490</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829757</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865458</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936454</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25,1</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92374</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82890</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90983</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97102</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92130</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-0,3</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bCs/>
                <w:color w:val="000000"/>
                <w:sz w:val="24"/>
                <w:szCs w:val="24"/>
              </w:rPr>
            </w:pPr>
            <w:r w:rsidRPr="0090409F">
              <w:rPr>
                <w:rFonts w:ascii="Calibri" w:eastAsia="Times New Roman" w:hAnsi="Calibri" w:cs="Calibri"/>
                <w:b/>
                <w:bCs/>
                <w:color w:val="000000"/>
                <w:sz w:val="24"/>
                <w:szCs w:val="24"/>
              </w:rPr>
              <w:t>Sibiu</w:t>
            </w:r>
          </w:p>
        </w:tc>
        <w:tc>
          <w:tcPr>
            <w:tcW w:w="1916" w:type="dxa"/>
            <w:tcBorders>
              <w:top w:val="nil"/>
              <w:left w:val="nil"/>
              <w:bottom w:val="single" w:sz="4" w:space="0" w:color="538ED5"/>
              <w:right w:val="nil"/>
            </w:tcBorders>
            <w:shd w:val="clear" w:color="000000" w:fill="C5D9F1"/>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Total</w:t>
            </w:r>
            <w:r>
              <w:rPr>
                <w:rFonts w:ascii="Calibri" w:eastAsia="Times New Roman" w:hAnsi="Calibri" w:cs="Calibri"/>
                <w:b/>
                <w:color w:val="000000"/>
              </w:rPr>
              <w:t xml:space="preserve"> exporturi</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1773672</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1825283</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2004787</w:t>
            </w:r>
          </w:p>
        </w:tc>
        <w:tc>
          <w:tcPr>
            <w:tcW w:w="1190" w:type="dxa"/>
            <w:tcBorders>
              <w:top w:val="nil"/>
              <w:left w:val="nil"/>
              <w:bottom w:val="single" w:sz="4" w:space="0" w:color="538ED5"/>
              <w:right w:val="nil"/>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2173702</w:t>
            </w:r>
          </w:p>
        </w:tc>
        <w:tc>
          <w:tcPr>
            <w:tcW w:w="1190" w:type="dxa"/>
            <w:tcBorders>
              <w:top w:val="nil"/>
              <w:left w:val="nil"/>
              <w:bottom w:val="single" w:sz="4" w:space="0" w:color="538ED5"/>
              <w:right w:val="single" w:sz="4" w:space="0" w:color="538ED5"/>
            </w:tcBorders>
            <w:shd w:val="clear" w:color="000000" w:fill="C5D9F1"/>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2304351</w:t>
            </w:r>
          </w:p>
        </w:tc>
        <w:tc>
          <w:tcPr>
            <w:tcW w:w="1300" w:type="dxa"/>
            <w:tcBorders>
              <w:top w:val="nil"/>
              <w:left w:val="nil"/>
              <w:bottom w:val="single" w:sz="4" w:space="0" w:color="538ED5"/>
              <w:right w:val="single" w:sz="4" w:space="0" w:color="538ED5"/>
            </w:tcBorders>
            <w:shd w:val="clear" w:color="000000" w:fill="C5D9F1"/>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29,9</w:t>
            </w:r>
          </w:p>
        </w:tc>
      </w:tr>
      <w:tr w:rsidR="00852F75" w:rsidRPr="0090409F" w:rsidTr="005F5D09">
        <w:trPr>
          <w:trHeight w:hRule="exact" w:val="360"/>
          <w:jc w:val="center"/>
        </w:trPr>
        <w:tc>
          <w:tcPr>
            <w:tcW w:w="1324" w:type="dxa"/>
            <w:tcBorders>
              <w:top w:val="nil"/>
              <w:left w:val="single" w:sz="4" w:space="0" w:color="538ED5"/>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color w:val="000000"/>
                <w:sz w:val="24"/>
                <w:szCs w:val="24"/>
              </w:rPr>
            </w:pPr>
            <w:r w:rsidRPr="0090409F">
              <w:rPr>
                <w:rFonts w:ascii="Calibri" w:eastAsia="Times New Roman" w:hAnsi="Calibri" w:cs="Calibri"/>
                <w:color w:val="000000"/>
                <w:sz w:val="24"/>
                <w:szCs w:val="24"/>
              </w:rPr>
              <w:t> </w:t>
            </w:r>
          </w:p>
        </w:tc>
        <w:tc>
          <w:tcPr>
            <w:tcW w:w="1916" w:type="dxa"/>
            <w:tcBorders>
              <w:top w:val="nil"/>
              <w:left w:val="nil"/>
              <w:bottom w:val="single" w:sz="4" w:space="0" w:color="538ED5"/>
              <w:right w:val="nil"/>
            </w:tcBorders>
            <w:shd w:val="clear" w:color="000000" w:fill="FFFFFF"/>
            <w:noWrap/>
            <w:vAlign w:val="bottom"/>
            <w:hideMark/>
          </w:tcPr>
          <w:p w:rsidR="00852F75" w:rsidRPr="0090409F" w:rsidRDefault="00852F75" w:rsidP="005F5D09">
            <w:pPr>
              <w:contextualSpacing/>
              <w:rPr>
                <w:rFonts w:ascii="Calibri" w:eastAsia="Times New Roman" w:hAnsi="Calibri" w:cs="Calibri"/>
                <w:b/>
                <w:color w:val="000000"/>
              </w:rPr>
            </w:pPr>
            <w:r w:rsidRPr="0090409F">
              <w:rPr>
                <w:rFonts w:ascii="Calibri" w:eastAsia="Times New Roman" w:hAnsi="Calibri" w:cs="Calibri"/>
                <w:b/>
                <w:color w:val="000000"/>
              </w:rPr>
              <w:t xml:space="preserve"> Textile/art îmbr.</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244514</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224459</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165261</w:t>
            </w:r>
          </w:p>
        </w:tc>
        <w:tc>
          <w:tcPr>
            <w:tcW w:w="1190" w:type="dxa"/>
            <w:tcBorders>
              <w:top w:val="nil"/>
              <w:left w:val="nil"/>
              <w:bottom w:val="single" w:sz="4" w:space="0" w:color="538ED5"/>
              <w:right w:val="nil"/>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rPr>
            </w:pPr>
            <w:r w:rsidRPr="00DE225E">
              <w:rPr>
                <w:rFonts w:ascii="Calibri" w:eastAsia="Times New Roman" w:hAnsi="Calibri" w:cs="Calibri"/>
                <w:color w:val="000000"/>
              </w:rPr>
              <w:t>176093</w:t>
            </w:r>
          </w:p>
        </w:tc>
        <w:tc>
          <w:tcPr>
            <w:tcW w:w="1190" w:type="dxa"/>
            <w:tcBorders>
              <w:top w:val="nil"/>
              <w:left w:val="nil"/>
              <w:bottom w:val="single" w:sz="4" w:space="0" w:color="538ED5"/>
              <w:right w:val="single" w:sz="4" w:space="0" w:color="538ED5"/>
            </w:tcBorders>
            <w:shd w:val="clear" w:color="auto" w:fill="auto"/>
            <w:noWrap/>
            <w:vAlign w:val="bottom"/>
            <w:hideMark/>
          </w:tcPr>
          <w:p w:rsidR="00852F75" w:rsidRPr="00DE225E" w:rsidRDefault="00852F75" w:rsidP="005F5D09">
            <w:pPr>
              <w:contextualSpacing/>
              <w:jc w:val="right"/>
              <w:rPr>
                <w:rFonts w:ascii="Calibri" w:eastAsia="Times New Roman" w:hAnsi="Calibri" w:cs="Calibri"/>
                <w:color w:val="000000" w:themeColor="text1"/>
              </w:rPr>
            </w:pPr>
            <w:r w:rsidRPr="00DE225E">
              <w:rPr>
                <w:rFonts w:ascii="Calibri" w:eastAsia="Times New Roman" w:hAnsi="Calibri" w:cs="Calibri"/>
                <w:color w:val="000000" w:themeColor="text1"/>
              </w:rPr>
              <w:t>163830</w:t>
            </w:r>
          </w:p>
        </w:tc>
        <w:tc>
          <w:tcPr>
            <w:tcW w:w="1300" w:type="dxa"/>
            <w:tcBorders>
              <w:top w:val="nil"/>
              <w:left w:val="nil"/>
              <w:bottom w:val="single" w:sz="4" w:space="0" w:color="538ED5"/>
              <w:right w:val="single" w:sz="4" w:space="0" w:color="538ED5"/>
            </w:tcBorders>
            <w:shd w:val="clear" w:color="auto" w:fill="auto"/>
            <w:noWrap/>
            <w:vAlign w:val="center"/>
            <w:hideMark/>
          </w:tcPr>
          <w:p w:rsidR="00852F75" w:rsidRPr="00DE225E" w:rsidRDefault="00852F75" w:rsidP="005F5D09">
            <w:pPr>
              <w:jc w:val="right"/>
              <w:rPr>
                <w:rFonts w:ascii="Calibri" w:hAnsi="Calibri"/>
                <w:color w:val="000000"/>
              </w:rPr>
            </w:pPr>
            <w:r w:rsidRPr="00DE225E">
              <w:rPr>
                <w:rFonts w:ascii="Calibri" w:hAnsi="Calibri"/>
                <w:color w:val="000000"/>
              </w:rPr>
              <w:t>-33,0</w:t>
            </w:r>
          </w:p>
        </w:tc>
      </w:tr>
    </w:tbl>
    <w:p w:rsidR="00852F75" w:rsidRPr="00CD519F" w:rsidRDefault="00852F75" w:rsidP="00852F75">
      <w:pPr>
        <w:contextualSpacing/>
      </w:pPr>
      <w:r w:rsidRPr="00B00768">
        <w:rPr>
          <w:b/>
        </w:rPr>
        <w:t>Sursa:</w:t>
      </w:r>
      <w:r w:rsidRPr="00B00768">
        <w:t xml:space="preserve"> Institutul Național de Statistică</w:t>
      </w:r>
    </w:p>
    <w:p w:rsidR="00852F75" w:rsidRDefault="00852F75" w:rsidP="00852F75">
      <w:pPr>
        <w:contextualSpacing/>
        <w:jc w:val="both"/>
        <w:rPr>
          <w:sz w:val="24"/>
          <w:szCs w:val="24"/>
        </w:rPr>
      </w:pPr>
    </w:p>
    <w:p w:rsidR="00852F75" w:rsidRPr="000F565E" w:rsidRDefault="00852F75" w:rsidP="00852F75">
      <w:pPr>
        <w:contextualSpacing/>
        <w:jc w:val="both"/>
        <w:rPr>
          <w:sz w:val="24"/>
          <w:szCs w:val="24"/>
        </w:rPr>
      </w:pPr>
      <w:r w:rsidRPr="000F565E">
        <w:rPr>
          <w:sz w:val="24"/>
          <w:szCs w:val="24"/>
        </w:rPr>
        <w:t>Creșterea puternică a exporturilor totale înregistrată</w:t>
      </w:r>
      <w:r>
        <w:rPr>
          <w:sz w:val="24"/>
          <w:szCs w:val="24"/>
        </w:rPr>
        <w:t xml:space="preserve"> în perioada 2011-2015</w:t>
      </w:r>
      <w:r w:rsidRPr="000F565E">
        <w:rPr>
          <w:sz w:val="24"/>
          <w:szCs w:val="24"/>
        </w:rPr>
        <w:t xml:space="preserve"> la nivelul Regiunii Centru și nivelul județelor componente nu a fost urmată de o creștere în aceeași măsură a exporturilor realizate de industria textilă și de confecții. Astfel, ponderea acestui sector în exporturile județene a scăzut în proporții diferite în toate cele 6 județe ale regiunii, mai pregna</w:t>
      </w:r>
      <w:r>
        <w:rPr>
          <w:sz w:val="24"/>
          <w:szCs w:val="24"/>
        </w:rPr>
        <w:t>n</w:t>
      </w:r>
      <w:r w:rsidRPr="000F565E">
        <w:rPr>
          <w:sz w:val="24"/>
          <w:szCs w:val="24"/>
        </w:rPr>
        <w:t>t în cazul județelor Sibiu (de la 13,8% la  7</w:t>
      </w:r>
      <w:r>
        <w:rPr>
          <w:sz w:val="24"/>
          <w:szCs w:val="24"/>
        </w:rPr>
        <w:t>,1%) și Alba (de la 7% la 4,4%)</w:t>
      </w:r>
      <w:r w:rsidRPr="000F565E">
        <w:rPr>
          <w:sz w:val="24"/>
          <w:szCs w:val="24"/>
        </w:rPr>
        <w:t>. Confecțiile și produsele textile continuă să deţină însă o pondere semnificativă a exporturilor judeţele Covasna şi Harghita cu un procent de 50,7%, respectiv 32,8%.</w:t>
      </w:r>
    </w:p>
    <w:p w:rsidR="00852F75" w:rsidRDefault="00852F75" w:rsidP="00852F75">
      <w:pPr>
        <w:contextualSpacing/>
        <w:rPr>
          <w:b/>
          <w:sz w:val="24"/>
          <w:szCs w:val="24"/>
        </w:rPr>
      </w:pPr>
    </w:p>
    <w:p w:rsidR="00852F75" w:rsidRPr="000B1BB5" w:rsidRDefault="00852F75" w:rsidP="00852F75">
      <w:pPr>
        <w:contextualSpacing/>
      </w:pPr>
      <w:r>
        <w:rPr>
          <w:noProof/>
        </w:rPr>
        <w:drawing>
          <wp:inline distT="0" distB="0" distL="0" distR="0">
            <wp:extent cx="5562600" cy="3638550"/>
            <wp:effectExtent l="19050" t="0" r="19050" b="0"/>
            <wp:docPr id="6"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52F75" w:rsidRDefault="00852F75" w:rsidP="00852F75">
      <w:pPr>
        <w:rPr>
          <w:b/>
        </w:rPr>
      </w:pPr>
      <w:r w:rsidRPr="00BC6D40">
        <w:rPr>
          <w:b/>
        </w:rPr>
        <w:t>Fig. 3</w:t>
      </w:r>
    </w:p>
    <w:p w:rsidR="00852F75" w:rsidRDefault="00852F75" w:rsidP="00852F75">
      <w:pPr>
        <w:rPr>
          <w:b/>
        </w:rPr>
      </w:pPr>
    </w:p>
    <w:p w:rsidR="00852F75" w:rsidRDefault="00852F75" w:rsidP="00852F75">
      <w:pPr>
        <w:rPr>
          <w:b/>
        </w:rPr>
      </w:pPr>
    </w:p>
    <w:p w:rsidR="00852F75" w:rsidRDefault="00852F75" w:rsidP="00852F75">
      <w:pPr>
        <w:rPr>
          <w:b/>
        </w:rPr>
      </w:pPr>
    </w:p>
    <w:p w:rsidR="00852F75" w:rsidRDefault="00852F75" w:rsidP="00852F75">
      <w:pPr>
        <w:contextualSpacing/>
        <w:jc w:val="center"/>
        <w:rPr>
          <w:b/>
          <w:sz w:val="24"/>
          <w:szCs w:val="24"/>
        </w:rPr>
      </w:pPr>
      <w:r>
        <w:rPr>
          <w:b/>
          <w:sz w:val="24"/>
          <w:szCs w:val="24"/>
        </w:rPr>
        <w:lastRenderedPageBreak/>
        <w:t xml:space="preserve">Tab. 10 </w:t>
      </w:r>
      <w:r w:rsidRPr="00B96F2B">
        <w:rPr>
          <w:b/>
          <w:sz w:val="24"/>
          <w:szCs w:val="24"/>
        </w:rPr>
        <w:t xml:space="preserve">Ponderea </w:t>
      </w:r>
      <w:r>
        <w:rPr>
          <w:b/>
          <w:sz w:val="24"/>
          <w:szCs w:val="24"/>
        </w:rPr>
        <w:t>grupelor ,,</w:t>
      </w:r>
      <w:r w:rsidRPr="00B96F2B">
        <w:rPr>
          <w:b/>
          <w:sz w:val="24"/>
          <w:szCs w:val="24"/>
        </w:rPr>
        <w:t>produse textile</w:t>
      </w:r>
      <w:r>
        <w:rPr>
          <w:b/>
          <w:sz w:val="24"/>
          <w:szCs w:val="24"/>
        </w:rPr>
        <w:t>”</w:t>
      </w:r>
      <w:r w:rsidRPr="00B96F2B">
        <w:rPr>
          <w:b/>
          <w:sz w:val="24"/>
          <w:szCs w:val="24"/>
        </w:rPr>
        <w:t xml:space="preserve"> și </w:t>
      </w:r>
      <w:r>
        <w:rPr>
          <w:b/>
          <w:sz w:val="24"/>
          <w:szCs w:val="24"/>
        </w:rPr>
        <w:t>,,articole</w:t>
      </w:r>
      <w:r w:rsidRPr="00B96F2B">
        <w:rPr>
          <w:b/>
          <w:sz w:val="24"/>
          <w:szCs w:val="24"/>
        </w:rPr>
        <w:t xml:space="preserve"> de îmbrăcăminte</w:t>
      </w:r>
      <w:r>
        <w:rPr>
          <w:b/>
          <w:sz w:val="24"/>
          <w:szCs w:val="24"/>
        </w:rPr>
        <w:t>”</w:t>
      </w:r>
      <w:r w:rsidRPr="00B96F2B">
        <w:rPr>
          <w:b/>
          <w:sz w:val="24"/>
          <w:szCs w:val="24"/>
        </w:rPr>
        <w:t xml:space="preserve"> </w:t>
      </w:r>
    </w:p>
    <w:p w:rsidR="00852F75" w:rsidRDefault="00852F75" w:rsidP="00852F75">
      <w:pPr>
        <w:contextualSpacing/>
        <w:jc w:val="center"/>
        <w:rPr>
          <w:b/>
          <w:sz w:val="24"/>
          <w:szCs w:val="24"/>
        </w:rPr>
      </w:pPr>
      <w:r w:rsidRPr="00B96F2B">
        <w:rPr>
          <w:b/>
          <w:sz w:val="24"/>
          <w:szCs w:val="24"/>
        </w:rPr>
        <w:t>în totalul exporturilor</w:t>
      </w:r>
    </w:p>
    <w:p w:rsidR="00852F75" w:rsidRPr="00DE225E" w:rsidRDefault="00852F75" w:rsidP="00852F75">
      <w:pPr>
        <w:contextualSpacing/>
        <w:jc w:val="center"/>
        <w:rPr>
          <w:b/>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E225E">
        <w:rPr>
          <w:b/>
        </w:rPr>
        <w:t>%</w:t>
      </w:r>
    </w:p>
    <w:tbl>
      <w:tblPr>
        <w:tblStyle w:val="Umbriremedie1-Accentuare12"/>
        <w:tblW w:w="10164" w:type="dxa"/>
        <w:jc w:val="center"/>
        <w:tblLook w:val="04A0"/>
      </w:tblPr>
      <w:tblGrid>
        <w:gridCol w:w="810"/>
        <w:gridCol w:w="1028"/>
        <w:gridCol w:w="52"/>
        <w:gridCol w:w="1358"/>
        <w:gridCol w:w="6"/>
        <w:gridCol w:w="882"/>
        <w:gridCol w:w="6"/>
        <w:gridCol w:w="1074"/>
        <w:gridCol w:w="6"/>
        <w:gridCol w:w="1254"/>
        <w:gridCol w:w="6"/>
        <w:gridCol w:w="1446"/>
        <w:gridCol w:w="6"/>
        <w:gridCol w:w="1246"/>
        <w:gridCol w:w="6"/>
        <w:gridCol w:w="969"/>
        <w:gridCol w:w="9"/>
      </w:tblGrid>
      <w:tr w:rsidR="00852F75" w:rsidRPr="0063303A" w:rsidTr="005F5D09">
        <w:trPr>
          <w:gridAfter w:val="1"/>
          <w:cnfStyle w:val="100000000000"/>
          <w:wAfter w:w="9" w:type="dxa"/>
          <w:trHeight w:val="600"/>
          <w:jc w:val="center"/>
        </w:trPr>
        <w:tc>
          <w:tcPr>
            <w:cnfStyle w:val="001000000000"/>
            <w:tcW w:w="810" w:type="dxa"/>
            <w:noWrap/>
            <w:hideMark/>
          </w:tcPr>
          <w:p w:rsidR="00852F75" w:rsidRPr="0063303A" w:rsidRDefault="00852F75" w:rsidP="005F5D09">
            <w:pPr>
              <w:ind w:leftChars="-8" w:hangingChars="8" w:hanging="18"/>
              <w:contextualSpacing/>
              <w:rPr>
                <w:rFonts w:ascii="Calibri" w:eastAsia="Times New Roman" w:hAnsi="Calibri" w:cs="Calibri"/>
                <w:color w:val="000000"/>
                <w:lang w:val="en-US" w:eastAsia="en-US"/>
              </w:rPr>
            </w:pPr>
            <w:bookmarkStart w:id="1" w:name="_Hlk463009531"/>
            <w:r w:rsidRPr="0063303A">
              <w:rPr>
                <w:rFonts w:ascii="Calibri" w:eastAsia="Times New Roman" w:hAnsi="Calibri" w:cs="Calibri"/>
                <w:color w:val="000000"/>
                <w:lang w:val="en-US" w:eastAsia="en-US"/>
              </w:rPr>
              <w:t> </w:t>
            </w:r>
          </w:p>
        </w:tc>
        <w:tc>
          <w:tcPr>
            <w:tcW w:w="1028" w:type="dxa"/>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Romania</w:t>
            </w:r>
          </w:p>
        </w:tc>
        <w:tc>
          <w:tcPr>
            <w:tcW w:w="1416" w:type="dxa"/>
            <w:gridSpan w:val="3"/>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Reg. Centru</w:t>
            </w:r>
          </w:p>
        </w:tc>
        <w:tc>
          <w:tcPr>
            <w:tcW w:w="888" w:type="dxa"/>
            <w:gridSpan w:val="2"/>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Alba</w:t>
            </w:r>
          </w:p>
        </w:tc>
        <w:tc>
          <w:tcPr>
            <w:tcW w:w="1080" w:type="dxa"/>
            <w:gridSpan w:val="2"/>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Brasov</w:t>
            </w:r>
          </w:p>
        </w:tc>
        <w:tc>
          <w:tcPr>
            <w:tcW w:w="1260" w:type="dxa"/>
            <w:gridSpan w:val="2"/>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Covasna</w:t>
            </w:r>
          </w:p>
        </w:tc>
        <w:tc>
          <w:tcPr>
            <w:tcW w:w="1452" w:type="dxa"/>
            <w:gridSpan w:val="2"/>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Harghita</w:t>
            </w:r>
          </w:p>
        </w:tc>
        <w:tc>
          <w:tcPr>
            <w:tcW w:w="1252" w:type="dxa"/>
            <w:gridSpan w:val="2"/>
            <w:hideMark/>
          </w:tcPr>
          <w:p w:rsidR="00852F75" w:rsidRPr="00A66618" w:rsidRDefault="00852F75" w:rsidP="005F5D09">
            <w:pPr>
              <w:ind w:leftChars="-8" w:hangingChars="8" w:hanging="18"/>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Mures</w:t>
            </w:r>
          </w:p>
        </w:tc>
        <w:tc>
          <w:tcPr>
            <w:tcW w:w="969" w:type="dxa"/>
            <w:hideMark/>
          </w:tcPr>
          <w:p w:rsidR="00852F75" w:rsidRPr="00A66618" w:rsidRDefault="00852F75" w:rsidP="005F5D09">
            <w:pPr>
              <w:contextualSpacing/>
              <w:jc w:val="center"/>
              <w:cnfStyle w:val="100000000000"/>
              <w:rPr>
                <w:rFonts w:ascii="Calibri" w:eastAsia="Times New Roman" w:hAnsi="Calibri" w:cs="Calibri"/>
                <w:bCs w:val="0"/>
                <w:lang w:val="en-US" w:eastAsia="en-US"/>
              </w:rPr>
            </w:pPr>
            <w:r w:rsidRPr="00A66618">
              <w:rPr>
                <w:rFonts w:ascii="Calibri" w:eastAsia="Times New Roman" w:hAnsi="Calibri" w:cs="Calibri"/>
                <w:bCs w:val="0"/>
                <w:lang w:val="en-US" w:eastAsia="en-US"/>
              </w:rPr>
              <w:t>Sibiu</w:t>
            </w:r>
          </w:p>
        </w:tc>
      </w:tr>
      <w:tr w:rsidR="00852F75" w:rsidRPr="0063303A" w:rsidTr="005F5D09">
        <w:trPr>
          <w:cnfStyle w:val="000000100000"/>
          <w:trHeight w:val="315"/>
          <w:jc w:val="center"/>
        </w:trPr>
        <w:tc>
          <w:tcPr>
            <w:cnfStyle w:val="001000000000"/>
            <w:tcW w:w="810" w:type="dxa"/>
            <w:hideMark/>
          </w:tcPr>
          <w:p w:rsidR="00852F75" w:rsidRPr="0063303A" w:rsidRDefault="00852F75" w:rsidP="005F5D09">
            <w:pPr>
              <w:ind w:leftChars="-8" w:right="-248" w:hangingChars="8" w:hanging="18"/>
              <w:contextualSpacing/>
              <w:rPr>
                <w:rFonts w:ascii="Calibri" w:eastAsia="Times New Roman" w:hAnsi="Calibri" w:cs="Calibri"/>
                <w:b w:val="0"/>
                <w:bCs w:val="0"/>
                <w:color w:val="000000"/>
                <w:lang w:val="en-US" w:eastAsia="en-US"/>
              </w:rPr>
            </w:pPr>
            <w:r w:rsidRPr="0063303A">
              <w:rPr>
                <w:rFonts w:ascii="Calibri" w:eastAsia="Times New Roman" w:hAnsi="Calibri" w:cs="Calibri"/>
                <w:b w:val="0"/>
                <w:bCs w:val="0"/>
                <w:color w:val="000000"/>
                <w:lang w:val="en-US" w:eastAsia="en-US"/>
              </w:rPr>
              <w:t>2011</w:t>
            </w:r>
          </w:p>
        </w:tc>
        <w:tc>
          <w:tcPr>
            <w:tcW w:w="1080"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7</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99</w:t>
            </w:r>
          </w:p>
        </w:tc>
        <w:tc>
          <w:tcPr>
            <w:tcW w:w="1358" w:type="dxa"/>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12</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81</w:t>
            </w:r>
          </w:p>
        </w:tc>
        <w:tc>
          <w:tcPr>
            <w:tcW w:w="888"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7</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01</w:t>
            </w:r>
          </w:p>
        </w:tc>
        <w:tc>
          <w:tcPr>
            <w:tcW w:w="1080"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5</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11</w:t>
            </w:r>
          </w:p>
        </w:tc>
        <w:tc>
          <w:tcPr>
            <w:tcW w:w="1260"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51</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59</w:t>
            </w:r>
          </w:p>
        </w:tc>
        <w:tc>
          <w:tcPr>
            <w:tcW w:w="1452"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38</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73</w:t>
            </w:r>
          </w:p>
        </w:tc>
        <w:tc>
          <w:tcPr>
            <w:tcW w:w="1252"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12</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34</w:t>
            </w:r>
          </w:p>
        </w:tc>
        <w:tc>
          <w:tcPr>
            <w:tcW w:w="984" w:type="dxa"/>
            <w:gridSpan w:val="3"/>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13</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79</w:t>
            </w:r>
          </w:p>
        </w:tc>
      </w:tr>
      <w:tr w:rsidR="00852F75" w:rsidRPr="0063303A" w:rsidTr="005F5D09">
        <w:trPr>
          <w:cnfStyle w:val="000000010000"/>
          <w:trHeight w:val="315"/>
          <w:jc w:val="center"/>
        </w:trPr>
        <w:tc>
          <w:tcPr>
            <w:cnfStyle w:val="001000000000"/>
            <w:tcW w:w="810" w:type="dxa"/>
            <w:noWrap/>
            <w:hideMark/>
          </w:tcPr>
          <w:p w:rsidR="00852F75" w:rsidRPr="0063303A" w:rsidRDefault="00852F75" w:rsidP="005F5D09">
            <w:pPr>
              <w:ind w:leftChars="-8" w:right="-248" w:hangingChars="8" w:hanging="18"/>
              <w:contextualSpacing/>
              <w:rPr>
                <w:rFonts w:ascii="Calibri" w:eastAsia="Times New Roman" w:hAnsi="Calibri" w:cs="Calibri"/>
                <w:b w:val="0"/>
                <w:bCs w:val="0"/>
                <w:color w:val="000000"/>
                <w:lang w:val="en-US" w:eastAsia="en-US"/>
              </w:rPr>
            </w:pPr>
            <w:r w:rsidRPr="0063303A">
              <w:rPr>
                <w:rFonts w:ascii="Calibri" w:eastAsia="Times New Roman" w:hAnsi="Calibri" w:cs="Calibri"/>
                <w:b w:val="0"/>
                <w:bCs w:val="0"/>
                <w:color w:val="000000"/>
                <w:lang w:val="en-US" w:eastAsia="en-US"/>
              </w:rPr>
              <w:t>2012</w:t>
            </w:r>
          </w:p>
        </w:tc>
        <w:tc>
          <w:tcPr>
            <w:tcW w:w="1080"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8</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03</w:t>
            </w:r>
          </w:p>
        </w:tc>
        <w:tc>
          <w:tcPr>
            <w:tcW w:w="1358" w:type="dxa"/>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11</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24</w:t>
            </w:r>
          </w:p>
        </w:tc>
        <w:tc>
          <w:tcPr>
            <w:tcW w:w="888"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6</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26</w:t>
            </w:r>
          </w:p>
        </w:tc>
        <w:tc>
          <w:tcPr>
            <w:tcW w:w="1080"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48</w:t>
            </w:r>
          </w:p>
        </w:tc>
        <w:tc>
          <w:tcPr>
            <w:tcW w:w="1260"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45</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89</w:t>
            </w:r>
          </w:p>
        </w:tc>
        <w:tc>
          <w:tcPr>
            <w:tcW w:w="1452"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37</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85</w:t>
            </w:r>
          </w:p>
        </w:tc>
        <w:tc>
          <w:tcPr>
            <w:tcW w:w="1252"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10</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34</w:t>
            </w:r>
          </w:p>
        </w:tc>
        <w:tc>
          <w:tcPr>
            <w:tcW w:w="984" w:type="dxa"/>
            <w:gridSpan w:val="3"/>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12</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30</w:t>
            </w:r>
          </w:p>
        </w:tc>
      </w:tr>
      <w:tr w:rsidR="00852F75" w:rsidRPr="0063303A" w:rsidTr="005F5D09">
        <w:trPr>
          <w:cnfStyle w:val="000000100000"/>
          <w:trHeight w:val="315"/>
          <w:jc w:val="center"/>
        </w:trPr>
        <w:tc>
          <w:tcPr>
            <w:cnfStyle w:val="001000000000"/>
            <w:tcW w:w="810" w:type="dxa"/>
            <w:noWrap/>
            <w:hideMark/>
          </w:tcPr>
          <w:p w:rsidR="00852F75" w:rsidRPr="0063303A" w:rsidRDefault="00852F75" w:rsidP="005F5D09">
            <w:pPr>
              <w:ind w:leftChars="-8" w:right="-248" w:hangingChars="8" w:hanging="18"/>
              <w:contextualSpacing/>
              <w:rPr>
                <w:rFonts w:ascii="Calibri" w:eastAsia="Times New Roman" w:hAnsi="Calibri" w:cs="Calibri"/>
                <w:b w:val="0"/>
                <w:bCs w:val="0"/>
                <w:color w:val="000000"/>
                <w:lang w:val="en-US" w:eastAsia="en-US"/>
              </w:rPr>
            </w:pPr>
            <w:r w:rsidRPr="0063303A">
              <w:rPr>
                <w:rFonts w:ascii="Calibri" w:eastAsia="Times New Roman" w:hAnsi="Calibri" w:cs="Calibri"/>
                <w:b w:val="0"/>
                <w:bCs w:val="0"/>
                <w:color w:val="000000"/>
                <w:lang w:val="en-US" w:eastAsia="en-US"/>
              </w:rPr>
              <w:t>2013</w:t>
            </w:r>
          </w:p>
        </w:tc>
        <w:tc>
          <w:tcPr>
            <w:tcW w:w="1080"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7</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50</w:t>
            </w:r>
          </w:p>
        </w:tc>
        <w:tc>
          <w:tcPr>
            <w:tcW w:w="1358" w:type="dxa"/>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9</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35</w:t>
            </w:r>
          </w:p>
        </w:tc>
        <w:tc>
          <w:tcPr>
            <w:tcW w:w="888"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84</w:t>
            </w:r>
          </w:p>
        </w:tc>
        <w:tc>
          <w:tcPr>
            <w:tcW w:w="1080"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48</w:t>
            </w:r>
          </w:p>
        </w:tc>
        <w:tc>
          <w:tcPr>
            <w:tcW w:w="1260"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42</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70</w:t>
            </w:r>
          </w:p>
        </w:tc>
        <w:tc>
          <w:tcPr>
            <w:tcW w:w="1452"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31</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33</w:t>
            </w:r>
          </w:p>
        </w:tc>
        <w:tc>
          <w:tcPr>
            <w:tcW w:w="1252" w:type="dxa"/>
            <w:gridSpan w:val="2"/>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10</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97</w:t>
            </w:r>
          </w:p>
        </w:tc>
        <w:tc>
          <w:tcPr>
            <w:tcW w:w="984" w:type="dxa"/>
            <w:gridSpan w:val="3"/>
            <w:noWrap/>
            <w:hideMark/>
          </w:tcPr>
          <w:p w:rsidR="00852F75" w:rsidRPr="0063303A" w:rsidRDefault="00852F75" w:rsidP="005F5D09">
            <w:pPr>
              <w:ind w:leftChars="-8" w:hangingChars="8" w:hanging="18"/>
              <w:contextualSpacing/>
              <w:jc w:val="center"/>
              <w:cnfStyle w:val="00000010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8</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24</w:t>
            </w:r>
          </w:p>
        </w:tc>
      </w:tr>
      <w:tr w:rsidR="00852F75" w:rsidRPr="0063303A" w:rsidTr="005F5D09">
        <w:trPr>
          <w:cnfStyle w:val="000000010000"/>
          <w:trHeight w:val="315"/>
          <w:jc w:val="center"/>
        </w:trPr>
        <w:tc>
          <w:tcPr>
            <w:cnfStyle w:val="001000000000"/>
            <w:tcW w:w="810" w:type="dxa"/>
            <w:noWrap/>
            <w:hideMark/>
          </w:tcPr>
          <w:p w:rsidR="00852F75" w:rsidRPr="0063303A" w:rsidRDefault="00852F75" w:rsidP="005F5D09">
            <w:pPr>
              <w:ind w:leftChars="-8" w:right="-248" w:hangingChars="8" w:hanging="18"/>
              <w:contextualSpacing/>
              <w:rPr>
                <w:rFonts w:ascii="Calibri" w:eastAsia="Times New Roman" w:hAnsi="Calibri" w:cs="Calibri"/>
                <w:b w:val="0"/>
                <w:bCs w:val="0"/>
                <w:color w:val="000000"/>
                <w:lang w:val="en-US" w:eastAsia="en-US"/>
              </w:rPr>
            </w:pPr>
            <w:r w:rsidRPr="0063303A">
              <w:rPr>
                <w:rFonts w:ascii="Calibri" w:eastAsia="Times New Roman" w:hAnsi="Calibri" w:cs="Calibri"/>
                <w:b w:val="0"/>
                <w:bCs w:val="0"/>
                <w:color w:val="000000"/>
                <w:lang w:val="en-US" w:eastAsia="en-US"/>
              </w:rPr>
              <w:t>2014</w:t>
            </w:r>
          </w:p>
        </w:tc>
        <w:tc>
          <w:tcPr>
            <w:tcW w:w="1080"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7</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41</w:t>
            </w:r>
          </w:p>
        </w:tc>
        <w:tc>
          <w:tcPr>
            <w:tcW w:w="1358" w:type="dxa"/>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9</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28</w:t>
            </w:r>
          </w:p>
        </w:tc>
        <w:tc>
          <w:tcPr>
            <w:tcW w:w="888"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03</w:t>
            </w:r>
          </w:p>
        </w:tc>
        <w:tc>
          <w:tcPr>
            <w:tcW w:w="1080"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64</w:t>
            </w:r>
          </w:p>
        </w:tc>
        <w:tc>
          <w:tcPr>
            <w:tcW w:w="1260"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44</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64</w:t>
            </w:r>
          </w:p>
        </w:tc>
        <w:tc>
          <w:tcPr>
            <w:tcW w:w="1452"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30</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72</w:t>
            </w:r>
          </w:p>
        </w:tc>
        <w:tc>
          <w:tcPr>
            <w:tcW w:w="1252" w:type="dxa"/>
            <w:gridSpan w:val="2"/>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11</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22</w:t>
            </w:r>
          </w:p>
        </w:tc>
        <w:tc>
          <w:tcPr>
            <w:tcW w:w="984" w:type="dxa"/>
            <w:gridSpan w:val="3"/>
            <w:noWrap/>
            <w:hideMark/>
          </w:tcPr>
          <w:p w:rsidR="00852F75" w:rsidRPr="0063303A" w:rsidRDefault="00852F75" w:rsidP="005F5D09">
            <w:pPr>
              <w:ind w:leftChars="-8" w:hangingChars="8" w:hanging="18"/>
              <w:contextualSpacing/>
              <w:jc w:val="center"/>
              <w:cnfStyle w:val="000000010000"/>
              <w:rPr>
                <w:rFonts w:ascii="Calibri" w:eastAsia="Times New Roman" w:hAnsi="Calibri" w:cs="Calibri"/>
                <w:color w:val="000000"/>
                <w:lang w:val="en-US" w:eastAsia="en-US"/>
              </w:rPr>
            </w:pPr>
            <w:r w:rsidRPr="0063303A">
              <w:rPr>
                <w:rFonts w:ascii="Calibri" w:eastAsia="Times New Roman" w:hAnsi="Calibri" w:cs="Calibri"/>
                <w:color w:val="000000"/>
                <w:lang w:val="en-US" w:eastAsia="en-US"/>
              </w:rPr>
              <w:t>8</w:t>
            </w:r>
            <w:r>
              <w:rPr>
                <w:rFonts w:ascii="Calibri" w:eastAsia="Times New Roman" w:hAnsi="Calibri" w:cs="Calibri"/>
                <w:color w:val="000000"/>
                <w:lang w:val="en-US" w:eastAsia="en-US"/>
              </w:rPr>
              <w:t>,</w:t>
            </w:r>
            <w:r w:rsidRPr="0063303A">
              <w:rPr>
                <w:rFonts w:ascii="Calibri" w:eastAsia="Times New Roman" w:hAnsi="Calibri" w:cs="Calibri"/>
                <w:color w:val="000000"/>
                <w:lang w:val="en-US" w:eastAsia="en-US"/>
              </w:rPr>
              <w:t>10</w:t>
            </w:r>
          </w:p>
        </w:tc>
      </w:tr>
      <w:tr w:rsidR="00852F75" w:rsidRPr="0063303A" w:rsidTr="005F5D09">
        <w:trPr>
          <w:cnfStyle w:val="000000100000"/>
          <w:trHeight w:val="315"/>
          <w:jc w:val="center"/>
        </w:trPr>
        <w:tc>
          <w:tcPr>
            <w:cnfStyle w:val="001000000000"/>
            <w:tcW w:w="810" w:type="dxa"/>
            <w:noWrap/>
            <w:hideMark/>
          </w:tcPr>
          <w:p w:rsidR="00852F75" w:rsidRPr="00D37253" w:rsidRDefault="00852F75" w:rsidP="005F5D09">
            <w:pPr>
              <w:ind w:leftChars="-8" w:right="-248" w:hangingChars="8" w:hanging="18"/>
              <w:contextualSpacing/>
              <w:rPr>
                <w:rFonts w:ascii="Calibri" w:eastAsia="Times New Roman" w:hAnsi="Calibri" w:cs="Calibri"/>
                <w:bCs w:val="0"/>
                <w:color w:val="000000"/>
                <w:lang w:val="en-US" w:eastAsia="en-US"/>
              </w:rPr>
            </w:pPr>
            <w:r w:rsidRPr="00D37253">
              <w:rPr>
                <w:rFonts w:ascii="Calibri" w:eastAsia="Times New Roman" w:hAnsi="Calibri" w:cs="Calibri"/>
                <w:bCs w:val="0"/>
                <w:color w:val="000000"/>
                <w:lang w:val="en-US" w:eastAsia="en-US"/>
              </w:rPr>
              <w:t>2015</w:t>
            </w:r>
          </w:p>
        </w:tc>
        <w:tc>
          <w:tcPr>
            <w:tcW w:w="1080" w:type="dxa"/>
            <w:gridSpan w:val="2"/>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color w:val="000000"/>
                <w:lang w:val="en-US" w:eastAsia="en-US"/>
              </w:rPr>
            </w:pPr>
            <w:r w:rsidRPr="00D37253">
              <w:rPr>
                <w:rFonts w:ascii="Calibri" w:eastAsia="Times New Roman" w:hAnsi="Calibri" w:cs="Calibri"/>
                <w:b/>
                <w:color w:val="000000"/>
                <w:lang w:val="en-US" w:eastAsia="en-US"/>
              </w:rPr>
              <w:t>7,23</w:t>
            </w:r>
          </w:p>
        </w:tc>
        <w:tc>
          <w:tcPr>
            <w:tcW w:w="1358" w:type="dxa"/>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color w:val="000000"/>
                <w:lang w:val="en-US" w:eastAsia="en-US"/>
              </w:rPr>
            </w:pPr>
            <w:r w:rsidRPr="00D37253">
              <w:rPr>
                <w:rFonts w:ascii="Calibri" w:eastAsia="Times New Roman" w:hAnsi="Calibri" w:cs="Calibri"/>
                <w:b/>
                <w:color w:val="000000"/>
                <w:lang w:val="en-US" w:eastAsia="en-US"/>
              </w:rPr>
              <w:t>8,68</w:t>
            </w:r>
          </w:p>
        </w:tc>
        <w:tc>
          <w:tcPr>
            <w:tcW w:w="888" w:type="dxa"/>
            <w:gridSpan w:val="2"/>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color w:val="000000"/>
                <w:lang w:val="en-US" w:eastAsia="en-US"/>
              </w:rPr>
            </w:pPr>
            <w:r w:rsidRPr="00D37253">
              <w:rPr>
                <w:rFonts w:ascii="Calibri" w:eastAsia="Times New Roman" w:hAnsi="Calibri" w:cs="Calibri"/>
                <w:b/>
                <w:color w:val="000000"/>
                <w:lang w:val="en-US" w:eastAsia="en-US"/>
              </w:rPr>
              <w:t>4,39</w:t>
            </w:r>
          </w:p>
        </w:tc>
        <w:tc>
          <w:tcPr>
            <w:tcW w:w="1080" w:type="dxa"/>
            <w:gridSpan w:val="2"/>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color w:val="000000"/>
                <w:lang w:val="en-US" w:eastAsia="en-US"/>
              </w:rPr>
            </w:pPr>
            <w:r w:rsidRPr="00D37253">
              <w:rPr>
                <w:rFonts w:ascii="Calibri" w:eastAsia="Times New Roman" w:hAnsi="Calibri" w:cs="Calibri"/>
                <w:b/>
                <w:color w:val="000000"/>
                <w:lang w:val="en-US" w:eastAsia="en-US"/>
              </w:rPr>
              <w:t>4,09</w:t>
            </w:r>
          </w:p>
        </w:tc>
        <w:tc>
          <w:tcPr>
            <w:tcW w:w="1260" w:type="dxa"/>
            <w:gridSpan w:val="2"/>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lang w:val="en-US" w:eastAsia="en-US"/>
              </w:rPr>
            </w:pPr>
            <w:r w:rsidRPr="00D37253">
              <w:rPr>
                <w:rFonts w:ascii="Calibri" w:eastAsia="Times New Roman" w:hAnsi="Calibri" w:cs="Calibri"/>
                <w:b/>
                <w:lang w:val="en-US" w:eastAsia="en-US"/>
              </w:rPr>
              <w:t>50,75</w:t>
            </w:r>
          </w:p>
        </w:tc>
        <w:tc>
          <w:tcPr>
            <w:tcW w:w="1452" w:type="dxa"/>
            <w:gridSpan w:val="2"/>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lang w:val="en-US" w:eastAsia="en-US"/>
              </w:rPr>
            </w:pPr>
            <w:r w:rsidRPr="00D37253">
              <w:rPr>
                <w:rFonts w:ascii="Calibri" w:eastAsia="Times New Roman" w:hAnsi="Calibri" w:cs="Calibri"/>
                <w:b/>
                <w:lang w:val="en-US" w:eastAsia="en-US"/>
              </w:rPr>
              <w:t>32,80</w:t>
            </w:r>
          </w:p>
        </w:tc>
        <w:tc>
          <w:tcPr>
            <w:tcW w:w="1252" w:type="dxa"/>
            <w:gridSpan w:val="2"/>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color w:val="000000"/>
                <w:lang w:val="en-US" w:eastAsia="en-US"/>
              </w:rPr>
            </w:pPr>
            <w:r w:rsidRPr="00D37253">
              <w:rPr>
                <w:rFonts w:ascii="Calibri" w:eastAsia="Times New Roman" w:hAnsi="Calibri" w:cs="Calibri"/>
                <w:b/>
                <w:color w:val="000000"/>
                <w:lang w:val="en-US" w:eastAsia="en-US"/>
              </w:rPr>
              <w:t>9,84</w:t>
            </w:r>
          </w:p>
        </w:tc>
        <w:tc>
          <w:tcPr>
            <w:tcW w:w="984" w:type="dxa"/>
            <w:gridSpan w:val="3"/>
            <w:noWrap/>
            <w:hideMark/>
          </w:tcPr>
          <w:p w:rsidR="00852F75" w:rsidRPr="00D37253" w:rsidRDefault="00852F75" w:rsidP="005F5D09">
            <w:pPr>
              <w:ind w:leftChars="-8" w:hangingChars="8" w:hanging="18"/>
              <w:contextualSpacing/>
              <w:jc w:val="center"/>
              <w:cnfStyle w:val="000000100000"/>
              <w:rPr>
                <w:rFonts w:ascii="Calibri" w:eastAsia="Times New Roman" w:hAnsi="Calibri" w:cs="Calibri"/>
                <w:b/>
                <w:color w:val="000000"/>
                <w:lang w:val="en-US" w:eastAsia="en-US"/>
              </w:rPr>
            </w:pPr>
            <w:r w:rsidRPr="00D37253">
              <w:rPr>
                <w:rFonts w:ascii="Calibri" w:eastAsia="Times New Roman" w:hAnsi="Calibri" w:cs="Calibri"/>
                <w:b/>
                <w:color w:val="000000"/>
                <w:lang w:val="en-US" w:eastAsia="en-US"/>
              </w:rPr>
              <w:t>7,11</w:t>
            </w:r>
          </w:p>
        </w:tc>
      </w:tr>
    </w:tbl>
    <w:bookmarkEnd w:id="1"/>
    <w:p w:rsidR="00852F75" w:rsidRDefault="00852F75" w:rsidP="00852F75">
      <w:pPr>
        <w:contextualSpacing/>
        <w:jc w:val="both"/>
        <w:rPr>
          <w:sz w:val="24"/>
          <w:szCs w:val="24"/>
        </w:rPr>
      </w:pPr>
      <w:r w:rsidRPr="00B00768">
        <w:rPr>
          <w:b/>
        </w:rPr>
        <w:t>Sursa:</w:t>
      </w:r>
      <w:r w:rsidRPr="00B00768">
        <w:t xml:space="preserve"> Institutul Național de Statistică</w:t>
      </w:r>
      <w:r w:rsidRPr="00FC2461">
        <w:rPr>
          <w:sz w:val="24"/>
          <w:szCs w:val="24"/>
        </w:rPr>
        <w:t xml:space="preserve"> </w:t>
      </w:r>
    </w:p>
    <w:p w:rsidR="00852F75" w:rsidRPr="00BC6D40" w:rsidRDefault="00852F75" w:rsidP="00852F75">
      <w:pPr>
        <w:rPr>
          <w:b/>
        </w:rPr>
      </w:pPr>
    </w:p>
    <w:p w:rsidR="00852F75" w:rsidRPr="00694F2F" w:rsidRDefault="00852F75" w:rsidP="00852F75">
      <w:pPr>
        <w:pStyle w:val="Titlu3"/>
      </w:pPr>
      <w:r w:rsidRPr="00694F2F">
        <w:t>Indicele de specializare sectorială a exporturilor</w:t>
      </w:r>
    </w:p>
    <w:p w:rsidR="00852F75" w:rsidRDefault="00852F75" w:rsidP="00852F75">
      <w:pPr>
        <w:spacing w:before="240"/>
        <w:contextualSpacing/>
        <w:jc w:val="both"/>
        <w:rPr>
          <w:sz w:val="24"/>
          <w:szCs w:val="24"/>
        </w:rPr>
      </w:pPr>
      <w:r>
        <w:rPr>
          <w:sz w:val="24"/>
          <w:szCs w:val="24"/>
        </w:rPr>
        <w:t xml:space="preserve">Punând în relație ponderea la deținută de exporturile de textile și confecții în totalul exporturilor la nivel regional respectiv județean cu ponderea deținută la nivel național de exporturile realizate de sectorul textile-confecții putem calcula indicele de specializare sectorială a Regiunii Centru respectiv a județelor în ce privește exporturile de textile-confecții. În mod similar modului de calcul al indicelui de specializare sectorială a forței de muncă, prezentat anterior se determină indicele de specializare sectorială pentru exporturile de textile-confecții utilizând formula: </w:t>
      </w:r>
      <w:r>
        <w:rPr>
          <w:b/>
          <w:bCs/>
          <w:sz w:val="24"/>
          <w:szCs w:val="24"/>
        </w:rPr>
        <w:t>ISSE</w:t>
      </w:r>
      <w:r w:rsidRPr="00FA1911">
        <w:rPr>
          <w:b/>
          <w:bCs/>
          <w:sz w:val="24"/>
          <w:szCs w:val="24"/>
        </w:rPr>
        <w:t>= (</w:t>
      </w:r>
      <w:r>
        <w:rPr>
          <w:b/>
          <w:bCs/>
          <w:sz w:val="24"/>
          <w:szCs w:val="24"/>
        </w:rPr>
        <w:t>e</w:t>
      </w:r>
      <w:r w:rsidRPr="00FA1911">
        <w:rPr>
          <w:b/>
          <w:bCs/>
          <w:sz w:val="24"/>
          <w:szCs w:val="24"/>
          <w:vertAlign w:val="subscript"/>
        </w:rPr>
        <w:t>ij</w:t>
      </w:r>
      <w:r w:rsidRPr="00FA1911">
        <w:rPr>
          <w:b/>
          <w:bCs/>
          <w:sz w:val="24"/>
          <w:szCs w:val="24"/>
        </w:rPr>
        <w:t>/</w:t>
      </w:r>
      <w:r>
        <w:rPr>
          <w:b/>
          <w:bCs/>
          <w:sz w:val="24"/>
          <w:szCs w:val="24"/>
        </w:rPr>
        <w:t>E</w:t>
      </w:r>
      <w:r w:rsidRPr="00FA1911">
        <w:rPr>
          <w:b/>
          <w:bCs/>
          <w:sz w:val="24"/>
          <w:szCs w:val="24"/>
          <w:vertAlign w:val="subscript"/>
        </w:rPr>
        <w:t>it</w:t>
      </w:r>
      <w:r w:rsidRPr="00FA1911">
        <w:rPr>
          <w:b/>
          <w:bCs/>
          <w:sz w:val="24"/>
          <w:szCs w:val="24"/>
        </w:rPr>
        <w:t>)/ (</w:t>
      </w:r>
      <w:r>
        <w:rPr>
          <w:b/>
          <w:bCs/>
          <w:sz w:val="24"/>
          <w:szCs w:val="24"/>
        </w:rPr>
        <w:t>e</w:t>
      </w:r>
      <w:r w:rsidRPr="00FA1911">
        <w:rPr>
          <w:b/>
          <w:bCs/>
          <w:sz w:val="24"/>
          <w:szCs w:val="24"/>
          <w:vertAlign w:val="subscript"/>
        </w:rPr>
        <w:t>nj</w:t>
      </w:r>
      <w:r w:rsidRPr="00FA1911">
        <w:rPr>
          <w:b/>
          <w:bCs/>
          <w:sz w:val="24"/>
          <w:szCs w:val="24"/>
        </w:rPr>
        <w:t>/</w:t>
      </w:r>
      <w:r>
        <w:rPr>
          <w:b/>
          <w:bCs/>
          <w:sz w:val="24"/>
          <w:szCs w:val="24"/>
        </w:rPr>
        <w:t>E</w:t>
      </w:r>
      <w:r w:rsidRPr="00FA1911">
        <w:rPr>
          <w:b/>
          <w:bCs/>
          <w:sz w:val="24"/>
          <w:szCs w:val="24"/>
          <w:vertAlign w:val="subscript"/>
        </w:rPr>
        <w:t>nt</w:t>
      </w:r>
      <w:r w:rsidRPr="00FA1911">
        <w:rPr>
          <w:b/>
          <w:bCs/>
          <w:sz w:val="24"/>
          <w:szCs w:val="24"/>
        </w:rPr>
        <w:t xml:space="preserve">), </w:t>
      </w:r>
      <w:r w:rsidRPr="00FA1911">
        <w:rPr>
          <w:sz w:val="24"/>
          <w:szCs w:val="24"/>
        </w:rPr>
        <w:t xml:space="preserve">unde </w:t>
      </w:r>
      <w:r w:rsidRPr="00784C47">
        <w:rPr>
          <w:b/>
          <w:sz w:val="24"/>
          <w:szCs w:val="24"/>
        </w:rPr>
        <w:t>e</w:t>
      </w:r>
      <w:r w:rsidRPr="00784C47">
        <w:rPr>
          <w:b/>
          <w:bCs/>
          <w:sz w:val="24"/>
          <w:szCs w:val="24"/>
          <w:vertAlign w:val="subscript"/>
        </w:rPr>
        <w:t>ij</w:t>
      </w:r>
      <w:r w:rsidRPr="00FA1911">
        <w:rPr>
          <w:b/>
          <w:bCs/>
          <w:sz w:val="24"/>
          <w:szCs w:val="24"/>
        </w:rPr>
        <w:t xml:space="preserve"> </w:t>
      </w:r>
      <w:r w:rsidRPr="00FA1911">
        <w:rPr>
          <w:sz w:val="24"/>
          <w:szCs w:val="24"/>
        </w:rPr>
        <w:t>și</w:t>
      </w:r>
      <w:r w:rsidRPr="00FA1911">
        <w:rPr>
          <w:b/>
          <w:bCs/>
          <w:sz w:val="24"/>
          <w:szCs w:val="24"/>
        </w:rPr>
        <w:t xml:space="preserve"> </w:t>
      </w:r>
      <w:r>
        <w:rPr>
          <w:b/>
          <w:bCs/>
          <w:sz w:val="24"/>
          <w:szCs w:val="24"/>
        </w:rPr>
        <w:t>E</w:t>
      </w:r>
      <w:r w:rsidRPr="00FA1911">
        <w:rPr>
          <w:b/>
          <w:bCs/>
          <w:sz w:val="24"/>
          <w:szCs w:val="24"/>
          <w:vertAlign w:val="subscript"/>
        </w:rPr>
        <w:t xml:space="preserve">it </w:t>
      </w:r>
      <w:r w:rsidRPr="00FA1911">
        <w:rPr>
          <w:sz w:val="24"/>
          <w:szCs w:val="24"/>
        </w:rPr>
        <w:t xml:space="preserve">reprezintă </w:t>
      </w:r>
      <w:r>
        <w:rPr>
          <w:sz w:val="24"/>
          <w:szCs w:val="24"/>
        </w:rPr>
        <w:t>exportul</w:t>
      </w:r>
      <w:r w:rsidRPr="00FA1911">
        <w:rPr>
          <w:sz w:val="24"/>
          <w:szCs w:val="24"/>
        </w:rPr>
        <w:t xml:space="preserve"> la nivelul Regiunii i </w:t>
      </w:r>
      <w:r>
        <w:rPr>
          <w:sz w:val="24"/>
          <w:szCs w:val="24"/>
        </w:rPr>
        <w:t>din</w:t>
      </w:r>
      <w:r w:rsidRPr="00FA1911">
        <w:rPr>
          <w:sz w:val="24"/>
          <w:szCs w:val="24"/>
        </w:rPr>
        <w:t xml:space="preserve"> sectorul j respectiv </w:t>
      </w:r>
      <w:r>
        <w:rPr>
          <w:sz w:val="24"/>
          <w:szCs w:val="24"/>
        </w:rPr>
        <w:t>exportul</w:t>
      </w:r>
      <w:r w:rsidRPr="00FA1911">
        <w:rPr>
          <w:sz w:val="24"/>
          <w:szCs w:val="24"/>
        </w:rPr>
        <w:t xml:space="preserve"> la nivelul Regiunii i </w:t>
      </w:r>
      <w:r>
        <w:rPr>
          <w:sz w:val="24"/>
          <w:szCs w:val="24"/>
        </w:rPr>
        <w:t>din</w:t>
      </w:r>
      <w:r w:rsidRPr="00FA1911">
        <w:rPr>
          <w:sz w:val="24"/>
          <w:szCs w:val="24"/>
        </w:rPr>
        <w:t xml:space="preserve"> toate sectoarele economice, iar </w:t>
      </w:r>
      <w:r w:rsidRPr="00784C47">
        <w:rPr>
          <w:b/>
          <w:sz w:val="24"/>
          <w:szCs w:val="24"/>
        </w:rPr>
        <w:t>e</w:t>
      </w:r>
      <w:r w:rsidRPr="00784C47">
        <w:rPr>
          <w:b/>
          <w:bCs/>
          <w:sz w:val="24"/>
          <w:szCs w:val="24"/>
          <w:vertAlign w:val="subscript"/>
        </w:rPr>
        <w:t>n</w:t>
      </w:r>
      <w:r w:rsidRPr="00FA1911">
        <w:rPr>
          <w:b/>
          <w:bCs/>
          <w:sz w:val="24"/>
          <w:szCs w:val="24"/>
          <w:vertAlign w:val="subscript"/>
        </w:rPr>
        <w:t>j</w:t>
      </w:r>
      <w:r w:rsidRPr="00FA1911">
        <w:rPr>
          <w:b/>
          <w:bCs/>
          <w:sz w:val="24"/>
          <w:szCs w:val="24"/>
        </w:rPr>
        <w:t xml:space="preserve"> </w:t>
      </w:r>
      <w:r w:rsidRPr="00FA1911">
        <w:rPr>
          <w:sz w:val="24"/>
          <w:szCs w:val="24"/>
        </w:rPr>
        <w:t>și</w:t>
      </w:r>
      <w:r w:rsidRPr="00FA1911">
        <w:rPr>
          <w:b/>
          <w:bCs/>
          <w:sz w:val="24"/>
          <w:szCs w:val="24"/>
        </w:rPr>
        <w:t xml:space="preserve"> </w:t>
      </w:r>
      <w:r>
        <w:rPr>
          <w:b/>
          <w:bCs/>
          <w:sz w:val="24"/>
          <w:szCs w:val="24"/>
        </w:rPr>
        <w:t>E</w:t>
      </w:r>
      <w:r w:rsidRPr="00FA1911">
        <w:rPr>
          <w:b/>
          <w:bCs/>
          <w:sz w:val="24"/>
          <w:szCs w:val="24"/>
          <w:vertAlign w:val="subscript"/>
        </w:rPr>
        <w:t>nt</w:t>
      </w:r>
      <w:r w:rsidRPr="00FA1911">
        <w:rPr>
          <w:b/>
          <w:bCs/>
          <w:sz w:val="24"/>
          <w:szCs w:val="24"/>
        </w:rPr>
        <w:t xml:space="preserve"> </w:t>
      </w:r>
      <w:r w:rsidRPr="00FA1911">
        <w:rPr>
          <w:sz w:val="24"/>
          <w:szCs w:val="24"/>
        </w:rPr>
        <w:t xml:space="preserve">reprezintă </w:t>
      </w:r>
      <w:r>
        <w:rPr>
          <w:sz w:val="24"/>
          <w:szCs w:val="24"/>
        </w:rPr>
        <w:t xml:space="preserve">exportul </w:t>
      </w:r>
      <w:r w:rsidRPr="00FA1911">
        <w:rPr>
          <w:sz w:val="24"/>
          <w:szCs w:val="24"/>
        </w:rPr>
        <w:t xml:space="preserve">la nivel național </w:t>
      </w:r>
      <w:r>
        <w:rPr>
          <w:sz w:val="24"/>
          <w:szCs w:val="24"/>
        </w:rPr>
        <w:t>din</w:t>
      </w:r>
      <w:r w:rsidRPr="00FA1911">
        <w:rPr>
          <w:sz w:val="24"/>
          <w:szCs w:val="24"/>
        </w:rPr>
        <w:t xml:space="preserve"> sectorul j respectiv </w:t>
      </w:r>
      <w:r>
        <w:rPr>
          <w:sz w:val="24"/>
          <w:szCs w:val="24"/>
        </w:rPr>
        <w:t>exportul</w:t>
      </w:r>
      <w:r w:rsidRPr="00FA1911">
        <w:rPr>
          <w:sz w:val="24"/>
          <w:szCs w:val="24"/>
        </w:rPr>
        <w:t xml:space="preserve"> la nivelul național </w:t>
      </w:r>
      <w:r>
        <w:rPr>
          <w:sz w:val="24"/>
          <w:szCs w:val="24"/>
        </w:rPr>
        <w:t>din</w:t>
      </w:r>
      <w:r w:rsidRPr="00FA1911">
        <w:rPr>
          <w:sz w:val="24"/>
          <w:szCs w:val="24"/>
        </w:rPr>
        <w:t xml:space="preserve"> toate sectoarele economice</w:t>
      </w:r>
      <w:r>
        <w:rPr>
          <w:sz w:val="24"/>
          <w:szCs w:val="24"/>
        </w:rPr>
        <w:t>.</w:t>
      </w:r>
    </w:p>
    <w:p w:rsidR="00852F75" w:rsidRDefault="00852F75" w:rsidP="00852F75">
      <w:pPr>
        <w:spacing w:before="240"/>
        <w:contextualSpacing/>
        <w:jc w:val="both"/>
        <w:rPr>
          <w:sz w:val="24"/>
          <w:szCs w:val="24"/>
        </w:rPr>
      </w:pPr>
    </w:p>
    <w:p w:rsidR="00852F75" w:rsidRDefault="00852F75" w:rsidP="00852F75">
      <w:pPr>
        <w:spacing w:before="240"/>
        <w:contextualSpacing/>
        <w:jc w:val="both"/>
        <w:rPr>
          <w:sz w:val="24"/>
          <w:szCs w:val="24"/>
        </w:rPr>
      </w:pPr>
      <w:r>
        <w:rPr>
          <w:sz w:val="24"/>
          <w:szCs w:val="24"/>
        </w:rPr>
        <w:t xml:space="preserve">La nivelul Regiunii Centru indicele de specializare regională a scăzut în perioada 2011-2015 de la 1,60 la 1,20, rămânând  totuși supraunitar și indicând o specializare la nivelul Regiunii Centru în ce privește sectorul textile-confecții. Trecând la nivelul județelor, se remarcă valoarea foarte indicată a indicelui de specializare sectorială în cazul județelor Covasna și Harghita (7,02 respectiv 4,54 în anul 2015), greutatea acestui sector în exporturile celor două județe  și, implicit, importanța industriei textilă-confecții pentru economia celor două județe menționate mai sus. </w:t>
      </w:r>
    </w:p>
    <w:p w:rsidR="00852F75" w:rsidRDefault="00852F75" w:rsidP="00852F75">
      <w:pPr>
        <w:pStyle w:val="Frspaiere"/>
        <w:spacing w:after="200" w:line="276" w:lineRule="auto"/>
        <w:contextualSpacing/>
        <w:jc w:val="center"/>
        <w:rPr>
          <w:b/>
          <w:sz w:val="24"/>
          <w:szCs w:val="24"/>
        </w:rPr>
      </w:pPr>
      <w:r>
        <w:rPr>
          <w:b/>
          <w:sz w:val="24"/>
          <w:szCs w:val="24"/>
        </w:rPr>
        <w:t>Tab. 11 Evoluția indicelui de specializare sectorială</w:t>
      </w:r>
    </w:p>
    <w:p w:rsidR="00852F75" w:rsidRDefault="00852F75" w:rsidP="00852F75">
      <w:pPr>
        <w:pStyle w:val="Frspaiere"/>
        <w:spacing w:after="200" w:line="276" w:lineRule="auto"/>
        <w:contextualSpacing/>
        <w:jc w:val="center"/>
        <w:rPr>
          <w:b/>
          <w:sz w:val="24"/>
          <w:szCs w:val="24"/>
        </w:rPr>
      </w:pPr>
    </w:p>
    <w:tbl>
      <w:tblPr>
        <w:tblStyle w:val="Umbriremedie1-Accentuare11"/>
        <w:tblW w:w="0" w:type="auto"/>
        <w:tblLook w:val="04A0"/>
      </w:tblPr>
      <w:tblGrid>
        <w:gridCol w:w="1161"/>
        <w:gridCol w:w="1161"/>
        <w:gridCol w:w="1161"/>
        <w:gridCol w:w="1161"/>
        <w:gridCol w:w="1161"/>
        <w:gridCol w:w="1161"/>
        <w:gridCol w:w="1161"/>
        <w:gridCol w:w="1161"/>
      </w:tblGrid>
      <w:tr w:rsidR="00852F75" w:rsidRPr="00571DE4" w:rsidTr="005F5D09">
        <w:trPr>
          <w:cnfStyle w:val="100000000000"/>
        </w:trPr>
        <w:tc>
          <w:tcPr>
            <w:cnfStyle w:val="001000000000"/>
            <w:tcW w:w="1161" w:type="dxa"/>
          </w:tcPr>
          <w:p w:rsidR="00852F75" w:rsidRDefault="00852F75" w:rsidP="005F5D09">
            <w:pPr>
              <w:contextualSpacing/>
              <w:rPr>
                <w:b w:val="0"/>
                <w:sz w:val="24"/>
                <w:szCs w:val="24"/>
              </w:rPr>
            </w:pPr>
          </w:p>
        </w:tc>
        <w:tc>
          <w:tcPr>
            <w:tcW w:w="1161" w:type="dxa"/>
          </w:tcPr>
          <w:p w:rsidR="00852F75" w:rsidRPr="00571DE4" w:rsidRDefault="00852F75" w:rsidP="005F5D09">
            <w:pPr>
              <w:contextualSpacing/>
              <w:jc w:val="center"/>
              <w:cnfStyle w:val="100000000000"/>
              <w:rPr>
                <w:sz w:val="24"/>
                <w:szCs w:val="24"/>
              </w:rPr>
            </w:pPr>
            <w:r w:rsidRPr="00571DE4">
              <w:rPr>
                <w:sz w:val="24"/>
                <w:szCs w:val="24"/>
              </w:rPr>
              <w:t>Reg. Centru</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Alba</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Brașov</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Covasna</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Harghita</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Mureș</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Sibiu</w:t>
            </w:r>
          </w:p>
        </w:tc>
      </w:tr>
      <w:tr w:rsidR="00852F75" w:rsidRPr="00337029" w:rsidTr="005F5D09">
        <w:trPr>
          <w:cnfStyle w:val="000000100000"/>
        </w:trPr>
        <w:tc>
          <w:tcPr>
            <w:cnfStyle w:val="001000000000"/>
            <w:tcW w:w="1161" w:type="dxa"/>
          </w:tcPr>
          <w:p w:rsidR="00852F75" w:rsidRPr="00337029" w:rsidRDefault="00852F75" w:rsidP="005F5D09">
            <w:pPr>
              <w:ind w:right="-247"/>
              <w:contextualSpacing/>
              <w:jc w:val="center"/>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2011</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1,60</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0,88</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0,64</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6,46</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4,85</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1,55</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1,73</w:t>
            </w:r>
          </w:p>
        </w:tc>
      </w:tr>
      <w:tr w:rsidR="00852F75" w:rsidRPr="00337029" w:rsidTr="005F5D09">
        <w:trPr>
          <w:cnfStyle w:val="000000010000"/>
        </w:trPr>
        <w:tc>
          <w:tcPr>
            <w:cnfStyle w:val="001000000000"/>
            <w:tcW w:w="1161" w:type="dxa"/>
          </w:tcPr>
          <w:p w:rsidR="00852F75" w:rsidRPr="00337029" w:rsidRDefault="00852F75" w:rsidP="005F5D09">
            <w:pPr>
              <w:ind w:right="-247"/>
              <w:contextualSpacing/>
              <w:jc w:val="center"/>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2012</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1,40</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0,78</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0,56</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5,72</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4,71</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1,29</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1,53</w:t>
            </w:r>
          </w:p>
        </w:tc>
      </w:tr>
      <w:tr w:rsidR="00852F75" w:rsidRPr="00337029" w:rsidTr="005F5D09">
        <w:trPr>
          <w:cnfStyle w:val="000000100000"/>
        </w:trPr>
        <w:tc>
          <w:tcPr>
            <w:cnfStyle w:val="001000000000"/>
            <w:tcW w:w="1161" w:type="dxa"/>
          </w:tcPr>
          <w:p w:rsidR="00852F75" w:rsidRPr="00337029" w:rsidRDefault="00852F75" w:rsidP="005F5D09">
            <w:pPr>
              <w:ind w:right="-247"/>
              <w:contextualSpacing/>
              <w:jc w:val="center"/>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2013</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1,25</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0,65</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0,60</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5,69</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4,18</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1,46</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1,10</w:t>
            </w:r>
          </w:p>
        </w:tc>
      </w:tr>
      <w:tr w:rsidR="00852F75" w:rsidRPr="00337029" w:rsidTr="005F5D09">
        <w:trPr>
          <w:cnfStyle w:val="000000010000"/>
        </w:trPr>
        <w:tc>
          <w:tcPr>
            <w:cnfStyle w:val="001000000000"/>
            <w:tcW w:w="1161" w:type="dxa"/>
          </w:tcPr>
          <w:p w:rsidR="00852F75" w:rsidRPr="00337029" w:rsidRDefault="00852F75" w:rsidP="005F5D09">
            <w:pPr>
              <w:ind w:right="-247"/>
              <w:contextualSpacing/>
              <w:jc w:val="center"/>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2014</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1,25</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0,54</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0,63</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6,03</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4,15</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1,51</w:t>
            </w:r>
          </w:p>
        </w:tc>
        <w:tc>
          <w:tcPr>
            <w:tcW w:w="1161" w:type="dxa"/>
            <w:vAlign w:val="bottom"/>
          </w:tcPr>
          <w:p w:rsidR="00852F75" w:rsidRDefault="00852F75" w:rsidP="005F5D09">
            <w:pPr>
              <w:contextualSpacing/>
              <w:jc w:val="center"/>
              <w:cnfStyle w:val="000000010000"/>
              <w:rPr>
                <w:rFonts w:ascii="Calibri" w:hAnsi="Calibri" w:cs="Calibri"/>
                <w:color w:val="000000"/>
              </w:rPr>
            </w:pPr>
            <w:r>
              <w:rPr>
                <w:rFonts w:ascii="Calibri" w:hAnsi="Calibri" w:cs="Calibri"/>
                <w:color w:val="000000"/>
              </w:rPr>
              <w:t>1,09</w:t>
            </w:r>
          </w:p>
        </w:tc>
      </w:tr>
      <w:tr w:rsidR="00852F75" w:rsidRPr="00337029" w:rsidTr="005F5D09">
        <w:trPr>
          <w:cnfStyle w:val="000000100000"/>
        </w:trPr>
        <w:tc>
          <w:tcPr>
            <w:cnfStyle w:val="001000000000"/>
            <w:tcW w:w="1161" w:type="dxa"/>
          </w:tcPr>
          <w:p w:rsidR="00852F75" w:rsidRPr="00337029" w:rsidRDefault="00852F75" w:rsidP="005F5D09">
            <w:pPr>
              <w:ind w:right="-247"/>
              <w:contextualSpacing/>
              <w:jc w:val="center"/>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2015</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1,20</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0,61</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0,57</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7,02</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4,54</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1,36</w:t>
            </w:r>
          </w:p>
        </w:tc>
        <w:tc>
          <w:tcPr>
            <w:tcW w:w="1161" w:type="dxa"/>
            <w:vAlign w:val="bottom"/>
          </w:tcPr>
          <w:p w:rsidR="00852F75" w:rsidRDefault="00852F75" w:rsidP="005F5D09">
            <w:pPr>
              <w:contextualSpacing/>
              <w:jc w:val="center"/>
              <w:cnfStyle w:val="000000100000"/>
              <w:rPr>
                <w:rFonts w:ascii="Calibri" w:hAnsi="Calibri" w:cs="Calibri"/>
                <w:color w:val="000000"/>
              </w:rPr>
            </w:pPr>
            <w:r>
              <w:rPr>
                <w:rFonts w:ascii="Calibri" w:hAnsi="Calibri" w:cs="Calibri"/>
                <w:color w:val="000000"/>
              </w:rPr>
              <w:t>0,98</w:t>
            </w:r>
          </w:p>
        </w:tc>
      </w:tr>
    </w:tbl>
    <w:p w:rsidR="00852F75" w:rsidRPr="001E7294" w:rsidRDefault="00852F75" w:rsidP="00852F75">
      <w:pPr>
        <w:contextualSpacing/>
        <w:jc w:val="both"/>
        <w:rPr>
          <w:sz w:val="24"/>
          <w:szCs w:val="24"/>
        </w:rPr>
      </w:pPr>
      <w:r w:rsidRPr="001E7294">
        <w:rPr>
          <w:sz w:val="24"/>
          <w:szCs w:val="24"/>
        </w:rPr>
        <w:lastRenderedPageBreak/>
        <w:t>Deși a scăzut în valoare absolută și ca pondere în totalul exporturilor la nivel județean, Sibiul se menține pe primul loc  în Regiunea Centru în ce privește valoarea exporturilor de textile și confecții</w:t>
      </w:r>
      <w:r>
        <w:rPr>
          <w:sz w:val="24"/>
          <w:szCs w:val="24"/>
        </w:rPr>
        <w:t xml:space="preserve"> și cumulează aproape un sfert din exporturile regionale ale sectorului textile-confecții. Județul Sibiu este urmat de Covasna (cu o pondere de 22,6% din totalul regional) și de Brașov (17,2% din exporturile regionale de textile). Cu toate că textilele și confecțiile dețin 1/3 din exporturile la nivel județean, Harghita se plasează abia pe locul 4 în ierarhia regională, cu o pondere de 15% din exporturile de textile și confecții ale  Regiunii Centru </w:t>
      </w:r>
    </w:p>
    <w:p w:rsidR="00852F75" w:rsidRPr="001E7294" w:rsidRDefault="00852F75" w:rsidP="00852F75">
      <w:pPr>
        <w:contextualSpacing/>
        <w:jc w:val="both"/>
        <w:rPr>
          <w:sz w:val="24"/>
          <w:szCs w:val="24"/>
        </w:rPr>
      </w:pPr>
    </w:p>
    <w:p w:rsidR="00852F75" w:rsidRDefault="00852F75" w:rsidP="00852F75">
      <w:pPr>
        <w:pStyle w:val="Frspaiere"/>
        <w:spacing w:after="200" w:line="276" w:lineRule="auto"/>
        <w:contextualSpacing/>
        <w:jc w:val="center"/>
        <w:rPr>
          <w:b/>
          <w:sz w:val="24"/>
          <w:szCs w:val="24"/>
        </w:rPr>
      </w:pPr>
      <w:r w:rsidRPr="00784C47">
        <w:rPr>
          <w:b/>
          <w:noProof/>
          <w:sz w:val="24"/>
          <w:szCs w:val="24"/>
          <w:lang w:val="en-US" w:eastAsia="en-US"/>
        </w:rPr>
        <w:drawing>
          <wp:inline distT="0" distB="0" distL="0" distR="0">
            <wp:extent cx="4467225" cy="3390900"/>
            <wp:effectExtent l="19050" t="0" r="9525" b="0"/>
            <wp:docPr id="7"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2F75" w:rsidRPr="00BC6D40" w:rsidRDefault="00852F75" w:rsidP="00852F75">
      <w:pPr>
        <w:contextualSpacing/>
        <w:jc w:val="both"/>
        <w:rPr>
          <w:b/>
          <w:sz w:val="24"/>
          <w:szCs w:val="24"/>
          <w:shd w:val="clear" w:color="auto" w:fill="FFFFFF"/>
        </w:rPr>
      </w:pPr>
      <w:r>
        <w:rPr>
          <w:sz w:val="24"/>
          <w:szCs w:val="24"/>
          <w:shd w:val="clear" w:color="auto" w:fill="FFFFFF"/>
        </w:rPr>
        <w:tab/>
      </w:r>
      <w:r w:rsidRPr="00BC6D40">
        <w:rPr>
          <w:b/>
          <w:sz w:val="24"/>
          <w:szCs w:val="24"/>
          <w:shd w:val="clear" w:color="auto" w:fill="FFFFFF"/>
        </w:rPr>
        <w:t>Fig. 4</w:t>
      </w:r>
    </w:p>
    <w:p w:rsidR="00852F75" w:rsidRDefault="00852F75" w:rsidP="00852F75">
      <w:pPr>
        <w:contextualSpacing/>
        <w:jc w:val="both"/>
        <w:rPr>
          <w:sz w:val="24"/>
          <w:szCs w:val="24"/>
          <w:shd w:val="clear" w:color="auto" w:fill="FFFFFF"/>
        </w:rPr>
      </w:pPr>
      <w:r>
        <w:rPr>
          <w:sz w:val="24"/>
          <w:szCs w:val="24"/>
          <w:shd w:val="clear" w:color="auto" w:fill="FFFFFF"/>
        </w:rPr>
        <w:t xml:space="preserve">Raportându-ne la totalul național, Regiunea Centru deținea în 2015, 16,84% din totalul exporturilor naționale ale sectorului, în scădere de la 20,53% în anul 2011. Luate individual, județele Regiunii Centru au realizat în 2015 între 1,14% (județul Alba) și 4,15% (județul Sibiu) din totalul exporturilor naționale de textile și confecții textile. </w:t>
      </w:r>
    </w:p>
    <w:p w:rsidR="00852F75" w:rsidRPr="00337029" w:rsidRDefault="00852F75" w:rsidP="00852F75">
      <w:pPr>
        <w:pStyle w:val="Frspaiere"/>
        <w:spacing w:after="200" w:line="276" w:lineRule="auto"/>
        <w:contextualSpacing/>
        <w:jc w:val="center"/>
        <w:rPr>
          <w:b/>
          <w:sz w:val="24"/>
          <w:szCs w:val="24"/>
        </w:rPr>
      </w:pPr>
      <w:r>
        <w:rPr>
          <w:b/>
          <w:sz w:val="24"/>
          <w:szCs w:val="24"/>
        </w:rPr>
        <w:t xml:space="preserve">Tab. 12 </w:t>
      </w:r>
      <w:r w:rsidRPr="00337029">
        <w:rPr>
          <w:b/>
          <w:sz w:val="24"/>
          <w:szCs w:val="24"/>
        </w:rPr>
        <w:t xml:space="preserve">Ponderea </w:t>
      </w:r>
      <w:r>
        <w:rPr>
          <w:b/>
          <w:sz w:val="24"/>
          <w:szCs w:val="24"/>
        </w:rPr>
        <w:t>R</w:t>
      </w:r>
      <w:r w:rsidRPr="00337029">
        <w:rPr>
          <w:b/>
          <w:sz w:val="24"/>
          <w:szCs w:val="24"/>
        </w:rPr>
        <w:t xml:space="preserve">egiunii </w:t>
      </w:r>
      <w:r>
        <w:rPr>
          <w:b/>
          <w:sz w:val="24"/>
          <w:szCs w:val="24"/>
        </w:rPr>
        <w:t>C</w:t>
      </w:r>
      <w:r w:rsidRPr="00337029">
        <w:rPr>
          <w:b/>
          <w:sz w:val="24"/>
          <w:szCs w:val="24"/>
        </w:rPr>
        <w:t xml:space="preserve">entru şi a judeţelor în </w:t>
      </w:r>
      <w:r>
        <w:rPr>
          <w:b/>
          <w:sz w:val="24"/>
          <w:szCs w:val="24"/>
        </w:rPr>
        <w:t xml:space="preserve">exportul național de </w:t>
      </w:r>
      <w:r w:rsidRPr="00337029">
        <w:rPr>
          <w:b/>
          <w:sz w:val="24"/>
          <w:szCs w:val="24"/>
        </w:rPr>
        <w:t xml:space="preserve">textile </w:t>
      </w:r>
      <w:r>
        <w:rPr>
          <w:b/>
          <w:sz w:val="24"/>
          <w:szCs w:val="24"/>
        </w:rPr>
        <w:t xml:space="preserve">și confecții </w:t>
      </w:r>
    </w:p>
    <w:p w:rsidR="00852F75" w:rsidRPr="00337029" w:rsidRDefault="00852F75" w:rsidP="00852F75">
      <w:pPr>
        <w:pStyle w:val="Frspaiere"/>
        <w:spacing w:line="276" w:lineRule="auto"/>
        <w:ind w:right="-648"/>
        <w:contextualSpacing/>
        <w:jc w:val="center"/>
        <w:rPr>
          <w:b/>
          <w:sz w:val="24"/>
          <w:szCs w:val="24"/>
        </w:rPr>
      </w:pP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r>
      <w:r>
        <w:rPr>
          <w:rFonts w:ascii="Calibri" w:eastAsia="Times New Roman" w:hAnsi="Calibri" w:cs="Calibri"/>
          <w:b/>
          <w:color w:val="000000"/>
          <w:lang w:val="en-US" w:eastAsia="en-US"/>
        </w:rPr>
        <w:tab/>
        <w:t>-</w:t>
      </w:r>
      <w:r w:rsidRPr="00337029">
        <w:rPr>
          <w:rFonts w:ascii="Calibri" w:eastAsia="Times New Roman" w:hAnsi="Calibri" w:cs="Calibri"/>
          <w:b/>
          <w:color w:val="000000"/>
          <w:lang w:val="en-US" w:eastAsia="en-US"/>
        </w:rPr>
        <w:t>%</w:t>
      </w:r>
      <w:r>
        <w:rPr>
          <w:rFonts w:ascii="Calibri" w:eastAsia="Times New Roman" w:hAnsi="Calibri" w:cs="Calibri"/>
          <w:b/>
          <w:color w:val="000000"/>
          <w:lang w:val="en-US" w:eastAsia="en-US"/>
        </w:rPr>
        <w:t>-</w:t>
      </w:r>
    </w:p>
    <w:tbl>
      <w:tblPr>
        <w:tblStyle w:val="Umbriremedie1-Accentuare11"/>
        <w:tblW w:w="0" w:type="auto"/>
        <w:tblLook w:val="04A0"/>
      </w:tblPr>
      <w:tblGrid>
        <w:gridCol w:w="1161"/>
        <w:gridCol w:w="1161"/>
        <w:gridCol w:w="1161"/>
        <w:gridCol w:w="1161"/>
        <w:gridCol w:w="1161"/>
        <w:gridCol w:w="1161"/>
        <w:gridCol w:w="1161"/>
        <w:gridCol w:w="1161"/>
      </w:tblGrid>
      <w:tr w:rsidR="00852F75" w:rsidTr="005F5D09">
        <w:trPr>
          <w:cnfStyle w:val="100000000000"/>
        </w:trPr>
        <w:tc>
          <w:tcPr>
            <w:cnfStyle w:val="001000000000"/>
            <w:tcW w:w="1161" w:type="dxa"/>
          </w:tcPr>
          <w:p w:rsidR="00852F75" w:rsidRDefault="00852F75" w:rsidP="005F5D09">
            <w:pPr>
              <w:contextualSpacing/>
              <w:rPr>
                <w:b w:val="0"/>
                <w:sz w:val="24"/>
                <w:szCs w:val="24"/>
              </w:rPr>
            </w:pPr>
          </w:p>
        </w:tc>
        <w:tc>
          <w:tcPr>
            <w:tcW w:w="1161" w:type="dxa"/>
          </w:tcPr>
          <w:p w:rsidR="00852F75" w:rsidRPr="00571DE4" w:rsidRDefault="00852F75" w:rsidP="005F5D09">
            <w:pPr>
              <w:contextualSpacing/>
              <w:jc w:val="center"/>
              <w:cnfStyle w:val="100000000000"/>
              <w:rPr>
                <w:sz w:val="24"/>
                <w:szCs w:val="24"/>
              </w:rPr>
            </w:pPr>
            <w:r w:rsidRPr="00571DE4">
              <w:rPr>
                <w:sz w:val="24"/>
                <w:szCs w:val="24"/>
              </w:rPr>
              <w:t>Reg. Centru</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Alba</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Brașov</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Covasna</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Harghita</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Mureș</w:t>
            </w:r>
          </w:p>
        </w:tc>
        <w:tc>
          <w:tcPr>
            <w:tcW w:w="1161" w:type="dxa"/>
          </w:tcPr>
          <w:p w:rsidR="00852F75" w:rsidRPr="00571DE4" w:rsidRDefault="00852F75" w:rsidP="005F5D09">
            <w:pPr>
              <w:contextualSpacing/>
              <w:jc w:val="center"/>
              <w:cnfStyle w:val="100000000000"/>
              <w:rPr>
                <w:sz w:val="24"/>
                <w:szCs w:val="24"/>
              </w:rPr>
            </w:pPr>
            <w:r w:rsidRPr="00571DE4">
              <w:rPr>
                <w:sz w:val="24"/>
                <w:szCs w:val="24"/>
              </w:rPr>
              <w:t>Sibiu</w:t>
            </w:r>
          </w:p>
        </w:tc>
      </w:tr>
      <w:tr w:rsidR="00852F75" w:rsidTr="005F5D09">
        <w:trPr>
          <w:cnfStyle w:val="000000100000"/>
        </w:trPr>
        <w:tc>
          <w:tcPr>
            <w:cnfStyle w:val="001000000000"/>
            <w:tcW w:w="1161" w:type="dxa"/>
          </w:tcPr>
          <w:p w:rsidR="00852F75" w:rsidRPr="00337029" w:rsidRDefault="00852F75" w:rsidP="005F5D09">
            <w:pPr>
              <w:ind w:right="-247"/>
              <w:contextualSpacing/>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2011</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20</w:t>
            </w:r>
            <w:r>
              <w:rPr>
                <w:rFonts w:eastAsia="Times New Roman" w:cstheme="minorHAnsi"/>
                <w:color w:val="000000"/>
                <w:lang w:val="en-US" w:eastAsia="en-US"/>
              </w:rPr>
              <w:t>,</w:t>
            </w:r>
            <w:r w:rsidRPr="00337029">
              <w:rPr>
                <w:rFonts w:eastAsia="Times New Roman" w:cstheme="minorHAnsi"/>
                <w:color w:val="000000"/>
                <w:lang w:val="en-US" w:eastAsia="en-US"/>
              </w:rPr>
              <w:t>53</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1</w:t>
            </w:r>
            <w:r>
              <w:rPr>
                <w:rFonts w:eastAsia="Times New Roman" w:cstheme="minorHAnsi"/>
                <w:color w:val="000000"/>
                <w:lang w:val="en-US" w:eastAsia="en-US"/>
              </w:rPr>
              <w:t>,</w:t>
            </w:r>
            <w:r w:rsidRPr="00337029">
              <w:rPr>
                <w:rFonts w:eastAsia="Times New Roman" w:cstheme="minorHAnsi"/>
                <w:color w:val="000000"/>
                <w:lang w:val="en-US" w:eastAsia="en-US"/>
              </w:rPr>
              <w:t>72</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59</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3</w:t>
            </w:r>
            <w:r>
              <w:rPr>
                <w:rFonts w:eastAsia="Times New Roman" w:cstheme="minorHAnsi"/>
                <w:color w:val="000000"/>
                <w:lang w:val="en-US" w:eastAsia="en-US"/>
              </w:rPr>
              <w:t>,</w:t>
            </w:r>
            <w:r w:rsidRPr="00337029">
              <w:rPr>
                <w:rFonts w:eastAsia="Times New Roman" w:cstheme="minorHAnsi"/>
                <w:color w:val="000000"/>
                <w:lang w:val="en-US" w:eastAsia="en-US"/>
              </w:rPr>
              <w:t>94</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96</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55</w:t>
            </w:r>
          </w:p>
        </w:tc>
        <w:tc>
          <w:tcPr>
            <w:tcW w:w="1161" w:type="dxa"/>
            <w:vAlign w:val="bottom"/>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6</w:t>
            </w:r>
            <w:r>
              <w:rPr>
                <w:rFonts w:eastAsia="Times New Roman" w:cstheme="minorHAnsi"/>
                <w:color w:val="000000"/>
                <w:lang w:val="en-US" w:eastAsia="en-US"/>
              </w:rPr>
              <w:t>,</w:t>
            </w:r>
            <w:r w:rsidRPr="00337029">
              <w:rPr>
                <w:rFonts w:eastAsia="Times New Roman" w:cstheme="minorHAnsi"/>
                <w:color w:val="000000"/>
                <w:lang w:val="en-US" w:eastAsia="en-US"/>
              </w:rPr>
              <w:t>76</w:t>
            </w:r>
          </w:p>
        </w:tc>
      </w:tr>
      <w:tr w:rsidR="00852F75" w:rsidTr="005F5D09">
        <w:trPr>
          <w:cnfStyle w:val="000000010000"/>
        </w:trPr>
        <w:tc>
          <w:tcPr>
            <w:cnfStyle w:val="001000000000"/>
            <w:tcW w:w="1161" w:type="dxa"/>
          </w:tcPr>
          <w:p w:rsidR="00852F75" w:rsidRPr="00337029" w:rsidRDefault="00852F75" w:rsidP="005F5D09">
            <w:pPr>
              <w:ind w:right="-247"/>
              <w:contextualSpacing/>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2012</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18</w:t>
            </w:r>
            <w:r>
              <w:rPr>
                <w:rFonts w:eastAsia="Times New Roman" w:cstheme="minorHAnsi"/>
                <w:color w:val="000000"/>
                <w:lang w:val="en-US" w:eastAsia="en-US"/>
              </w:rPr>
              <w:t>,</w:t>
            </w:r>
            <w:r w:rsidRPr="00337029">
              <w:rPr>
                <w:rFonts w:eastAsia="Times New Roman" w:cstheme="minorHAnsi"/>
                <w:color w:val="000000"/>
                <w:lang w:val="en-US" w:eastAsia="en-US"/>
              </w:rPr>
              <w:t>76</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1</w:t>
            </w:r>
            <w:r>
              <w:rPr>
                <w:rFonts w:eastAsia="Times New Roman" w:cstheme="minorHAnsi"/>
                <w:color w:val="000000"/>
                <w:lang w:val="en-US" w:eastAsia="en-US"/>
              </w:rPr>
              <w:t>,</w:t>
            </w:r>
            <w:r w:rsidRPr="00337029">
              <w:rPr>
                <w:rFonts w:eastAsia="Times New Roman" w:cstheme="minorHAnsi"/>
                <w:color w:val="000000"/>
                <w:lang w:val="en-US" w:eastAsia="en-US"/>
              </w:rPr>
              <w:t>57</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43</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3</w:t>
            </w:r>
            <w:r>
              <w:rPr>
                <w:rFonts w:eastAsia="Times New Roman" w:cstheme="minorHAnsi"/>
                <w:color w:val="000000"/>
                <w:lang w:val="en-US" w:eastAsia="en-US"/>
              </w:rPr>
              <w:t>,</w:t>
            </w:r>
            <w:r w:rsidRPr="00337029">
              <w:rPr>
                <w:rFonts w:eastAsia="Times New Roman" w:cstheme="minorHAnsi"/>
                <w:color w:val="000000"/>
                <w:lang w:val="en-US" w:eastAsia="en-US"/>
              </w:rPr>
              <w:t>46</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80</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29</w:t>
            </w:r>
          </w:p>
        </w:tc>
        <w:tc>
          <w:tcPr>
            <w:tcW w:w="1161" w:type="dxa"/>
            <w:vAlign w:val="bottom"/>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6</w:t>
            </w:r>
            <w:r>
              <w:rPr>
                <w:rFonts w:eastAsia="Times New Roman" w:cstheme="minorHAnsi"/>
                <w:color w:val="000000"/>
                <w:lang w:val="en-US" w:eastAsia="en-US"/>
              </w:rPr>
              <w:t>,</w:t>
            </w:r>
            <w:r w:rsidRPr="00337029">
              <w:rPr>
                <w:rFonts w:eastAsia="Times New Roman" w:cstheme="minorHAnsi"/>
                <w:color w:val="000000"/>
                <w:lang w:val="en-US" w:eastAsia="en-US"/>
              </w:rPr>
              <w:t>20</w:t>
            </w:r>
          </w:p>
        </w:tc>
      </w:tr>
      <w:tr w:rsidR="00852F75" w:rsidTr="005F5D09">
        <w:trPr>
          <w:cnfStyle w:val="000000100000"/>
        </w:trPr>
        <w:tc>
          <w:tcPr>
            <w:cnfStyle w:val="001000000000"/>
            <w:tcW w:w="1161" w:type="dxa"/>
          </w:tcPr>
          <w:p w:rsidR="00852F75" w:rsidRPr="00337029" w:rsidRDefault="00852F75" w:rsidP="005F5D09">
            <w:pPr>
              <w:ind w:right="-247"/>
              <w:contextualSpacing/>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2013</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17</w:t>
            </w:r>
            <w:r>
              <w:rPr>
                <w:rFonts w:eastAsia="Times New Roman" w:cstheme="minorHAnsi"/>
                <w:color w:val="000000"/>
                <w:lang w:val="en-US" w:eastAsia="en-US"/>
              </w:rPr>
              <w:t>,</w:t>
            </w:r>
            <w:r w:rsidRPr="00337029">
              <w:rPr>
                <w:rFonts w:eastAsia="Times New Roman" w:cstheme="minorHAnsi"/>
                <w:color w:val="000000"/>
                <w:lang w:val="en-US" w:eastAsia="en-US"/>
              </w:rPr>
              <w:t>10</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1</w:t>
            </w:r>
            <w:r>
              <w:rPr>
                <w:rFonts w:eastAsia="Times New Roman" w:cstheme="minorHAnsi"/>
                <w:color w:val="000000"/>
                <w:lang w:val="en-US" w:eastAsia="en-US"/>
              </w:rPr>
              <w:t>,</w:t>
            </w:r>
            <w:r w:rsidRPr="00337029">
              <w:rPr>
                <w:rFonts w:eastAsia="Times New Roman" w:cstheme="minorHAnsi"/>
                <w:color w:val="000000"/>
                <w:lang w:val="en-US" w:eastAsia="en-US"/>
              </w:rPr>
              <w:t>40</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75</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3</w:t>
            </w:r>
            <w:r>
              <w:rPr>
                <w:rFonts w:eastAsia="Times New Roman" w:cstheme="minorHAnsi"/>
                <w:color w:val="000000"/>
                <w:lang w:val="en-US" w:eastAsia="en-US"/>
              </w:rPr>
              <w:t>,</w:t>
            </w:r>
            <w:r w:rsidRPr="00337029">
              <w:rPr>
                <w:rFonts w:eastAsia="Times New Roman" w:cstheme="minorHAnsi"/>
                <w:color w:val="000000"/>
                <w:lang w:val="en-US" w:eastAsia="en-US"/>
              </w:rPr>
              <w:t>53</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53</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45</w:t>
            </w:r>
          </w:p>
        </w:tc>
        <w:tc>
          <w:tcPr>
            <w:tcW w:w="1161" w:type="dxa"/>
            <w:vAlign w:val="bottom"/>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4</w:t>
            </w:r>
            <w:r>
              <w:rPr>
                <w:rFonts w:eastAsia="Times New Roman" w:cstheme="minorHAnsi"/>
                <w:color w:val="000000"/>
                <w:lang w:val="en-US" w:eastAsia="en-US"/>
              </w:rPr>
              <w:t>,</w:t>
            </w:r>
            <w:r w:rsidRPr="00337029">
              <w:rPr>
                <w:rFonts w:eastAsia="Times New Roman" w:cstheme="minorHAnsi"/>
                <w:color w:val="000000"/>
                <w:lang w:val="en-US" w:eastAsia="en-US"/>
              </w:rPr>
              <w:t>44</w:t>
            </w:r>
          </w:p>
        </w:tc>
      </w:tr>
      <w:tr w:rsidR="00852F75" w:rsidTr="005F5D09">
        <w:trPr>
          <w:cnfStyle w:val="000000010000"/>
        </w:trPr>
        <w:tc>
          <w:tcPr>
            <w:cnfStyle w:val="001000000000"/>
            <w:tcW w:w="1161" w:type="dxa"/>
          </w:tcPr>
          <w:p w:rsidR="00852F75" w:rsidRPr="00337029" w:rsidRDefault="00852F75" w:rsidP="005F5D09">
            <w:pPr>
              <w:ind w:right="-247"/>
              <w:contextualSpacing/>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2014</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17</w:t>
            </w:r>
            <w:r>
              <w:rPr>
                <w:rFonts w:eastAsia="Times New Roman" w:cstheme="minorHAnsi"/>
                <w:color w:val="000000"/>
                <w:lang w:val="en-US" w:eastAsia="en-US"/>
              </w:rPr>
              <w:t>,</w:t>
            </w:r>
            <w:r w:rsidRPr="00337029">
              <w:rPr>
                <w:rFonts w:eastAsia="Times New Roman" w:cstheme="minorHAnsi"/>
                <w:color w:val="000000"/>
                <w:lang w:val="en-US" w:eastAsia="en-US"/>
              </w:rPr>
              <w:t>80</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1</w:t>
            </w:r>
            <w:r>
              <w:rPr>
                <w:rFonts w:eastAsia="Times New Roman" w:cstheme="minorHAnsi"/>
                <w:color w:val="000000"/>
                <w:lang w:val="en-US" w:eastAsia="en-US"/>
              </w:rPr>
              <w:t>,</w:t>
            </w:r>
            <w:r w:rsidRPr="00337029">
              <w:rPr>
                <w:rFonts w:eastAsia="Times New Roman" w:cstheme="minorHAnsi"/>
                <w:color w:val="000000"/>
                <w:lang w:val="en-US" w:eastAsia="en-US"/>
              </w:rPr>
              <w:t>31</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97</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4</w:t>
            </w:r>
            <w:r>
              <w:rPr>
                <w:rFonts w:eastAsia="Times New Roman" w:cstheme="minorHAnsi"/>
                <w:color w:val="000000"/>
                <w:lang w:val="en-US" w:eastAsia="en-US"/>
              </w:rPr>
              <w:t>,</w:t>
            </w:r>
            <w:r w:rsidRPr="00337029">
              <w:rPr>
                <w:rFonts w:eastAsia="Times New Roman" w:cstheme="minorHAnsi"/>
                <w:color w:val="000000"/>
                <w:lang w:val="en-US" w:eastAsia="en-US"/>
              </w:rPr>
              <w:t>03</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46</w:t>
            </w:r>
          </w:p>
        </w:tc>
        <w:tc>
          <w:tcPr>
            <w:tcW w:w="1161" w:type="dxa"/>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50</w:t>
            </w:r>
          </w:p>
        </w:tc>
        <w:tc>
          <w:tcPr>
            <w:tcW w:w="1161" w:type="dxa"/>
            <w:vAlign w:val="bottom"/>
          </w:tcPr>
          <w:p w:rsidR="00852F75" w:rsidRPr="00337029" w:rsidRDefault="00852F75" w:rsidP="005F5D09">
            <w:pPr>
              <w:contextualSpacing/>
              <w:jc w:val="center"/>
              <w:cnfStyle w:val="000000010000"/>
              <w:rPr>
                <w:rFonts w:eastAsia="Times New Roman" w:cstheme="minorHAnsi"/>
                <w:color w:val="000000"/>
                <w:lang w:val="en-US" w:eastAsia="en-US"/>
              </w:rPr>
            </w:pPr>
            <w:r w:rsidRPr="00337029">
              <w:rPr>
                <w:rFonts w:eastAsia="Times New Roman" w:cstheme="minorHAnsi"/>
                <w:color w:val="000000"/>
                <w:lang w:val="en-US" w:eastAsia="en-US"/>
              </w:rPr>
              <w:t>4</w:t>
            </w:r>
            <w:r>
              <w:rPr>
                <w:rFonts w:eastAsia="Times New Roman" w:cstheme="minorHAnsi"/>
                <w:color w:val="000000"/>
                <w:lang w:val="en-US" w:eastAsia="en-US"/>
              </w:rPr>
              <w:t>,</w:t>
            </w:r>
            <w:r w:rsidRPr="00337029">
              <w:rPr>
                <w:rFonts w:eastAsia="Times New Roman" w:cstheme="minorHAnsi"/>
                <w:color w:val="000000"/>
                <w:lang w:val="en-US" w:eastAsia="en-US"/>
              </w:rPr>
              <w:t>53</w:t>
            </w:r>
          </w:p>
        </w:tc>
      </w:tr>
      <w:tr w:rsidR="00852F75" w:rsidTr="005F5D09">
        <w:trPr>
          <w:cnfStyle w:val="000000100000"/>
        </w:trPr>
        <w:tc>
          <w:tcPr>
            <w:cnfStyle w:val="001000000000"/>
            <w:tcW w:w="1161" w:type="dxa"/>
          </w:tcPr>
          <w:p w:rsidR="00852F75" w:rsidRPr="00337029" w:rsidRDefault="00852F75" w:rsidP="005F5D09">
            <w:pPr>
              <w:ind w:right="-247"/>
              <w:contextualSpacing/>
              <w:rPr>
                <w:rFonts w:eastAsia="Times New Roman" w:cstheme="minorHAnsi"/>
                <w:b w:val="0"/>
                <w:bCs w:val="0"/>
                <w:color w:val="000000"/>
                <w:lang w:val="en-US" w:eastAsia="en-US"/>
              </w:rPr>
            </w:pPr>
            <w:r w:rsidRPr="00337029">
              <w:rPr>
                <w:rFonts w:eastAsia="Times New Roman" w:cstheme="minorHAnsi"/>
                <w:b w:val="0"/>
                <w:bCs w:val="0"/>
                <w:color w:val="000000"/>
                <w:lang w:val="en-US" w:eastAsia="en-US"/>
              </w:rPr>
              <w:t>2015</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16</w:t>
            </w:r>
            <w:r>
              <w:rPr>
                <w:rFonts w:eastAsia="Times New Roman" w:cstheme="minorHAnsi"/>
                <w:color w:val="000000"/>
                <w:lang w:val="en-US" w:eastAsia="en-US"/>
              </w:rPr>
              <w:t>,</w:t>
            </w:r>
            <w:r w:rsidRPr="00337029">
              <w:rPr>
                <w:rFonts w:eastAsia="Times New Roman" w:cstheme="minorHAnsi"/>
                <w:color w:val="000000"/>
                <w:lang w:val="en-US" w:eastAsia="en-US"/>
              </w:rPr>
              <w:t>84</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1</w:t>
            </w:r>
            <w:r>
              <w:rPr>
                <w:rFonts w:eastAsia="Times New Roman" w:cstheme="minorHAnsi"/>
                <w:color w:val="000000"/>
                <w:lang w:val="en-US" w:eastAsia="en-US"/>
              </w:rPr>
              <w:t>,</w:t>
            </w:r>
            <w:r w:rsidRPr="00337029">
              <w:rPr>
                <w:rFonts w:eastAsia="Times New Roman" w:cstheme="minorHAnsi"/>
                <w:color w:val="000000"/>
                <w:lang w:val="en-US" w:eastAsia="en-US"/>
              </w:rPr>
              <w:t>14</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89</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3</w:t>
            </w:r>
            <w:r>
              <w:rPr>
                <w:rFonts w:eastAsia="Times New Roman" w:cstheme="minorHAnsi"/>
                <w:color w:val="000000"/>
                <w:lang w:val="en-US" w:eastAsia="en-US"/>
              </w:rPr>
              <w:t>,</w:t>
            </w:r>
            <w:r w:rsidRPr="00337029">
              <w:rPr>
                <w:rFonts w:eastAsia="Times New Roman" w:cstheme="minorHAnsi"/>
                <w:color w:val="000000"/>
                <w:lang w:val="en-US" w:eastAsia="en-US"/>
              </w:rPr>
              <w:t>80</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52</w:t>
            </w:r>
          </w:p>
        </w:tc>
        <w:tc>
          <w:tcPr>
            <w:tcW w:w="1161" w:type="dxa"/>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2</w:t>
            </w:r>
            <w:r>
              <w:rPr>
                <w:rFonts w:eastAsia="Times New Roman" w:cstheme="minorHAnsi"/>
                <w:color w:val="000000"/>
                <w:lang w:val="en-US" w:eastAsia="en-US"/>
              </w:rPr>
              <w:t>,</w:t>
            </w:r>
            <w:r w:rsidRPr="00337029">
              <w:rPr>
                <w:rFonts w:eastAsia="Times New Roman" w:cstheme="minorHAnsi"/>
                <w:color w:val="000000"/>
                <w:lang w:val="en-US" w:eastAsia="en-US"/>
              </w:rPr>
              <w:t>33</w:t>
            </w:r>
          </w:p>
        </w:tc>
        <w:tc>
          <w:tcPr>
            <w:tcW w:w="1161" w:type="dxa"/>
            <w:vAlign w:val="bottom"/>
          </w:tcPr>
          <w:p w:rsidR="00852F75" w:rsidRPr="00337029" w:rsidRDefault="00852F75" w:rsidP="005F5D09">
            <w:pPr>
              <w:contextualSpacing/>
              <w:jc w:val="center"/>
              <w:cnfStyle w:val="000000100000"/>
              <w:rPr>
                <w:rFonts w:eastAsia="Times New Roman" w:cstheme="minorHAnsi"/>
                <w:color w:val="000000"/>
                <w:lang w:val="en-US" w:eastAsia="en-US"/>
              </w:rPr>
            </w:pPr>
            <w:r w:rsidRPr="00337029">
              <w:rPr>
                <w:rFonts w:eastAsia="Times New Roman" w:cstheme="minorHAnsi"/>
                <w:color w:val="000000"/>
                <w:lang w:val="en-US" w:eastAsia="en-US"/>
              </w:rPr>
              <w:t>4</w:t>
            </w:r>
            <w:r>
              <w:rPr>
                <w:rFonts w:eastAsia="Times New Roman" w:cstheme="minorHAnsi"/>
                <w:color w:val="000000"/>
                <w:lang w:val="en-US" w:eastAsia="en-US"/>
              </w:rPr>
              <w:t>,</w:t>
            </w:r>
            <w:r w:rsidRPr="00337029">
              <w:rPr>
                <w:rFonts w:eastAsia="Times New Roman" w:cstheme="minorHAnsi"/>
                <w:color w:val="000000"/>
                <w:lang w:val="en-US" w:eastAsia="en-US"/>
              </w:rPr>
              <w:t>15</w:t>
            </w:r>
          </w:p>
        </w:tc>
      </w:tr>
    </w:tbl>
    <w:p w:rsidR="00852F75" w:rsidRDefault="00852F75" w:rsidP="00852F75">
      <w:pPr>
        <w:contextualSpacing/>
        <w:jc w:val="center"/>
        <w:rPr>
          <w:b/>
          <w:sz w:val="24"/>
          <w:szCs w:val="24"/>
          <w:shd w:val="clear" w:color="auto" w:fill="FFFFFF"/>
        </w:rPr>
      </w:pPr>
    </w:p>
    <w:p w:rsidR="00852F75" w:rsidRDefault="00852F75" w:rsidP="00852F75">
      <w:pPr>
        <w:pStyle w:val="Titlu3"/>
        <w:rPr>
          <w:shd w:val="clear" w:color="auto" w:fill="FFFFFF"/>
        </w:rPr>
      </w:pPr>
      <w:r w:rsidRPr="000D6500">
        <w:rPr>
          <w:shd w:val="clear" w:color="auto" w:fill="FFFFFF"/>
        </w:rPr>
        <w:lastRenderedPageBreak/>
        <w:t xml:space="preserve">Companii reprezentative din Regiunea Centru care activează în industria </w:t>
      </w:r>
      <w:r>
        <w:rPr>
          <w:shd w:val="clear" w:color="auto" w:fill="FFFFFF"/>
        </w:rPr>
        <w:t>textilă și de confecții textile</w:t>
      </w:r>
    </w:p>
    <w:p w:rsidR="00852F75" w:rsidRPr="00694F2F" w:rsidRDefault="00852F75" w:rsidP="00852F75"/>
    <w:p w:rsidR="00852F75" w:rsidRDefault="00852F75" w:rsidP="00852F75">
      <w:pPr>
        <w:pStyle w:val="Listparagraf"/>
        <w:ind w:left="0"/>
        <w:jc w:val="both"/>
        <w:rPr>
          <w:rFonts w:cstheme="minorHAnsi"/>
          <w:color w:val="000000" w:themeColor="text1"/>
          <w:spacing w:val="4"/>
          <w:szCs w:val="24"/>
          <w:lang w:val="it-IT"/>
        </w:rPr>
      </w:pPr>
      <w:r>
        <w:rPr>
          <w:sz w:val="24"/>
          <w:szCs w:val="24"/>
        </w:rPr>
        <w:t xml:space="preserve">Multe dintre întreprinderile ce activează în industria confecțiilor sunt întreprinderi înființate după anul 1990, în perioada de dezvoltare a producției în lohn, unele dintre ele având capital majoritar sau integral străin. Alături de aceste companii noi funcționează firme cu o îndelungată tradiție, în special în subramura textilă (Carpatex, Textila Oltul, Transilana), dar și în industria confecțiilor textile (Sib Dress, Euroconf, Târnava, Mondex, Secuiana, Arieșul Conf, Norad etc) sau cea de tricotaje (Mondex Producție, Ciserom). </w:t>
      </w:r>
      <w:r w:rsidRPr="00C22DEF">
        <w:rPr>
          <w:rFonts w:cstheme="minorHAnsi"/>
          <w:color w:val="000000" w:themeColor="text1"/>
          <w:sz w:val="24"/>
          <w:szCs w:val="24"/>
          <w:shd w:val="clear" w:color="auto" w:fill="FFFFFF"/>
        </w:rPr>
        <w:t xml:space="preserve">Numărul unităților locale active </w:t>
      </w:r>
      <w:r>
        <w:rPr>
          <w:rFonts w:cstheme="minorHAnsi"/>
          <w:color w:val="000000" w:themeColor="text1"/>
          <w:sz w:val="24"/>
          <w:szCs w:val="24"/>
          <w:shd w:val="clear" w:color="auto" w:fill="FFFFFF"/>
        </w:rPr>
        <w:t>în</w:t>
      </w:r>
      <w:r w:rsidRPr="00C22DEF">
        <w:rPr>
          <w:rFonts w:cstheme="minorHAnsi"/>
          <w:color w:val="000000" w:themeColor="text1"/>
          <w:sz w:val="24"/>
          <w:szCs w:val="24"/>
          <w:shd w:val="clear" w:color="auto" w:fill="FFFFFF"/>
        </w:rPr>
        <w:t xml:space="preserve"> </w:t>
      </w:r>
      <w:r w:rsidRPr="00C22DEF">
        <w:rPr>
          <w:rFonts w:cstheme="minorHAnsi"/>
          <w:bCs/>
          <w:color w:val="000000" w:themeColor="text1"/>
          <w:sz w:val="24"/>
          <w:szCs w:val="24"/>
        </w:rPr>
        <w:t>industria textilelor</w:t>
      </w:r>
      <w:r w:rsidRPr="00C22DEF">
        <w:rPr>
          <w:rFonts w:cstheme="minorHAnsi"/>
          <w:color w:val="000000" w:themeColor="text1"/>
          <w:sz w:val="24"/>
          <w:szCs w:val="24"/>
        </w:rPr>
        <w:t> </w:t>
      </w:r>
      <w:r w:rsidRPr="00C22DEF">
        <w:rPr>
          <w:rFonts w:cstheme="minorHAnsi"/>
          <w:color w:val="000000" w:themeColor="text1"/>
          <w:sz w:val="24"/>
          <w:szCs w:val="24"/>
          <w:shd w:val="clear" w:color="auto" w:fill="FFFFFF"/>
        </w:rPr>
        <w:t>și a articolelor de îmbrăcăminte din Regiunea</w:t>
      </w:r>
      <w:r w:rsidRPr="00C22DEF">
        <w:rPr>
          <w:rFonts w:cstheme="minorHAnsi"/>
          <w:color w:val="000000" w:themeColor="text1"/>
          <w:spacing w:val="4"/>
          <w:sz w:val="24"/>
          <w:szCs w:val="24"/>
          <w:lang w:val="it-IT"/>
        </w:rPr>
        <w:t xml:space="preserve"> Centru a ajuns la 423</w:t>
      </w:r>
      <w:r>
        <w:rPr>
          <w:rFonts w:cstheme="minorHAnsi"/>
          <w:color w:val="000000" w:themeColor="text1"/>
          <w:spacing w:val="4"/>
          <w:sz w:val="24"/>
          <w:szCs w:val="24"/>
          <w:lang w:val="it-IT"/>
        </w:rPr>
        <w:t xml:space="preserve"> în anul 2015 </w:t>
      </w:r>
      <w:r w:rsidRPr="00C22DEF">
        <w:rPr>
          <w:rFonts w:cstheme="minorHAnsi"/>
          <w:color w:val="000000" w:themeColor="text1"/>
          <w:spacing w:val="4"/>
          <w:sz w:val="24"/>
          <w:szCs w:val="24"/>
          <w:lang w:val="it-IT"/>
        </w:rPr>
        <w:t>(151 – industria textil</w:t>
      </w:r>
      <w:r w:rsidRPr="00C22DEF">
        <w:rPr>
          <w:rFonts w:cstheme="minorHAnsi"/>
          <w:color w:val="000000" w:themeColor="text1"/>
          <w:spacing w:val="4"/>
          <w:sz w:val="24"/>
          <w:szCs w:val="24"/>
        </w:rPr>
        <w:t>ă şi 272 – industria confecţiilor)</w:t>
      </w:r>
      <w:r>
        <w:rPr>
          <w:rFonts w:cstheme="minorHAnsi"/>
          <w:color w:val="000000" w:themeColor="text1"/>
          <w:spacing w:val="4"/>
          <w:sz w:val="24"/>
          <w:szCs w:val="24"/>
        </w:rPr>
        <w:t>.</w:t>
      </w:r>
      <w:r>
        <w:rPr>
          <w:sz w:val="24"/>
          <w:szCs w:val="24"/>
        </w:rPr>
        <w:t xml:space="preserve"> Deși predomină firmele mici,  există un număr semnificativ de firme mijlocii și câteva firme mari active în aceste două ramuri industriale. </w:t>
      </w:r>
      <w:r>
        <w:rPr>
          <w:rFonts w:cstheme="minorHAnsi"/>
          <w:color w:val="000000" w:themeColor="text1"/>
          <w:spacing w:val="4"/>
          <w:szCs w:val="24"/>
          <w:lang w:val="it-IT"/>
        </w:rPr>
        <w:t>Tabelul de mai jos redă evoluția numărului mediu de salariați la cele mai reprezentative firme din Regiunea Centru:</w:t>
      </w:r>
    </w:p>
    <w:p w:rsidR="00852F75" w:rsidRPr="00686257" w:rsidRDefault="00852F75" w:rsidP="00852F75">
      <w:pPr>
        <w:pStyle w:val="Listparagraf"/>
        <w:ind w:left="0"/>
        <w:jc w:val="both"/>
        <w:rPr>
          <w:rFonts w:cstheme="minorHAnsi"/>
          <w:b/>
          <w:color w:val="000000" w:themeColor="text1"/>
          <w:spacing w:val="4"/>
          <w:szCs w:val="24"/>
          <w:lang w:val="it-IT"/>
        </w:rPr>
      </w:pPr>
      <w:r w:rsidRPr="00686257">
        <w:rPr>
          <w:rFonts w:cstheme="minorHAnsi"/>
          <w:b/>
          <w:color w:val="000000" w:themeColor="text1"/>
          <w:spacing w:val="4"/>
          <w:szCs w:val="24"/>
          <w:lang w:val="it-IT"/>
        </w:rPr>
        <w:t>Tab. 13</w:t>
      </w:r>
    </w:p>
    <w:tbl>
      <w:tblPr>
        <w:tblW w:w="10260" w:type="dxa"/>
        <w:tblInd w:w="-522" w:type="dxa"/>
        <w:tblLayout w:type="fixed"/>
        <w:tblLook w:val="04A0"/>
      </w:tblPr>
      <w:tblGrid>
        <w:gridCol w:w="1098"/>
        <w:gridCol w:w="3222"/>
        <w:gridCol w:w="810"/>
        <w:gridCol w:w="990"/>
        <w:gridCol w:w="1080"/>
        <w:gridCol w:w="990"/>
        <w:gridCol w:w="1080"/>
        <w:gridCol w:w="990"/>
      </w:tblGrid>
      <w:tr w:rsidR="00852F75" w:rsidRPr="00592B93" w:rsidTr="005F5D09">
        <w:trPr>
          <w:trHeight w:val="553"/>
          <w:tblHeader/>
        </w:trPr>
        <w:tc>
          <w:tcPr>
            <w:tcW w:w="1098" w:type="dxa"/>
            <w:vMerge w:val="restart"/>
            <w:tcBorders>
              <w:top w:val="single" w:sz="4" w:space="0" w:color="auto"/>
              <w:left w:val="single" w:sz="4" w:space="0" w:color="auto"/>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Judeţ</w:t>
            </w:r>
            <w:r w:rsidRPr="00592B93">
              <w:rPr>
                <w:rFonts w:ascii="Calibri" w:eastAsia="Times New Roman" w:hAnsi="Calibri" w:cs="Calibri"/>
                <w:b/>
                <w:bCs/>
                <w:color w:val="000000"/>
              </w:rPr>
              <w:t>ul</w:t>
            </w:r>
          </w:p>
        </w:tc>
        <w:tc>
          <w:tcPr>
            <w:tcW w:w="3222" w:type="dxa"/>
            <w:vMerge w:val="restart"/>
            <w:tcBorders>
              <w:top w:val="single" w:sz="4" w:space="0" w:color="auto"/>
              <w:left w:val="nil"/>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sidRPr="00592B93">
              <w:rPr>
                <w:rFonts w:ascii="Calibri" w:eastAsia="Times New Roman" w:hAnsi="Calibri" w:cs="Calibri"/>
                <w:b/>
                <w:bCs/>
                <w:color w:val="000000"/>
              </w:rPr>
              <w:t>Denumirea companiei</w:t>
            </w:r>
          </w:p>
        </w:tc>
        <w:tc>
          <w:tcPr>
            <w:tcW w:w="5940" w:type="dxa"/>
            <w:gridSpan w:val="6"/>
            <w:tcBorders>
              <w:top w:val="single" w:sz="4" w:space="0" w:color="auto"/>
              <w:left w:val="nil"/>
              <w:bottom w:val="single" w:sz="4" w:space="0" w:color="auto"/>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Numarul mediu de salariaţ</w:t>
            </w:r>
            <w:r w:rsidRPr="00592B93">
              <w:rPr>
                <w:rFonts w:ascii="Calibri" w:eastAsia="Times New Roman" w:hAnsi="Calibri" w:cs="Calibri"/>
                <w:b/>
                <w:bCs/>
                <w:color w:val="000000"/>
              </w:rPr>
              <w:t>i</w:t>
            </w:r>
          </w:p>
          <w:p w:rsidR="00852F75" w:rsidRPr="00592B93" w:rsidRDefault="00852F75" w:rsidP="005F5D09">
            <w:pPr>
              <w:contextualSpacing/>
              <w:jc w:val="center"/>
              <w:rPr>
                <w:rFonts w:ascii="Calibri" w:eastAsia="Times New Roman" w:hAnsi="Calibri" w:cs="Calibri"/>
                <w:b/>
                <w:bCs/>
                <w:color w:val="000000"/>
              </w:rPr>
            </w:pPr>
          </w:p>
        </w:tc>
      </w:tr>
      <w:tr w:rsidR="00852F75" w:rsidRPr="00592B93" w:rsidTr="005F5D09">
        <w:trPr>
          <w:trHeight w:val="103"/>
          <w:tblHeader/>
        </w:trPr>
        <w:tc>
          <w:tcPr>
            <w:tcW w:w="1098" w:type="dxa"/>
            <w:vMerge/>
            <w:tcBorders>
              <w:left w:val="single" w:sz="4" w:space="0" w:color="auto"/>
              <w:bottom w:val="single" w:sz="4" w:space="0" w:color="auto"/>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p>
        </w:tc>
        <w:tc>
          <w:tcPr>
            <w:tcW w:w="3222" w:type="dxa"/>
            <w:vMerge/>
            <w:tcBorders>
              <w:left w:val="nil"/>
              <w:bottom w:val="single" w:sz="4" w:space="0" w:color="auto"/>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p>
        </w:tc>
        <w:tc>
          <w:tcPr>
            <w:tcW w:w="810" w:type="dxa"/>
            <w:tcBorders>
              <w:top w:val="single" w:sz="4" w:space="0" w:color="auto"/>
              <w:left w:val="nil"/>
              <w:bottom w:val="single" w:sz="4" w:space="0" w:color="auto"/>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2010</w:t>
            </w:r>
          </w:p>
        </w:tc>
        <w:tc>
          <w:tcPr>
            <w:tcW w:w="990" w:type="dxa"/>
            <w:tcBorders>
              <w:top w:val="single" w:sz="4" w:space="0" w:color="auto"/>
              <w:left w:val="nil"/>
              <w:bottom w:val="single" w:sz="4" w:space="0" w:color="auto"/>
              <w:right w:val="single" w:sz="4" w:space="0" w:color="auto"/>
            </w:tcBorders>
            <w:shd w:val="clear" w:color="000000" w:fill="8DB4E3"/>
            <w:vAlign w:val="center"/>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2011</w:t>
            </w:r>
          </w:p>
        </w:tc>
        <w:tc>
          <w:tcPr>
            <w:tcW w:w="1080" w:type="dxa"/>
            <w:tcBorders>
              <w:top w:val="single" w:sz="4" w:space="0" w:color="auto"/>
              <w:left w:val="nil"/>
              <w:bottom w:val="single" w:sz="4" w:space="0" w:color="auto"/>
              <w:right w:val="single" w:sz="4" w:space="0" w:color="auto"/>
            </w:tcBorders>
            <w:shd w:val="clear" w:color="000000" w:fill="8DB4E3"/>
            <w:vAlign w:val="center"/>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2012</w:t>
            </w:r>
          </w:p>
        </w:tc>
        <w:tc>
          <w:tcPr>
            <w:tcW w:w="990" w:type="dxa"/>
            <w:tcBorders>
              <w:top w:val="single" w:sz="4" w:space="0" w:color="auto"/>
              <w:left w:val="nil"/>
              <w:bottom w:val="single" w:sz="4" w:space="0" w:color="auto"/>
              <w:right w:val="single" w:sz="4" w:space="0" w:color="auto"/>
            </w:tcBorders>
            <w:shd w:val="clear" w:color="000000" w:fill="8DB4E3"/>
            <w:vAlign w:val="center"/>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2013</w:t>
            </w:r>
          </w:p>
        </w:tc>
        <w:tc>
          <w:tcPr>
            <w:tcW w:w="1080" w:type="dxa"/>
            <w:tcBorders>
              <w:top w:val="single" w:sz="4" w:space="0" w:color="auto"/>
              <w:left w:val="nil"/>
              <w:bottom w:val="single" w:sz="4" w:space="0" w:color="auto"/>
              <w:right w:val="single" w:sz="4" w:space="0" w:color="auto"/>
            </w:tcBorders>
            <w:shd w:val="clear" w:color="000000" w:fill="8DB4E3"/>
            <w:vAlign w:val="center"/>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2014</w:t>
            </w:r>
          </w:p>
        </w:tc>
        <w:tc>
          <w:tcPr>
            <w:tcW w:w="990" w:type="dxa"/>
            <w:tcBorders>
              <w:top w:val="single" w:sz="4" w:space="0" w:color="auto"/>
              <w:left w:val="nil"/>
              <w:bottom w:val="single" w:sz="4" w:space="0" w:color="auto"/>
              <w:right w:val="single" w:sz="4" w:space="0" w:color="auto"/>
            </w:tcBorders>
            <w:shd w:val="clear" w:color="000000" w:fill="8DB4E3"/>
            <w:vAlign w:val="center"/>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2015</w:t>
            </w:r>
          </w:p>
        </w:tc>
      </w:tr>
      <w:tr w:rsidR="00852F75" w:rsidRPr="00592B93" w:rsidTr="005F5D09">
        <w:trPr>
          <w:trHeight w:val="373"/>
        </w:trPr>
        <w:tc>
          <w:tcPr>
            <w:tcW w:w="1098" w:type="dxa"/>
            <w:vMerge w:val="restart"/>
            <w:tcBorders>
              <w:top w:val="nil"/>
              <w:left w:val="single" w:sz="4" w:space="0" w:color="auto"/>
              <w:bottom w:val="single" w:sz="4" w:space="0" w:color="000000"/>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sidRPr="00592B93">
              <w:rPr>
                <w:rFonts w:ascii="Calibri" w:eastAsia="Times New Roman" w:hAnsi="Calibri" w:cs="Calibri"/>
                <w:b/>
                <w:bCs/>
                <w:color w:val="000000"/>
              </w:rPr>
              <w:t>Alba</w:t>
            </w:r>
          </w:p>
        </w:tc>
        <w:tc>
          <w:tcPr>
            <w:tcW w:w="3222" w:type="dxa"/>
            <w:tcBorders>
              <w:top w:val="nil"/>
              <w:left w:val="nil"/>
              <w:bottom w:val="single" w:sz="4" w:space="0" w:color="auto"/>
              <w:right w:val="single" w:sz="4" w:space="0" w:color="auto"/>
            </w:tcBorders>
            <w:shd w:val="clear" w:color="auto" w:fill="C6D9F1" w:themeFill="text2" w:themeFillTint="33"/>
            <w:vAlign w:val="bottom"/>
            <w:hideMark/>
          </w:tcPr>
          <w:p w:rsidR="00852F75" w:rsidRPr="00862293" w:rsidRDefault="00852F75" w:rsidP="005F5D09">
            <w:pPr>
              <w:contextualSpacing/>
            </w:pPr>
            <w:r w:rsidRPr="00862293">
              <w:t>Ariesul Conf</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285</w:t>
            </w:r>
          </w:p>
        </w:tc>
        <w:tc>
          <w:tcPr>
            <w:tcW w:w="9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257</w:t>
            </w:r>
          </w:p>
        </w:tc>
        <w:tc>
          <w:tcPr>
            <w:tcW w:w="1080" w:type="dxa"/>
            <w:tcBorders>
              <w:top w:val="nil"/>
              <w:left w:val="single" w:sz="4" w:space="0" w:color="auto"/>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258</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241</w:t>
            </w:r>
          </w:p>
        </w:tc>
        <w:tc>
          <w:tcPr>
            <w:tcW w:w="108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222</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204</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Ciserom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301</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307</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299</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284</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302</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314</w:t>
            </w:r>
          </w:p>
        </w:tc>
      </w:tr>
      <w:tr w:rsidR="00852F75" w:rsidRPr="00592B93" w:rsidTr="005F5D09">
        <w:trPr>
          <w:trHeight w:val="193"/>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auto" w:fill="C6D9F1" w:themeFill="text2" w:themeFillTint="33"/>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Trend </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157</w:t>
            </w:r>
          </w:p>
        </w:tc>
        <w:tc>
          <w:tcPr>
            <w:tcW w:w="9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172</w:t>
            </w:r>
          </w:p>
        </w:tc>
        <w:tc>
          <w:tcPr>
            <w:tcW w:w="1080" w:type="dxa"/>
            <w:tcBorders>
              <w:top w:val="nil"/>
              <w:left w:val="single" w:sz="4" w:space="0" w:color="auto"/>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182</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208</w:t>
            </w:r>
          </w:p>
        </w:tc>
        <w:tc>
          <w:tcPr>
            <w:tcW w:w="108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198</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177</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RO.DE.X FASHION SRL</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204</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210</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205</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254</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265</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243</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Kosmos TRE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178</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175</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181</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166</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105</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142</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Pemont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188</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168</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152</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126</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191</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188</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Incov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145</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118</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94</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87</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58</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13</w:t>
            </w:r>
          </w:p>
        </w:tc>
      </w:tr>
      <w:tr w:rsidR="00852F75" w:rsidRPr="00592B93" w:rsidTr="005F5D09">
        <w:trPr>
          <w:trHeight w:val="300"/>
        </w:trPr>
        <w:tc>
          <w:tcPr>
            <w:tcW w:w="1098" w:type="dxa"/>
            <w:vMerge w:val="restart"/>
            <w:tcBorders>
              <w:top w:val="nil"/>
              <w:left w:val="single" w:sz="4" w:space="0" w:color="auto"/>
              <w:bottom w:val="single" w:sz="4" w:space="0" w:color="000000"/>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Pr>
                <w:rFonts w:ascii="Calibri" w:eastAsia="Times New Roman" w:hAnsi="Calibri" w:cs="Calibri"/>
                <w:b/>
                <w:bCs/>
                <w:color w:val="000000"/>
              </w:rPr>
              <w:t>Braş</w:t>
            </w:r>
            <w:r w:rsidRPr="00592B93">
              <w:rPr>
                <w:rFonts w:ascii="Calibri" w:eastAsia="Times New Roman" w:hAnsi="Calibri" w:cs="Calibri"/>
                <w:b/>
                <w:bCs/>
                <w:color w:val="000000"/>
              </w:rPr>
              <w:t>ov</w:t>
            </w: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Rouleau Guichard Roumanie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748</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865</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792</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832</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784</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752</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Carpatex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141</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150</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150</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145</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139</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124</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AMANN ROMANIA SRL</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137</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151</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127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143</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167</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SEVEN ARX SRL</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226</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239</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262</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271</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323</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319</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Transilana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167</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167</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154</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155</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150</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154</w:t>
            </w:r>
          </w:p>
        </w:tc>
      </w:tr>
      <w:tr w:rsidR="00852F75" w:rsidRPr="00592B93" w:rsidTr="005F5D09">
        <w:trPr>
          <w:trHeight w:val="300"/>
        </w:trPr>
        <w:tc>
          <w:tcPr>
            <w:tcW w:w="1098" w:type="dxa"/>
            <w:vMerge w:val="restart"/>
            <w:tcBorders>
              <w:top w:val="nil"/>
              <w:left w:val="single" w:sz="4" w:space="0" w:color="auto"/>
              <w:bottom w:val="single" w:sz="4" w:space="0" w:color="000000"/>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sidRPr="00592B93">
              <w:rPr>
                <w:rFonts w:ascii="Calibri" w:eastAsia="Times New Roman" w:hAnsi="Calibri" w:cs="Calibri"/>
                <w:b/>
                <w:bCs/>
                <w:color w:val="000000"/>
              </w:rPr>
              <w:t>Covasna</w:t>
            </w: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Secuiana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420</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447</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494</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528</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553</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574</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RHM Pants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706</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688</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697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648</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657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657</w:t>
            </w:r>
          </w:p>
        </w:tc>
      </w:tr>
      <w:tr w:rsidR="00852F75" w:rsidRPr="00592B93" w:rsidTr="005F5D09">
        <w:trPr>
          <w:trHeight w:val="315"/>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Productie Zarah Moden </w:t>
            </w:r>
          </w:p>
        </w:tc>
        <w:tc>
          <w:tcPr>
            <w:tcW w:w="810" w:type="dxa"/>
            <w:tcBorders>
              <w:top w:val="nil"/>
              <w:left w:val="nil"/>
              <w:bottom w:val="single" w:sz="4" w:space="0" w:color="auto"/>
              <w:right w:val="single" w:sz="4" w:space="0" w:color="auto"/>
            </w:tcBorders>
            <w:shd w:val="clear" w:color="000000" w:fill="C5D9F1"/>
            <w:noWrap/>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666</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705</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696</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776</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826</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839</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New Fashion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813</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876</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831</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864</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948</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1002</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Transilvanian Trousers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300</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296</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293</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329</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287</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287</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S'MODE SA</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400</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405</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405</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395</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375</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359</w:t>
            </w:r>
          </w:p>
        </w:tc>
      </w:tr>
      <w:tr w:rsidR="00852F75" w:rsidRPr="00592B93" w:rsidTr="005F5D09">
        <w:trPr>
          <w:trHeight w:val="265"/>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Ready Garment Technology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179</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193</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200</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200*</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188</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1199</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Textila Oltul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429</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430</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402</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402</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417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485</w:t>
            </w:r>
          </w:p>
        </w:tc>
      </w:tr>
      <w:tr w:rsidR="00852F75" w:rsidRPr="00592B93" w:rsidTr="005F5D09">
        <w:trPr>
          <w:trHeight w:val="300"/>
        </w:trPr>
        <w:tc>
          <w:tcPr>
            <w:tcW w:w="1098" w:type="dxa"/>
            <w:vMerge w:val="restart"/>
            <w:tcBorders>
              <w:top w:val="nil"/>
              <w:left w:val="single" w:sz="4" w:space="0" w:color="auto"/>
              <w:bottom w:val="single" w:sz="4" w:space="0" w:color="000000"/>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sidRPr="00592B93">
              <w:rPr>
                <w:rFonts w:ascii="Calibri" w:eastAsia="Times New Roman" w:hAnsi="Calibri" w:cs="Calibri"/>
                <w:b/>
                <w:bCs/>
                <w:color w:val="000000"/>
              </w:rPr>
              <w:t>Harghita</w:t>
            </w: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b/>
                <w:bCs/>
                <w:i/>
                <w:iCs/>
                <w:color w:val="000000"/>
              </w:rPr>
            </w:pPr>
            <w:r w:rsidRPr="00592B93">
              <w:rPr>
                <w:rFonts w:eastAsia="Times New Roman" w:cstheme="minorHAnsi"/>
                <w:b/>
                <w:bCs/>
                <w:i/>
                <w:iCs/>
                <w:color w:val="000000"/>
              </w:rPr>
              <w:t xml:space="preserve">Ikos Conf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1228</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1211</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1229</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1185</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1129</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1083</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Coats Odorhei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443</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448</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420</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419</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413</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399</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Norada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840</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873</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904</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904</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890</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893</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Romtop Industries Toplita</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381</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381</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353</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342</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330</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310</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auto" w:fill="C6D9F1" w:themeFill="text2" w:themeFillTint="33"/>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GRANIT-IMPEX SRL</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49</w:t>
            </w:r>
          </w:p>
        </w:tc>
        <w:tc>
          <w:tcPr>
            <w:tcW w:w="9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59</w:t>
            </w:r>
          </w:p>
        </w:tc>
        <w:tc>
          <w:tcPr>
            <w:tcW w:w="1080" w:type="dxa"/>
            <w:tcBorders>
              <w:top w:val="nil"/>
              <w:left w:val="single" w:sz="4" w:space="0" w:color="auto"/>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71</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83</w:t>
            </w:r>
          </w:p>
        </w:tc>
        <w:tc>
          <w:tcPr>
            <w:tcW w:w="108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101</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112</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L'ATELIER DE L'ORANGERIE SRL</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45</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115</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132</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128</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147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151</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Confectia MC Atelier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77</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142</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148</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128</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122</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104</w:t>
            </w:r>
          </w:p>
        </w:tc>
      </w:tr>
      <w:tr w:rsidR="00852F75" w:rsidRPr="00592B93" w:rsidTr="005F5D09">
        <w:trPr>
          <w:trHeight w:val="300"/>
        </w:trPr>
        <w:tc>
          <w:tcPr>
            <w:tcW w:w="1098" w:type="dxa"/>
            <w:vMerge w:val="restart"/>
            <w:tcBorders>
              <w:top w:val="nil"/>
              <w:left w:val="single" w:sz="4" w:space="0" w:color="auto"/>
              <w:bottom w:val="single" w:sz="4" w:space="0" w:color="000000"/>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sidRPr="00592B93">
              <w:rPr>
                <w:rFonts w:ascii="Calibri" w:eastAsia="Times New Roman" w:hAnsi="Calibri" w:cs="Calibri"/>
                <w:b/>
                <w:bCs/>
                <w:color w:val="000000"/>
              </w:rPr>
              <w:t>Mure</w:t>
            </w:r>
            <w:r>
              <w:rPr>
                <w:rFonts w:ascii="Calibri" w:eastAsia="Times New Roman" w:hAnsi="Calibri" w:cs="Calibri"/>
                <w:b/>
                <w:bCs/>
                <w:color w:val="000000"/>
              </w:rPr>
              <w:t>ş</w:t>
            </w: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Târnava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318</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329</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301</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225</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186</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165</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Cotton Textil</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130</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131</w:t>
            </w:r>
          </w:p>
        </w:tc>
        <w:tc>
          <w:tcPr>
            <w:tcW w:w="1080" w:type="dxa"/>
            <w:tcBorders>
              <w:top w:val="nil"/>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141</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146</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146</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142</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Modi Ital Textil</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79</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81</w:t>
            </w:r>
          </w:p>
        </w:tc>
        <w:tc>
          <w:tcPr>
            <w:tcW w:w="1080" w:type="dxa"/>
            <w:tcBorders>
              <w:top w:val="nil"/>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60</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58</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22</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auto" w:fill="C6D9F1" w:themeFill="text2" w:themeFillTint="33"/>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GERRY WEBER SUPPORT SRL</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339</w:t>
            </w:r>
          </w:p>
        </w:tc>
        <w:tc>
          <w:tcPr>
            <w:tcW w:w="9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347</w:t>
            </w:r>
          </w:p>
        </w:tc>
        <w:tc>
          <w:tcPr>
            <w:tcW w:w="1080" w:type="dxa"/>
            <w:tcBorders>
              <w:top w:val="nil"/>
              <w:left w:val="single" w:sz="4" w:space="0" w:color="auto"/>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360</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346</w:t>
            </w:r>
          </w:p>
        </w:tc>
        <w:tc>
          <w:tcPr>
            <w:tcW w:w="108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365</w:t>
            </w:r>
          </w:p>
        </w:tc>
        <w:tc>
          <w:tcPr>
            <w:tcW w:w="99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304</w:t>
            </w:r>
          </w:p>
        </w:tc>
      </w:tr>
      <w:tr w:rsidR="00852F75" w:rsidRPr="00592B93" w:rsidTr="005F5D09">
        <w:trPr>
          <w:trHeight w:val="301"/>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GST AUTOMOTIVE SAFETY RO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627</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618</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784</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809</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869</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978</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Textor</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76</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75</w:t>
            </w:r>
          </w:p>
        </w:tc>
        <w:tc>
          <w:tcPr>
            <w:tcW w:w="1080" w:type="dxa"/>
            <w:tcBorders>
              <w:top w:val="single" w:sz="4" w:space="0" w:color="auto"/>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72</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112</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107</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100</w:t>
            </w:r>
          </w:p>
        </w:tc>
      </w:tr>
      <w:tr w:rsidR="00852F75" w:rsidRPr="00592B93" w:rsidTr="005F5D09">
        <w:trPr>
          <w:trHeight w:val="300"/>
        </w:trPr>
        <w:tc>
          <w:tcPr>
            <w:tcW w:w="1098" w:type="dxa"/>
            <w:vMerge w:val="restart"/>
            <w:tcBorders>
              <w:top w:val="nil"/>
              <w:left w:val="single" w:sz="4" w:space="0" w:color="auto"/>
              <w:bottom w:val="single" w:sz="4" w:space="0" w:color="000000"/>
              <w:right w:val="single" w:sz="4" w:space="0" w:color="auto"/>
            </w:tcBorders>
            <w:shd w:val="clear" w:color="000000" w:fill="8DB4E3"/>
            <w:vAlign w:val="center"/>
            <w:hideMark/>
          </w:tcPr>
          <w:p w:rsidR="00852F75" w:rsidRPr="00592B93" w:rsidRDefault="00852F75" w:rsidP="005F5D09">
            <w:pPr>
              <w:contextualSpacing/>
              <w:jc w:val="center"/>
              <w:rPr>
                <w:rFonts w:ascii="Calibri" w:eastAsia="Times New Roman" w:hAnsi="Calibri" w:cs="Calibri"/>
                <w:b/>
                <w:bCs/>
                <w:color w:val="000000"/>
              </w:rPr>
            </w:pPr>
            <w:r w:rsidRPr="00592B93">
              <w:rPr>
                <w:rFonts w:ascii="Calibri" w:eastAsia="Times New Roman" w:hAnsi="Calibri" w:cs="Calibri"/>
                <w:b/>
                <w:bCs/>
                <w:color w:val="000000"/>
              </w:rPr>
              <w:t>Sibiu</w:t>
            </w:r>
          </w:p>
        </w:tc>
        <w:tc>
          <w:tcPr>
            <w:tcW w:w="3222" w:type="dxa"/>
            <w:tcBorders>
              <w:top w:val="nil"/>
              <w:left w:val="nil"/>
              <w:bottom w:val="single" w:sz="4" w:space="0" w:color="auto"/>
              <w:right w:val="single" w:sz="4" w:space="0" w:color="auto"/>
            </w:tcBorders>
            <w:shd w:val="clear" w:color="000000" w:fill="FFFFFF"/>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Euroconf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493</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487</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461</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426</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410</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390</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noWrap/>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Sib Dress </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539</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545</w:t>
            </w:r>
          </w:p>
        </w:tc>
        <w:tc>
          <w:tcPr>
            <w:tcW w:w="1080" w:type="dxa"/>
            <w:tcBorders>
              <w:top w:val="single" w:sz="4" w:space="0" w:color="auto"/>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527</w:t>
            </w:r>
          </w:p>
        </w:tc>
        <w:tc>
          <w:tcPr>
            <w:tcW w:w="990" w:type="dxa"/>
            <w:tcBorders>
              <w:top w:val="nil"/>
              <w:left w:val="single" w:sz="4" w:space="0" w:color="auto"/>
              <w:bottom w:val="single" w:sz="4" w:space="0" w:color="auto"/>
              <w:right w:val="single" w:sz="4" w:space="0" w:color="auto"/>
            </w:tcBorders>
            <w:shd w:val="clear" w:color="000000" w:fill="C5D9F1"/>
            <w:noWrap/>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489</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387</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326</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FFFFFF"/>
            <w:noWrap/>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Transeuro Textile  </w:t>
            </w:r>
          </w:p>
        </w:tc>
        <w:tc>
          <w:tcPr>
            <w:tcW w:w="810" w:type="dxa"/>
            <w:tcBorders>
              <w:top w:val="nil"/>
              <w:left w:val="nil"/>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423</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429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430</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419</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423</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423</w:t>
            </w:r>
          </w:p>
        </w:tc>
      </w:tr>
      <w:tr w:rsidR="00852F75" w:rsidRPr="00592B93" w:rsidTr="005F5D09">
        <w:trPr>
          <w:trHeight w:val="300"/>
        </w:trPr>
        <w:tc>
          <w:tcPr>
            <w:tcW w:w="1098" w:type="dxa"/>
            <w:vMerge/>
            <w:tcBorders>
              <w:top w:val="nil"/>
              <w:left w:val="single" w:sz="4" w:space="0" w:color="auto"/>
              <w:bottom w:val="single" w:sz="4" w:space="0" w:color="000000"/>
              <w:right w:val="single" w:sz="4" w:space="0" w:color="auto"/>
            </w:tcBorders>
            <w:vAlign w:val="center"/>
            <w:hideMark/>
          </w:tcPr>
          <w:p w:rsidR="00852F75" w:rsidRPr="00592B93" w:rsidRDefault="00852F75" w:rsidP="005F5D09">
            <w:pPr>
              <w:contextualSpacing/>
              <w:rPr>
                <w:rFonts w:ascii="Calibri" w:eastAsia="Times New Roman" w:hAnsi="Calibri" w:cs="Calibri"/>
                <w:b/>
                <w:bCs/>
                <w:color w:val="000000"/>
              </w:rPr>
            </w:pPr>
          </w:p>
        </w:tc>
        <w:tc>
          <w:tcPr>
            <w:tcW w:w="3222" w:type="dxa"/>
            <w:tcBorders>
              <w:top w:val="nil"/>
              <w:left w:val="nil"/>
              <w:bottom w:val="single" w:sz="4" w:space="0" w:color="auto"/>
              <w:right w:val="single" w:sz="4" w:space="0" w:color="auto"/>
            </w:tcBorders>
            <w:shd w:val="clear" w:color="000000" w:fill="C5D9F1"/>
            <w:noWrap/>
            <w:vAlign w:val="bottom"/>
            <w:hideMark/>
          </w:tcPr>
          <w:p w:rsidR="00852F75" w:rsidRPr="00592B93" w:rsidRDefault="00852F75" w:rsidP="005F5D09">
            <w:pPr>
              <w:contextualSpacing/>
              <w:rPr>
                <w:rFonts w:eastAsia="Times New Roman" w:cstheme="minorHAnsi"/>
                <w:color w:val="000000"/>
              </w:rPr>
            </w:pPr>
            <w:r w:rsidRPr="00592B93">
              <w:rPr>
                <w:rFonts w:eastAsia="Times New Roman" w:cstheme="minorHAnsi"/>
                <w:color w:val="000000"/>
              </w:rPr>
              <w:t xml:space="preserve">Mondex </w:t>
            </w:r>
            <w:r>
              <w:rPr>
                <w:rFonts w:eastAsia="Times New Roman" w:cstheme="minorHAnsi"/>
                <w:color w:val="000000"/>
              </w:rPr>
              <w:t>Productie</w:t>
            </w:r>
          </w:p>
        </w:tc>
        <w:tc>
          <w:tcPr>
            <w:tcW w:w="810" w:type="dxa"/>
            <w:tcBorders>
              <w:top w:val="nil"/>
              <w:left w:val="nil"/>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421</w:t>
            </w:r>
          </w:p>
        </w:tc>
        <w:tc>
          <w:tcPr>
            <w:tcW w:w="99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398</w:t>
            </w:r>
          </w:p>
        </w:tc>
        <w:tc>
          <w:tcPr>
            <w:tcW w:w="1080" w:type="dxa"/>
            <w:tcBorders>
              <w:top w:val="single" w:sz="4" w:space="0" w:color="auto"/>
              <w:left w:val="single" w:sz="4" w:space="0" w:color="auto"/>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sidRPr="001505E7">
              <w:rPr>
                <w:rFonts w:cstheme="minorHAnsi"/>
                <w:sz w:val="24"/>
                <w:szCs w:val="24"/>
              </w:rPr>
              <w:t>322</w:t>
            </w:r>
          </w:p>
        </w:tc>
        <w:tc>
          <w:tcPr>
            <w:tcW w:w="990" w:type="dxa"/>
            <w:tcBorders>
              <w:top w:val="nil"/>
              <w:left w:val="single" w:sz="4" w:space="0" w:color="auto"/>
              <w:bottom w:val="single" w:sz="4" w:space="0" w:color="auto"/>
              <w:right w:val="single" w:sz="4" w:space="0" w:color="auto"/>
            </w:tcBorders>
            <w:shd w:val="clear" w:color="000000" w:fill="C5D9F1"/>
            <w:noWrap/>
            <w:vAlign w:val="center"/>
            <w:hideMark/>
          </w:tcPr>
          <w:p w:rsidR="00852F75" w:rsidRPr="001505E7" w:rsidRDefault="00852F75" w:rsidP="005F5D09">
            <w:pPr>
              <w:contextualSpacing/>
              <w:jc w:val="center"/>
              <w:rPr>
                <w:rFonts w:cstheme="minorHAnsi"/>
                <w:sz w:val="24"/>
                <w:szCs w:val="24"/>
              </w:rPr>
            </w:pPr>
            <w:r w:rsidRPr="001505E7">
              <w:rPr>
                <w:rFonts w:cstheme="minorHAnsi"/>
                <w:sz w:val="24"/>
                <w:szCs w:val="24"/>
              </w:rPr>
              <w:t>296</w:t>
            </w:r>
          </w:p>
        </w:tc>
        <w:tc>
          <w:tcPr>
            <w:tcW w:w="1080" w:type="dxa"/>
            <w:tcBorders>
              <w:top w:val="single" w:sz="4" w:space="0" w:color="auto"/>
              <w:left w:val="nil"/>
              <w:bottom w:val="single" w:sz="4" w:space="0" w:color="auto"/>
              <w:right w:val="single" w:sz="4" w:space="0" w:color="auto"/>
            </w:tcBorders>
            <w:shd w:val="clear" w:color="000000" w:fill="C5D9F1"/>
            <w:vAlign w:val="center"/>
          </w:tcPr>
          <w:p w:rsidR="00852F75" w:rsidRPr="001505E7" w:rsidRDefault="00852F75" w:rsidP="005F5D09">
            <w:pPr>
              <w:contextualSpacing/>
              <w:jc w:val="center"/>
              <w:rPr>
                <w:rFonts w:cstheme="minorHAnsi"/>
                <w:sz w:val="24"/>
                <w:szCs w:val="24"/>
              </w:rPr>
            </w:pPr>
            <w:r>
              <w:rPr>
                <w:rFonts w:cstheme="minorHAnsi"/>
                <w:sz w:val="24"/>
                <w:szCs w:val="24"/>
              </w:rPr>
              <w:t>1</w:t>
            </w:r>
          </w:p>
        </w:tc>
        <w:tc>
          <w:tcPr>
            <w:tcW w:w="990" w:type="dxa"/>
            <w:tcBorders>
              <w:top w:val="nil"/>
              <w:left w:val="single" w:sz="4" w:space="0" w:color="auto"/>
              <w:bottom w:val="single" w:sz="4" w:space="0" w:color="auto"/>
              <w:right w:val="single" w:sz="4" w:space="0" w:color="auto"/>
            </w:tcBorders>
            <w:shd w:val="clear" w:color="000000" w:fill="C5D9F1"/>
            <w:vAlign w:val="center"/>
            <w:hideMark/>
          </w:tcPr>
          <w:p w:rsidR="00852F75" w:rsidRPr="001505E7" w:rsidRDefault="00852F75" w:rsidP="005F5D09">
            <w:pPr>
              <w:contextualSpacing/>
              <w:jc w:val="center"/>
              <w:rPr>
                <w:rFonts w:cstheme="minorHAnsi"/>
                <w:sz w:val="24"/>
                <w:szCs w:val="24"/>
              </w:rPr>
            </w:pPr>
            <w:r>
              <w:rPr>
                <w:rFonts w:cstheme="minorHAnsi"/>
                <w:sz w:val="24"/>
                <w:szCs w:val="24"/>
              </w:rPr>
              <w:t>108</w:t>
            </w:r>
          </w:p>
        </w:tc>
      </w:tr>
    </w:tbl>
    <w:p w:rsidR="00852F75" w:rsidRDefault="00852F75" w:rsidP="00852F75">
      <w:pPr>
        <w:pStyle w:val="Titlu2"/>
      </w:pPr>
      <w:r>
        <w:t xml:space="preserve">Situația industria pielăriei și încălțămintei la nivelul Regiunii Centru </w:t>
      </w:r>
    </w:p>
    <w:p w:rsidR="00852F75" w:rsidRDefault="00852F75" w:rsidP="00852F75">
      <w:pPr>
        <w:widowControl w:val="0"/>
        <w:tabs>
          <w:tab w:val="left" w:pos="170"/>
          <w:tab w:val="left" w:pos="1245"/>
        </w:tabs>
        <w:autoSpaceDE w:val="0"/>
        <w:autoSpaceDN w:val="0"/>
        <w:adjustRightInd w:val="0"/>
        <w:jc w:val="both"/>
        <w:rPr>
          <w:sz w:val="24"/>
          <w:szCs w:val="24"/>
        </w:rPr>
      </w:pPr>
    </w:p>
    <w:p w:rsidR="00852F75" w:rsidRPr="00FF3703" w:rsidRDefault="00852F75" w:rsidP="00852F75">
      <w:pPr>
        <w:widowControl w:val="0"/>
        <w:tabs>
          <w:tab w:val="left" w:pos="170"/>
          <w:tab w:val="left" w:pos="1245"/>
        </w:tabs>
        <w:autoSpaceDE w:val="0"/>
        <w:autoSpaceDN w:val="0"/>
        <w:adjustRightInd w:val="0"/>
        <w:jc w:val="both"/>
        <w:rPr>
          <w:sz w:val="24"/>
          <w:szCs w:val="24"/>
        </w:rPr>
      </w:pPr>
      <w:r>
        <w:rPr>
          <w:sz w:val="24"/>
          <w:szCs w:val="24"/>
        </w:rPr>
        <w:t xml:space="preserve">O subramură industrială de tradiție a Regiunii Centru este industria pielăriei și încălțămintei , cu o contribuție semnificativă și în prezent la nivel regional atât în ce privește cifra de afaceri, exporturile sau numărul de salariați. </w:t>
      </w:r>
      <w:r w:rsidRPr="00E13B65">
        <w:rPr>
          <w:sz w:val="24"/>
          <w:szCs w:val="24"/>
        </w:rPr>
        <w:t xml:space="preserve"> </w:t>
      </w:r>
      <w:r>
        <w:rPr>
          <w:sz w:val="24"/>
          <w:szCs w:val="24"/>
        </w:rPr>
        <w:t xml:space="preserve">Conform nomenclatorului CAEN, </w:t>
      </w:r>
      <w:r w:rsidRPr="00E13B65">
        <w:rPr>
          <w:sz w:val="24"/>
          <w:szCs w:val="24"/>
        </w:rPr>
        <w:t xml:space="preserve">industria pielăriei cuprinde diviziunea 15 - Tăbăcirea si finisarea pieilor; </w:t>
      </w:r>
      <w:r w:rsidRPr="00FF3703">
        <w:rPr>
          <w:sz w:val="24"/>
          <w:szCs w:val="24"/>
        </w:rPr>
        <w:t>fabricarea articolelor de voiaj si marochinărie, harna</w:t>
      </w:r>
      <w:r>
        <w:rPr>
          <w:sz w:val="24"/>
          <w:szCs w:val="24"/>
        </w:rPr>
        <w:t>ș</w:t>
      </w:r>
      <w:r w:rsidRPr="00FF3703">
        <w:rPr>
          <w:sz w:val="24"/>
          <w:szCs w:val="24"/>
        </w:rPr>
        <w:t>amentelor si încălţămintei; prepararea si vopsirea blănurilor incluzând clasele:</w:t>
      </w:r>
      <w:r w:rsidRPr="00FF3703">
        <w:rPr>
          <w:rFonts w:cs="Arial"/>
          <w:sz w:val="24"/>
          <w:szCs w:val="24"/>
        </w:rPr>
        <w:t xml:space="preserve">  </w:t>
      </w:r>
      <w:r w:rsidRPr="00FF3703">
        <w:rPr>
          <w:rFonts w:cs="Arial"/>
          <w:bCs/>
          <w:color w:val="000000"/>
          <w:sz w:val="24"/>
          <w:szCs w:val="24"/>
        </w:rPr>
        <w:t>1511</w:t>
      </w:r>
      <w:r>
        <w:rPr>
          <w:rFonts w:cs="Arial"/>
          <w:bCs/>
          <w:color w:val="000000"/>
          <w:sz w:val="24"/>
          <w:szCs w:val="24"/>
        </w:rPr>
        <w:t xml:space="preserve"> </w:t>
      </w:r>
      <w:r w:rsidRPr="00FF3703">
        <w:rPr>
          <w:rFonts w:cs="Arial"/>
          <w:bCs/>
          <w:color w:val="000000"/>
          <w:sz w:val="24"/>
          <w:szCs w:val="24"/>
        </w:rPr>
        <w:t>Tăbăcirea</w:t>
      </w:r>
      <w:r>
        <w:rPr>
          <w:rFonts w:cs="Arial"/>
          <w:bCs/>
          <w:color w:val="000000"/>
          <w:sz w:val="24"/>
          <w:szCs w:val="24"/>
        </w:rPr>
        <w:t xml:space="preserve"> </w:t>
      </w:r>
      <w:r w:rsidRPr="00FF3703">
        <w:rPr>
          <w:rFonts w:cs="Arial"/>
          <w:bCs/>
          <w:color w:val="000000"/>
          <w:sz w:val="24"/>
          <w:szCs w:val="24"/>
        </w:rPr>
        <w:t xml:space="preserve">şi finisarea pieilor; prepararea şi vopsirea blănurilor; </w:t>
      </w:r>
      <w:r w:rsidRPr="00FF3703">
        <w:rPr>
          <w:sz w:val="24"/>
          <w:szCs w:val="24"/>
        </w:rPr>
        <w:t xml:space="preserve">1512 - </w:t>
      </w:r>
      <w:r w:rsidRPr="00FF3703">
        <w:rPr>
          <w:rFonts w:cs="Arial"/>
          <w:bCs/>
          <w:color w:val="000000"/>
          <w:sz w:val="24"/>
          <w:szCs w:val="24"/>
        </w:rPr>
        <w:t>Fabricarea articolelor de voiaj şi marochinărie şi a articolelor de harnaşament</w:t>
      </w:r>
      <w:r w:rsidRPr="00FF3703">
        <w:rPr>
          <w:sz w:val="24"/>
          <w:szCs w:val="24"/>
        </w:rPr>
        <w:t xml:space="preserve">; şi 1520 - Fabricarea încălţămintei. </w:t>
      </w:r>
    </w:p>
    <w:p w:rsidR="00852F75" w:rsidRDefault="00852F75" w:rsidP="00852F75">
      <w:pPr>
        <w:pStyle w:val="Titlu2"/>
      </w:pPr>
      <w:r>
        <w:t xml:space="preserve">Date cheie privind industria pielăriei și încălțămintei la nivel regional </w:t>
      </w:r>
    </w:p>
    <w:p w:rsidR="00852F75" w:rsidRDefault="00852F75" w:rsidP="00852F75">
      <w:pPr>
        <w:pStyle w:val="Titlu3"/>
      </w:pPr>
      <w:r>
        <w:t>Cifra de afaceri la nivelul industriei pielăriei și încălțămintei</w:t>
      </w:r>
    </w:p>
    <w:p w:rsidR="00852F75" w:rsidRDefault="00852F75" w:rsidP="00852F75">
      <w:pPr>
        <w:contextualSpacing/>
        <w:rPr>
          <w:b/>
          <w:sz w:val="24"/>
          <w:szCs w:val="24"/>
        </w:rPr>
      </w:pPr>
    </w:p>
    <w:p w:rsidR="00852F75" w:rsidRDefault="00852F75" w:rsidP="00852F75">
      <w:pPr>
        <w:contextualSpacing/>
        <w:jc w:val="both"/>
        <w:rPr>
          <w:sz w:val="24"/>
          <w:szCs w:val="24"/>
        </w:rPr>
      </w:pPr>
      <w:r>
        <w:rPr>
          <w:sz w:val="24"/>
          <w:szCs w:val="24"/>
        </w:rPr>
        <w:t>La nivel naţional, activitatea a</w:t>
      </w:r>
      <w:r w:rsidRPr="008D72F6">
        <w:rPr>
          <w:sz w:val="24"/>
          <w:szCs w:val="24"/>
        </w:rPr>
        <w:t>genţi</w:t>
      </w:r>
      <w:r>
        <w:rPr>
          <w:sz w:val="24"/>
          <w:szCs w:val="24"/>
        </w:rPr>
        <w:t>lor</w:t>
      </w:r>
      <w:r w:rsidRPr="008D72F6">
        <w:rPr>
          <w:sz w:val="24"/>
          <w:szCs w:val="24"/>
        </w:rPr>
        <w:t xml:space="preserve"> economici</w:t>
      </w:r>
      <w:r>
        <w:rPr>
          <w:sz w:val="24"/>
          <w:szCs w:val="24"/>
        </w:rPr>
        <w:t xml:space="preserve"> ai acestui sector a înregistrat o creştere a cifrei de afaceri, în prețuri curente cu 31% mai mare în anul 2015 faţă de anul 2010.  La nivel regional, s-a înregistrat o creștere a cifrei de afaceri exprimată în prețuri curente (prețurile anului respectiv) de 25% . </w:t>
      </w:r>
    </w:p>
    <w:p w:rsidR="00852F75" w:rsidRDefault="00852F75" w:rsidP="00852F75">
      <w:pPr>
        <w:contextualSpacing/>
        <w:rPr>
          <w:b/>
          <w:sz w:val="24"/>
          <w:szCs w:val="24"/>
        </w:rPr>
      </w:pPr>
    </w:p>
    <w:p w:rsidR="00852F75" w:rsidRDefault="00852F75" w:rsidP="00852F75">
      <w:pPr>
        <w:contextualSpacing/>
        <w:rPr>
          <w:b/>
          <w:sz w:val="24"/>
          <w:szCs w:val="24"/>
        </w:rPr>
      </w:pPr>
    </w:p>
    <w:p w:rsidR="00852F75" w:rsidRDefault="00852F75" w:rsidP="00852F75">
      <w:pPr>
        <w:contextualSpacing/>
        <w:rPr>
          <w:b/>
          <w:sz w:val="24"/>
          <w:szCs w:val="24"/>
        </w:rPr>
      </w:pPr>
    </w:p>
    <w:p w:rsidR="00852F75" w:rsidRDefault="00852F75" w:rsidP="00852F75">
      <w:pPr>
        <w:contextualSpacing/>
        <w:rPr>
          <w:b/>
          <w:sz w:val="24"/>
          <w:szCs w:val="24"/>
        </w:rPr>
      </w:pPr>
    </w:p>
    <w:p w:rsidR="00852F75" w:rsidRPr="00686257" w:rsidRDefault="00852F75" w:rsidP="00852F75">
      <w:pPr>
        <w:contextualSpacing/>
        <w:rPr>
          <w:b/>
          <w:sz w:val="24"/>
          <w:szCs w:val="24"/>
        </w:rPr>
      </w:pPr>
      <w:r w:rsidRPr="00686257">
        <w:rPr>
          <w:b/>
          <w:sz w:val="24"/>
          <w:szCs w:val="24"/>
        </w:rPr>
        <w:lastRenderedPageBreak/>
        <w:t>Tab. 14</w:t>
      </w:r>
    </w:p>
    <w:p w:rsidR="00852F75" w:rsidRPr="008D72F6" w:rsidRDefault="00852F75" w:rsidP="00852F75">
      <w:pPr>
        <w:contextualSpacing/>
        <w:jc w:val="right"/>
        <w:rPr>
          <w:sz w:val="24"/>
          <w:szCs w:val="24"/>
        </w:rPr>
      </w:pPr>
      <w:r>
        <w:rPr>
          <w:sz w:val="24"/>
          <w:szCs w:val="24"/>
        </w:rPr>
        <w:t xml:space="preserve"> </w:t>
      </w:r>
      <w:r w:rsidRPr="00DF7C93">
        <w:rPr>
          <w:rFonts w:ascii="Calibri" w:eastAsia="Times New Roman" w:hAnsi="Calibri" w:cs="Calibri"/>
          <w:color w:val="000000"/>
        </w:rPr>
        <w:t>mil lei</w:t>
      </w:r>
      <w:r>
        <w:rPr>
          <w:rFonts w:ascii="Calibri" w:eastAsia="Times New Roman" w:hAnsi="Calibri" w:cs="Calibri"/>
          <w:color w:val="000000"/>
        </w:rPr>
        <w:t xml:space="preserve"> prețuri curente</w:t>
      </w:r>
    </w:p>
    <w:tbl>
      <w:tblPr>
        <w:tblW w:w="9123" w:type="dxa"/>
        <w:jc w:val="center"/>
        <w:tblInd w:w="93" w:type="dxa"/>
        <w:tblLayout w:type="fixed"/>
        <w:tblLook w:val="04A0"/>
      </w:tblPr>
      <w:tblGrid>
        <w:gridCol w:w="1556"/>
        <w:gridCol w:w="1261"/>
        <w:gridCol w:w="1261"/>
        <w:gridCol w:w="1261"/>
        <w:gridCol w:w="1261"/>
        <w:gridCol w:w="1261"/>
        <w:gridCol w:w="1262"/>
      </w:tblGrid>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8DB3E2" w:themeFill="text2" w:themeFillTint="66"/>
            <w:noWrap/>
            <w:vAlign w:val="bottom"/>
            <w:hideMark/>
          </w:tcPr>
          <w:p w:rsidR="00852F75" w:rsidRPr="00DF7C93" w:rsidRDefault="00852F75" w:rsidP="005F5D09">
            <w:pPr>
              <w:contextualSpacing/>
              <w:rPr>
                <w:rFonts w:eastAsia="Times New Roman" w:cstheme="minorHAnsi"/>
                <w:color w:val="000000"/>
                <w:sz w:val="24"/>
                <w:szCs w:val="24"/>
              </w:rPr>
            </w:pP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8DB3E2" w:themeFill="text2" w:themeFillTint="66"/>
            <w:noWrap/>
            <w:vAlign w:val="bottom"/>
            <w:hideMark/>
          </w:tcPr>
          <w:p w:rsidR="00852F75" w:rsidRPr="00DF7C93" w:rsidRDefault="00852F75" w:rsidP="005F5D09">
            <w:pPr>
              <w:contextualSpacing/>
              <w:jc w:val="right"/>
              <w:rPr>
                <w:rFonts w:eastAsia="Times New Roman" w:cstheme="minorHAnsi"/>
                <w:b/>
                <w:color w:val="000000"/>
                <w:sz w:val="24"/>
                <w:szCs w:val="24"/>
              </w:rPr>
            </w:pPr>
            <w:r w:rsidRPr="00DF7C93">
              <w:rPr>
                <w:rFonts w:eastAsia="Times New Roman" w:cstheme="minorHAnsi"/>
                <w:b/>
                <w:color w:val="000000"/>
                <w:sz w:val="24"/>
                <w:szCs w:val="24"/>
              </w:rPr>
              <w:t>2010</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8DB3E2" w:themeFill="text2" w:themeFillTint="66"/>
            <w:noWrap/>
            <w:vAlign w:val="bottom"/>
            <w:hideMark/>
          </w:tcPr>
          <w:p w:rsidR="00852F75" w:rsidRPr="00DF7C93" w:rsidRDefault="00852F75" w:rsidP="005F5D09">
            <w:pPr>
              <w:contextualSpacing/>
              <w:jc w:val="right"/>
              <w:rPr>
                <w:rFonts w:eastAsia="Times New Roman" w:cstheme="minorHAnsi"/>
                <w:b/>
                <w:color w:val="000000"/>
                <w:sz w:val="24"/>
                <w:szCs w:val="24"/>
              </w:rPr>
            </w:pPr>
            <w:r w:rsidRPr="00DF7C93">
              <w:rPr>
                <w:rFonts w:eastAsia="Times New Roman" w:cstheme="minorHAnsi"/>
                <w:b/>
                <w:color w:val="000000"/>
                <w:sz w:val="24"/>
                <w:szCs w:val="24"/>
              </w:rPr>
              <w:t>2011</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8DB3E2" w:themeFill="text2" w:themeFillTint="66"/>
            <w:noWrap/>
            <w:vAlign w:val="bottom"/>
            <w:hideMark/>
          </w:tcPr>
          <w:p w:rsidR="00852F75" w:rsidRPr="00DF7C93" w:rsidRDefault="00852F75" w:rsidP="005F5D09">
            <w:pPr>
              <w:contextualSpacing/>
              <w:jc w:val="right"/>
              <w:rPr>
                <w:rFonts w:eastAsia="Times New Roman" w:cstheme="minorHAnsi"/>
                <w:b/>
                <w:color w:val="000000"/>
                <w:sz w:val="24"/>
                <w:szCs w:val="24"/>
              </w:rPr>
            </w:pPr>
            <w:r w:rsidRPr="00DF7C93">
              <w:rPr>
                <w:rFonts w:eastAsia="Times New Roman" w:cstheme="minorHAnsi"/>
                <w:b/>
                <w:color w:val="000000"/>
                <w:sz w:val="24"/>
                <w:szCs w:val="24"/>
              </w:rPr>
              <w:t>2012</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8DB3E2" w:themeFill="text2" w:themeFillTint="66"/>
            <w:noWrap/>
            <w:vAlign w:val="bottom"/>
            <w:hideMark/>
          </w:tcPr>
          <w:p w:rsidR="00852F75" w:rsidRPr="00DF7C93" w:rsidRDefault="00852F75" w:rsidP="005F5D09">
            <w:pPr>
              <w:contextualSpacing/>
              <w:jc w:val="right"/>
              <w:rPr>
                <w:rFonts w:eastAsia="Times New Roman" w:cstheme="minorHAnsi"/>
                <w:b/>
                <w:color w:val="000000"/>
                <w:sz w:val="24"/>
                <w:szCs w:val="24"/>
              </w:rPr>
            </w:pPr>
            <w:r w:rsidRPr="00DF7C93">
              <w:rPr>
                <w:rFonts w:eastAsia="Times New Roman" w:cstheme="minorHAnsi"/>
                <w:b/>
                <w:color w:val="000000"/>
                <w:sz w:val="24"/>
                <w:szCs w:val="24"/>
              </w:rPr>
              <w:t>2013</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8DB3E2" w:themeFill="text2" w:themeFillTint="66"/>
            <w:noWrap/>
            <w:vAlign w:val="bottom"/>
            <w:hideMark/>
          </w:tcPr>
          <w:p w:rsidR="00852F75" w:rsidRPr="00DF7C93" w:rsidRDefault="00852F75" w:rsidP="005F5D09">
            <w:pPr>
              <w:contextualSpacing/>
              <w:jc w:val="right"/>
              <w:rPr>
                <w:rFonts w:eastAsia="Times New Roman" w:cstheme="minorHAnsi"/>
                <w:b/>
                <w:color w:val="000000"/>
                <w:sz w:val="24"/>
                <w:szCs w:val="24"/>
              </w:rPr>
            </w:pPr>
            <w:r w:rsidRPr="00DF7C93">
              <w:rPr>
                <w:rFonts w:eastAsia="Times New Roman" w:cstheme="minorHAnsi"/>
                <w:b/>
                <w:color w:val="000000"/>
                <w:sz w:val="24"/>
                <w:szCs w:val="24"/>
              </w:rPr>
              <w:t>2014</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8DB3E2" w:themeFill="text2" w:themeFillTint="66"/>
            <w:noWrap/>
            <w:vAlign w:val="bottom"/>
            <w:hideMark/>
          </w:tcPr>
          <w:p w:rsidR="00852F75" w:rsidRPr="00DF7C93" w:rsidRDefault="00852F75" w:rsidP="005F5D09">
            <w:pPr>
              <w:contextualSpacing/>
              <w:jc w:val="right"/>
              <w:rPr>
                <w:rFonts w:eastAsia="Times New Roman" w:cstheme="minorHAnsi"/>
                <w:b/>
                <w:color w:val="000000"/>
                <w:sz w:val="24"/>
                <w:szCs w:val="24"/>
              </w:rPr>
            </w:pPr>
            <w:r w:rsidRPr="00DF7C93">
              <w:rPr>
                <w:rFonts w:eastAsia="Times New Roman" w:cstheme="minorHAnsi"/>
                <w:b/>
                <w:color w:val="000000"/>
                <w:sz w:val="24"/>
                <w:szCs w:val="24"/>
              </w:rPr>
              <w:t>2015</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rPr>
                <w:rFonts w:eastAsia="Times New Roman" w:cstheme="minorHAnsi"/>
                <w:b/>
                <w:color w:val="000000"/>
                <w:sz w:val="24"/>
                <w:szCs w:val="24"/>
              </w:rPr>
            </w:pPr>
            <w:r>
              <w:rPr>
                <w:rFonts w:eastAsia="Times New Roman" w:cstheme="minorHAnsi"/>
                <w:b/>
                <w:color w:val="000000"/>
                <w:sz w:val="24"/>
                <w:szCs w:val="24"/>
              </w:rPr>
              <w:t>Româ</w:t>
            </w:r>
            <w:r w:rsidRPr="00DF7C93">
              <w:rPr>
                <w:rFonts w:eastAsia="Times New Roman" w:cstheme="minorHAnsi"/>
                <w:b/>
                <w:color w:val="000000"/>
                <w:sz w:val="24"/>
                <w:szCs w:val="24"/>
              </w:rPr>
              <w:t>nia</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3783</w:t>
            </w:r>
            <w:r>
              <w:rPr>
                <w:rFonts w:eastAsia="Times New Roman" w:cstheme="minorHAnsi"/>
                <w:color w:val="000000"/>
                <w:sz w:val="24"/>
                <w:szCs w:val="24"/>
              </w:rPr>
              <w:t>,</w:t>
            </w:r>
            <w:r w:rsidRPr="00DF7C93">
              <w:rPr>
                <w:rFonts w:eastAsia="Times New Roman" w:cstheme="minorHAnsi"/>
                <w:color w:val="000000"/>
                <w:sz w:val="24"/>
                <w:szCs w:val="24"/>
              </w:rPr>
              <w:t>69</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4586</w:t>
            </w:r>
            <w:r>
              <w:rPr>
                <w:rFonts w:eastAsia="Times New Roman" w:cstheme="minorHAnsi"/>
                <w:color w:val="000000"/>
                <w:sz w:val="24"/>
                <w:szCs w:val="24"/>
              </w:rPr>
              <w:t>,</w:t>
            </w:r>
            <w:r w:rsidRPr="00DF7C93">
              <w:rPr>
                <w:rFonts w:eastAsia="Times New Roman" w:cstheme="minorHAnsi"/>
                <w:color w:val="000000"/>
                <w:sz w:val="24"/>
                <w:szCs w:val="24"/>
              </w:rPr>
              <w:t>26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4577</w:t>
            </w:r>
            <w:r>
              <w:rPr>
                <w:rFonts w:eastAsia="Times New Roman" w:cstheme="minorHAnsi"/>
                <w:color w:val="000000"/>
                <w:sz w:val="24"/>
                <w:szCs w:val="24"/>
              </w:rPr>
              <w:t>,</w:t>
            </w:r>
            <w:r w:rsidRPr="00DF7C93">
              <w:rPr>
                <w:rFonts w:eastAsia="Times New Roman" w:cstheme="minorHAnsi"/>
                <w:color w:val="000000"/>
                <w:sz w:val="24"/>
                <w:szCs w:val="24"/>
              </w:rPr>
              <w:t>86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4797</w:t>
            </w:r>
            <w:r>
              <w:rPr>
                <w:rFonts w:eastAsia="Times New Roman" w:cstheme="minorHAnsi"/>
                <w:color w:val="000000"/>
                <w:sz w:val="24"/>
                <w:szCs w:val="24"/>
              </w:rPr>
              <w:t>,</w:t>
            </w:r>
            <w:r w:rsidRPr="00DF7C93">
              <w:rPr>
                <w:rFonts w:eastAsia="Times New Roman" w:cstheme="minorHAnsi"/>
                <w:color w:val="000000"/>
                <w:sz w:val="24"/>
                <w:szCs w:val="24"/>
              </w:rPr>
              <w:t>36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5276</w:t>
            </w:r>
            <w:r>
              <w:rPr>
                <w:rFonts w:eastAsia="Times New Roman" w:cstheme="minorHAnsi"/>
                <w:color w:val="000000"/>
                <w:sz w:val="24"/>
                <w:szCs w:val="24"/>
              </w:rPr>
              <w:t>,</w:t>
            </w:r>
            <w:r w:rsidRPr="00DF7C93">
              <w:rPr>
                <w:rFonts w:eastAsia="Times New Roman" w:cstheme="minorHAnsi"/>
                <w:color w:val="000000"/>
                <w:sz w:val="24"/>
                <w:szCs w:val="24"/>
              </w:rPr>
              <w:t>13</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4944</w:t>
            </w:r>
            <w:r>
              <w:rPr>
                <w:rFonts w:eastAsia="Times New Roman" w:cstheme="minorHAnsi"/>
                <w:color w:val="000000"/>
                <w:sz w:val="24"/>
                <w:szCs w:val="24"/>
              </w:rPr>
              <w:t>,</w:t>
            </w:r>
            <w:r w:rsidRPr="00DF7C93">
              <w:rPr>
                <w:rFonts w:eastAsia="Times New Roman" w:cstheme="minorHAnsi"/>
                <w:color w:val="000000"/>
                <w:sz w:val="24"/>
                <w:szCs w:val="24"/>
              </w:rPr>
              <w:t>16</w:t>
            </w:r>
          </w:p>
        </w:tc>
      </w:tr>
      <w:tr w:rsidR="00852F75" w:rsidRPr="00DF7C93" w:rsidTr="005F5D09">
        <w:trPr>
          <w:trHeight w:val="308"/>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rPr>
                <w:rFonts w:eastAsia="Times New Roman" w:cstheme="minorHAnsi"/>
                <w:b/>
                <w:color w:val="000000"/>
                <w:sz w:val="24"/>
                <w:szCs w:val="24"/>
              </w:rPr>
            </w:pPr>
            <w:r>
              <w:rPr>
                <w:rFonts w:eastAsia="Times New Roman" w:cstheme="minorHAnsi"/>
                <w:b/>
                <w:color w:val="000000"/>
                <w:sz w:val="24"/>
                <w:szCs w:val="24"/>
              </w:rPr>
              <w:t xml:space="preserve">Reg. </w:t>
            </w:r>
            <w:r w:rsidRPr="00DF7C93">
              <w:rPr>
                <w:rFonts w:eastAsia="Times New Roman" w:cstheme="minorHAnsi"/>
                <w:b/>
                <w:color w:val="000000"/>
                <w:sz w:val="24"/>
                <w:szCs w:val="24"/>
              </w:rPr>
              <w:t>Centru</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860</w:t>
            </w:r>
            <w:r>
              <w:rPr>
                <w:rFonts w:eastAsia="Times New Roman" w:cstheme="minorHAnsi"/>
                <w:color w:val="000000"/>
                <w:sz w:val="24"/>
                <w:szCs w:val="24"/>
              </w:rPr>
              <w:t>,</w:t>
            </w:r>
            <w:r w:rsidRPr="00DF7C93">
              <w:rPr>
                <w:rFonts w:eastAsia="Times New Roman" w:cstheme="minorHAnsi"/>
                <w:color w:val="000000"/>
                <w:sz w:val="24"/>
                <w:szCs w:val="24"/>
              </w:rPr>
              <w:t>44</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1040</w:t>
            </w:r>
            <w:r>
              <w:rPr>
                <w:rFonts w:eastAsia="Times New Roman" w:cstheme="minorHAnsi"/>
                <w:color w:val="000000"/>
                <w:sz w:val="24"/>
                <w:szCs w:val="24"/>
              </w:rPr>
              <w:t>,</w:t>
            </w:r>
            <w:r w:rsidRPr="00DF7C93">
              <w:rPr>
                <w:rFonts w:eastAsia="Times New Roman" w:cstheme="minorHAnsi"/>
                <w:color w:val="000000"/>
                <w:sz w:val="24"/>
                <w:szCs w:val="24"/>
              </w:rPr>
              <w:t>42</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1074</w:t>
            </w:r>
            <w:r>
              <w:rPr>
                <w:rFonts w:eastAsia="Times New Roman" w:cstheme="minorHAnsi"/>
                <w:color w:val="000000"/>
                <w:sz w:val="24"/>
                <w:szCs w:val="24"/>
              </w:rPr>
              <w:t>,</w:t>
            </w:r>
            <w:r w:rsidRPr="00DF7C93">
              <w:rPr>
                <w:rFonts w:eastAsia="Times New Roman" w:cstheme="minorHAnsi"/>
                <w:color w:val="000000"/>
                <w:sz w:val="24"/>
                <w:szCs w:val="24"/>
              </w:rPr>
              <w:t>83</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1156</w:t>
            </w:r>
            <w:r>
              <w:rPr>
                <w:rFonts w:eastAsia="Times New Roman" w:cstheme="minorHAnsi"/>
                <w:color w:val="000000"/>
                <w:sz w:val="24"/>
                <w:szCs w:val="24"/>
              </w:rPr>
              <w:t>,</w:t>
            </w:r>
            <w:r w:rsidRPr="00DF7C93">
              <w:rPr>
                <w:rFonts w:eastAsia="Times New Roman" w:cstheme="minorHAnsi"/>
                <w:color w:val="000000"/>
                <w:sz w:val="24"/>
                <w:szCs w:val="24"/>
              </w:rPr>
              <w:t>51</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1142</w:t>
            </w:r>
            <w:r>
              <w:rPr>
                <w:rFonts w:eastAsia="Times New Roman" w:cstheme="minorHAnsi"/>
                <w:color w:val="000000"/>
                <w:sz w:val="24"/>
                <w:szCs w:val="24"/>
              </w:rPr>
              <w:t>,</w:t>
            </w:r>
            <w:r w:rsidRPr="00DF7C93">
              <w:rPr>
                <w:rFonts w:eastAsia="Times New Roman" w:cstheme="minorHAnsi"/>
                <w:color w:val="000000"/>
                <w:sz w:val="24"/>
                <w:szCs w:val="24"/>
              </w:rPr>
              <w:t>25</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1077</w:t>
            </w:r>
            <w:r>
              <w:rPr>
                <w:rFonts w:eastAsia="Times New Roman" w:cstheme="minorHAnsi"/>
                <w:color w:val="000000"/>
                <w:sz w:val="24"/>
                <w:szCs w:val="24"/>
              </w:rPr>
              <w:t>,</w:t>
            </w:r>
            <w:r w:rsidRPr="00DF7C93">
              <w:rPr>
                <w:rFonts w:eastAsia="Times New Roman" w:cstheme="minorHAnsi"/>
                <w:color w:val="000000"/>
                <w:sz w:val="24"/>
                <w:szCs w:val="24"/>
              </w:rPr>
              <w:t>01</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rPr>
                <w:rFonts w:eastAsia="Times New Roman" w:cstheme="minorHAnsi"/>
                <w:b/>
                <w:color w:val="000000"/>
                <w:sz w:val="24"/>
                <w:szCs w:val="24"/>
              </w:rPr>
            </w:pPr>
            <w:r w:rsidRPr="00DF7C93">
              <w:rPr>
                <w:rFonts w:eastAsia="Times New Roman" w:cstheme="minorHAnsi"/>
                <w:b/>
                <w:color w:val="000000"/>
                <w:sz w:val="24"/>
                <w:szCs w:val="24"/>
              </w:rPr>
              <w:t xml:space="preserve">Alba </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195</w:t>
            </w:r>
            <w:r>
              <w:rPr>
                <w:rFonts w:eastAsia="Times New Roman" w:cstheme="minorHAnsi"/>
                <w:color w:val="000000"/>
                <w:sz w:val="24"/>
                <w:szCs w:val="24"/>
              </w:rPr>
              <w:t>,</w:t>
            </w:r>
            <w:r w:rsidRPr="00DF7C93">
              <w:rPr>
                <w:rFonts w:eastAsia="Times New Roman" w:cstheme="minorHAnsi"/>
                <w:color w:val="000000"/>
                <w:sz w:val="24"/>
                <w:szCs w:val="24"/>
              </w:rPr>
              <w:t>66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220</w:t>
            </w:r>
            <w:r>
              <w:rPr>
                <w:rFonts w:eastAsia="Times New Roman" w:cstheme="minorHAnsi"/>
                <w:color w:val="000000"/>
                <w:sz w:val="24"/>
                <w:szCs w:val="24"/>
              </w:rPr>
              <w:t>,</w:t>
            </w:r>
            <w:r w:rsidRPr="00DF7C93">
              <w:rPr>
                <w:rFonts w:eastAsia="Times New Roman" w:cstheme="minorHAnsi"/>
                <w:color w:val="000000"/>
                <w:sz w:val="24"/>
                <w:szCs w:val="24"/>
              </w:rPr>
              <w:t>36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198</w:t>
            </w:r>
            <w:r>
              <w:rPr>
                <w:rFonts w:eastAsia="Times New Roman" w:cstheme="minorHAnsi"/>
                <w:color w:val="000000"/>
                <w:sz w:val="24"/>
                <w:szCs w:val="24"/>
              </w:rPr>
              <w:t>,</w:t>
            </w:r>
            <w:r w:rsidRPr="00DF7C93">
              <w:rPr>
                <w:rFonts w:eastAsia="Times New Roman" w:cstheme="minorHAnsi"/>
                <w:color w:val="000000"/>
                <w:sz w:val="24"/>
                <w:szCs w:val="24"/>
              </w:rPr>
              <w:t>04</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211</w:t>
            </w:r>
            <w:r>
              <w:rPr>
                <w:rFonts w:eastAsia="Times New Roman" w:cstheme="minorHAnsi"/>
                <w:color w:val="000000"/>
                <w:sz w:val="24"/>
                <w:szCs w:val="24"/>
              </w:rPr>
              <w:t>,</w:t>
            </w:r>
            <w:r w:rsidRPr="00DF7C93">
              <w:rPr>
                <w:rFonts w:eastAsia="Times New Roman" w:cstheme="minorHAnsi"/>
                <w:color w:val="000000"/>
                <w:sz w:val="24"/>
                <w:szCs w:val="24"/>
              </w:rPr>
              <w:t>76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229</w:t>
            </w:r>
            <w:r>
              <w:rPr>
                <w:rFonts w:eastAsia="Times New Roman" w:cstheme="minorHAnsi"/>
                <w:color w:val="000000"/>
                <w:sz w:val="24"/>
                <w:szCs w:val="24"/>
              </w:rPr>
              <w:t>,</w:t>
            </w:r>
            <w:r w:rsidRPr="00DF7C93">
              <w:rPr>
                <w:rFonts w:eastAsia="Times New Roman" w:cstheme="minorHAnsi"/>
                <w:color w:val="000000"/>
                <w:sz w:val="24"/>
                <w:szCs w:val="24"/>
              </w:rPr>
              <w:t>51</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210</w:t>
            </w:r>
            <w:r>
              <w:rPr>
                <w:rFonts w:eastAsia="Times New Roman" w:cstheme="minorHAnsi"/>
                <w:color w:val="000000"/>
                <w:sz w:val="24"/>
                <w:szCs w:val="24"/>
              </w:rPr>
              <w:t>,</w:t>
            </w:r>
            <w:r w:rsidRPr="00DF7C93">
              <w:rPr>
                <w:rFonts w:eastAsia="Times New Roman" w:cstheme="minorHAnsi"/>
                <w:color w:val="000000"/>
                <w:sz w:val="24"/>
                <w:szCs w:val="24"/>
              </w:rPr>
              <w:t>31</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rPr>
                <w:rFonts w:eastAsia="Times New Roman" w:cstheme="minorHAnsi"/>
                <w:b/>
                <w:color w:val="000000"/>
                <w:sz w:val="24"/>
                <w:szCs w:val="24"/>
              </w:rPr>
            </w:pPr>
            <w:r>
              <w:rPr>
                <w:rFonts w:eastAsia="Times New Roman" w:cstheme="minorHAnsi"/>
                <w:b/>
                <w:color w:val="000000"/>
                <w:sz w:val="24"/>
                <w:szCs w:val="24"/>
              </w:rPr>
              <w:t>Braş</w:t>
            </w:r>
            <w:r w:rsidRPr="00DF7C93">
              <w:rPr>
                <w:rFonts w:eastAsia="Times New Roman" w:cstheme="minorHAnsi"/>
                <w:b/>
                <w:color w:val="000000"/>
                <w:sz w:val="24"/>
                <w:szCs w:val="24"/>
              </w:rPr>
              <w:t>ov</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224</w:t>
            </w:r>
            <w:r>
              <w:rPr>
                <w:rFonts w:eastAsia="Times New Roman" w:cstheme="minorHAnsi"/>
                <w:color w:val="000000"/>
                <w:sz w:val="24"/>
                <w:szCs w:val="24"/>
              </w:rPr>
              <w:t>,</w:t>
            </w:r>
            <w:r w:rsidRPr="00DF7C93">
              <w:rPr>
                <w:rFonts w:eastAsia="Times New Roman" w:cstheme="minorHAnsi"/>
                <w:color w:val="000000"/>
                <w:sz w:val="24"/>
                <w:szCs w:val="24"/>
              </w:rPr>
              <w:t>35</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260</w:t>
            </w:r>
            <w:r>
              <w:rPr>
                <w:rFonts w:eastAsia="Times New Roman" w:cstheme="minorHAnsi"/>
                <w:color w:val="000000"/>
                <w:sz w:val="24"/>
                <w:szCs w:val="24"/>
              </w:rPr>
              <w:t>,</w:t>
            </w:r>
            <w:r w:rsidRPr="00DF7C93">
              <w:rPr>
                <w:rFonts w:eastAsia="Times New Roman" w:cstheme="minorHAnsi"/>
                <w:color w:val="000000"/>
                <w:sz w:val="24"/>
                <w:szCs w:val="24"/>
              </w:rPr>
              <w:t>30</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288</w:t>
            </w:r>
            <w:r>
              <w:rPr>
                <w:rFonts w:eastAsia="Times New Roman" w:cstheme="minorHAnsi"/>
                <w:color w:val="000000"/>
                <w:sz w:val="24"/>
                <w:szCs w:val="24"/>
              </w:rPr>
              <w:t>,</w:t>
            </w:r>
            <w:r w:rsidRPr="00DF7C93">
              <w:rPr>
                <w:rFonts w:eastAsia="Times New Roman" w:cstheme="minorHAnsi"/>
                <w:color w:val="000000"/>
                <w:sz w:val="24"/>
                <w:szCs w:val="24"/>
              </w:rPr>
              <w:t>99</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341</w:t>
            </w:r>
            <w:r>
              <w:rPr>
                <w:rFonts w:eastAsia="Times New Roman" w:cstheme="minorHAnsi"/>
                <w:color w:val="000000"/>
                <w:sz w:val="24"/>
                <w:szCs w:val="24"/>
              </w:rPr>
              <w:t>,</w:t>
            </w:r>
            <w:r w:rsidRPr="00DF7C93">
              <w:rPr>
                <w:rFonts w:eastAsia="Times New Roman" w:cstheme="minorHAnsi"/>
                <w:color w:val="000000"/>
                <w:sz w:val="24"/>
                <w:szCs w:val="24"/>
              </w:rPr>
              <w:t>53</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323</w:t>
            </w:r>
            <w:r>
              <w:rPr>
                <w:rFonts w:eastAsia="Times New Roman" w:cstheme="minorHAnsi"/>
                <w:color w:val="000000"/>
                <w:sz w:val="24"/>
                <w:szCs w:val="24"/>
              </w:rPr>
              <w:t>,</w:t>
            </w:r>
            <w:r w:rsidRPr="00DF7C93">
              <w:rPr>
                <w:rFonts w:eastAsia="Times New Roman" w:cstheme="minorHAnsi"/>
                <w:color w:val="000000"/>
                <w:sz w:val="24"/>
                <w:szCs w:val="24"/>
              </w:rPr>
              <w:t>68</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339</w:t>
            </w:r>
            <w:r>
              <w:rPr>
                <w:rFonts w:eastAsia="Times New Roman" w:cstheme="minorHAnsi"/>
                <w:color w:val="000000"/>
                <w:sz w:val="24"/>
                <w:szCs w:val="24"/>
              </w:rPr>
              <w:t>,</w:t>
            </w:r>
            <w:r w:rsidRPr="00DF7C93">
              <w:rPr>
                <w:rFonts w:eastAsia="Times New Roman" w:cstheme="minorHAnsi"/>
                <w:color w:val="000000"/>
                <w:sz w:val="24"/>
                <w:szCs w:val="24"/>
              </w:rPr>
              <w:t>38</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rPr>
                <w:rFonts w:eastAsia="Times New Roman" w:cstheme="minorHAnsi"/>
                <w:b/>
                <w:color w:val="000000"/>
                <w:sz w:val="24"/>
                <w:szCs w:val="24"/>
              </w:rPr>
            </w:pPr>
            <w:r w:rsidRPr="00DF7C93">
              <w:rPr>
                <w:rFonts w:eastAsia="Times New Roman" w:cstheme="minorHAnsi"/>
                <w:b/>
                <w:color w:val="000000"/>
                <w:sz w:val="24"/>
                <w:szCs w:val="24"/>
              </w:rPr>
              <w:t>Covasna</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w:t>
            </w:r>
            <w:r>
              <w:rPr>
                <w:rFonts w:eastAsia="Times New Roman" w:cstheme="minorHAnsi"/>
                <w:color w:val="000000"/>
                <w:sz w:val="24"/>
                <w:szCs w:val="24"/>
              </w:rPr>
              <w:t>,</w:t>
            </w:r>
            <w:r w:rsidRPr="00DF7C93">
              <w:rPr>
                <w:rFonts w:eastAsia="Times New Roman" w:cstheme="minorHAnsi"/>
                <w:color w:val="000000"/>
                <w:sz w:val="24"/>
                <w:szCs w:val="24"/>
              </w:rPr>
              <w:t>70</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w:t>
            </w:r>
            <w:r>
              <w:rPr>
                <w:rFonts w:eastAsia="Times New Roman" w:cstheme="minorHAnsi"/>
                <w:color w:val="000000"/>
                <w:sz w:val="24"/>
                <w:szCs w:val="24"/>
              </w:rPr>
              <w:t>,</w:t>
            </w:r>
            <w:r w:rsidRPr="00DF7C93">
              <w:rPr>
                <w:rFonts w:eastAsia="Times New Roman" w:cstheme="minorHAnsi"/>
                <w:color w:val="000000"/>
                <w:sz w:val="24"/>
                <w:szCs w:val="24"/>
              </w:rPr>
              <w:t>82</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w:t>
            </w:r>
            <w:r>
              <w:rPr>
                <w:rFonts w:eastAsia="Times New Roman" w:cstheme="minorHAnsi"/>
                <w:color w:val="000000"/>
                <w:sz w:val="24"/>
                <w:szCs w:val="24"/>
              </w:rPr>
              <w:t>,</w:t>
            </w:r>
            <w:r w:rsidRPr="00DF7C93">
              <w:rPr>
                <w:rFonts w:eastAsia="Times New Roman" w:cstheme="minorHAnsi"/>
                <w:color w:val="000000"/>
                <w:sz w:val="24"/>
                <w:szCs w:val="24"/>
              </w:rPr>
              <w:t>59</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w:t>
            </w:r>
            <w:r>
              <w:rPr>
                <w:rFonts w:eastAsia="Times New Roman" w:cstheme="minorHAnsi"/>
                <w:color w:val="000000"/>
                <w:sz w:val="24"/>
                <w:szCs w:val="24"/>
              </w:rPr>
              <w:t>,</w:t>
            </w:r>
            <w:r w:rsidRPr="00DF7C93">
              <w:rPr>
                <w:rFonts w:eastAsia="Times New Roman" w:cstheme="minorHAnsi"/>
                <w:color w:val="000000"/>
                <w:sz w:val="24"/>
                <w:szCs w:val="24"/>
              </w:rPr>
              <w:t>45</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w:t>
            </w:r>
            <w:r>
              <w:rPr>
                <w:rFonts w:eastAsia="Times New Roman" w:cstheme="minorHAnsi"/>
                <w:color w:val="000000"/>
                <w:sz w:val="24"/>
                <w:szCs w:val="24"/>
              </w:rPr>
              <w:t>,</w:t>
            </w:r>
            <w:r w:rsidRPr="00DF7C93">
              <w:rPr>
                <w:rFonts w:eastAsia="Times New Roman" w:cstheme="minorHAnsi"/>
                <w:color w:val="000000"/>
                <w:sz w:val="24"/>
                <w:szCs w:val="24"/>
              </w:rPr>
              <w:t>80</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w:t>
            </w:r>
            <w:r>
              <w:rPr>
                <w:rFonts w:eastAsia="Times New Roman" w:cstheme="minorHAnsi"/>
                <w:color w:val="000000"/>
                <w:sz w:val="24"/>
                <w:szCs w:val="24"/>
              </w:rPr>
              <w:t>,</w:t>
            </w:r>
            <w:r w:rsidRPr="00DF7C93">
              <w:rPr>
                <w:rFonts w:eastAsia="Times New Roman" w:cstheme="minorHAnsi"/>
                <w:color w:val="000000"/>
                <w:sz w:val="24"/>
                <w:szCs w:val="24"/>
              </w:rPr>
              <w:t>37</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rPr>
                <w:rFonts w:eastAsia="Times New Roman" w:cstheme="minorHAnsi"/>
                <w:b/>
                <w:color w:val="000000"/>
                <w:sz w:val="24"/>
                <w:szCs w:val="24"/>
              </w:rPr>
            </w:pPr>
            <w:r w:rsidRPr="00DF7C93">
              <w:rPr>
                <w:rFonts w:eastAsia="Times New Roman" w:cstheme="minorHAnsi"/>
                <w:b/>
                <w:color w:val="000000"/>
                <w:sz w:val="24"/>
                <w:szCs w:val="24"/>
              </w:rPr>
              <w:t>Harghita</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21</w:t>
            </w:r>
            <w:r>
              <w:rPr>
                <w:rFonts w:eastAsia="Times New Roman" w:cstheme="minorHAnsi"/>
                <w:color w:val="000000"/>
                <w:sz w:val="24"/>
                <w:szCs w:val="24"/>
              </w:rPr>
              <w:t>,</w:t>
            </w:r>
            <w:r w:rsidRPr="00DF7C93">
              <w:rPr>
                <w:rFonts w:eastAsia="Times New Roman" w:cstheme="minorHAnsi"/>
                <w:color w:val="000000"/>
                <w:sz w:val="24"/>
                <w:szCs w:val="24"/>
              </w:rPr>
              <w:t>47</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28</w:t>
            </w:r>
            <w:r>
              <w:rPr>
                <w:rFonts w:eastAsia="Times New Roman" w:cstheme="minorHAnsi"/>
                <w:color w:val="000000"/>
                <w:sz w:val="24"/>
                <w:szCs w:val="24"/>
              </w:rPr>
              <w:t>,</w:t>
            </w:r>
            <w:r w:rsidRPr="00DF7C93">
              <w:rPr>
                <w:rFonts w:eastAsia="Times New Roman" w:cstheme="minorHAnsi"/>
                <w:color w:val="000000"/>
                <w:sz w:val="24"/>
                <w:szCs w:val="24"/>
              </w:rPr>
              <w:t>75</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19</w:t>
            </w:r>
            <w:r>
              <w:rPr>
                <w:rFonts w:eastAsia="Times New Roman" w:cstheme="minorHAnsi"/>
                <w:color w:val="000000"/>
                <w:sz w:val="24"/>
                <w:szCs w:val="24"/>
              </w:rPr>
              <w:t>,</w:t>
            </w:r>
            <w:r w:rsidRPr="00DF7C93">
              <w:rPr>
                <w:rFonts w:eastAsia="Times New Roman" w:cstheme="minorHAnsi"/>
                <w:color w:val="000000"/>
                <w:sz w:val="24"/>
                <w:szCs w:val="24"/>
              </w:rPr>
              <w:t>15</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17</w:t>
            </w:r>
            <w:r>
              <w:rPr>
                <w:rFonts w:eastAsia="Times New Roman" w:cstheme="minorHAnsi"/>
                <w:color w:val="000000"/>
                <w:sz w:val="24"/>
                <w:szCs w:val="24"/>
              </w:rPr>
              <w:t>,</w:t>
            </w:r>
            <w:r w:rsidRPr="00DF7C93">
              <w:rPr>
                <w:rFonts w:eastAsia="Times New Roman" w:cstheme="minorHAnsi"/>
                <w:color w:val="000000"/>
                <w:sz w:val="24"/>
                <w:szCs w:val="24"/>
              </w:rPr>
              <w:t>99</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17</w:t>
            </w:r>
            <w:r>
              <w:rPr>
                <w:rFonts w:eastAsia="Times New Roman" w:cstheme="minorHAnsi"/>
                <w:color w:val="000000"/>
                <w:sz w:val="24"/>
                <w:szCs w:val="24"/>
              </w:rPr>
              <w:t>,</w:t>
            </w:r>
            <w:r w:rsidRPr="00DF7C93">
              <w:rPr>
                <w:rFonts w:eastAsia="Times New Roman" w:cstheme="minorHAnsi"/>
                <w:color w:val="000000"/>
                <w:sz w:val="24"/>
                <w:szCs w:val="24"/>
              </w:rPr>
              <w:t>75</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17</w:t>
            </w:r>
            <w:r>
              <w:rPr>
                <w:rFonts w:eastAsia="Times New Roman" w:cstheme="minorHAnsi"/>
                <w:color w:val="000000"/>
                <w:sz w:val="24"/>
                <w:szCs w:val="24"/>
              </w:rPr>
              <w:t>,</w:t>
            </w:r>
            <w:r w:rsidRPr="00DF7C93">
              <w:rPr>
                <w:rFonts w:eastAsia="Times New Roman" w:cstheme="minorHAnsi"/>
                <w:color w:val="000000"/>
                <w:sz w:val="24"/>
                <w:szCs w:val="24"/>
              </w:rPr>
              <w:t>25</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rPr>
                <w:rFonts w:eastAsia="Times New Roman" w:cstheme="minorHAnsi"/>
                <w:b/>
                <w:color w:val="000000"/>
                <w:sz w:val="24"/>
                <w:szCs w:val="24"/>
              </w:rPr>
            </w:pPr>
            <w:r>
              <w:rPr>
                <w:rFonts w:eastAsia="Times New Roman" w:cstheme="minorHAnsi"/>
                <w:b/>
                <w:color w:val="000000"/>
                <w:sz w:val="24"/>
                <w:szCs w:val="24"/>
              </w:rPr>
              <w:t>Mureş</w:t>
            </w:r>
            <w:r w:rsidRPr="00DF7C93">
              <w:rPr>
                <w:rFonts w:eastAsia="Times New Roman" w:cstheme="minorHAnsi"/>
                <w:b/>
                <w:color w:val="000000"/>
                <w:sz w:val="24"/>
                <w:szCs w:val="24"/>
              </w:rPr>
              <w:t xml:space="preserve"> </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57</w:t>
            </w:r>
            <w:r>
              <w:rPr>
                <w:rFonts w:eastAsia="Times New Roman" w:cstheme="minorHAnsi"/>
                <w:color w:val="000000"/>
                <w:sz w:val="24"/>
                <w:szCs w:val="24"/>
              </w:rPr>
              <w:t>,</w:t>
            </w:r>
            <w:r w:rsidRPr="00DF7C93">
              <w:rPr>
                <w:rFonts w:eastAsia="Times New Roman" w:cstheme="minorHAnsi"/>
                <w:color w:val="000000"/>
                <w:sz w:val="24"/>
                <w:szCs w:val="24"/>
              </w:rPr>
              <w:t>51</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75</w:t>
            </w:r>
            <w:r>
              <w:rPr>
                <w:rFonts w:eastAsia="Times New Roman" w:cstheme="minorHAnsi"/>
                <w:color w:val="000000"/>
                <w:sz w:val="24"/>
                <w:szCs w:val="24"/>
              </w:rPr>
              <w:t>,</w:t>
            </w:r>
            <w:r w:rsidRPr="00DF7C93">
              <w:rPr>
                <w:rFonts w:eastAsia="Times New Roman" w:cstheme="minorHAnsi"/>
                <w:color w:val="000000"/>
                <w:sz w:val="24"/>
                <w:szCs w:val="24"/>
              </w:rPr>
              <w:t>57</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94</w:t>
            </w:r>
            <w:r>
              <w:rPr>
                <w:rFonts w:eastAsia="Times New Roman" w:cstheme="minorHAnsi"/>
                <w:color w:val="000000"/>
                <w:sz w:val="24"/>
                <w:szCs w:val="24"/>
              </w:rPr>
              <w:t>,</w:t>
            </w:r>
            <w:r w:rsidRPr="00DF7C93">
              <w:rPr>
                <w:rFonts w:eastAsia="Times New Roman" w:cstheme="minorHAnsi"/>
                <w:color w:val="000000"/>
                <w:sz w:val="24"/>
                <w:szCs w:val="24"/>
              </w:rPr>
              <w:t>75</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112</w:t>
            </w:r>
            <w:r>
              <w:rPr>
                <w:rFonts w:eastAsia="Times New Roman" w:cstheme="minorHAnsi"/>
                <w:color w:val="000000"/>
                <w:sz w:val="24"/>
                <w:szCs w:val="24"/>
              </w:rPr>
              <w:t>,</w:t>
            </w:r>
            <w:r w:rsidRPr="00DF7C93">
              <w:rPr>
                <w:rFonts w:eastAsia="Times New Roman" w:cstheme="minorHAnsi"/>
                <w:color w:val="000000"/>
                <w:sz w:val="24"/>
                <w:szCs w:val="24"/>
              </w:rPr>
              <w:t>46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117</w:t>
            </w:r>
            <w:r>
              <w:rPr>
                <w:rFonts w:eastAsia="Times New Roman" w:cstheme="minorHAnsi"/>
                <w:color w:val="000000"/>
                <w:sz w:val="24"/>
                <w:szCs w:val="24"/>
              </w:rPr>
              <w:t>,</w:t>
            </w:r>
            <w:r w:rsidRPr="00DF7C93">
              <w:rPr>
                <w:rFonts w:eastAsia="Times New Roman" w:cstheme="minorHAnsi"/>
                <w:color w:val="000000"/>
                <w:sz w:val="24"/>
                <w:szCs w:val="24"/>
              </w:rPr>
              <w:t>40</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118</w:t>
            </w:r>
            <w:r>
              <w:rPr>
                <w:rFonts w:eastAsia="Times New Roman" w:cstheme="minorHAnsi"/>
                <w:color w:val="000000"/>
                <w:sz w:val="24"/>
                <w:szCs w:val="24"/>
              </w:rPr>
              <w:t>,</w:t>
            </w:r>
            <w:r w:rsidRPr="00DF7C93">
              <w:rPr>
                <w:rFonts w:eastAsia="Times New Roman" w:cstheme="minorHAnsi"/>
                <w:color w:val="000000"/>
                <w:sz w:val="24"/>
                <w:szCs w:val="24"/>
              </w:rPr>
              <w:t>70</w:t>
            </w:r>
          </w:p>
        </w:tc>
      </w:tr>
      <w:tr w:rsidR="00852F75" w:rsidRPr="00DF7C93" w:rsidTr="005F5D09">
        <w:trPr>
          <w:trHeight w:val="300"/>
          <w:jc w:val="center"/>
        </w:trPr>
        <w:tc>
          <w:tcPr>
            <w:tcW w:w="1556" w:type="dxa"/>
            <w:tcBorders>
              <w:top w:val="single" w:sz="12" w:space="0" w:color="548DD4" w:themeColor="text2" w:themeTint="99"/>
              <w:left w:val="single" w:sz="12"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rPr>
                <w:rFonts w:eastAsia="Times New Roman" w:cstheme="minorHAnsi"/>
                <w:b/>
                <w:color w:val="000000"/>
                <w:sz w:val="24"/>
                <w:szCs w:val="24"/>
              </w:rPr>
            </w:pPr>
            <w:r w:rsidRPr="00DF7C93">
              <w:rPr>
                <w:rFonts w:eastAsia="Times New Roman" w:cstheme="minorHAnsi"/>
                <w:b/>
                <w:color w:val="000000"/>
                <w:sz w:val="24"/>
                <w:szCs w:val="24"/>
              </w:rPr>
              <w:t>Sibiu</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358</w:t>
            </w:r>
            <w:r>
              <w:rPr>
                <w:rFonts w:eastAsia="Times New Roman" w:cstheme="minorHAnsi"/>
                <w:color w:val="000000"/>
                <w:sz w:val="24"/>
                <w:szCs w:val="24"/>
              </w:rPr>
              <w:t>,</w:t>
            </w:r>
            <w:r w:rsidRPr="00DF7C93">
              <w:rPr>
                <w:rFonts w:eastAsia="Times New Roman" w:cstheme="minorHAnsi"/>
                <w:color w:val="000000"/>
                <w:sz w:val="24"/>
                <w:szCs w:val="24"/>
              </w:rPr>
              <w:t>76</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452</w:t>
            </w:r>
            <w:r>
              <w:rPr>
                <w:rFonts w:eastAsia="Times New Roman" w:cstheme="minorHAnsi"/>
                <w:color w:val="000000"/>
                <w:sz w:val="24"/>
                <w:szCs w:val="24"/>
              </w:rPr>
              <w:t>,</w:t>
            </w:r>
            <w:r w:rsidRPr="00DF7C93">
              <w:rPr>
                <w:rFonts w:eastAsia="Times New Roman" w:cstheme="minorHAnsi"/>
                <w:color w:val="000000"/>
                <w:sz w:val="24"/>
                <w:szCs w:val="24"/>
              </w:rPr>
              <w:t>64</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471</w:t>
            </w:r>
            <w:r>
              <w:rPr>
                <w:rFonts w:eastAsia="Times New Roman" w:cstheme="minorHAnsi"/>
                <w:color w:val="000000"/>
                <w:sz w:val="24"/>
                <w:szCs w:val="24"/>
              </w:rPr>
              <w:t>,</w:t>
            </w:r>
            <w:r w:rsidRPr="00DF7C93">
              <w:rPr>
                <w:rFonts w:eastAsia="Times New Roman" w:cstheme="minorHAnsi"/>
                <w:color w:val="000000"/>
                <w:sz w:val="24"/>
                <w:szCs w:val="24"/>
              </w:rPr>
              <w:t>31</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470</w:t>
            </w:r>
            <w:r>
              <w:rPr>
                <w:rFonts w:eastAsia="Times New Roman" w:cstheme="minorHAnsi"/>
                <w:color w:val="000000"/>
                <w:sz w:val="24"/>
                <w:szCs w:val="24"/>
              </w:rPr>
              <w:t>,</w:t>
            </w:r>
            <w:r w:rsidRPr="00DF7C93">
              <w:rPr>
                <w:rFonts w:eastAsia="Times New Roman" w:cstheme="minorHAnsi"/>
                <w:color w:val="000000"/>
                <w:sz w:val="24"/>
                <w:szCs w:val="24"/>
              </w:rPr>
              <w:t>33</w:t>
            </w:r>
          </w:p>
        </w:tc>
        <w:tc>
          <w:tcPr>
            <w:tcW w:w="1261" w:type="dxa"/>
            <w:tcBorders>
              <w:top w:val="single" w:sz="12" w:space="0" w:color="548DD4" w:themeColor="text2" w:themeTint="99"/>
              <w:left w:val="single" w:sz="6" w:space="0" w:color="548DD4" w:themeColor="text2" w:themeTint="99"/>
              <w:bottom w:val="single" w:sz="12" w:space="0" w:color="548DD4" w:themeColor="text2" w:themeTint="99"/>
              <w:right w:val="single" w:sz="6"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451</w:t>
            </w:r>
            <w:r>
              <w:rPr>
                <w:rFonts w:eastAsia="Times New Roman" w:cstheme="minorHAnsi"/>
                <w:color w:val="000000"/>
                <w:sz w:val="24"/>
                <w:szCs w:val="24"/>
              </w:rPr>
              <w:t>,</w:t>
            </w:r>
            <w:r w:rsidRPr="00DF7C93">
              <w:rPr>
                <w:rFonts w:eastAsia="Times New Roman" w:cstheme="minorHAnsi"/>
                <w:color w:val="000000"/>
                <w:sz w:val="24"/>
                <w:szCs w:val="24"/>
              </w:rPr>
              <w:t>12</w:t>
            </w:r>
          </w:p>
        </w:tc>
        <w:tc>
          <w:tcPr>
            <w:tcW w:w="1262" w:type="dxa"/>
            <w:tcBorders>
              <w:top w:val="single" w:sz="12" w:space="0" w:color="548DD4" w:themeColor="text2" w:themeTint="99"/>
              <w:left w:val="single" w:sz="6" w:space="0" w:color="548DD4" w:themeColor="text2" w:themeTint="99"/>
              <w:bottom w:val="single" w:sz="12" w:space="0" w:color="548DD4" w:themeColor="text2" w:themeTint="99"/>
              <w:right w:val="single" w:sz="12" w:space="0" w:color="548DD4" w:themeColor="text2" w:themeTint="99"/>
            </w:tcBorders>
            <w:shd w:val="clear" w:color="auto" w:fill="auto"/>
            <w:vAlign w:val="bottom"/>
            <w:hideMark/>
          </w:tcPr>
          <w:p w:rsidR="00852F75" w:rsidRPr="00DF7C93" w:rsidRDefault="00852F75" w:rsidP="005F5D09">
            <w:pPr>
              <w:contextualSpacing/>
              <w:jc w:val="right"/>
              <w:rPr>
                <w:rFonts w:eastAsia="Times New Roman" w:cstheme="minorHAnsi"/>
                <w:color w:val="000000"/>
                <w:sz w:val="24"/>
                <w:szCs w:val="24"/>
              </w:rPr>
            </w:pPr>
            <w:r w:rsidRPr="00DF7C93">
              <w:rPr>
                <w:rFonts w:eastAsia="Times New Roman" w:cstheme="minorHAnsi"/>
                <w:color w:val="000000"/>
                <w:sz w:val="24"/>
                <w:szCs w:val="24"/>
              </w:rPr>
              <w:t>389</w:t>
            </w:r>
            <w:r>
              <w:rPr>
                <w:rFonts w:eastAsia="Times New Roman" w:cstheme="minorHAnsi"/>
                <w:color w:val="000000"/>
                <w:sz w:val="24"/>
                <w:szCs w:val="24"/>
              </w:rPr>
              <w:t>,</w:t>
            </w:r>
            <w:r w:rsidRPr="00DF7C93">
              <w:rPr>
                <w:rFonts w:eastAsia="Times New Roman" w:cstheme="minorHAnsi"/>
                <w:color w:val="000000"/>
                <w:sz w:val="24"/>
                <w:szCs w:val="24"/>
              </w:rPr>
              <w:t>00</w:t>
            </w:r>
          </w:p>
        </w:tc>
      </w:tr>
    </w:tbl>
    <w:p w:rsidR="00852F75" w:rsidRDefault="00852F75" w:rsidP="00852F75">
      <w:pPr>
        <w:ind w:left="-450"/>
        <w:contextualSpacing/>
        <w:rPr>
          <w:sz w:val="24"/>
          <w:szCs w:val="24"/>
        </w:rPr>
      </w:pPr>
      <w:r>
        <w:rPr>
          <w:sz w:val="24"/>
          <w:szCs w:val="24"/>
        </w:rPr>
        <w:tab/>
        <w:t>Baza de date a ONRC</w:t>
      </w:r>
    </w:p>
    <w:p w:rsidR="00852F75" w:rsidRDefault="00852F75" w:rsidP="00852F75">
      <w:pPr>
        <w:ind w:left="-450"/>
        <w:contextualSpacing/>
        <w:rPr>
          <w:sz w:val="24"/>
          <w:szCs w:val="24"/>
        </w:rPr>
      </w:pPr>
    </w:p>
    <w:p w:rsidR="00852F75" w:rsidRDefault="00852F75" w:rsidP="00852F75">
      <w:pPr>
        <w:contextualSpacing/>
        <w:jc w:val="both"/>
        <w:rPr>
          <w:sz w:val="24"/>
          <w:szCs w:val="24"/>
        </w:rPr>
      </w:pPr>
      <w:r>
        <w:rPr>
          <w:sz w:val="24"/>
          <w:szCs w:val="24"/>
        </w:rPr>
        <w:t>Cifra de afaceri realizată la nivel regional de firmele din industria pielăriei și încălțămintei în anul 2015 depășește 1 miliard  lei ceea ce reprezintă 21,8% din totalul cifrei de afaceri a industriei pielăriei la nivel naţional. Judeţul lider al acestei industrii este Sibiu, urmat de Braşov, Alba și Mureş în timp ce judeţele Covasna şi Harghita realizează în acest domeniu cifre de afaceri nesemnificative.  Comparativ cu cifra de afaceri a sectorului realizată la nivel național, județele Sibiu și Brașov dețin ponderi însemnate  (7,87% respectiv 6,86% , în anul 2015).</w:t>
      </w:r>
    </w:p>
    <w:p w:rsidR="00852F75" w:rsidRPr="00686257" w:rsidRDefault="00852F75" w:rsidP="00852F75">
      <w:pPr>
        <w:contextualSpacing/>
        <w:jc w:val="both"/>
        <w:rPr>
          <w:b/>
        </w:rPr>
      </w:pPr>
      <w:r w:rsidRPr="00686257">
        <w:rPr>
          <w:b/>
        </w:rPr>
        <w:t>Tab. 15 Ponderea cifrei de afaceri a Regiunii Centru din totalul industriei pielăriei la nivel naţional</w:t>
      </w:r>
    </w:p>
    <w:p w:rsidR="00852F75" w:rsidRPr="00686257" w:rsidRDefault="00852F75" w:rsidP="00852F75">
      <w:pPr>
        <w:contextualSpacing/>
        <w:jc w:val="both"/>
        <w:rPr>
          <w:b/>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86257">
        <w:rPr>
          <w:b/>
        </w:rPr>
        <w:t>-%-</w:t>
      </w:r>
    </w:p>
    <w:tbl>
      <w:tblPr>
        <w:tblW w:w="9369" w:type="dxa"/>
        <w:jc w:val="center"/>
        <w:tblInd w:w="390" w:type="dxa"/>
        <w:tblLayout w:type="fixed"/>
        <w:tblLook w:val="04A0"/>
      </w:tblPr>
      <w:tblGrid>
        <w:gridCol w:w="1800"/>
        <w:gridCol w:w="1261"/>
        <w:gridCol w:w="1262"/>
        <w:gridCol w:w="1261"/>
        <w:gridCol w:w="1262"/>
        <w:gridCol w:w="1261"/>
        <w:gridCol w:w="1262"/>
      </w:tblGrid>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8DB3E2" w:themeFill="text2" w:themeFillTint="66"/>
            <w:vAlign w:val="bottom"/>
            <w:hideMark/>
          </w:tcPr>
          <w:p w:rsidR="00852F75" w:rsidRPr="00686257" w:rsidRDefault="00852F75" w:rsidP="005F5D09">
            <w:pPr>
              <w:contextualSpacing/>
              <w:rPr>
                <w:rFonts w:eastAsia="Times New Roman" w:cstheme="minorHAnsi"/>
                <w:b/>
                <w:color w:val="000000"/>
              </w:rPr>
            </w:pPr>
          </w:p>
        </w:tc>
        <w:tc>
          <w:tcPr>
            <w:tcW w:w="1261" w:type="dxa"/>
            <w:tcBorders>
              <w:top w:val="single" w:sz="12" w:space="0" w:color="548DD4" w:themeColor="text2" w:themeTint="99"/>
              <w:left w:val="nil"/>
              <w:bottom w:val="single" w:sz="12" w:space="0" w:color="548DD4" w:themeColor="text2" w:themeTint="99"/>
              <w:right w:val="nil"/>
            </w:tcBorders>
            <w:shd w:val="clear" w:color="auto" w:fill="8DB3E2" w:themeFill="text2" w:themeFillTint="66"/>
            <w:noWrap/>
            <w:vAlign w:val="bottom"/>
            <w:hideMark/>
          </w:tcPr>
          <w:p w:rsidR="00852F75" w:rsidRPr="00686257" w:rsidRDefault="00852F75" w:rsidP="005F5D09">
            <w:pPr>
              <w:contextualSpacing/>
              <w:jc w:val="right"/>
              <w:rPr>
                <w:rFonts w:eastAsia="Times New Roman" w:cstheme="minorHAnsi"/>
                <w:b/>
                <w:color w:val="000000"/>
              </w:rPr>
            </w:pPr>
            <w:r w:rsidRPr="00686257">
              <w:rPr>
                <w:rFonts w:eastAsia="Times New Roman" w:cstheme="minorHAnsi"/>
                <w:b/>
                <w:color w:val="000000"/>
              </w:rPr>
              <w:t>2010</w:t>
            </w:r>
          </w:p>
        </w:tc>
        <w:tc>
          <w:tcPr>
            <w:tcW w:w="1262" w:type="dxa"/>
            <w:tcBorders>
              <w:top w:val="single" w:sz="12" w:space="0" w:color="548DD4" w:themeColor="text2" w:themeTint="99"/>
              <w:left w:val="nil"/>
              <w:bottom w:val="single" w:sz="12" w:space="0" w:color="548DD4" w:themeColor="text2" w:themeTint="99"/>
              <w:right w:val="nil"/>
            </w:tcBorders>
            <w:shd w:val="clear" w:color="auto" w:fill="8DB3E2" w:themeFill="text2" w:themeFillTint="66"/>
            <w:noWrap/>
            <w:vAlign w:val="bottom"/>
            <w:hideMark/>
          </w:tcPr>
          <w:p w:rsidR="00852F75" w:rsidRPr="00686257" w:rsidRDefault="00852F75" w:rsidP="005F5D09">
            <w:pPr>
              <w:contextualSpacing/>
              <w:jc w:val="right"/>
              <w:rPr>
                <w:rFonts w:eastAsia="Times New Roman" w:cstheme="minorHAnsi"/>
                <w:b/>
                <w:color w:val="000000"/>
              </w:rPr>
            </w:pPr>
            <w:r w:rsidRPr="00686257">
              <w:rPr>
                <w:rFonts w:eastAsia="Times New Roman" w:cstheme="minorHAnsi"/>
                <w:b/>
                <w:color w:val="000000"/>
              </w:rPr>
              <w:t>2011</w:t>
            </w:r>
          </w:p>
        </w:tc>
        <w:tc>
          <w:tcPr>
            <w:tcW w:w="1261" w:type="dxa"/>
            <w:tcBorders>
              <w:top w:val="single" w:sz="12" w:space="0" w:color="548DD4" w:themeColor="text2" w:themeTint="99"/>
              <w:left w:val="nil"/>
              <w:bottom w:val="single" w:sz="12" w:space="0" w:color="548DD4" w:themeColor="text2" w:themeTint="99"/>
              <w:right w:val="nil"/>
            </w:tcBorders>
            <w:shd w:val="clear" w:color="auto" w:fill="8DB3E2" w:themeFill="text2" w:themeFillTint="66"/>
            <w:noWrap/>
            <w:vAlign w:val="bottom"/>
            <w:hideMark/>
          </w:tcPr>
          <w:p w:rsidR="00852F75" w:rsidRPr="00686257" w:rsidRDefault="00852F75" w:rsidP="005F5D09">
            <w:pPr>
              <w:contextualSpacing/>
              <w:jc w:val="right"/>
              <w:rPr>
                <w:rFonts w:eastAsia="Times New Roman" w:cstheme="minorHAnsi"/>
                <w:b/>
                <w:color w:val="000000"/>
              </w:rPr>
            </w:pPr>
            <w:r w:rsidRPr="00686257">
              <w:rPr>
                <w:rFonts w:eastAsia="Times New Roman" w:cstheme="minorHAnsi"/>
                <w:b/>
                <w:color w:val="000000"/>
              </w:rPr>
              <w:t>2012</w:t>
            </w:r>
          </w:p>
        </w:tc>
        <w:tc>
          <w:tcPr>
            <w:tcW w:w="1262" w:type="dxa"/>
            <w:tcBorders>
              <w:top w:val="single" w:sz="12" w:space="0" w:color="548DD4" w:themeColor="text2" w:themeTint="99"/>
              <w:left w:val="nil"/>
              <w:bottom w:val="single" w:sz="12" w:space="0" w:color="548DD4" w:themeColor="text2" w:themeTint="99"/>
              <w:right w:val="nil"/>
            </w:tcBorders>
            <w:shd w:val="clear" w:color="auto" w:fill="8DB3E2" w:themeFill="text2" w:themeFillTint="66"/>
            <w:noWrap/>
            <w:vAlign w:val="bottom"/>
            <w:hideMark/>
          </w:tcPr>
          <w:p w:rsidR="00852F75" w:rsidRPr="00686257" w:rsidRDefault="00852F75" w:rsidP="005F5D09">
            <w:pPr>
              <w:contextualSpacing/>
              <w:jc w:val="right"/>
              <w:rPr>
                <w:rFonts w:eastAsia="Times New Roman" w:cstheme="minorHAnsi"/>
                <w:b/>
                <w:color w:val="000000"/>
              </w:rPr>
            </w:pPr>
            <w:r w:rsidRPr="00686257">
              <w:rPr>
                <w:rFonts w:eastAsia="Times New Roman" w:cstheme="minorHAnsi"/>
                <w:b/>
                <w:color w:val="000000"/>
              </w:rPr>
              <w:t>2013</w:t>
            </w:r>
          </w:p>
        </w:tc>
        <w:tc>
          <w:tcPr>
            <w:tcW w:w="1261" w:type="dxa"/>
            <w:tcBorders>
              <w:top w:val="single" w:sz="12" w:space="0" w:color="548DD4" w:themeColor="text2" w:themeTint="99"/>
              <w:left w:val="nil"/>
              <w:bottom w:val="single" w:sz="12" w:space="0" w:color="548DD4" w:themeColor="text2" w:themeTint="99"/>
              <w:right w:val="nil"/>
            </w:tcBorders>
            <w:shd w:val="clear" w:color="auto" w:fill="8DB3E2" w:themeFill="text2" w:themeFillTint="66"/>
            <w:noWrap/>
            <w:vAlign w:val="bottom"/>
            <w:hideMark/>
          </w:tcPr>
          <w:p w:rsidR="00852F75" w:rsidRPr="00686257" w:rsidRDefault="00852F75" w:rsidP="005F5D09">
            <w:pPr>
              <w:contextualSpacing/>
              <w:jc w:val="right"/>
              <w:rPr>
                <w:rFonts w:eastAsia="Times New Roman" w:cstheme="minorHAnsi"/>
                <w:b/>
                <w:color w:val="000000"/>
              </w:rPr>
            </w:pPr>
            <w:r w:rsidRPr="00686257">
              <w:rPr>
                <w:rFonts w:eastAsia="Times New Roman" w:cstheme="minorHAnsi"/>
                <w:b/>
                <w:color w:val="000000"/>
              </w:rPr>
              <w:t>2014</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8DB3E2" w:themeFill="text2" w:themeFillTint="66"/>
            <w:noWrap/>
            <w:vAlign w:val="bottom"/>
            <w:hideMark/>
          </w:tcPr>
          <w:p w:rsidR="00852F75" w:rsidRPr="00686257" w:rsidRDefault="00852F75" w:rsidP="005F5D09">
            <w:pPr>
              <w:contextualSpacing/>
              <w:jc w:val="right"/>
              <w:rPr>
                <w:rFonts w:eastAsia="Times New Roman" w:cstheme="minorHAnsi"/>
                <w:b/>
                <w:color w:val="000000"/>
              </w:rPr>
            </w:pPr>
            <w:r w:rsidRPr="00686257">
              <w:rPr>
                <w:rFonts w:eastAsia="Times New Roman" w:cstheme="minorHAnsi"/>
                <w:b/>
                <w:color w:val="000000"/>
              </w:rPr>
              <w:t>2015</w:t>
            </w:r>
          </w:p>
        </w:tc>
      </w:tr>
      <w:tr w:rsidR="00852F75" w:rsidRPr="00686257" w:rsidTr="005F5D09">
        <w:trPr>
          <w:trHeight w:val="335"/>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Reg. Centru</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22,74</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22,69</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23,48</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24,11</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21,65</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21,78</w:t>
            </w:r>
          </w:p>
        </w:tc>
      </w:tr>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auto"/>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 xml:space="preserve">Alba </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5,17</w:t>
            </w:r>
          </w:p>
        </w:tc>
        <w:tc>
          <w:tcPr>
            <w:tcW w:w="1262"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4,80</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4,33</w:t>
            </w:r>
          </w:p>
        </w:tc>
        <w:tc>
          <w:tcPr>
            <w:tcW w:w="1262"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4,41</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4,35</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4,25</w:t>
            </w:r>
          </w:p>
        </w:tc>
      </w:tr>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Brasov</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5,93</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5,68</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6,31</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7,12</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6,13</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6,86</w:t>
            </w:r>
          </w:p>
        </w:tc>
      </w:tr>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auto"/>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Covasna</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0,07</w:t>
            </w:r>
          </w:p>
        </w:tc>
        <w:tc>
          <w:tcPr>
            <w:tcW w:w="1262"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0,06</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0,06</w:t>
            </w:r>
          </w:p>
        </w:tc>
        <w:tc>
          <w:tcPr>
            <w:tcW w:w="1262"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0,05</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0,05</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0,05</w:t>
            </w:r>
          </w:p>
        </w:tc>
      </w:tr>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Harghita</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0,57</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0,63</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0,42</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0,37</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0,34</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0,35</w:t>
            </w:r>
          </w:p>
        </w:tc>
      </w:tr>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auto"/>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 xml:space="preserve">Mures </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1,52</w:t>
            </w:r>
          </w:p>
        </w:tc>
        <w:tc>
          <w:tcPr>
            <w:tcW w:w="1262"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1,65</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2,07</w:t>
            </w:r>
          </w:p>
        </w:tc>
        <w:tc>
          <w:tcPr>
            <w:tcW w:w="1262"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2,34</w:t>
            </w:r>
          </w:p>
        </w:tc>
        <w:tc>
          <w:tcPr>
            <w:tcW w:w="1261" w:type="dxa"/>
            <w:tcBorders>
              <w:top w:val="single" w:sz="12" w:space="0" w:color="548DD4" w:themeColor="text2" w:themeTint="99"/>
              <w:left w:val="nil"/>
              <w:bottom w:val="single" w:sz="12" w:space="0" w:color="548DD4" w:themeColor="text2" w:themeTint="99"/>
              <w:right w:val="nil"/>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2,23</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auto"/>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2,40</w:t>
            </w:r>
          </w:p>
        </w:tc>
      </w:tr>
      <w:tr w:rsidR="00852F75" w:rsidRPr="00686257" w:rsidTr="005F5D09">
        <w:trPr>
          <w:trHeight w:val="300"/>
          <w:jc w:val="center"/>
        </w:trPr>
        <w:tc>
          <w:tcPr>
            <w:tcW w:w="1800" w:type="dxa"/>
            <w:tcBorders>
              <w:top w:val="single" w:sz="12" w:space="0" w:color="548DD4" w:themeColor="text2" w:themeTint="99"/>
              <w:left w:val="single" w:sz="12" w:space="0" w:color="548DD4" w:themeColor="text2" w:themeTint="99"/>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rPr>
                <w:rFonts w:eastAsia="Times New Roman" w:cstheme="minorHAnsi"/>
                <w:b/>
                <w:color w:val="000000"/>
              </w:rPr>
            </w:pPr>
            <w:r w:rsidRPr="00686257">
              <w:rPr>
                <w:rFonts w:eastAsia="Times New Roman" w:cstheme="minorHAnsi"/>
                <w:b/>
                <w:color w:val="000000"/>
              </w:rPr>
              <w:t>Sibiu</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9,48</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9,87</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10,30</w:t>
            </w:r>
          </w:p>
        </w:tc>
        <w:tc>
          <w:tcPr>
            <w:tcW w:w="1262"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9,80</w:t>
            </w:r>
          </w:p>
        </w:tc>
        <w:tc>
          <w:tcPr>
            <w:tcW w:w="1261" w:type="dxa"/>
            <w:tcBorders>
              <w:top w:val="single" w:sz="12" w:space="0" w:color="548DD4" w:themeColor="text2" w:themeTint="99"/>
              <w:left w:val="nil"/>
              <w:bottom w:val="single" w:sz="12" w:space="0" w:color="548DD4" w:themeColor="text2" w:themeTint="99"/>
              <w:right w:val="nil"/>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8,55</w:t>
            </w:r>
          </w:p>
        </w:tc>
        <w:tc>
          <w:tcPr>
            <w:tcW w:w="1262" w:type="dxa"/>
            <w:tcBorders>
              <w:top w:val="single" w:sz="12" w:space="0" w:color="548DD4" w:themeColor="text2" w:themeTint="99"/>
              <w:left w:val="nil"/>
              <w:bottom w:val="single" w:sz="12" w:space="0" w:color="548DD4" w:themeColor="text2" w:themeTint="99"/>
              <w:right w:val="single" w:sz="12" w:space="0" w:color="548DD4" w:themeColor="text2" w:themeTint="99"/>
            </w:tcBorders>
            <w:shd w:val="clear" w:color="auto" w:fill="C6D9F1" w:themeFill="text2" w:themeFillTint="33"/>
            <w:vAlign w:val="bottom"/>
            <w:hideMark/>
          </w:tcPr>
          <w:p w:rsidR="00852F75" w:rsidRPr="00686257" w:rsidRDefault="00852F75" w:rsidP="005F5D09">
            <w:pPr>
              <w:contextualSpacing/>
              <w:jc w:val="right"/>
              <w:rPr>
                <w:rFonts w:eastAsia="Times New Roman" w:cstheme="minorHAnsi"/>
                <w:color w:val="000000"/>
              </w:rPr>
            </w:pPr>
            <w:r w:rsidRPr="00686257">
              <w:rPr>
                <w:rFonts w:eastAsia="Times New Roman" w:cstheme="minorHAnsi"/>
                <w:color w:val="000000"/>
              </w:rPr>
              <w:t>7,87</w:t>
            </w:r>
          </w:p>
        </w:tc>
      </w:tr>
    </w:tbl>
    <w:p w:rsidR="00852F75" w:rsidRPr="00686257" w:rsidRDefault="00852F75" w:rsidP="00852F75">
      <w:pPr>
        <w:ind w:left="-270"/>
        <w:contextualSpacing/>
      </w:pPr>
      <w:r w:rsidRPr="00686257">
        <w:tab/>
        <w:t>Calcule proprii după datele ONRC</w:t>
      </w:r>
    </w:p>
    <w:p w:rsidR="00852F75" w:rsidRDefault="00852F75" w:rsidP="00852F75">
      <w:pPr>
        <w:ind w:left="-270"/>
        <w:contextualSpacing/>
        <w:jc w:val="center"/>
        <w:rPr>
          <w:b/>
          <w:sz w:val="24"/>
          <w:szCs w:val="24"/>
          <w:shd w:val="clear" w:color="auto" w:fill="FFFFFF"/>
        </w:rPr>
      </w:pPr>
    </w:p>
    <w:p w:rsidR="00852F75" w:rsidRDefault="00852F75" w:rsidP="00852F75">
      <w:pPr>
        <w:contextualSpacing/>
        <w:jc w:val="both"/>
        <w:rPr>
          <w:color w:val="000000" w:themeColor="text1"/>
          <w:sz w:val="24"/>
          <w:szCs w:val="24"/>
        </w:rPr>
      </w:pPr>
      <w:r>
        <w:rPr>
          <w:color w:val="000000" w:themeColor="text1"/>
          <w:sz w:val="24"/>
          <w:szCs w:val="24"/>
        </w:rPr>
        <w:t xml:space="preserve">Conform </w:t>
      </w:r>
      <w:r w:rsidRPr="006D2859">
        <w:rPr>
          <w:color w:val="000000" w:themeColor="text1"/>
          <w:sz w:val="24"/>
          <w:szCs w:val="24"/>
        </w:rPr>
        <w:t>statistic</w:t>
      </w:r>
      <w:r>
        <w:rPr>
          <w:color w:val="000000" w:themeColor="text1"/>
          <w:sz w:val="24"/>
          <w:szCs w:val="24"/>
        </w:rPr>
        <w:t>ilor oficiale</w:t>
      </w:r>
      <w:r w:rsidRPr="006D2859">
        <w:rPr>
          <w:color w:val="000000" w:themeColor="text1"/>
          <w:sz w:val="24"/>
          <w:szCs w:val="24"/>
        </w:rPr>
        <w:t>, la sfârşitul anului 2015, nu</w:t>
      </w:r>
      <w:r>
        <w:rPr>
          <w:color w:val="000000" w:themeColor="text1"/>
          <w:sz w:val="24"/>
          <w:szCs w:val="24"/>
        </w:rPr>
        <w:t xml:space="preserve">mărul salariaţilor din sectorul pielărie-încălțăminte la nivelul </w:t>
      </w:r>
      <w:r w:rsidRPr="006D2859">
        <w:rPr>
          <w:color w:val="000000" w:themeColor="text1"/>
          <w:sz w:val="24"/>
          <w:szCs w:val="24"/>
        </w:rPr>
        <w:t>Regiun</w:t>
      </w:r>
      <w:r>
        <w:rPr>
          <w:color w:val="000000" w:themeColor="text1"/>
          <w:sz w:val="24"/>
          <w:szCs w:val="24"/>
        </w:rPr>
        <w:t>ii</w:t>
      </w:r>
      <w:r w:rsidRPr="006D2859">
        <w:rPr>
          <w:color w:val="000000" w:themeColor="text1"/>
          <w:sz w:val="24"/>
          <w:szCs w:val="24"/>
        </w:rPr>
        <w:t xml:space="preserve"> Centru </w:t>
      </w:r>
      <w:r>
        <w:rPr>
          <w:color w:val="000000" w:themeColor="text1"/>
          <w:sz w:val="24"/>
          <w:szCs w:val="24"/>
        </w:rPr>
        <w:t>se ridică</w:t>
      </w:r>
      <w:r w:rsidRPr="006D2859">
        <w:rPr>
          <w:color w:val="000000" w:themeColor="text1"/>
          <w:sz w:val="24"/>
          <w:szCs w:val="24"/>
        </w:rPr>
        <w:t xml:space="preserve"> 12573 de angajaţi, reprezentând 22% din totalul salariaţilor acestui sector la nivel naţional. </w:t>
      </w:r>
      <w:r>
        <w:rPr>
          <w:color w:val="000000" w:themeColor="text1"/>
          <w:sz w:val="24"/>
          <w:szCs w:val="24"/>
        </w:rPr>
        <w:t xml:space="preserve">Județele Sibiu, Brașov și Alba concentrează 88% din numărul angajaților la nivel regional din industria pielăriei și încălțămintei.  </w:t>
      </w:r>
    </w:p>
    <w:p w:rsidR="00852F75" w:rsidRDefault="00852F75" w:rsidP="00852F75">
      <w:pPr>
        <w:contextualSpacing/>
        <w:rPr>
          <w:b/>
          <w:color w:val="000000" w:themeColor="text1"/>
          <w:sz w:val="24"/>
          <w:szCs w:val="24"/>
        </w:rPr>
      </w:pPr>
    </w:p>
    <w:p w:rsidR="00852F75" w:rsidRDefault="00852F75" w:rsidP="00852F75">
      <w:pPr>
        <w:contextualSpacing/>
        <w:rPr>
          <w:b/>
          <w:color w:val="000000" w:themeColor="text1"/>
          <w:sz w:val="24"/>
          <w:szCs w:val="24"/>
        </w:rPr>
      </w:pPr>
    </w:p>
    <w:p w:rsidR="00852F75" w:rsidRPr="006D2859" w:rsidRDefault="00852F75" w:rsidP="00852F75">
      <w:pPr>
        <w:contextualSpacing/>
        <w:rPr>
          <w:b/>
          <w:color w:val="000000" w:themeColor="text1"/>
          <w:sz w:val="24"/>
          <w:szCs w:val="24"/>
        </w:rPr>
      </w:pPr>
    </w:p>
    <w:p w:rsidR="00852F75" w:rsidRDefault="00852F75" w:rsidP="00852F75">
      <w:pPr>
        <w:contextualSpacing/>
        <w:jc w:val="center"/>
        <w:rPr>
          <w:b/>
          <w:sz w:val="24"/>
          <w:szCs w:val="24"/>
        </w:rPr>
      </w:pPr>
      <w:r>
        <w:rPr>
          <w:b/>
          <w:sz w:val="24"/>
          <w:szCs w:val="24"/>
        </w:rPr>
        <w:lastRenderedPageBreak/>
        <w:t>Tab. 16 Numărul mediu al salariaţilor din industria pielăriei și încălțămintei</w:t>
      </w:r>
    </w:p>
    <w:p w:rsidR="00852F75" w:rsidRDefault="00852F75" w:rsidP="00852F75">
      <w:pPr>
        <w:contextualSpacing/>
        <w:jc w:val="center"/>
        <w:rPr>
          <w:b/>
          <w:sz w:val="24"/>
          <w:szCs w:val="24"/>
        </w:rPr>
      </w:pPr>
    </w:p>
    <w:tbl>
      <w:tblPr>
        <w:tblW w:w="8038" w:type="dxa"/>
        <w:jc w:val="center"/>
        <w:tblInd w:w="-2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ayout w:type="fixed"/>
        <w:tblLook w:val="04A0"/>
      </w:tblPr>
      <w:tblGrid>
        <w:gridCol w:w="1667"/>
        <w:gridCol w:w="1061"/>
        <w:gridCol w:w="1062"/>
        <w:gridCol w:w="1062"/>
        <w:gridCol w:w="1062"/>
        <w:gridCol w:w="1062"/>
        <w:gridCol w:w="1062"/>
      </w:tblGrid>
      <w:tr w:rsidR="00852F75" w:rsidRPr="00007442" w:rsidTr="005F5D09">
        <w:trPr>
          <w:trHeight w:val="300"/>
          <w:jc w:val="center"/>
        </w:trPr>
        <w:tc>
          <w:tcPr>
            <w:tcW w:w="1667" w:type="dxa"/>
            <w:shd w:val="clear" w:color="auto" w:fill="4F81BD" w:themeFill="accent1"/>
            <w:noWrap/>
            <w:vAlign w:val="bottom"/>
            <w:hideMark/>
          </w:tcPr>
          <w:p w:rsidR="00852F75" w:rsidRPr="00007442" w:rsidRDefault="00852F75" w:rsidP="005F5D09">
            <w:pPr>
              <w:contextualSpacing/>
              <w:rPr>
                <w:rFonts w:eastAsia="Times New Roman" w:cstheme="minorHAnsi"/>
                <w:color w:val="000000"/>
                <w:sz w:val="24"/>
                <w:szCs w:val="24"/>
              </w:rPr>
            </w:pPr>
          </w:p>
        </w:tc>
        <w:tc>
          <w:tcPr>
            <w:tcW w:w="1061" w:type="dxa"/>
            <w:shd w:val="clear" w:color="auto" w:fill="4F81BD" w:themeFill="accent1"/>
            <w:noWrap/>
            <w:hideMark/>
          </w:tcPr>
          <w:p w:rsidR="00852F75" w:rsidRPr="00DC4316" w:rsidRDefault="00852F75" w:rsidP="005F5D09">
            <w:pPr>
              <w:contextualSpacing/>
              <w:jc w:val="right"/>
              <w:rPr>
                <w:rFonts w:eastAsia="Times New Roman" w:cstheme="minorHAnsi"/>
                <w:b/>
                <w:color w:val="000000"/>
                <w:sz w:val="24"/>
                <w:szCs w:val="24"/>
              </w:rPr>
            </w:pPr>
            <w:r w:rsidRPr="00DC4316">
              <w:rPr>
                <w:rFonts w:eastAsia="Times New Roman" w:cstheme="minorHAnsi"/>
                <w:b/>
                <w:color w:val="000000"/>
                <w:sz w:val="24"/>
                <w:szCs w:val="24"/>
              </w:rPr>
              <w:t>2010</w:t>
            </w:r>
          </w:p>
        </w:tc>
        <w:tc>
          <w:tcPr>
            <w:tcW w:w="1062" w:type="dxa"/>
            <w:shd w:val="clear" w:color="auto" w:fill="4F81BD" w:themeFill="accent1"/>
            <w:noWrap/>
            <w:hideMark/>
          </w:tcPr>
          <w:p w:rsidR="00852F75" w:rsidRPr="00DC4316" w:rsidRDefault="00852F75" w:rsidP="005F5D09">
            <w:pPr>
              <w:contextualSpacing/>
              <w:jc w:val="right"/>
              <w:rPr>
                <w:rFonts w:eastAsia="Times New Roman" w:cstheme="minorHAnsi"/>
                <w:b/>
                <w:color w:val="000000"/>
                <w:sz w:val="24"/>
                <w:szCs w:val="24"/>
              </w:rPr>
            </w:pPr>
            <w:r w:rsidRPr="00DC4316">
              <w:rPr>
                <w:rFonts w:eastAsia="Times New Roman" w:cstheme="minorHAnsi"/>
                <w:b/>
                <w:color w:val="000000"/>
                <w:sz w:val="24"/>
                <w:szCs w:val="24"/>
              </w:rPr>
              <w:t>2011</w:t>
            </w:r>
          </w:p>
        </w:tc>
        <w:tc>
          <w:tcPr>
            <w:tcW w:w="1062" w:type="dxa"/>
            <w:shd w:val="clear" w:color="auto" w:fill="4F81BD" w:themeFill="accent1"/>
            <w:noWrap/>
            <w:hideMark/>
          </w:tcPr>
          <w:p w:rsidR="00852F75" w:rsidRPr="00DC4316" w:rsidRDefault="00852F75" w:rsidP="005F5D09">
            <w:pPr>
              <w:contextualSpacing/>
              <w:jc w:val="right"/>
              <w:rPr>
                <w:rFonts w:eastAsia="Times New Roman" w:cstheme="minorHAnsi"/>
                <w:b/>
                <w:color w:val="000000"/>
                <w:sz w:val="24"/>
                <w:szCs w:val="24"/>
              </w:rPr>
            </w:pPr>
            <w:r w:rsidRPr="00DC4316">
              <w:rPr>
                <w:rFonts w:eastAsia="Times New Roman" w:cstheme="minorHAnsi"/>
                <w:b/>
                <w:color w:val="000000"/>
                <w:sz w:val="24"/>
                <w:szCs w:val="24"/>
              </w:rPr>
              <w:t>2012</w:t>
            </w:r>
          </w:p>
        </w:tc>
        <w:tc>
          <w:tcPr>
            <w:tcW w:w="1062" w:type="dxa"/>
            <w:shd w:val="clear" w:color="auto" w:fill="4F81BD" w:themeFill="accent1"/>
            <w:noWrap/>
            <w:hideMark/>
          </w:tcPr>
          <w:p w:rsidR="00852F75" w:rsidRPr="00DC4316" w:rsidRDefault="00852F75" w:rsidP="005F5D09">
            <w:pPr>
              <w:contextualSpacing/>
              <w:jc w:val="right"/>
              <w:rPr>
                <w:rFonts w:eastAsia="Times New Roman" w:cstheme="minorHAnsi"/>
                <w:b/>
                <w:color w:val="000000"/>
                <w:sz w:val="24"/>
                <w:szCs w:val="24"/>
              </w:rPr>
            </w:pPr>
            <w:r w:rsidRPr="00DC4316">
              <w:rPr>
                <w:rFonts w:eastAsia="Times New Roman" w:cstheme="minorHAnsi"/>
                <w:b/>
                <w:color w:val="000000"/>
                <w:sz w:val="24"/>
                <w:szCs w:val="24"/>
              </w:rPr>
              <w:t>2013</w:t>
            </w:r>
          </w:p>
        </w:tc>
        <w:tc>
          <w:tcPr>
            <w:tcW w:w="1062" w:type="dxa"/>
            <w:shd w:val="clear" w:color="auto" w:fill="4F81BD" w:themeFill="accent1"/>
            <w:noWrap/>
            <w:hideMark/>
          </w:tcPr>
          <w:p w:rsidR="00852F75" w:rsidRPr="00DC4316" w:rsidRDefault="00852F75" w:rsidP="005F5D09">
            <w:pPr>
              <w:contextualSpacing/>
              <w:jc w:val="right"/>
              <w:rPr>
                <w:rFonts w:eastAsia="Times New Roman" w:cstheme="minorHAnsi"/>
                <w:b/>
                <w:color w:val="000000"/>
                <w:sz w:val="24"/>
                <w:szCs w:val="24"/>
              </w:rPr>
            </w:pPr>
            <w:r w:rsidRPr="00DC4316">
              <w:rPr>
                <w:rFonts w:eastAsia="Times New Roman" w:cstheme="minorHAnsi"/>
                <w:b/>
                <w:color w:val="000000"/>
                <w:sz w:val="24"/>
                <w:szCs w:val="24"/>
              </w:rPr>
              <w:t>2014</w:t>
            </w:r>
          </w:p>
        </w:tc>
        <w:tc>
          <w:tcPr>
            <w:tcW w:w="1062" w:type="dxa"/>
            <w:shd w:val="clear" w:color="auto" w:fill="4F81BD" w:themeFill="accent1"/>
            <w:noWrap/>
            <w:hideMark/>
          </w:tcPr>
          <w:p w:rsidR="00852F75" w:rsidRDefault="00852F75" w:rsidP="005F5D09">
            <w:pPr>
              <w:contextualSpacing/>
              <w:jc w:val="right"/>
              <w:rPr>
                <w:rFonts w:eastAsia="Times New Roman" w:cstheme="minorHAnsi"/>
                <w:b/>
                <w:color w:val="000000"/>
                <w:sz w:val="24"/>
                <w:szCs w:val="24"/>
              </w:rPr>
            </w:pPr>
            <w:r w:rsidRPr="00DC4316">
              <w:rPr>
                <w:rFonts w:eastAsia="Times New Roman" w:cstheme="minorHAnsi"/>
                <w:b/>
                <w:color w:val="000000"/>
                <w:sz w:val="24"/>
                <w:szCs w:val="24"/>
              </w:rPr>
              <w:t>2015</w:t>
            </w:r>
          </w:p>
          <w:p w:rsidR="00852F75" w:rsidRPr="00DC4316" w:rsidRDefault="00852F75" w:rsidP="005F5D09">
            <w:pPr>
              <w:contextualSpacing/>
              <w:jc w:val="right"/>
              <w:rPr>
                <w:rFonts w:eastAsia="Times New Roman" w:cstheme="minorHAnsi"/>
                <w:b/>
                <w:color w:val="000000"/>
                <w:sz w:val="24"/>
                <w:szCs w:val="24"/>
              </w:rPr>
            </w:pPr>
          </w:p>
        </w:tc>
      </w:tr>
      <w:tr w:rsidR="00852F75" w:rsidRPr="00007442" w:rsidTr="005F5D09">
        <w:trPr>
          <w:trHeight w:val="300"/>
          <w:jc w:val="center"/>
        </w:trPr>
        <w:tc>
          <w:tcPr>
            <w:tcW w:w="1667" w:type="dxa"/>
            <w:shd w:val="clear" w:color="auto" w:fill="C6D9F1" w:themeFill="text2" w:themeFillTint="33"/>
            <w:vAlign w:val="bottom"/>
            <w:hideMark/>
          </w:tcPr>
          <w:p w:rsidR="00852F75" w:rsidRPr="00007442" w:rsidRDefault="00852F75" w:rsidP="005F5D09">
            <w:pPr>
              <w:contextualSpacing/>
              <w:rPr>
                <w:rFonts w:eastAsia="Times New Roman" w:cstheme="minorHAnsi"/>
                <w:color w:val="000000"/>
                <w:sz w:val="24"/>
                <w:szCs w:val="24"/>
              </w:rPr>
            </w:pPr>
            <w:r w:rsidRPr="00007442">
              <w:rPr>
                <w:rFonts w:eastAsia="Times New Roman" w:cstheme="minorHAnsi"/>
                <w:color w:val="000000"/>
                <w:sz w:val="24"/>
                <w:szCs w:val="24"/>
              </w:rPr>
              <w:t>Romania</w:t>
            </w:r>
          </w:p>
        </w:tc>
        <w:tc>
          <w:tcPr>
            <w:tcW w:w="1061"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58165</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63728</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59391</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60300</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60628</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56216</w:t>
            </w:r>
          </w:p>
        </w:tc>
      </w:tr>
      <w:tr w:rsidR="00852F75" w:rsidRPr="00007442" w:rsidTr="005F5D09">
        <w:trPr>
          <w:trHeight w:val="373"/>
          <w:jc w:val="center"/>
        </w:trPr>
        <w:tc>
          <w:tcPr>
            <w:tcW w:w="1667" w:type="dxa"/>
            <w:shd w:val="clear" w:color="auto" w:fill="auto"/>
            <w:vAlign w:val="bottom"/>
            <w:hideMark/>
          </w:tcPr>
          <w:p w:rsidR="00852F75" w:rsidRPr="006A2997" w:rsidRDefault="00852F75" w:rsidP="005F5D09">
            <w:pPr>
              <w:contextualSpacing/>
              <w:rPr>
                <w:rFonts w:eastAsia="Times New Roman" w:cstheme="minorHAnsi"/>
                <w:b/>
                <w:color w:val="000000"/>
                <w:sz w:val="24"/>
                <w:szCs w:val="24"/>
              </w:rPr>
            </w:pPr>
            <w:r w:rsidRPr="006A2997">
              <w:rPr>
                <w:rFonts w:eastAsia="Times New Roman" w:cstheme="minorHAnsi"/>
                <w:b/>
                <w:color w:val="000000"/>
                <w:sz w:val="24"/>
                <w:szCs w:val="24"/>
              </w:rPr>
              <w:t>Reg. Centru</w:t>
            </w:r>
          </w:p>
        </w:tc>
        <w:tc>
          <w:tcPr>
            <w:tcW w:w="1061" w:type="dxa"/>
            <w:shd w:val="clear" w:color="auto" w:fill="auto"/>
            <w:vAlign w:val="bottom"/>
            <w:hideMark/>
          </w:tcPr>
          <w:p w:rsidR="00852F75" w:rsidRPr="006A2997" w:rsidRDefault="00852F75" w:rsidP="005F5D09">
            <w:pPr>
              <w:contextualSpacing/>
              <w:jc w:val="right"/>
              <w:rPr>
                <w:rFonts w:eastAsia="Times New Roman" w:cstheme="minorHAnsi"/>
                <w:b/>
                <w:color w:val="000000"/>
                <w:sz w:val="24"/>
                <w:szCs w:val="24"/>
              </w:rPr>
            </w:pPr>
            <w:r w:rsidRPr="006A2997">
              <w:rPr>
                <w:rFonts w:eastAsia="Times New Roman" w:cstheme="minorHAnsi"/>
                <w:b/>
                <w:color w:val="000000"/>
                <w:sz w:val="24"/>
                <w:szCs w:val="24"/>
              </w:rPr>
              <w:t>11705</w:t>
            </w:r>
          </w:p>
        </w:tc>
        <w:tc>
          <w:tcPr>
            <w:tcW w:w="1062" w:type="dxa"/>
            <w:shd w:val="clear" w:color="auto" w:fill="auto"/>
            <w:vAlign w:val="bottom"/>
            <w:hideMark/>
          </w:tcPr>
          <w:p w:rsidR="00852F75" w:rsidRPr="006A2997" w:rsidRDefault="00852F75" w:rsidP="005F5D09">
            <w:pPr>
              <w:contextualSpacing/>
              <w:jc w:val="right"/>
              <w:rPr>
                <w:rFonts w:eastAsia="Times New Roman" w:cstheme="minorHAnsi"/>
                <w:b/>
                <w:color w:val="000000"/>
                <w:sz w:val="24"/>
                <w:szCs w:val="24"/>
              </w:rPr>
            </w:pPr>
            <w:r w:rsidRPr="006A2997">
              <w:rPr>
                <w:rFonts w:eastAsia="Times New Roman" w:cstheme="minorHAnsi"/>
                <w:b/>
                <w:color w:val="000000"/>
                <w:sz w:val="24"/>
                <w:szCs w:val="24"/>
              </w:rPr>
              <w:t>13892</w:t>
            </w:r>
          </w:p>
        </w:tc>
        <w:tc>
          <w:tcPr>
            <w:tcW w:w="1062" w:type="dxa"/>
            <w:shd w:val="clear" w:color="auto" w:fill="auto"/>
            <w:vAlign w:val="bottom"/>
            <w:hideMark/>
          </w:tcPr>
          <w:p w:rsidR="00852F75" w:rsidRPr="006A2997" w:rsidRDefault="00852F75" w:rsidP="005F5D09">
            <w:pPr>
              <w:contextualSpacing/>
              <w:jc w:val="right"/>
              <w:rPr>
                <w:rFonts w:eastAsia="Times New Roman" w:cstheme="minorHAnsi"/>
                <w:b/>
                <w:color w:val="000000"/>
                <w:sz w:val="24"/>
                <w:szCs w:val="24"/>
              </w:rPr>
            </w:pPr>
            <w:r w:rsidRPr="006A2997">
              <w:rPr>
                <w:rFonts w:eastAsia="Times New Roman" w:cstheme="minorHAnsi"/>
                <w:b/>
                <w:color w:val="000000"/>
                <w:sz w:val="24"/>
                <w:szCs w:val="24"/>
              </w:rPr>
              <w:t>13163</w:t>
            </w:r>
          </w:p>
        </w:tc>
        <w:tc>
          <w:tcPr>
            <w:tcW w:w="1062" w:type="dxa"/>
            <w:shd w:val="clear" w:color="auto" w:fill="auto"/>
            <w:vAlign w:val="bottom"/>
            <w:hideMark/>
          </w:tcPr>
          <w:p w:rsidR="00852F75" w:rsidRPr="006A2997" w:rsidRDefault="00852F75" w:rsidP="005F5D09">
            <w:pPr>
              <w:contextualSpacing/>
              <w:jc w:val="right"/>
              <w:rPr>
                <w:rFonts w:eastAsia="Times New Roman" w:cstheme="minorHAnsi"/>
                <w:b/>
                <w:color w:val="000000"/>
                <w:sz w:val="24"/>
                <w:szCs w:val="24"/>
              </w:rPr>
            </w:pPr>
            <w:r w:rsidRPr="006A2997">
              <w:rPr>
                <w:rFonts w:eastAsia="Times New Roman" w:cstheme="minorHAnsi"/>
                <w:b/>
                <w:color w:val="000000"/>
                <w:sz w:val="24"/>
                <w:szCs w:val="24"/>
              </w:rPr>
              <w:t>13646</w:t>
            </w:r>
          </w:p>
        </w:tc>
        <w:tc>
          <w:tcPr>
            <w:tcW w:w="1062" w:type="dxa"/>
            <w:shd w:val="clear" w:color="auto" w:fill="auto"/>
            <w:vAlign w:val="bottom"/>
            <w:hideMark/>
          </w:tcPr>
          <w:p w:rsidR="00852F75" w:rsidRPr="006A2997" w:rsidRDefault="00852F75" w:rsidP="005F5D09">
            <w:pPr>
              <w:contextualSpacing/>
              <w:jc w:val="right"/>
              <w:rPr>
                <w:rFonts w:eastAsia="Times New Roman" w:cstheme="minorHAnsi"/>
                <w:b/>
                <w:color w:val="000000"/>
                <w:sz w:val="24"/>
                <w:szCs w:val="24"/>
              </w:rPr>
            </w:pPr>
            <w:r w:rsidRPr="006A2997">
              <w:rPr>
                <w:rFonts w:eastAsia="Times New Roman" w:cstheme="minorHAnsi"/>
                <w:b/>
                <w:color w:val="000000"/>
                <w:sz w:val="24"/>
                <w:szCs w:val="24"/>
              </w:rPr>
              <w:t>13191</w:t>
            </w:r>
          </w:p>
        </w:tc>
        <w:tc>
          <w:tcPr>
            <w:tcW w:w="1062" w:type="dxa"/>
            <w:shd w:val="clear" w:color="auto" w:fill="auto"/>
            <w:vAlign w:val="bottom"/>
            <w:hideMark/>
          </w:tcPr>
          <w:p w:rsidR="00852F75" w:rsidRPr="006A2997" w:rsidRDefault="00852F75" w:rsidP="005F5D09">
            <w:pPr>
              <w:contextualSpacing/>
              <w:jc w:val="right"/>
              <w:rPr>
                <w:rFonts w:eastAsia="Times New Roman" w:cstheme="minorHAnsi"/>
                <w:b/>
                <w:color w:val="000000"/>
                <w:sz w:val="24"/>
                <w:szCs w:val="24"/>
              </w:rPr>
            </w:pPr>
            <w:r w:rsidRPr="006A2997">
              <w:rPr>
                <w:rFonts w:eastAsia="Times New Roman" w:cstheme="minorHAnsi"/>
                <w:b/>
                <w:color w:val="000000"/>
                <w:sz w:val="24"/>
                <w:szCs w:val="24"/>
              </w:rPr>
              <w:t>12573</w:t>
            </w:r>
          </w:p>
        </w:tc>
      </w:tr>
      <w:tr w:rsidR="00852F75" w:rsidRPr="00007442" w:rsidTr="005F5D09">
        <w:trPr>
          <w:trHeight w:val="300"/>
          <w:jc w:val="center"/>
        </w:trPr>
        <w:tc>
          <w:tcPr>
            <w:tcW w:w="1667" w:type="dxa"/>
            <w:shd w:val="clear" w:color="auto" w:fill="C6D9F1" w:themeFill="text2" w:themeFillTint="33"/>
            <w:vAlign w:val="bottom"/>
            <w:hideMark/>
          </w:tcPr>
          <w:p w:rsidR="00852F75" w:rsidRPr="00007442" w:rsidRDefault="00852F75" w:rsidP="005F5D09">
            <w:pPr>
              <w:contextualSpacing/>
              <w:rPr>
                <w:rFonts w:eastAsia="Times New Roman" w:cstheme="minorHAnsi"/>
                <w:color w:val="000000"/>
                <w:sz w:val="24"/>
                <w:szCs w:val="24"/>
              </w:rPr>
            </w:pPr>
            <w:r w:rsidRPr="00007442">
              <w:rPr>
                <w:rFonts w:eastAsia="Times New Roman" w:cstheme="minorHAnsi"/>
                <w:color w:val="000000"/>
                <w:sz w:val="24"/>
                <w:szCs w:val="24"/>
              </w:rPr>
              <w:t xml:space="preserve">Alba </w:t>
            </w:r>
          </w:p>
        </w:tc>
        <w:tc>
          <w:tcPr>
            <w:tcW w:w="1061"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2558</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3027</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2532</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2651</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2723</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2797</w:t>
            </w:r>
          </w:p>
        </w:tc>
      </w:tr>
      <w:tr w:rsidR="00852F75" w:rsidRPr="00007442" w:rsidTr="005F5D09">
        <w:trPr>
          <w:trHeight w:val="300"/>
          <w:jc w:val="center"/>
        </w:trPr>
        <w:tc>
          <w:tcPr>
            <w:tcW w:w="1667" w:type="dxa"/>
            <w:shd w:val="clear" w:color="auto" w:fill="auto"/>
            <w:vAlign w:val="bottom"/>
            <w:hideMark/>
          </w:tcPr>
          <w:p w:rsidR="00852F75" w:rsidRPr="00007442" w:rsidRDefault="00852F75" w:rsidP="005F5D09">
            <w:pPr>
              <w:contextualSpacing/>
              <w:rPr>
                <w:rFonts w:eastAsia="Times New Roman" w:cstheme="minorHAnsi"/>
                <w:color w:val="000000"/>
                <w:sz w:val="24"/>
                <w:szCs w:val="24"/>
              </w:rPr>
            </w:pPr>
            <w:r w:rsidRPr="00007442">
              <w:rPr>
                <w:rFonts w:eastAsia="Times New Roman" w:cstheme="minorHAnsi"/>
                <w:color w:val="000000"/>
                <w:sz w:val="24"/>
                <w:szCs w:val="24"/>
              </w:rPr>
              <w:t>Brasov</w:t>
            </w:r>
          </w:p>
        </w:tc>
        <w:tc>
          <w:tcPr>
            <w:tcW w:w="1061"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2885</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3072</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3318</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3847</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3653</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3967</w:t>
            </w:r>
          </w:p>
        </w:tc>
      </w:tr>
      <w:tr w:rsidR="00852F75" w:rsidRPr="00007442" w:rsidTr="005F5D09">
        <w:trPr>
          <w:trHeight w:val="300"/>
          <w:jc w:val="center"/>
        </w:trPr>
        <w:tc>
          <w:tcPr>
            <w:tcW w:w="1667" w:type="dxa"/>
            <w:shd w:val="clear" w:color="auto" w:fill="C6D9F1" w:themeFill="text2" w:themeFillTint="33"/>
            <w:vAlign w:val="bottom"/>
            <w:hideMark/>
          </w:tcPr>
          <w:p w:rsidR="00852F75" w:rsidRPr="00007442" w:rsidRDefault="00852F75" w:rsidP="005F5D09">
            <w:pPr>
              <w:contextualSpacing/>
              <w:rPr>
                <w:rFonts w:eastAsia="Times New Roman" w:cstheme="minorHAnsi"/>
                <w:color w:val="000000"/>
                <w:sz w:val="24"/>
                <w:szCs w:val="24"/>
              </w:rPr>
            </w:pPr>
            <w:r w:rsidRPr="00007442">
              <w:rPr>
                <w:rFonts w:eastAsia="Times New Roman" w:cstheme="minorHAnsi"/>
                <w:color w:val="000000"/>
                <w:sz w:val="24"/>
                <w:szCs w:val="24"/>
              </w:rPr>
              <w:t>Covasna</w:t>
            </w:r>
          </w:p>
        </w:tc>
        <w:tc>
          <w:tcPr>
            <w:tcW w:w="1061"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97</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112</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111</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102</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94</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84</w:t>
            </w:r>
          </w:p>
        </w:tc>
      </w:tr>
      <w:tr w:rsidR="00852F75" w:rsidRPr="00007442" w:rsidTr="005F5D09">
        <w:trPr>
          <w:trHeight w:val="300"/>
          <w:jc w:val="center"/>
        </w:trPr>
        <w:tc>
          <w:tcPr>
            <w:tcW w:w="1667" w:type="dxa"/>
            <w:shd w:val="clear" w:color="auto" w:fill="auto"/>
            <w:vAlign w:val="bottom"/>
            <w:hideMark/>
          </w:tcPr>
          <w:p w:rsidR="00852F75" w:rsidRPr="00007442" w:rsidRDefault="00852F75" w:rsidP="005F5D09">
            <w:pPr>
              <w:contextualSpacing/>
              <w:rPr>
                <w:rFonts w:eastAsia="Times New Roman" w:cstheme="minorHAnsi"/>
                <w:color w:val="000000"/>
                <w:sz w:val="24"/>
                <w:szCs w:val="24"/>
              </w:rPr>
            </w:pPr>
            <w:r w:rsidRPr="00007442">
              <w:rPr>
                <w:rFonts w:eastAsia="Times New Roman" w:cstheme="minorHAnsi"/>
                <w:color w:val="000000"/>
                <w:sz w:val="24"/>
                <w:szCs w:val="24"/>
              </w:rPr>
              <w:t>Harghita</w:t>
            </w:r>
          </w:p>
        </w:tc>
        <w:tc>
          <w:tcPr>
            <w:tcW w:w="1061"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873</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1002</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732</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701</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652</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547</w:t>
            </w:r>
          </w:p>
        </w:tc>
      </w:tr>
      <w:tr w:rsidR="00852F75" w:rsidRPr="00007442" w:rsidTr="005F5D09">
        <w:trPr>
          <w:trHeight w:val="300"/>
          <w:jc w:val="center"/>
        </w:trPr>
        <w:tc>
          <w:tcPr>
            <w:tcW w:w="1667" w:type="dxa"/>
            <w:shd w:val="clear" w:color="auto" w:fill="C6D9F1" w:themeFill="text2" w:themeFillTint="33"/>
            <w:vAlign w:val="bottom"/>
            <w:hideMark/>
          </w:tcPr>
          <w:p w:rsidR="00852F75" w:rsidRPr="00007442"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Mureş</w:t>
            </w:r>
            <w:r w:rsidRPr="00007442">
              <w:rPr>
                <w:rFonts w:eastAsia="Times New Roman" w:cstheme="minorHAnsi"/>
                <w:color w:val="000000"/>
                <w:sz w:val="24"/>
                <w:szCs w:val="24"/>
              </w:rPr>
              <w:t xml:space="preserve"> </w:t>
            </w:r>
          </w:p>
        </w:tc>
        <w:tc>
          <w:tcPr>
            <w:tcW w:w="1061"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836</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1148</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1148</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1049</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980</w:t>
            </w:r>
          </w:p>
        </w:tc>
        <w:tc>
          <w:tcPr>
            <w:tcW w:w="1062" w:type="dxa"/>
            <w:shd w:val="clear" w:color="auto" w:fill="C6D9F1" w:themeFill="text2" w:themeFillTint="33"/>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849</w:t>
            </w:r>
          </w:p>
        </w:tc>
      </w:tr>
      <w:tr w:rsidR="00852F75" w:rsidRPr="00007442" w:rsidTr="005F5D09">
        <w:trPr>
          <w:trHeight w:val="300"/>
          <w:jc w:val="center"/>
        </w:trPr>
        <w:tc>
          <w:tcPr>
            <w:tcW w:w="1667" w:type="dxa"/>
            <w:shd w:val="clear" w:color="auto" w:fill="auto"/>
            <w:vAlign w:val="bottom"/>
            <w:hideMark/>
          </w:tcPr>
          <w:p w:rsidR="00852F75" w:rsidRPr="00007442" w:rsidRDefault="00852F75" w:rsidP="005F5D09">
            <w:pPr>
              <w:contextualSpacing/>
              <w:rPr>
                <w:rFonts w:eastAsia="Times New Roman" w:cstheme="minorHAnsi"/>
                <w:color w:val="000000"/>
                <w:sz w:val="24"/>
                <w:szCs w:val="24"/>
              </w:rPr>
            </w:pPr>
            <w:r w:rsidRPr="00007442">
              <w:rPr>
                <w:rFonts w:eastAsia="Times New Roman" w:cstheme="minorHAnsi"/>
                <w:color w:val="000000"/>
                <w:sz w:val="24"/>
                <w:szCs w:val="24"/>
              </w:rPr>
              <w:t>Sibiu</w:t>
            </w:r>
          </w:p>
        </w:tc>
        <w:tc>
          <w:tcPr>
            <w:tcW w:w="1061"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4456</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5531</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5322</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5296</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5089</w:t>
            </w:r>
          </w:p>
        </w:tc>
        <w:tc>
          <w:tcPr>
            <w:tcW w:w="1062" w:type="dxa"/>
            <w:shd w:val="clear" w:color="auto" w:fill="auto"/>
            <w:vAlign w:val="bottom"/>
            <w:hideMark/>
          </w:tcPr>
          <w:p w:rsidR="00852F75" w:rsidRPr="00007442" w:rsidRDefault="00852F75" w:rsidP="005F5D09">
            <w:pPr>
              <w:contextualSpacing/>
              <w:jc w:val="right"/>
              <w:rPr>
                <w:rFonts w:eastAsia="Times New Roman" w:cstheme="minorHAnsi"/>
                <w:color w:val="000000"/>
                <w:sz w:val="24"/>
                <w:szCs w:val="24"/>
              </w:rPr>
            </w:pPr>
            <w:r w:rsidRPr="00007442">
              <w:rPr>
                <w:rFonts w:eastAsia="Times New Roman" w:cstheme="minorHAnsi"/>
                <w:color w:val="000000"/>
                <w:sz w:val="24"/>
                <w:szCs w:val="24"/>
              </w:rPr>
              <w:t>4329</w:t>
            </w:r>
          </w:p>
        </w:tc>
      </w:tr>
    </w:tbl>
    <w:p w:rsidR="00852F75" w:rsidRDefault="00852F75" w:rsidP="00852F75">
      <w:pPr>
        <w:ind w:firstLine="810"/>
        <w:contextualSpacing/>
        <w:jc w:val="both"/>
        <w:rPr>
          <w:sz w:val="24"/>
          <w:szCs w:val="24"/>
        </w:rPr>
      </w:pPr>
      <w:r>
        <w:rPr>
          <w:sz w:val="24"/>
          <w:szCs w:val="24"/>
        </w:rPr>
        <w:t>Sursa de date:</w:t>
      </w:r>
      <w:r w:rsidRPr="0014502B">
        <w:rPr>
          <w:sz w:val="24"/>
          <w:szCs w:val="24"/>
        </w:rPr>
        <w:t xml:space="preserve"> ONRC</w:t>
      </w:r>
    </w:p>
    <w:p w:rsidR="00852F75" w:rsidRDefault="00852F75" w:rsidP="00852F75">
      <w:pPr>
        <w:ind w:firstLine="810"/>
        <w:contextualSpacing/>
        <w:jc w:val="both"/>
        <w:rPr>
          <w:sz w:val="24"/>
          <w:szCs w:val="24"/>
        </w:rPr>
      </w:pPr>
    </w:p>
    <w:p w:rsidR="00852F75" w:rsidRPr="002A1E1B" w:rsidRDefault="00852F75" w:rsidP="00852F75">
      <w:pPr>
        <w:contextualSpacing/>
        <w:jc w:val="both"/>
        <w:rPr>
          <w:color w:val="000000" w:themeColor="text1"/>
          <w:sz w:val="24"/>
          <w:szCs w:val="24"/>
        </w:rPr>
      </w:pPr>
      <w:r>
        <w:rPr>
          <w:color w:val="000000" w:themeColor="text1"/>
          <w:sz w:val="24"/>
          <w:szCs w:val="24"/>
        </w:rPr>
        <w:t xml:space="preserve">Numărul de angajați a înregistrat o scădere în 2015 față de anul precedent atât la nivel național cât și la nivel regional, însă față de anul 2010 numărul salariaților la nivelul Regiunii Centru este în creștere. Raportându-ne la numărul de salariați înregistrat la nivel național în acest sector, județele Sibiu și Brașov dețin ponderi semnificative (7,7% respectiv 7,06%), iar în cazul județului Brașov se înregistrează și o creștere vizibilă a acestei ponderi în perioada 2010-2015. </w:t>
      </w:r>
      <w:r w:rsidRPr="006D2859">
        <w:rPr>
          <w:color w:val="000000" w:themeColor="text1"/>
          <w:sz w:val="24"/>
          <w:szCs w:val="24"/>
        </w:rPr>
        <w:t xml:space="preserve"> </w:t>
      </w:r>
    </w:p>
    <w:p w:rsidR="00852F75" w:rsidRDefault="00852F75" w:rsidP="00852F75">
      <w:pPr>
        <w:contextualSpacing/>
        <w:jc w:val="center"/>
        <w:rPr>
          <w:b/>
          <w:sz w:val="24"/>
          <w:szCs w:val="24"/>
        </w:rPr>
      </w:pPr>
      <w:r>
        <w:rPr>
          <w:b/>
          <w:sz w:val="24"/>
          <w:szCs w:val="24"/>
        </w:rPr>
        <w:t xml:space="preserve">Tab. 17 Ponderea Regiunii Centru în raport cu numărul total al salariaţilor </w:t>
      </w:r>
    </w:p>
    <w:p w:rsidR="00852F75" w:rsidRDefault="00852F75" w:rsidP="00852F75">
      <w:pPr>
        <w:contextualSpacing/>
        <w:jc w:val="center"/>
        <w:rPr>
          <w:b/>
          <w:sz w:val="24"/>
          <w:szCs w:val="24"/>
        </w:rPr>
      </w:pPr>
      <w:r>
        <w:rPr>
          <w:b/>
          <w:sz w:val="24"/>
          <w:szCs w:val="24"/>
        </w:rPr>
        <w:t>din industria pielăriei la nivel naţional</w:t>
      </w:r>
    </w:p>
    <w:p w:rsidR="00852F75" w:rsidRPr="00007442" w:rsidRDefault="00852F75" w:rsidP="00852F75">
      <w:pPr>
        <w:ind w:left="6354" w:firstLine="706"/>
        <w:contextualSpacing/>
        <w:jc w:val="center"/>
        <w:rPr>
          <w:rFonts w:ascii="Calibri" w:eastAsia="Times New Roman" w:hAnsi="Calibri" w:cs="Calibri"/>
          <w:color w:val="000000"/>
        </w:rPr>
      </w:pPr>
      <w:r w:rsidRPr="00007442">
        <w:rPr>
          <w:rFonts w:ascii="Calibri" w:eastAsia="Times New Roman" w:hAnsi="Calibri" w:cs="Calibri"/>
          <w:color w:val="000000"/>
        </w:rPr>
        <w:t>%</w:t>
      </w:r>
    </w:p>
    <w:tbl>
      <w:tblPr>
        <w:tblW w:w="7379" w:type="dxa"/>
        <w:jc w:val="center"/>
        <w:tblInd w:w="20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tblPr>
      <w:tblGrid>
        <w:gridCol w:w="1359"/>
        <w:gridCol w:w="1220"/>
        <w:gridCol w:w="960"/>
        <w:gridCol w:w="960"/>
        <w:gridCol w:w="960"/>
        <w:gridCol w:w="960"/>
        <w:gridCol w:w="960"/>
      </w:tblGrid>
      <w:tr w:rsidR="00852F75" w:rsidRPr="00DC4316" w:rsidTr="005F5D09">
        <w:trPr>
          <w:trHeight w:val="643"/>
          <w:jc w:val="center"/>
        </w:trPr>
        <w:tc>
          <w:tcPr>
            <w:tcW w:w="1359"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p>
        </w:tc>
        <w:tc>
          <w:tcPr>
            <w:tcW w:w="1220"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r w:rsidRPr="00DC4316">
              <w:rPr>
                <w:rFonts w:ascii="Calibri" w:eastAsia="Times New Roman" w:hAnsi="Calibri" w:cs="Calibri"/>
                <w:b/>
                <w:color w:val="000000"/>
                <w:sz w:val="24"/>
                <w:szCs w:val="24"/>
              </w:rPr>
              <w:t>2010</w:t>
            </w:r>
          </w:p>
        </w:tc>
        <w:tc>
          <w:tcPr>
            <w:tcW w:w="960"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r w:rsidRPr="00DC4316">
              <w:rPr>
                <w:rFonts w:ascii="Calibri" w:eastAsia="Times New Roman" w:hAnsi="Calibri" w:cs="Calibri"/>
                <w:b/>
                <w:color w:val="000000"/>
                <w:sz w:val="24"/>
                <w:szCs w:val="24"/>
              </w:rPr>
              <w:t>2011</w:t>
            </w:r>
          </w:p>
        </w:tc>
        <w:tc>
          <w:tcPr>
            <w:tcW w:w="960"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r w:rsidRPr="00DC4316">
              <w:rPr>
                <w:rFonts w:ascii="Calibri" w:eastAsia="Times New Roman" w:hAnsi="Calibri" w:cs="Calibri"/>
                <w:b/>
                <w:color w:val="000000"/>
                <w:sz w:val="24"/>
                <w:szCs w:val="24"/>
              </w:rPr>
              <w:t>2012</w:t>
            </w:r>
          </w:p>
        </w:tc>
        <w:tc>
          <w:tcPr>
            <w:tcW w:w="960"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r w:rsidRPr="00DC4316">
              <w:rPr>
                <w:rFonts w:ascii="Calibri" w:eastAsia="Times New Roman" w:hAnsi="Calibri" w:cs="Calibri"/>
                <w:b/>
                <w:color w:val="000000"/>
                <w:sz w:val="24"/>
                <w:szCs w:val="24"/>
              </w:rPr>
              <w:t>2013</w:t>
            </w:r>
          </w:p>
        </w:tc>
        <w:tc>
          <w:tcPr>
            <w:tcW w:w="960"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r w:rsidRPr="00DC4316">
              <w:rPr>
                <w:rFonts w:ascii="Calibri" w:eastAsia="Times New Roman" w:hAnsi="Calibri" w:cs="Calibri"/>
                <w:b/>
                <w:color w:val="000000"/>
                <w:sz w:val="24"/>
                <w:szCs w:val="24"/>
              </w:rPr>
              <w:t>2014</w:t>
            </w:r>
          </w:p>
        </w:tc>
        <w:tc>
          <w:tcPr>
            <w:tcW w:w="960" w:type="dxa"/>
            <w:shd w:val="clear" w:color="auto" w:fill="4F81BD" w:themeFill="accent1"/>
            <w:noWrap/>
            <w:vAlign w:val="center"/>
            <w:hideMark/>
          </w:tcPr>
          <w:p w:rsidR="00852F75" w:rsidRPr="00DC4316" w:rsidRDefault="00852F75" w:rsidP="005F5D09">
            <w:pPr>
              <w:contextualSpacing/>
              <w:jc w:val="center"/>
              <w:rPr>
                <w:rFonts w:ascii="Calibri" w:eastAsia="Times New Roman" w:hAnsi="Calibri" w:cs="Calibri"/>
                <w:b/>
                <w:color w:val="000000"/>
                <w:sz w:val="24"/>
                <w:szCs w:val="24"/>
              </w:rPr>
            </w:pPr>
            <w:r w:rsidRPr="00DC4316">
              <w:rPr>
                <w:rFonts w:ascii="Calibri" w:eastAsia="Times New Roman" w:hAnsi="Calibri" w:cs="Calibri"/>
                <w:b/>
                <w:color w:val="000000"/>
                <w:sz w:val="24"/>
                <w:szCs w:val="24"/>
              </w:rPr>
              <w:t>2015</w:t>
            </w:r>
          </w:p>
        </w:tc>
      </w:tr>
      <w:tr w:rsidR="00852F75" w:rsidRPr="00007442" w:rsidTr="005F5D09">
        <w:trPr>
          <w:trHeight w:val="328"/>
          <w:jc w:val="center"/>
        </w:trPr>
        <w:tc>
          <w:tcPr>
            <w:tcW w:w="1359" w:type="dxa"/>
            <w:shd w:val="clear" w:color="auto" w:fill="C6D9F1" w:themeFill="text2" w:themeFillTint="33"/>
            <w:vAlign w:val="bottom"/>
            <w:hideMark/>
          </w:tcPr>
          <w:p w:rsidR="00852F75" w:rsidRPr="00007442" w:rsidRDefault="00852F75" w:rsidP="005F5D09">
            <w:pPr>
              <w:contextualSpacing/>
              <w:rPr>
                <w:rFonts w:ascii="Calibri" w:eastAsia="Times New Roman" w:hAnsi="Calibri" w:cs="Calibri"/>
                <w:color w:val="000000"/>
                <w:sz w:val="24"/>
                <w:szCs w:val="24"/>
              </w:rPr>
            </w:pPr>
            <w:r>
              <w:rPr>
                <w:rFonts w:ascii="Calibri" w:eastAsia="Times New Roman" w:hAnsi="Calibri" w:cs="Calibri"/>
                <w:color w:val="000000"/>
                <w:sz w:val="24"/>
                <w:szCs w:val="24"/>
              </w:rPr>
              <w:t xml:space="preserve">Reg. </w:t>
            </w:r>
            <w:r w:rsidRPr="00007442">
              <w:rPr>
                <w:rFonts w:ascii="Calibri" w:eastAsia="Times New Roman" w:hAnsi="Calibri" w:cs="Calibri"/>
                <w:color w:val="000000"/>
                <w:sz w:val="24"/>
                <w:szCs w:val="24"/>
              </w:rPr>
              <w:t>Centru</w:t>
            </w:r>
          </w:p>
        </w:tc>
        <w:tc>
          <w:tcPr>
            <w:tcW w:w="122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20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12</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21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80</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22</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16</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22</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63</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21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76</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22</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37</w:t>
            </w:r>
          </w:p>
        </w:tc>
      </w:tr>
      <w:tr w:rsidR="00852F75" w:rsidRPr="00007442" w:rsidTr="005F5D09">
        <w:trPr>
          <w:trHeight w:val="300"/>
          <w:jc w:val="center"/>
        </w:trPr>
        <w:tc>
          <w:tcPr>
            <w:tcW w:w="1359" w:type="dxa"/>
            <w:shd w:val="clear" w:color="auto" w:fill="auto"/>
            <w:vAlign w:val="bottom"/>
            <w:hideMark/>
          </w:tcPr>
          <w:p w:rsidR="00852F75" w:rsidRPr="00007442" w:rsidRDefault="00852F75" w:rsidP="005F5D09">
            <w:pPr>
              <w:contextualSpacing/>
              <w:rPr>
                <w:rFonts w:ascii="Calibri" w:eastAsia="Times New Roman" w:hAnsi="Calibri" w:cs="Calibri"/>
                <w:color w:val="000000"/>
                <w:sz w:val="24"/>
                <w:szCs w:val="24"/>
              </w:rPr>
            </w:pPr>
            <w:r w:rsidRPr="00007442">
              <w:rPr>
                <w:rFonts w:ascii="Calibri" w:eastAsia="Times New Roman" w:hAnsi="Calibri" w:cs="Calibri"/>
                <w:color w:val="000000"/>
                <w:sz w:val="24"/>
                <w:szCs w:val="24"/>
              </w:rPr>
              <w:t xml:space="preserve">Alba </w:t>
            </w:r>
          </w:p>
        </w:tc>
        <w:tc>
          <w:tcPr>
            <w:tcW w:w="122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40</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75</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26</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40</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49</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98</w:t>
            </w:r>
          </w:p>
        </w:tc>
      </w:tr>
      <w:tr w:rsidR="00852F75" w:rsidRPr="00007442" w:rsidTr="005F5D09">
        <w:trPr>
          <w:trHeight w:val="300"/>
          <w:jc w:val="center"/>
        </w:trPr>
        <w:tc>
          <w:tcPr>
            <w:tcW w:w="1359" w:type="dxa"/>
            <w:shd w:val="clear" w:color="auto" w:fill="C6D9F1" w:themeFill="text2" w:themeFillTint="33"/>
            <w:vAlign w:val="bottom"/>
            <w:hideMark/>
          </w:tcPr>
          <w:p w:rsidR="00852F75" w:rsidRPr="00007442" w:rsidRDefault="00852F75" w:rsidP="005F5D09">
            <w:pPr>
              <w:contextualSpacing/>
              <w:rPr>
                <w:rFonts w:ascii="Calibri" w:eastAsia="Times New Roman" w:hAnsi="Calibri" w:cs="Calibri"/>
                <w:color w:val="000000"/>
                <w:sz w:val="24"/>
                <w:szCs w:val="24"/>
              </w:rPr>
            </w:pPr>
            <w:r w:rsidRPr="00007442">
              <w:rPr>
                <w:rFonts w:ascii="Calibri" w:eastAsia="Times New Roman" w:hAnsi="Calibri" w:cs="Calibri"/>
                <w:color w:val="000000"/>
                <w:sz w:val="24"/>
                <w:szCs w:val="24"/>
              </w:rPr>
              <w:t>Brasov</w:t>
            </w:r>
          </w:p>
        </w:tc>
        <w:tc>
          <w:tcPr>
            <w:tcW w:w="122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96</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4</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82</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5</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59</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6</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38</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6</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03</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06</w:t>
            </w:r>
          </w:p>
        </w:tc>
      </w:tr>
      <w:tr w:rsidR="00852F75" w:rsidRPr="00007442" w:rsidTr="005F5D09">
        <w:trPr>
          <w:trHeight w:val="300"/>
          <w:jc w:val="center"/>
        </w:trPr>
        <w:tc>
          <w:tcPr>
            <w:tcW w:w="1359" w:type="dxa"/>
            <w:shd w:val="clear" w:color="auto" w:fill="auto"/>
            <w:vAlign w:val="bottom"/>
            <w:hideMark/>
          </w:tcPr>
          <w:p w:rsidR="00852F75" w:rsidRPr="00007442" w:rsidRDefault="00852F75" w:rsidP="005F5D09">
            <w:pPr>
              <w:contextualSpacing/>
              <w:rPr>
                <w:rFonts w:ascii="Calibri" w:eastAsia="Times New Roman" w:hAnsi="Calibri" w:cs="Calibri"/>
                <w:color w:val="000000"/>
                <w:sz w:val="24"/>
                <w:szCs w:val="24"/>
              </w:rPr>
            </w:pPr>
            <w:r w:rsidRPr="00007442">
              <w:rPr>
                <w:rFonts w:ascii="Calibri" w:eastAsia="Times New Roman" w:hAnsi="Calibri" w:cs="Calibri"/>
                <w:color w:val="000000"/>
                <w:sz w:val="24"/>
                <w:szCs w:val="24"/>
              </w:rPr>
              <w:t>Covasna</w:t>
            </w:r>
          </w:p>
        </w:tc>
        <w:tc>
          <w:tcPr>
            <w:tcW w:w="122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17</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18</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19</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17</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16</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15</w:t>
            </w:r>
          </w:p>
        </w:tc>
      </w:tr>
      <w:tr w:rsidR="00852F75" w:rsidRPr="00007442" w:rsidTr="005F5D09">
        <w:trPr>
          <w:trHeight w:val="300"/>
          <w:jc w:val="center"/>
        </w:trPr>
        <w:tc>
          <w:tcPr>
            <w:tcW w:w="1359" w:type="dxa"/>
            <w:shd w:val="clear" w:color="auto" w:fill="C6D9F1" w:themeFill="text2" w:themeFillTint="33"/>
            <w:vAlign w:val="bottom"/>
            <w:hideMark/>
          </w:tcPr>
          <w:p w:rsidR="00852F75" w:rsidRPr="00007442" w:rsidRDefault="00852F75" w:rsidP="005F5D09">
            <w:pPr>
              <w:contextualSpacing/>
              <w:rPr>
                <w:rFonts w:ascii="Calibri" w:eastAsia="Times New Roman" w:hAnsi="Calibri" w:cs="Calibri"/>
                <w:color w:val="000000"/>
                <w:sz w:val="24"/>
                <w:szCs w:val="24"/>
              </w:rPr>
            </w:pPr>
            <w:r w:rsidRPr="00007442">
              <w:rPr>
                <w:rFonts w:ascii="Calibri" w:eastAsia="Times New Roman" w:hAnsi="Calibri" w:cs="Calibri"/>
                <w:color w:val="000000"/>
                <w:sz w:val="24"/>
                <w:szCs w:val="24"/>
              </w:rPr>
              <w:t>Harghita</w:t>
            </w:r>
          </w:p>
        </w:tc>
        <w:tc>
          <w:tcPr>
            <w:tcW w:w="122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50</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57</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23</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16</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08</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0</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97</w:t>
            </w:r>
          </w:p>
        </w:tc>
      </w:tr>
      <w:tr w:rsidR="00852F75" w:rsidRPr="00007442" w:rsidTr="005F5D09">
        <w:trPr>
          <w:trHeight w:val="300"/>
          <w:jc w:val="center"/>
        </w:trPr>
        <w:tc>
          <w:tcPr>
            <w:tcW w:w="1359" w:type="dxa"/>
            <w:shd w:val="clear" w:color="auto" w:fill="auto"/>
            <w:vAlign w:val="bottom"/>
            <w:hideMark/>
          </w:tcPr>
          <w:p w:rsidR="00852F75" w:rsidRPr="00007442" w:rsidRDefault="00852F75" w:rsidP="005F5D09">
            <w:pPr>
              <w:contextualSpacing/>
              <w:rPr>
                <w:rFonts w:ascii="Calibri" w:eastAsia="Times New Roman" w:hAnsi="Calibri" w:cs="Calibri"/>
                <w:color w:val="000000"/>
                <w:sz w:val="24"/>
                <w:szCs w:val="24"/>
              </w:rPr>
            </w:pPr>
            <w:r w:rsidRPr="00007442">
              <w:rPr>
                <w:rFonts w:ascii="Calibri" w:eastAsia="Times New Roman" w:hAnsi="Calibri" w:cs="Calibri"/>
                <w:color w:val="000000"/>
                <w:sz w:val="24"/>
                <w:szCs w:val="24"/>
              </w:rPr>
              <w:t xml:space="preserve">Mures </w:t>
            </w:r>
          </w:p>
        </w:tc>
        <w:tc>
          <w:tcPr>
            <w:tcW w:w="122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44</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80</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93</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74</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62</w:t>
            </w:r>
          </w:p>
        </w:tc>
        <w:tc>
          <w:tcPr>
            <w:tcW w:w="960" w:type="dxa"/>
            <w:shd w:val="clear" w:color="auto" w:fill="auto"/>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1</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51</w:t>
            </w:r>
          </w:p>
        </w:tc>
      </w:tr>
      <w:tr w:rsidR="00852F75" w:rsidRPr="00007442" w:rsidTr="005F5D09">
        <w:trPr>
          <w:trHeight w:val="300"/>
          <w:jc w:val="center"/>
        </w:trPr>
        <w:tc>
          <w:tcPr>
            <w:tcW w:w="1359" w:type="dxa"/>
            <w:shd w:val="clear" w:color="auto" w:fill="C6D9F1" w:themeFill="text2" w:themeFillTint="33"/>
            <w:vAlign w:val="bottom"/>
            <w:hideMark/>
          </w:tcPr>
          <w:p w:rsidR="00852F75" w:rsidRPr="00007442" w:rsidRDefault="00852F75" w:rsidP="005F5D09">
            <w:pPr>
              <w:contextualSpacing/>
              <w:rPr>
                <w:rFonts w:ascii="Calibri" w:eastAsia="Times New Roman" w:hAnsi="Calibri" w:cs="Calibri"/>
                <w:color w:val="000000"/>
                <w:sz w:val="24"/>
                <w:szCs w:val="24"/>
              </w:rPr>
            </w:pPr>
            <w:r w:rsidRPr="00007442">
              <w:rPr>
                <w:rFonts w:ascii="Calibri" w:eastAsia="Times New Roman" w:hAnsi="Calibri" w:cs="Calibri"/>
                <w:color w:val="000000"/>
                <w:sz w:val="24"/>
                <w:szCs w:val="24"/>
              </w:rPr>
              <w:t>Sibiu</w:t>
            </w:r>
          </w:p>
        </w:tc>
        <w:tc>
          <w:tcPr>
            <w:tcW w:w="122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66</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8</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68</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8</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96</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8</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78</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8</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39</w:t>
            </w:r>
          </w:p>
        </w:tc>
        <w:tc>
          <w:tcPr>
            <w:tcW w:w="960" w:type="dxa"/>
            <w:shd w:val="clear" w:color="auto" w:fill="C6D9F1" w:themeFill="text2" w:themeFillTint="33"/>
            <w:vAlign w:val="bottom"/>
            <w:hideMark/>
          </w:tcPr>
          <w:p w:rsidR="00852F75" w:rsidRPr="00007442" w:rsidRDefault="00852F75" w:rsidP="005F5D09">
            <w:pPr>
              <w:contextualSpacing/>
              <w:jc w:val="right"/>
              <w:rPr>
                <w:rFonts w:ascii="Calibri" w:eastAsia="Times New Roman" w:hAnsi="Calibri" w:cs="Calibri"/>
                <w:color w:val="000000"/>
                <w:sz w:val="24"/>
                <w:szCs w:val="24"/>
              </w:rPr>
            </w:pPr>
            <w:r w:rsidRPr="00007442">
              <w:rPr>
                <w:rFonts w:ascii="Calibri" w:eastAsia="Times New Roman" w:hAnsi="Calibri" w:cs="Calibri"/>
                <w:color w:val="000000"/>
                <w:sz w:val="24"/>
                <w:szCs w:val="24"/>
              </w:rPr>
              <w:t>7</w:t>
            </w:r>
            <w:r>
              <w:rPr>
                <w:rFonts w:ascii="Calibri" w:eastAsia="Times New Roman" w:hAnsi="Calibri" w:cs="Calibri"/>
                <w:color w:val="000000"/>
                <w:sz w:val="24"/>
                <w:szCs w:val="24"/>
              </w:rPr>
              <w:t>,</w:t>
            </w:r>
            <w:r w:rsidRPr="00007442">
              <w:rPr>
                <w:rFonts w:ascii="Calibri" w:eastAsia="Times New Roman" w:hAnsi="Calibri" w:cs="Calibri"/>
                <w:color w:val="000000"/>
                <w:sz w:val="24"/>
                <w:szCs w:val="24"/>
              </w:rPr>
              <w:t>70</w:t>
            </w:r>
          </w:p>
        </w:tc>
      </w:tr>
    </w:tbl>
    <w:p w:rsidR="00852F75" w:rsidRDefault="00852F75" w:rsidP="00852F75">
      <w:pPr>
        <w:ind w:left="-270" w:firstLine="1080"/>
        <w:contextualSpacing/>
        <w:rPr>
          <w:sz w:val="24"/>
          <w:szCs w:val="24"/>
        </w:rPr>
      </w:pPr>
      <w:r>
        <w:rPr>
          <w:sz w:val="24"/>
          <w:szCs w:val="24"/>
        </w:rPr>
        <w:t>Calcule proprii după datele ONRC</w:t>
      </w:r>
    </w:p>
    <w:p w:rsidR="00852F75" w:rsidRDefault="00852F75" w:rsidP="00852F75">
      <w:pPr>
        <w:contextualSpacing/>
        <w:jc w:val="both"/>
        <w:rPr>
          <w:rFonts w:eastAsia="Times New Roman" w:cstheme="minorHAnsi"/>
          <w:bCs/>
          <w:color w:val="000000"/>
          <w:sz w:val="24"/>
          <w:szCs w:val="24"/>
        </w:rPr>
      </w:pPr>
      <w:r>
        <w:rPr>
          <w:rFonts w:eastAsia="Times New Roman" w:cstheme="minorHAnsi"/>
          <w:bCs/>
          <w:color w:val="000000"/>
          <w:sz w:val="24"/>
          <w:szCs w:val="24"/>
        </w:rPr>
        <w:t xml:space="preserve">Datele Institutului Naţional de Statistică </w:t>
      </w:r>
      <w:r>
        <w:rPr>
          <w:rFonts w:cstheme="minorHAnsi"/>
          <w:sz w:val="24"/>
          <w:szCs w:val="24"/>
        </w:rPr>
        <w:t>în ce privește numărul de salariaţ</w:t>
      </w:r>
      <w:r w:rsidRPr="003C7375">
        <w:rPr>
          <w:rFonts w:cstheme="minorHAnsi"/>
          <w:sz w:val="24"/>
          <w:szCs w:val="24"/>
        </w:rPr>
        <w:t xml:space="preserve">i </w:t>
      </w:r>
      <w:r>
        <w:rPr>
          <w:rFonts w:cstheme="minorHAnsi"/>
          <w:sz w:val="24"/>
          <w:szCs w:val="24"/>
        </w:rPr>
        <w:t>di</w:t>
      </w:r>
      <w:r w:rsidRPr="003C7375">
        <w:rPr>
          <w:rFonts w:cstheme="minorHAnsi"/>
          <w:sz w:val="24"/>
          <w:szCs w:val="24"/>
        </w:rPr>
        <w:t>n industria piel</w:t>
      </w:r>
      <w:r>
        <w:rPr>
          <w:rFonts w:cstheme="minorHAnsi"/>
          <w:sz w:val="24"/>
          <w:szCs w:val="24"/>
        </w:rPr>
        <w:t>ă</w:t>
      </w:r>
      <w:r w:rsidRPr="003C7375">
        <w:rPr>
          <w:rFonts w:cstheme="minorHAnsi"/>
          <w:sz w:val="24"/>
          <w:szCs w:val="24"/>
        </w:rPr>
        <w:t xml:space="preserve">riei </w:t>
      </w:r>
      <w:r>
        <w:rPr>
          <w:rFonts w:cstheme="minorHAnsi"/>
          <w:sz w:val="24"/>
          <w:szCs w:val="24"/>
        </w:rPr>
        <w:t xml:space="preserve">și încălțămintei sunt ușor diferite față de cele ale ONRC (metodologia este diferită, în cazul datelor INS sunt incluși în numărul total de salariați pe ramură și salariații care sunt   angajați la firme cu activitate principală diferită de cea având codul 15, dar care lucrează efectiv în industria pielăriei și încălțămintei. </w:t>
      </w:r>
      <w:r>
        <w:rPr>
          <w:rFonts w:eastAsia="Times New Roman" w:cstheme="minorHAnsi"/>
          <w:bCs/>
          <w:caps/>
          <w:color w:val="000000"/>
          <w:sz w:val="24"/>
          <w:szCs w:val="24"/>
        </w:rPr>
        <w:t>A</w:t>
      </w:r>
      <w:r>
        <w:rPr>
          <w:rFonts w:eastAsia="Times New Roman" w:cstheme="minorHAnsi"/>
          <w:bCs/>
          <w:color w:val="000000"/>
          <w:sz w:val="24"/>
          <w:szCs w:val="24"/>
        </w:rPr>
        <w:t xml:space="preserve">naliza comparativă a celor 8 regiuni de dezvoltare arată o concentrare a industriei de pielărie în trei regiuni: Regiunea Nord-Vest, Regiunea Vest și Regiunea Centru. Cei 3 indicatori analizați sunt concordanți și plasează </w:t>
      </w:r>
      <w:r>
        <w:rPr>
          <w:rFonts w:eastAsia="Times New Roman" w:cstheme="minorHAnsi"/>
          <w:bCs/>
          <w:color w:val="000000"/>
          <w:sz w:val="24"/>
          <w:szCs w:val="24"/>
        </w:rPr>
        <w:lastRenderedPageBreak/>
        <w:t>Regiunea Centru fie pe locul al doilea (nr. de salariați) fie pe locul al treilea (ponderea sectorului în totalul salariaților și indicele de specializare a forței de muncă).</w:t>
      </w:r>
    </w:p>
    <w:p w:rsidR="00852F75" w:rsidRPr="00686257" w:rsidRDefault="00852F75" w:rsidP="00852F75">
      <w:pPr>
        <w:contextualSpacing/>
        <w:jc w:val="both"/>
        <w:rPr>
          <w:rFonts w:eastAsia="Times New Roman" w:cstheme="minorHAnsi"/>
          <w:b/>
          <w:bCs/>
          <w:color w:val="000000"/>
          <w:sz w:val="24"/>
          <w:szCs w:val="24"/>
        </w:rPr>
      </w:pPr>
      <w:r w:rsidRPr="00686257">
        <w:rPr>
          <w:rFonts w:eastAsia="Times New Roman" w:cstheme="minorHAnsi"/>
          <w:b/>
          <w:bCs/>
          <w:color w:val="000000"/>
          <w:sz w:val="24"/>
          <w:szCs w:val="24"/>
        </w:rPr>
        <w:t>Tab. 18</w:t>
      </w:r>
    </w:p>
    <w:tbl>
      <w:tblPr>
        <w:tblW w:w="8820" w:type="dxa"/>
        <w:jc w:val="center"/>
        <w:tblInd w:w="-43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880"/>
        <w:gridCol w:w="1494"/>
        <w:gridCol w:w="2736"/>
        <w:gridCol w:w="1710"/>
      </w:tblGrid>
      <w:tr w:rsidR="00852F75" w:rsidRPr="003F4F4D" w:rsidTr="005F5D09">
        <w:trPr>
          <w:trHeight w:val="1093"/>
          <w:jc w:val="center"/>
        </w:trPr>
        <w:tc>
          <w:tcPr>
            <w:tcW w:w="2880" w:type="dxa"/>
            <w:shd w:val="clear" w:color="auto" w:fill="8DB3E2" w:themeFill="text2" w:themeFillTint="66"/>
            <w:noWrap/>
            <w:vAlign w:val="center"/>
            <w:hideMark/>
          </w:tcPr>
          <w:p w:rsidR="00852F75" w:rsidRPr="00DC1854" w:rsidRDefault="00852F75" w:rsidP="005F5D09">
            <w:pPr>
              <w:shd w:val="clear" w:color="auto" w:fill="8DB3E2" w:themeFill="text2" w:themeFillTint="66"/>
              <w:contextualSpacing/>
              <w:jc w:val="center"/>
              <w:rPr>
                <w:rFonts w:ascii="Calibri" w:eastAsia="Times New Roman" w:hAnsi="Calibri" w:cs="Calibri"/>
                <w:b/>
                <w:color w:val="000000"/>
              </w:rPr>
            </w:pPr>
            <w:r w:rsidRPr="00DC1854">
              <w:rPr>
                <w:rFonts w:ascii="Calibri" w:eastAsia="Times New Roman" w:hAnsi="Calibri" w:cs="Calibri"/>
                <w:b/>
                <w:color w:val="000000"/>
              </w:rPr>
              <w:t>Anul 2015</w:t>
            </w:r>
          </w:p>
        </w:tc>
        <w:tc>
          <w:tcPr>
            <w:tcW w:w="1494" w:type="dxa"/>
            <w:shd w:val="clear" w:color="auto" w:fill="8DB3E2" w:themeFill="text2" w:themeFillTint="66"/>
            <w:vAlign w:val="center"/>
            <w:hideMark/>
          </w:tcPr>
          <w:p w:rsidR="00852F75" w:rsidRPr="00DC1854" w:rsidRDefault="00852F75" w:rsidP="005F5D09">
            <w:pPr>
              <w:shd w:val="clear" w:color="auto" w:fill="8DB3E2" w:themeFill="text2" w:themeFillTint="66"/>
              <w:contextualSpacing/>
              <w:jc w:val="center"/>
              <w:rPr>
                <w:rFonts w:ascii="Calibri" w:eastAsia="Times New Roman" w:hAnsi="Calibri" w:cs="Calibri"/>
                <w:b/>
                <w:color w:val="000000"/>
              </w:rPr>
            </w:pPr>
            <w:r w:rsidRPr="00DC1854">
              <w:rPr>
                <w:rFonts w:ascii="Calibri" w:eastAsia="Times New Roman" w:hAnsi="Calibri" w:cs="Calibri"/>
                <w:b/>
                <w:color w:val="000000"/>
              </w:rPr>
              <w:t>Nr. de salariaţi din ind. pielăriei</w:t>
            </w:r>
          </w:p>
        </w:tc>
        <w:tc>
          <w:tcPr>
            <w:tcW w:w="2736" w:type="dxa"/>
            <w:shd w:val="clear" w:color="auto" w:fill="8DB3E2" w:themeFill="text2" w:themeFillTint="66"/>
            <w:vAlign w:val="center"/>
            <w:hideMark/>
          </w:tcPr>
          <w:p w:rsidR="00852F75" w:rsidRPr="00DC1854" w:rsidRDefault="00852F75" w:rsidP="005F5D09">
            <w:pPr>
              <w:shd w:val="clear" w:color="auto" w:fill="8DB3E2" w:themeFill="text2" w:themeFillTint="66"/>
              <w:contextualSpacing/>
              <w:jc w:val="center"/>
              <w:rPr>
                <w:rFonts w:ascii="Calibri" w:eastAsia="Times New Roman" w:hAnsi="Calibri" w:cs="Calibri"/>
                <w:b/>
                <w:color w:val="000000"/>
              </w:rPr>
            </w:pPr>
            <w:r w:rsidRPr="00DC1854">
              <w:rPr>
                <w:rFonts w:ascii="Calibri" w:eastAsia="Times New Roman" w:hAnsi="Calibri" w:cs="Calibri"/>
                <w:b/>
                <w:color w:val="000000"/>
              </w:rPr>
              <w:t xml:space="preserve">Ponderea nr. de salariaţi din ind. pielăriei în totalul salariaţilor </w:t>
            </w:r>
          </w:p>
        </w:tc>
        <w:tc>
          <w:tcPr>
            <w:tcW w:w="1710" w:type="dxa"/>
            <w:shd w:val="clear" w:color="auto" w:fill="8DB3E2" w:themeFill="text2" w:themeFillTint="66"/>
            <w:vAlign w:val="center"/>
            <w:hideMark/>
          </w:tcPr>
          <w:p w:rsidR="00852F75" w:rsidRPr="00DC1854" w:rsidRDefault="00852F75" w:rsidP="005F5D09">
            <w:pPr>
              <w:shd w:val="clear" w:color="auto" w:fill="8DB3E2" w:themeFill="text2" w:themeFillTint="66"/>
              <w:contextualSpacing/>
              <w:jc w:val="center"/>
              <w:rPr>
                <w:rFonts w:ascii="Calibri" w:eastAsia="Times New Roman" w:hAnsi="Calibri" w:cs="Calibri"/>
                <w:b/>
                <w:color w:val="000000"/>
              </w:rPr>
            </w:pPr>
            <w:r w:rsidRPr="00DC1854">
              <w:rPr>
                <w:rFonts w:ascii="Calibri" w:eastAsia="Times New Roman" w:hAnsi="Calibri" w:cs="Calibri"/>
                <w:b/>
                <w:color w:val="000000"/>
              </w:rPr>
              <w:t>Indice de specializare sectorială</w:t>
            </w:r>
          </w:p>
        </w:tc>
      </w:tr>
      <w:tr w:rsidR="00852F75" w:rsidRPr="003F4F4D" w:rsidTr="005F5D09">
        <w:trPr>
          <w:trHeight w:val="300"/>
          <w:jc w:val="center"/>
        </w:trPr>
        <w:tc>
          <w:tcPr>
            <w:tcW w:w="2880" w:type="dxa"/>
            <w:shd w:val="clear" w:color="auto" w:fill="auto"/>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NORD-VEST</w:t>
            </w:r>
          </w:p>
        </w:tc>
        <w:tc>
          <w:tcPr>
            <w:tcW w:w="1494"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23047</w:t>
            </w:r>
          </w:p>
        </w:tc>
        <w:tc>
          <w:tcPr>
            <w:tcW w:w="2736"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3,75</w:t>
            </w:r>
          </w:p>
        </w:tc>
        <w:tc>
          <w:tcPr>
            <w:tcW w:w="1710"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2,7</w:t>
            </w:r>
          </w:p>
        </w:tc>
      </w:tr>
      <w:tr w:rsidR="00852F75" w:rsidRPr="003F4F4D" w:rsidTr="005F5D09">
        <w:trPr>
          <w:trHeight w:val="300"/>
          <w:jc w:val="center"/>
        </w:trPr>
        <w:tc>
          <w:tcPr>
            <w:tcW w:w="2880" w:type="dxa"/>
            <w:shd w:val="clear" w:color="auto" w:fill="C6D9F1" w:themeFill="text2" w:themeFillTint="33"/>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CENTRU</w:t>
            </w:r>
          </w:p>
        </w:tc>
        <w:tc>
          <w:tcPr>
            <w:tcW w:w="1494"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12115</w:t>
            </w:r>
          </w:p>
        </w:tc>
        <w:tc>
          <w:tcPr>
            <w:tcW w:w="2736"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2,09</w:t>
            </w:r>
          </w:p>
        </w:tc>
        <w:tc>
          <w:tcPr>
            <w:tcW w:w="1710"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1,5</w:t>
            </w:r>
          </w:p>
        </w:tc>
      </w:tr>
      <w:tr w:rsidR="00852F75" w:rsidRPr="003F4F4D" w:rsidTr="005F5D09">
        <w:trPr>
          <w:trHeight w:val="300"/>
          <w:jc w:val="center"/>
        </w:trPr>
        <w:tc>
          <w:tcPr>
            <w:tcW w:w="2880" w:type="dxa"/>
            <w:shd w:val="clear" w:color="auto" w:fill="auto"/>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NORD-EST</w:t>
            </w:r>
          </w:p>
        </w:tc>
        <w:tc>
          <w:tcPr>
            <w:tcW w:w="1494"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5553</w:t>
            </w:r>
          </w:p>
        </w:tc>
        <w:tc>
          <w:tcPr>
            <w:tcW w:w="2736"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1,11</w:t>
            </w:r>
          </w:p>
        </w:tc>
        <w:tc>
          <w:tcPr>
            <w:tcW w:w="1710"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0,8</w:t>
            </w:r>
          </w:p>
        </w:tc>
      </w:tr>
      <w:tr w:rsidR="00852F75" w:rsidRPr="003F4F4D" w:rsidTr="005F5D09">
        <w:trPr>
          <w:trHeight w:val="300"/>
          <w:jc w:val="center"/>
        </w:trPr>
        <w:tc>
          <w:tcPr>
            <w:tcW w:w="2880" w:type="dxa"/>
            <w:shd w:val="clear" w:color="auto" w:fill="C6D9F1" w:themeFill="text2" w:themeFillTint="33"/>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SUD-EST</w:t>
            </w:r>
          </w:p>
        </w:tc>
        <w:tc>
          <w:tcPr>
            <w:tcW w:w="1494"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1676</w:t>
            </w:r>
          </w:p>
        </w:tc>
        <w:tc>
          <w:tcPr>
            <w:tcW w:w="2736"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0,33</w:t>
            </w:r>
          </w:p>
        </w:tc>
        <w:tc>
          <w:tcPr>
            <w:tcW w:w="1710"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0,2</w:t>
            </w:r>
          </w:p>
        </w:tc>
      </w:tr>
      <w:tr w:rsidR="00852F75" w:rsidRPr="003F4F4D" w:rsidTr="005F5D09">
        <w:trPr>
          <w:trHeight w:val="300"/>
          <w:jc w:val="center"/>
        </w:trPr>
        <w:tc>
          <w:tcPr>
            <w:tcW w:w="2880" w:type="dxa"/>
            <w:shd w:val="clear" w:color="auto" w:fill="auto"/>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SUD-MUNTENIA</w:t>
            </w:r>
          </w:p>
        </w:tc>
        <w:tc>
          <w:tcPr>
            <w:tcW w:w="1494"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657</w:t>
            </w:r>
          </w:p>
        </w:tc>
        <w:tc>
          <w:tcPr>
            <w:tcW w:w="2736"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0,12</w:t>
            </w:r>
          </w:p>
        </w:tc>
        <w:tc>
          <w:tcPr>
            <w:tcW w:w="1710"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0,1</w:t>
            </w:r>
          </w:p>
        </w:tc>
      </w:tr>
      <w:tr w:rsidR="00852F75" w:rsidRPr="003F4F4D" w:rsidTr="005F5D09">
        <w:trPr>
          <w:trHeight w:val="300"/>
          <w:jc w:val="center"/>
        </w:trPr>
        <w:tc>
          <w:tcPr>
            <w:tcW w:w="2880" w:type="dxa"/>
            <w:shd w:val="clear" w:color="auto" w:fill="C6D9F1" w:themeFill="text2" w:themeFillTint="33"/>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BUCURESTI - ILFOV</w:t>
            </w:r>
          </w:p>
        </w:tc>
        <w:tc>
          <w:tcPr>
            <w:tcW w:w="1494"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7219</w:t>
            </w:r>
          </w:p>
        </w:tc>
        <w:tc>
          <w:tcPr>
            <w:tcW w:w="2736"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0,77</w:t>
            </w:r>
          </w:p>
        </w:tc>
        <w:tc>
          <w:tcPr>
            <w:tcW w:w="1710"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0,5</w:t>
            </w:r>
          </w:p>
        </w:tc>
      </w:tr>
      <w:tr w:rsidR="00852F75" w:rsidRPr="003F4F4D" w:rsidTr="005F5D09">
        <w:trPr>
          <w:trHeight w:val="300"/>
          <w:jc w:val="center"/>
        </w:trPr>
        <w:tc>
          <w:tcPr>
            <w:tcW w:w="2880" w:type="dxa"/>
            <w:shd w:val="clear" w:color="auto" w:fill="auto"/>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SUD-VEST OLTENIA</w:t>
            </w:r>
          </w:p>
        </w:tc>
        <w:tc>
          <w:tcPr>
            <w:tcW w:w="1494"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1697</w:t>
            </w:r>
          </w:p>
        </w:tc>
        <w:tc>
          <w:tcPr>
            <w:tcW w:w="2736"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0,47</w:t>
            </w:r>
          </w:p>
        </w:tc>
        <w:tc>
          <w:tcPr>
            <w:tcW w:w="1710" w:type="dxa"/>
            <w:shd w:val="clear" w:color="auto" w:fill="auto"/>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0,3</w:t>
            </w:r>
          </w:p>
        </w:tc>
      </w:tr>
      <w:tr w:rsidR="00852F75" w:rsidRPr="003F4F4D" w:rsidTr="005F5D09">
        <w:trPr>
          <w:trHeight w:val="300"/>
          <w:jc w:val="center"/>
        </w:trPr>
        <w:tc>
          <w:tcPr>
            <w:tcW w:w="2880" w:type="dxa"/>
            <w:shd w:val="clear" w:color="auto" w:fill="C6D9F1" w:themeFill="text2" w:themeFillTint="33"/>
            <w:noWrap/>
            <w:vAlign w:val="bottom"/>
            <w:hideMark/>
          </w:tcPr>
          <w:p w:rsidR="00852F75" w:rsidRPr="00DC1854" w:rsidRDefault="00852F75" w:rsidP="005F5D09">
            <w:pPr>
              <w:contextualSpacing/>
              <w:rPr>
                <w:rFonts w:ascii="Calibri" w:eastAsia="Times New Roman" w:hAnsi="Calibri" w:cs="Calibri"/>
                <w:b/>
                <w:color w:val="000000"/>
              </w:rPr>
            </w:pPr>
            <w:r w:rsidRPr="00DC1854">
              <w:rPr>
                <w:rFonts w:ascii="Calibri" w:eastAsia="Times New Roman" w:hAnsi="Calibri" w:cs="Calibri"/>
                <w:b/>
                <w:color w:val="000000"/>
              </w:rPr>
              <w:t>Reg. VEST</w:t>
            </w:r>
          </w:p>
        </w:tc>
        <w:tc>
          <w:tcPr>
            <w:tcW w:w="1494"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11377</w:t>
            </w:r>
          </w:p>
        </w:tc>
        <w:tc>
          <w:tcPr>
            <w:tcW w:w="2736"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2,34</w:t>
            </w:r>
          </w:p>
        </w:tc>
        <w:tc>
          <w:tcPr>
            <w:tcW w:w="1710" w:type="dxa"/>
            <w:shd w:val="clear" w:color="auto" w:fill="C6D9F1" w:themeFill="text2" w:themeFillTint="33"/>
            <w:vAlign w:val="bottom"/>
            <w:hideMark/>
          </w:tcPr>
          <w:p w:rsidR="00852F75" w:rsidRPr="00DC1854" w:rsidRDefault="00852F75" w:rsidP="005F5D09">
            <w:pPr>
              <w:contextualSpacing/>
              <w:jc w:val="right"/>
              <w:rPr>
                <w:rFonts w:ascii="Calibri" w:eastAsia="Times New Roman" w:hAnsi="Calibri" w:cs="Calibri"/>
                <w:color w:val="000000"/>
              </w:rPr>
            </w:pPr>
            <w:r w:rsidRPr="00DC1854">
              <w:rPr>
                <w:rFonts w:ascii="Calibri" w:eastAsia="Times New Roman" w:hAnsi="Calibri" w:cs="Calibri"/>
                <w:color w:val="000000"/>
              </w:rPr>
              <w:t>1,7</w:t>
            </w:r>
          </w:p>
        </w:tc>
      </w:tr>
    </w:tbl>
    <w:p w:rsidR="00852F75" w:rsidRDefault="00852F75" w:rsidP="00852F75">
      <w:pPr>
        <w:contextualSpacing/>
        <w:jc w:val="both"/>
        <w:rPr>
          <w:rFonts w:eastAsia="Times New Roman" w:cstheme="minorHAnsi"/>
          <w:bCs/>
          <w:color w:val="000000"/>
          <w:sz w:val="24"/>
          <w:szCs w:val="24"/>
        </w:rPr>
      </w:pPr>
      <w:r>
        <w:rPr>
          <w:rFonts w:eastAsia="Times New Roman" w:cstheme="minorHAnsi"/>
          <w:bCs/>
          <w:color w:val="000000"/>
          <w:sz w:val="24"/>
          <w:szCs w:val="24"/>
        </w:rPr>
        <w:t>Sursa: calcule proprii după datele Institutului Naţional de Statistică</w:t>
      </w:r>
    </w:p>
    <w:p w:rsidR="00852F75" w:rsidRDefault="00852F75" w:rsidP="00852F75">
      <w:pPr>
        <w:contextualSpacing/>
        <w:jc w:val="both"/>
        <w:rPr>
          <w:rFonts w:eastAsia="Times New Roman" w:cstheme="minorHAnsi"/>
          <w:bCs/>
          <w:color w:val="000000"/>
          <w:sz w:val="24"/>
          <w:szCs w:val="24"/>
        </w:rPr>
      </w:pPr>
    </w:p>
    <w:p w:rsidR="00852F75" w:rsidRDefault="00852F75" w:rsidP="00852F75">
      <w:pPr>
        <w:ind w:left="-270"/>
        <w:contextualSpacing/>
        <w:rPr>
          <w:sz w:val="24"/>
          <w:szCs w:val="24"/>
          <w:shd w:val="clear" w:color="auto" w:fill="FFFFFF"/>
        </w:rPr>
      </w:pPr>
      <w:r w:rsidRPr="001B3E79">
        <w:rPr>
          <w:noProof/>
          <w:sz w:val="24"/>
          <w:szCs w:val="24"/>
          <w:shd w:val="clear" w:color="auto" w:fill="FFFFFF"/>
        </w:rPr>
        <w:drawing>
          <wp:inline distT="0" distB="0" distL="0" distR="0">
            <wp:extent cx="5757844" cy="3407434"/>
            <wp:effectExtent l="19050" t="0" r="14306" b="2516"/>
            <wp:docPr id="8"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2F75" w:rsidRPr="00BC6D40" w:rsidRDefault="00852F75" w:rsidP="00852F75">
      <w:pPr>
        <w:contextualSpacing/>
        <w:rPr>
          <w:b/>
          <w:sz w:val="24"/>
          <w:szCs w:val="24"/>
          <w:shd w:val="clear" w:color="auto" w:fill="FFFFFF"/>
        </w:rPr>
      </w:pPr>
      <w:r w:rsidRPr="00BC6D40">
        <w:rPr>
          <w:b/>
          <w:sz w:val="24"/>
          <w:szCs w:val="24"/>
          <w:shd w:val="clear" w:color="auto" w:fill="FFFFFF"/>
        </w:rPr>
        <w:t>Fig. 5</w:t>
      </w:r>
    </w:p>
    <w:p w:rsidR="00852F75" w:rsidRDefault="00852F75" w:rsidP="00852F75">
      <w:pPr>
        <w:contextualSpacing/>
        <w:rPr>
          <w:sz w:val="24"/>
          <w:szCs w:val="24"/>
          <w:shd w:val="clear" w:color="auto" w:fill="FFFFFF"/>
        </w:rPr>
      </w:pPr>
      <w:r w:rsidRPr="001B3E79">
        <w:rPr>
          <w:sz w:val="24"/>
          <w:szCs w:val="24"/>
          <w:shd w:val="clear" w:color="auto" w:fill="FFFFFF"/>
        </w:rPr>
        <w:t xml:space="preserve">La nivelul </w:t>
      </w:r>
      <w:r>
        <w:rPr>
          <w:sz w:val="24"/>
          <w:szCs w:val="24"/>
          <w:shd w:val="clear" w:color="auto" w:fill="FFFFFF"/>
        </w:rPr>
        <w:t>companiilor de profil se observă o evoluție pozitivă în perioada 2010-2015 în ce privește numărul de salariați în cazul  majorității dintre acestea, așa cum reiese din datele preluate de pe site-ul Ministerului Finanțelor Publice.</w:t>
      </w:r>
    </w:p>
    <w:p w:rsidR="00852F75" w:rsidRDefault="00852F75" w:rsidP="00852F75">
      <w:pPr>
        <w:contextualSpacing/>
        <w:rPr>
          <w:sz w:val="24"/>
          <w:szCs w:val="24"/>
          <w:shd w:val="clear" w:color="auto" w:fill="FFFFFF"/>
        </w:rPr>
      </w:pPr>
    </w:p>
    <w:p w:rsidR="00852F75" w:rsidRDefault="00852F75" w:rsidP="00852F75">
      <w:pPr>
        <w:contextualSpacing/>
        <w:rPr>
          <w:sz w:val="24"/>
          <w:szCs w:val="24"/>
          <w:shd w:val="clear" w:color="auto" w:fill="FFFFFF"/>
        </w:rPr>
      </w:pPr>
    </w:p>
    <w:p w:rsidR="00852F75" w:rsidRDefault="00852F75" w:rsidP="00852F75">
      <w:pPr>
        <w:contextualSpacing/>
        <w:rPr>
          <w:sz w:val="24"/>
          <w:szCs w:val="24"/>
          <w:shd w:val="clear" w:color="auto" w:fill="FFFFFF"/>
        </w:rPr>
      </w:pPr>
    </w:p>
    <w:p w:rsidR="00852F75" w:rsidRDefault="00852F75" w:rsidP="00852F75">
      <w:pPr>
        <w:contextualSpacing/>
        <w:rPr>
          <w:sz w:val="24"/>
          <w:szCs w:val="24"/>
          <w:shd w:val="clear" w:color="auto" w:fill="FFFFFF"/>
        </w:rPr>
      </w:pPr>
    </w:p>
    <w:p w:rsidR="00852F75" w:rsidRDefault="00852F75" w:rsidP="00852F75">
      <w:pPr>
        <w:contextualSpacing/>
        <w:rPr>
          <w:sz w:val="24"/>
          <w:szCs w:val="24"/>
          <w:shd w:val="clear" w:color="auto" w:fill="FFFFFF"/>
        </w:rPr>
      </w:pPr>
    </w:p>
    <w:p w:rsidR="00852F75" w:rsidRPr="0014502B" w:rsidRDefault="00852F75" w:rsidP="00852F75">
      <w:pPr>
        <w:spacing w:after="0"/>
        <w:ind w:left="-270"/>
        <w:contextualSpacing/>
        <w:jc w:val="center"/>
        <w:rPr>
          <w:sz w:val="24"/>
          <w:szCs w:val="24"/>
        </w:rPr>
      </w:pPr>
      <w:r>
        <w:rPr>
          <w:b/>
          <w:sz w:val="24"/>
          <w:szCs w:val="24"/>
          <w:shd w:val="clear" w:color="auto" w:fill="FFFFFF"/>
        </w:rPr>
        <w:lastRenderedPageBreak/>
        <w:t xml:space="preserve">Ta. 19 </w:t>
      </w:r>
      <w:r w:rsidRPr="000D6500">
        <w:rPr>
          <w:b/>
          <w:sz w:val="24"/>
          <w:szCs w:val="24"/>
          <w:shd w:val="clear" w:color="auto" w:fill="FFFFFF"/>
        </w:rPr>
        <w:t>Companii reprezentative din Regiunea Centru care activează în industria</w:t>
      </w:r>
      <w:r>
        <w:rPr>
          <w:b/>
          <w:sz w:val="24"/>
          <w:szCs w:val="24"/>
          <w:shd w:val="clear" w:color="auto" w:fill="FFFFFF"/>
        </w:rPr>
        <w:t xml:space="preserve"> pielăriei</w:t>
      </w:r>
    </w:p>
    <w:tbl>
      <w:tblPr>
        <w:tblW w:w="9811" w:type="dxa"/>
        <w:jc w:val="center"/>
        <w:tblInd w:w="93" w:type="dxa"/>
        <w:tblLook w:val="04A0"/>
      </w:tblPr>
      <w:tblGrid>
        <w:gridCol w:w="1003"/>
        <w:gridCol w:w="3094"/>
        <w:gridCol w:w="960"/>
        <w:gridCol w:w="960"/>
        <w:gridCol w:w="960"/>
        <w:gridCol w:w="960"/>
        <w:gridCol w:w="960"/>
        <w:gridCol w:w="960"/>
      </w:tblGrid>
      <w:tr w:rsidR="00852F75" w:rsidRPr="00DC1854" w:rsidTr="005F5D09">
        <w:trPr>
          <w:trHeight w:val="315"/>
          <w:tblHeader/>
          <w:jc w:val="center"/>
        </w:trPr>
        <w:tc>
          <w:tcPr>
            <w:tcW w:w="957" w:type="dxa"/>
            <w:vMerge w:val="restart"/>
            <w:tcBorders>
              <w:top w:val="single" w:sz="8" w:space="0" w:color="auto"/>
              <w:left w:val="single" w:sz="4" w:space="0" w:color="auto"/>
              <w:bottom w:val="single" w:sz="4" w:space="0" w:color="000000"/>
              <w:right w:val="single" w:sz="4"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Judeţul</w:t>
            </w:r>
          </w:p>
        </w:tc>
        <w:tc>
          <w:tcPr>
            <w:tcW w:w="3094" w:type="dxa"/>
            <w:vMerge w:val="restart"/>
            <w:tcBorders>
              <w:top w:val="single" w:sz="8" w:space="0" w:color="auto"/>
              <w:left w:val="single" w:sz="4" w:space="0" w:color="auto"/>
              <w:bottom w:val="single" w:sz="8" w:space="0" w:color="000000"/>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Denumirea companiei</w:t>
            </w:r>
          </w:p>
        </w:tc>
        <w:tc>
          <w:tcPr>
            <w:tcW w:w="5760" w:type="dxa"/>
            <w:gridSpan w:val="6"/>
            <w:tcBorders>
              <w:top w:val="single" w:sz="8" w:space="0" w:color="auto"/>
              <w:left w:val="nil"/>
              <w:bottom w:val="single" w:sz="8" w:space="0" w:color="auto"/>
              <w:right w:val="single" w:sz="8" w:space="0" w:color="000000"/>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Numărul mediu de salariați</w:t>
            </w:r>
          </w:p>
        </w:tc>
      </w:tr>
      <w:tr w:rsidR="00852F75" w:rsidRPr="00DC1854" w:rsidTr="005F5D09">
        <w:trPr>
          <w:trHeight w:val="270"/>
          <w:tblHeader/>
          <w:jc w:val="center"/>
        </w:trPr>
        <w:tc>
          <w:tcPr>
            <w:tcW w:w="957" w:type="dxa"/>
            <w:vMerge/>
            <w:tcBorders>
              <w:top w:val="single" w:sz="8" w:space="0" w:color="auto"/>
              <w:left w:val="single" w:sz="4" w:space="0" w:color="auto"/>
              <w:bottom w:val="single" w:sz="4" w:space="0" w:color="auto"/>
              <w:right w:val="single" w:sz="4" w:space="0" w:color="auto"/>
            </w:tcBorders>
            <w:vAlign w:val="center"/>
            <w:hideMark/>
          </w:tcPr>
          <w:p w:rsidR="00852F75" w:rsidRPr="00DC1854" w:rsidRDefault="00852F75" w:rsidP="005F5D09">
            <w:pPr>
              <w:contextualSpacing/>
              <w:rPr>
                <w:rFonts w:eastAsia="Times New Roman" w:cstheme="minorHAnsi"/>
                <w:b/>
                <w:bCs/>
                <w:color w:val="000000"/>
              </w:rPr>
            </w:pPr>
          </w:p>
        </w:tc>
        <w:tc>
          <w:tcPr>
            <w:tcW w:w="3094" w:type="dxa"/>
            <w:vMerge/>
            <w:tcBorders>
              <w:top w:val="single" w:sz="8" w:space="0" w:color="auto"/>
              <w:left w:val="single" w:sz="4" w:space="0" w:color="auto"/>
              <w:bottom w:val="single" w:sz="4" w:space="0" w:color="auto"/>
              <w:right w:val="single" w:sz="8" w:space="0" w:color="auto"/>
            </w:tcBorders>
            <w:vAlign w:val="center"/>
            <w:hideMark/>
          </w:tcPr>
          <w:p w:rsidR="00852F75" w:rsidRPr="00DC1854" w:rsidRDefault="00852F75" w:rsidP="005F5D09">
            <w:pPr>
              <w:contextualSpacing/>
              <w:rPr>
                <w:rFonts w:eastAsia="Times New Roman" w:cstheme="minorHAnsi"/>
                <w:b/>
                <w:bCs/>
                <w:color w:val="000000"/>
              </w:rPr>
            </w:pPr>
          </w:p>
        </w:tc>
        <w:tc>
          <w:tcPr>
            <w:tcW w:w="960" w:type="dxa"/>
            <w:tcBorders>
              <w:top w:val="nil"/>
              <w:left w:val="nil"/>
              <w:bottom w:val="single" w:sz="4" w:space="0" w:color="auto"/>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2010</w:t>
            </w:r>
          </w:p>
        </w:tc>
        <w:tc>
          <w:tcPr>
            <w:tcW w:w="960" w:type="dxa"/>
            <w:tcBorders>
              <w:top w:val="nil"/>
              <w:left w:val="nil"/>
              <w:bottom w:val="single" w:sz="4" w:space="0" w:color="auto"/>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2011</w:t>
            </w:r>
          </w:p>
        </w:tc>
        <w:tc>
          <w:tcPr>
            <w:tcW w:w="960" w:type="dxa"/>
            <w:tcBorders>
              <w:top w:val="nil"/>
              <w:left w:val="nil"/>
              <w:bottom w:val="single" w:sz="4" w:space="0" w:color="auto"/>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2012</w:t>
            </w:r>
          </w:p>
        </w:tc>
        <w:tc>
          <w:tcPr>
            <w:tcW w:w="960" w:type="dxa"/>
            <w:tcBorders>
              <w:top w:val="nil"/>
              <w:left w:val="nil"/>
              <w:bottom w:val="single" w:sz="4" w:space="0" w:color="auto"/>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2013</w:t>
            </w:r>
          </w:p>
        </w:tc>
        <w:tc>
          <w:tcPr>
            <w:tcW w:w="960" w:type="dxa"/>
            <w:tcBorders>
              <w:top w:val="nil"/>
              <w:left w:val="nil"/>
              <w:bottom w:val="single" w:sz="4" w:space="0" w:color="auto"/>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2014</w:t>
            </w:r>
          </w:p>
        </w:tc>
        <w:tc>
          <w:tcPr>
            <w:tcW w:w="960" w:type="dxa"/>
            <w:tcBorders>
              <w:top w:val="nil"/>
              <w:left w:val="nil"/>
              <w:bottom w:val="single" w:sz="4" w:space="0" w:color="auto"/>
              <w:right w:val="single" w:sz="8" w:space="0" w:color="auto"/>
            </w:tcBorders>
            <w:shd w:val="clear" w:color="000000" w:fill="8DB4E3"/>
            <w:vAlign w:val="center"/>
            <w:hideMark/>
          </w:tcPr>
          <w:p w:rsidR="00852F75" w:rsidRPr="00DC1854" w:rsidRDefault="00852F75" w:rsidP="005F5D09">
            <w:pPr>
              <w:contextualSpacing/>
              <w:jc w:val="center"/>
              <w:rPr>
                <w:rFonts w:eastAsia="Times New Roman" w:cstheme="minorHAnsi"/>
                <w:b/>
                <w:bCs/>
                <w:color w:val="000000"/>
              </w:rPr>
            </w:pPr>
            <w:r w:rsidRPr="00DC1854">
              <w:rPr>
                <w:rFonts w:eastAsia="Times New Roman" w:cstheme="minorHAnsi"/>
                <w:b/>
                <w:bCs/>
                <w:color w:val="000000"/>
              </w:rPr>
              <w:t>2015</w:t>
            </w:r>
          </w:p>
        </w:tc>
      </w:tr>
      <w:tr w:rsidR="00852F75" w:rsidRPr="00DC1854" w:rsidTr="005F5D09">
        <w:trPr>
          <w:trHeight w:val="315"/>
          <w:jc w:val="center"/>
        </w:trPr>
        <w:tc>
          <w:tcPr>
            <w:tcW w:w="957" w:type="dxa"/>
            <w:vMerge w:val="restart"/>
            <w:tcBorders>
              <w:top w:val="single" w:sz="4" w:space="0" w:color="auto"/>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jc w:val="center"/>
              <w:rPr>
                <w:rFonts w:eastAsia="Times New Roman" w:cstheme="minorHAnsi"/>
                <w:b/>
                <w:color w:val="000000"/>
              </w:rPr>
            </w:pPr>
            <w:r w:rsidRPr="00DC1854">
              <w:rPr>
                <w:rFonts w:eastAsia="Times New Roman" w:cstheme="minorHAnsi"/>
                <w:b/>
                <w:color w:val="000000"/>
              </w:rPr>
              <w:t>Alba</w:t>
            </w:r>
          </w:p>
        </w:tc>
        <w:tc>
          <w:tcPr>
            <w:tcW w:w="3094" w:type="dxa"/>
            <w:tcBorders>
              <w:top w:val="single" w:sz="4" w:space="0" w:color="auto"/>
              <w:left w:val="single" w:sz="4" w:space="0" w:color="auto"/>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REKORD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463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481</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433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456</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400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460</w:t>
            </w:r>
          </w:p>
        </w:tc>
      </w:tr>
      <w:tr w:rsidR="00852F75" w:rsidRPr="00DC1854" w:rsidTr="005F5D09">
        <w:trPr>
          <w:trHeight w:val="315"/>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single" w:sz="4" w:space="0" w:color="auto"/>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MATIN-MAIER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270</w:t>
            </w:r>
          </w:p>
        </w:tc>
      </w:tr>
      <w:tr w:rsidR="00852F75" w:rsidRPr="00DC1854" w:rsidTr="005F5D09">
        <w:trPr>
          <w:trHeight w:val="315"/>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single" w:sz="4" w:space="0" w:color="auto"/>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GALWAY SPORT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396</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405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405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278</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322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315</w:t>
            </w:r>
          </w:p>
        </w:tc>
      </w:tr>
      <w:tr w:rsidR="00852F75" w:rsidRPr="00DC1854" w:rsidTr="005F5D09">
        <w:trPr>
          <w:trHeight w:val="315"/>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single" w:sz="4" w:space="0" w:color="auto"/>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PASTEL FIRENZE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150</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single" w:sz="4" w:space="0" w:color="auto"/>
              <w:left w:val="single" w:sz="4" w:space="0" w:color="auto"/>
              <w:bottom w:val="nil"/>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 xml:space="preserve">Rapel </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48</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46</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45</w:t>
            </w:r>
          </w:p>
        </w:tc>
      </w:tr>
      <w:tr w:rsidR="00852F75" w:rsidRPr="00DC1854" w:rsidTr="005F5D09">
        <w:trPr>
          <w:trHeight w:val="315"/>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single" w:sz="4" w:space="0" w:color="auto"/>
              <w:left w:val="single" w:sz="4" w:space="0" w:color="auto"/>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KOZARA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190</w:t>
            </w:r>
          </w:p>
        </w:tc>
      </w:tr>
      <w:tr w:rsidR="00852F75" w:rsidRPr="00DC1854" w:rsidTr="005F5D09">
        <w:trPr>
          <w:trHeight w:val="315"/>
          <w:jc w:val="center"/>
        </w:trPr>
        <w:tc>
          <w:tcPr>
            <w:tcW w:w="957"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jc w:val="center"/>
              <w:rPr>
                <w:rFonts w:eastAsia="Times New Roman" w:cstheme="minorHAnsi"/>
                <w:b/>
                <w:color w:val="000000"/>
              </w:rPr>
            </w:pPr>
            <w:r w:rsidRPr="00DC1854">
              <w:rPr>
                <w:rFonts w:eastAsia="Times New Roman" w:cstheme="minorHAnsi"/>
                <w:b/>
                <w:color w:val="000000"/>
              </w:rPr>
              <w:t>Braşov</w:t>
            </w:r>
          </w:p>
        </w:tc>
        <w:tc>
          <w:tcPr>
            <w:tcW w:w="3094" w:type="dxa"/>
            <w:tcBorders>
              <w:top w:val="nil"/>
              <w:left w:val="single" w:sz="4" w:space="0" w:color="auto"/>
              <w:bottom w:val="nil"/>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252324"/>
              </w:rPr>
            </w:pPr>
            <w:r w:rsidRPr="00DC1854">
              <w:rPr>
                <w:rFonts w:eastAsia="Times New Roman" w:cstheme="minorHAnsi"/>
                <w:color w:val="252324"/>
              </w:rPr>
              <w:t>Selezione Prod</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211</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213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180</w:t>
            </w:r>
          </w:p>
        </w:tc>
      </w:tr>
      <w:tr w:rsidR="00852F75" w:rsidRPr="00DC1854" w:rsidTr="005F5D09">
        <w:trPr>
          <w:trHeight w:val="315"/>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single" w:sz="4" w:space="0" w:color="auto"/>
              <w:left w:val="single" w:sz="4" w:space="0" w:color="auto"/>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TINO SA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317</w:t>
            </w:r>
          </w:p>
        </w:tc>
      </w:tr>
      <w:tr w:rsidR="00852F75" w:rsidRPr="00DC1854" w:rsidTr="005F5D09">
        <w:trPr>
          <w:trHeight w:val="315"/>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single" w:sz="4" w:space="0" w:color="auto"/>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S.T.I. INTERNATIONAL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141</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150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190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240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300</w:t>
            </w:r>
          </w:p>
        </w:tc>
      </w:tr>
      <w:tr w:rsidR="00852F75" w:rsidRPr="00DC1854" w:rsidTr="005F5D09">
        <w:trPr>
          <w:trHeight w:val="600"/>
          <w:jc w:val="center"/>
        </w:trPr>
        <w:tc>
          <w:tcPr>
            <w:tcW w:w="957" w:type="dxa"/>
            <w:vMerge/>
            <w:tcBorders>
              <w:top w:val="nil"/>
              <w:left w:val="single" w:sz="4" w:space="0" w:color="auto"/>
              <w:bottom w:val="single" w:sz="4" w:space="0" w:color="000000"/>
              <w:right w:val="nil"/>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single" w:sz="4" w:space="0" w:color="auto"/>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DTR DRAXLMAIER SISTEME TEHNICE ROMANIA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625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685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1054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1152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1356</w:t>
            </w:r>
          </w:p>
        </w:tc>
      </w:tr>
      <w:tr w:rsidR="00852F75" w:rsidRPr="00DC1854" w:rsidTr="005F5D09">
        <w:trPr>
          <w:trHeight w:val="315"/>
          <w:jc w:val="center"/>
        </w:trPr>
        <w:tc>
          <w:tcPr>
            <w:tcW w:w="957"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jc w:val="center"/>
              <w:rPr>
                <w:rFonts w:eastAsia="Times New Roman" w:cstheme="minorHAnsi"/>
                <w:b/>
                <w:color w:val="000000"/>
              </w:rPr>
            </w:pPr>
            <w:r w:rsidRPr="00DC1854">
              <w:rPr>
                <w:rFonts w:eastAsia="Times New Roman" w:cstheme="minorHAnsi"/>
                <w:b/>
                <w:color w:val="000000"/>
              </w:rPr>
              <w:t>Covasna</w:t>
            </w: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MIMI SHOES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42</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nil"/>
              <w:bottom w:val="single" w:sz="4" w:space="0" w:color="auto"/>
              <w:right w:val="nil"/>
            </w:tcBorders>
            <w:shd w:val="clear" w:color="auto" w:fill="auto"/>
            <w:noWrap/>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GEORGE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10</w:t>
            </w:r>
          </w:p>
        </w:tc>
      </w:tr>
      <w:tr w:rsidR="00852F75" w:rsidRPr="00DC1854" w:rsidTr="005F5D09">
        <w:trPr>
          <w:trHeight w:val="315"/>
          <w:jc w:val="center"/>
        </w:trPr>
        <w:tc>
          <w:tcPr>
            <w:tcW w:w="957"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jc w:val="center"/>
              <w:rPr>
                <w:rFonts w:eastAsia="Times New Roman" w:cstheme="minorHAnsi"/>
                <w:b/>
                <w:color w:val="000000"/>
              </w:rPr>
            </w:pPr>
            <w:r w:rsidRPr="00DC1854">
              <w:rPr>
                <w:rFonts w:eastAsia="Times New Roman" w:cstheme="minorHAnsi"/>
                <w:b/>
                <w:color w:val="000000"/>
              </w:rPr>
              <w:t>Harghita</w:t>
            </w: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TOPLITA SA</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424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502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478</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455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435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346</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SCARPA NOVA SRL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30</w:t>
            </w:r>
          </w:p>
        </w:tc>
      </w:tr>
      <w:tr w:rsidR="00852F75" w:rsidRPr="00DC1854" w:rsidTr="005F5D09">
        <w:trPr>
          <w:trHeight w:val="315"/>
          <w:jc w:val="center"/>
        </w:trPr>
        <w:tc>
          <w:tcPr>
            <w:tcW w:w="957"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jc w:val="center"/>
              <w:rPr>
                <w:rFonts w:eastAsia="Times New Roman" w:cstheme="minorHAnsi"/>
                <w:b/>
                <w:color w:val="000000"/>
              </w:rPr>
            </w:pPr>
            <w:r w:rsidRPr="00DC1854">
              <w:rPr>
                <w:rFonts w:eastAsia="Times New Roman" w:cstheme="minorHAnsi"/>
                <w:b/>
                <w:color w:val="000000"/>
              </w:rPr>
              <w:t>Mureş</w:t>
            </w: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GITOGI SERVICE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197</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273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167</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112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112</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b/>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ALPINA SHOE PRODUCTION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371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491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564</w:t>
            </w:r>
          </w:p>
        </w:tc>
      </w:tr>
      <w:tr w:rsidR="00852F75" w:rsidRPr="00DC1854" w:rsidTr="005F5D09">
        <w:trPr>
          <w:trHeight w:val="315"/>
          <w:jc w:val="center"/>
        </w:trPr>
        <w:tc>
          <w:tcPr>
            <w:tcW w:w="957"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jc w:val="center"/>
              <w:rPr>
                <w:rFonts w:eastAsia="Times New Roman" w:cstheme="minorHAnsi"/>
                <w:b/>
                <w:color w:val="000000"/>
              </w:rPr>
            </w:pPr>
            <w:r w:rsidRPr="00DC1854">
              <w:rPr>
                <w:rFonts w:eastAsia="Times New Roman" w:cstheme="minorHAnsi"/>
                <w:b/>
                <w:color w:val="000000"/>
              </w:rPr>
              <w:t>Sibiu</w:t>
            </w: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MEDIMPACT SA</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171</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153</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TRICOSTAR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748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763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451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HIPIC PROD IMPEX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114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266</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238</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258</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284</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RASITAL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278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222</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KRISTIN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119</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271</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240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260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285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259</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BELLARMA SRL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293</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ALAN TRADE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113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209</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179</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167</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G.T.X. SIBIU SRL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211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146</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VIOLA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132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175</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179</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199</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A.C. EUROCOMPANY SRL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153</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V.P. TRADE INTERNATIONAL SRL</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180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180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175</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auto"/>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EVERY BAGS SRL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135</w:t>
            </w:r>
          </w:p>
        </w:tc>
      </w:tr>
      <w:tr w:rsidR="00852F75" w:rsidRPr="00DC1854" w:rsidTr="005F5D09">
        <w:trPr>
          <w:trHeight w:val="315"/>
          <w:jc w:val="center"/>
        </w:trPr>
        <w:tc>
          <w:tcPr>
            <w:tcW w:w="9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852F75" w:rsidRPr="00DC1854" w:rsidRDefault="00852F75" w:rsidP="005F5D09">
            <w:pPr>
              <w:contextualSpacing/>
              <w:rPr>
                <w:rFonts w:eastAsia="Times New Roman" w:cstheme="minorHAnsi"/>
                <w:color w:val="000000"/>
              </w:rPr>
            </w:pPr>
          </w:p>
        </w:tc>
        <w:tc>
          <w:tcPr>
            <w:tcW w:w="3094" w:type="dxa"/>
            <w:tcBorders>
              <w:top w:val="nil"/>
              <w:left w:val="nil"/>
              <w:bottom w:val="single" w:sz="4" w:space="0" w:color="auto"/>
              <w:right w:val="nil"/>
            </w:tcBorders>
            <w:shd w:val="clear" w:color="auto" w:fill="C6D9F1" w:themeFill="text2" w:themeFillTint="33"/>
            <w:vAlign w:val="bottom"/>
            <w:hideMark/>
          </w:tcPr>
          <w:p w:rsidR="00852F75" w:rsidRPr="00DC1854" w:rsidRDefault="00852F75" w:rsidP="005F5D09">
            <w:pPr>
              <w:contextualSpacing/>
              <w:rPr>
                <w:rFonts w:eastAsia="Times New Roman" w:cstheme="minorHAnsi"/>
                <w:color w:val="000000"/>
              </w:rPr>
            </w:pPr>
            <w:r w:rsidRPr="00DC1854">
              <w:rPr>
                <w:rFonts w:eastAsia="Times New Roman" w:cstheme="minorHAnsi"/>
                <w:color w:val="000000"/>
              </w:rPr>
              <w:t>Somarest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684</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793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812</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713</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333333"/>
              </w:rPr>
            </w:pPr>
            <w:r w:rsidRPr="00DC1854">
              <w:rPr>
                <w:rFonts w:eastAsia="Times New Roman" w:cstheme="minorHAnsi"/>
                <w:color w:val="333333"/>
              </w:rPr>
              <w:t>680</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52F75" w:rsidRPr="00DC1854" w:rsidRDefault="00852F75" w:rsidP="005F5D09">
            <w:pPr>
              <w:contextualSpacing/>
              <w:jc w:val="right"/>
              <w:rPr>
                <w:rFonts w:eastAsia="Times New Roman" w:cstheme="minorHAnsi"/>
                <w:color w:val="000000"/>
              </w:rPr>
            </w:pPr>
            <w:r w:rsidRPr="00DC1854">
              <w:rPr>
                <w:rFonts w:eastAsia="Times New Roman" w:cstheme="minorHAnsi"/>
                <w:color w:val="000000"/>
              </w:rPr>
              <w:t>700</w:t>
            </w:r>
          </w:p>
        </w:tc>
      </w:tr>
    </w:tbl>
    <w:p w:rsidR="00852F75" w:rsidRPr="007C0055" w:rsidRDefault="00852F75" w:rsidP="00852F75">
      <w:pPr>
        <w:contextualSpacing/>
        <w:jc w:val="both"/>
        <w:rPr>
          <w:sz w:val="24"/>
          <w:szCs w:val="24"/>
        </w:rPr>
      </w:pPr>
      <w:r w:rsidRPr="00CE2656">
        <w:rPr>
          <w:sz w:val="24"/>
          <w:szCs w:val="24"/>
        </w:rPr>
        <w:t>Sursa: Ministerul Finan</w:t>
      </w:r>
      <w:r>
        <w:rPr>
          <w:sz w:val="24"/>
          <w:szCs w:val="24"/>
        </w:rPr>
        <w:t>ţelor Publice</w:t>
      </w:r>
    </w:p>
    <w:p w:rsidR="00852F75" w:rsidRDefault="00852F75" w:rsidP="00852F75">
      <w:pPr>
        <w:pStyle w:val="Titlu2"/>
        <w:spacing w:before="0"/>
      </w:pPr>
      <w:r>
        <w:t>S</w:t>
      </w:r>
      <w:r w:rsidRPr="00DB0CCA">
        <w:t xml:space="preserve">tructuri </w:t>
      </w:r>
      <w:r>
        <w:t>regionale de sprijinire a afacerilor</w:t>
      </w:r>
    </w:p>
    <w:p w:rsidR="00852F75" w:rsidRPr="00694F2F" w:rsidRDefault="00852F75" w:rsidP="00852F75"/>
    <w:p w:rsidR="00852F75" w:rsidRPr="00DB0CCA" w:rsidRDefault="00852F75" w:rsidP="00852F75">
      <w:pPr>
        <w:pStyle w:val="Listparagraf"/>
        <w:numPr>
          <w:ilvl w:val="0"/>
          <w:numId w:val="31"/>
        </w:numPr>
        <w:ind w:left="0" w:firstLine="0"/>
        <w:jc w:val="both"/>
        <w:rPr>
          <w:sz w:val="24"/>
          <w:szCs w:val="24"/>
        </w:rPr>
      </w:pPr>
      <w:r w:rsidRPr="00DB0CCA">
        <w:rPr>
          <w:b/>
          <w:sz w:val="24"/>
          <w:szCs w:val="24"/>
        </w:rPr>
        <w:t xml:space="preserve">Clusterul Transilvania Textile &amp; Fashion </w:t>
      </w:r>
      <w:r w:rsidRPr="00DB0CCA">
        <w:rPr>
          <w:sz w:val="24"/>
          <w:szCs w:val="24"/>
        </w:rPr>
        <w:t xml:space="preserve">are ca scop sprijinirea activităţii grupurilor profesionale din industria textila pentru servicii mai eficiente şi eficace; stabilirea unor canale de comunicare, dezvoltarea unei reţele de cooperare a specialiştilor şi </w:t>
      </w:r>
      <w:r w:rsidRPr="00DB0CCA">
        <w:rPr>
          <w:sz w:val="24"/>
          <w:szCs w:val="24"/>
        </w:rPr>
        <w:lastRenderedPageBreak/>
        <w:t>întreprinderilor, identificarea posibilităților de asimilare a produselor inovative, asigurarea unui management performant.</w:t>
      </w:r>
    </w:p>
    <w:p w:rsidR="00852F75" w:rsidRPr="00DB0CCA" w:rsidRDefault="00852F75" w:rsidP="00852F75">
      <w:pPr>
        <w:pStyle w:val="Listparagraf"/>
        <w:numPr>
          <w:ilvl w:val="0"/>
          <w:numId w:val="31"/>
        </w:numPr>
        <w:ind w:left="0" w:firstLine="0"/>
        <w:jc w:val="both"/>
        <w:rPr>
          <w:rFonts w:cstheme="minorHAnsi"/>
          <w:color w:val="000000" w:themeColor="text1"/>
          <w:sz w:val="24"/>
          <w:szCs w:val="24"/>
          <w:shd w:val="clear" w:color="auto" w:fill="FFFFFF"/>
        </w:rPr>
      </w:pPr>
      <w:r w:rsidRPr="00DB0CCA">
        <w:rPr>
          <w:rFonts w:cstheme="minorHAnsi"/>
          <w:b/>
          <w:color w:val="000000" w:themeColor="text1"/>
          <w:sz w:val="24"/>
          <w:szCs w:val="24"/>
          <w:shd w:val="clear" w:color="auto" w:fill="FFFFFF"/>
        </w:rPr>
        <w:t>Federaţia Patronala a Industriei Uşoare</w:t>
      </w:r>
      <w:r w:rsidRPr="00DB0CCA">
        <w:rPr>
          <w:rFonts w:cstheme="minorHAnsi"/>
          <w:color w:val="000000" w:themeColor="text1"/>
          <w:sz w:val="24"/>
          <w:szCs w:val="24"/>
          <w:shd w:val="clear" w:color="auto" w:fill="FFFFFF"/>
        </w:rPr>
        <w:t xml:space="preserve"> - </w:t>
      </w:r>
      <w:r w:rsidRPr="00DB0CCA">
        <w:rPr>
          <w:rFonts w:cstheme="minorHAnsi"/>
          <w:b/>
          <w:color w:val="000000" w:themeColor="text1"/>
          <w:sz w:val="24"/>
          <w:szCs w:val="24"/>
          <w:shd w:val="clear" w:color="auto" w:fill="FFFFFF"/>
        </w:rPr>
        <w:t>FEPAIUS</w:t>
      </w:r>
      <w:r w:rsidRPr="00DB0CCA">
        <w:rPr>
          <w:rFonts w:cstheme="minorHAnsi"/>
          <w:color w:val="000000" w:themeColor="text1"/>
          <w:sz w:val="24"/>
          <w:szCs w:val="24"/>
          <w:shd w:val="clear" w:color="auto" w:fill="FFFFFF"/>
        </w:rPr>
        <w:t xml:space="preserve"> este unica organizaţie recunoscută din Romania ce reprezintă comunitatea oamenilor de afaceri şi operatorilor economici din textile, tricotaje, confecţii, pielărie şi încălţăminte. </w:t>
      </w:r>
      <w:r>
        <w:rPr>
          <w:rFonts w:cstheme="minorHAnsi"/>
          <w:color w:val="000000" w:themeColor="text1"/>
          <w:sz w:val="24"/>
          <w:szCs w:val="24"/>
          <w:shd w:val="clear" w:color="auto" w:fill="FFFFFF"/>
        </w:rPr>
        <w:t>FEPAIUS are numeroși membri activi din Regiunea Centru.</w:t>
      </w:r>
    </w:p>
    <w:p w:rsidR="00852F75" w:rsidRDefault="00852F75" w:rsidP="00852F75">
      <w:pPr>
        <w:pStyle w:val="Titlu2"/>
      </w:pPr>
      <w:r>
        <w:t xml:space="preserve">Investiţii străine și lanțuri internaționale  integratoare </w:t>
      </w:r>
    </w:p>
    <w:p w:rsidR="00852F75" w:rsidRPr="00694F2F" w:rsidRDefault="00852F75" w:rsidP="00852F75"/>
    <w:p w:rsidR="00852F75" w:rsidRDefault="00852F75" w:rsidP="00852F75">
      <w:pPr>
        <w:contextualSpacing/>
        <w:jc w:val="both"/>
        <w:rPr>
          <w:b/>
          <w:sz w:val="24"/>
          <w:szCs w:val="24"/>
        </w:rPr>
      </w:pPr>
      <w:r w:rsidRPr="001614A6">
        <w:rPr>
          <w:rFonts w:cstheme="minorHAnsi"/>
          <w:color w:val="000000" w:themeColor="text1"/>
          <w:sz w:val="24"/>
          <w:szCs w:val="24"/>
        </w:rPr>
        <w:t xml:space="preserve">România </w:t>
      </w:r>
      <w:r>
        <w:rPr>
          <w:rFonts w:cstheme="minorHAnsi"/>
          <w:color w:val="000000" w:themeColor="text1"/>
          <w:sz w:val="24"/>
          <w:szCs w:val="24"/>
        </w:rPr>
        <w:t>a devenit în ultimii ani</w:t>
      </w:r>
      <w:r w:rsidRPr="001614A6">
        <w:rPr>
          <w:rFonts w:cstheme="minorHAnsi"/>
          <w:color w:val="000000" w:themeColor="text1"/>
          <w:sz w:val="24"/>
          <w:szCs w:val="24"/>
        </w:rPr>
        <w:t xml:space="preserve"> una dintre cele mai importante destinaţii de producţie pentru marile branduri, atât mass market, cât şi de lux. </w:t>
      </w:r>
      <w:r w:rsidRPr="001614A6">
        <w:rPr>
          <w:rStyle w:val="Robust"/>
          <w:rFonts w:cstheme="minorHAnsi"/>
          <w:color w:val="000000" w:themeColor="text1"/>
          <w:sz w:val="24"/>
          <w:szCs w:val="24"/>
          <w:bdr w:val="none" w:sz="0" w:space="0" w:color="auto" w:frame="1"/>
          <w:shd w:val="clear" w:color="auto" w:fill="FFFFFF"/>
        </w:rPr>
        <w:t xml:space="preserve">Firme româneşti produc pentru cele mai mari companii din lume. </w:t>
      </w:r>
      <w:r>
        <w:rPr>
          <w:rStyle w:val="Robust"/>
          <w:rFonts w:cstheme="minorHAnsi"/>
          <w:color w:val="000000" w:themeColor="text1"/>
          <w:sz w:val="24"/>
          <w:szCs w:val="24"/>
          <w:bdr w:val="none" w:sz="0" w:space="0" w:color="auto" w:frame="1"/>
          <w:shd w:val="clear" w:color="auto" w:fill="FFFFFF"/>
        </w:rPr>
        <w:t xml:space="preserve">Regiunea Centru reprezintă o atracție pentru mari firme internaționale în domeniul pielăriei și încălțămintei.  </w:t>
      </w:r>
      <w:r>
        <w:rPr>
          <w:rFonts w:ascii="Calibri" w:hAnsi="Calibri" w:cs="Calibri"/>
          <w:color w:val="000000" w:themeColor="text1"/>
          <w:sz w:val="24"/>
          <w:szCs w:val="24"/>
          <w:shd w:val="clear" w:color="auto" w:fill="FFFFFF"/>
        </w:rPr>
        <w:t>Colaborând cu firme prestigioase,</w:t>
      </w:r>
      <w:r w:rsidRPr="0053556A">
        <w:rPr>
          <w:rFonts w:ascii="Calibri" w:hAnsi="Calibri" w:cs="Calibri"/>
          <w:color w:val="000000" w:themeColor="text1"/>
          <w:sz w:val="24"/>
          <w:szCs w:val="24"/>
          <w:shd w:val="clear" w:color="auto" w:fill="FFFFFF"/>
        </w:rPr>
        <w:t xml:space="preserve"> mărci precum Prada, Nero Giardoni, Rossetti, Toscana Blu,</w:t>
      </w:r>
      <w:r>
        <w:rPr>
          <w:rFonts w:ascii="Calibri" w:hAnsi="Calibri" w:cs="Calibri"/>
          <w:color w:val="000000" w:themeColor="text1"/>
          <w:sz w:val="24"/>
          <w:szCs w:val="24"/>
          <w:shd w:val="clear" w:color="auto" w:fill="FFFFFF"/>
        </w:rPr>
        <w:t xml:space="preserve"> Miu Miu,</w:t>
      </w:r>
      <w:r w:rsidRPr="0053556A">
        <w:rPr>
          <w:rFonts w:ascii="Calibri" w:hAnsi="Calibri" w:cs="Calibri"/>
          <w:color w:val="000000" w:themeColor="text1"/>
          <w:sz w:val="24"/>
          <w:szCs w:val="24"/>
          <w:shd w:val="clear" w:color="auto" w:fill="FFFFFF"/>
        </w:rPr>
        <w:t xml:space="preserve"> Tod’s sunt fabricate sub amprenta producătorilor din Braşov </w:t>
      </w:r>
      <w:r>
        <w:rPr>
          <w:rFonts w:ascii="Calibri" w:hAnsi="Calibri" w:cs="Calibri"/>
          <w:color w:val="000000" w:themeColor="text1"/>
          <w:sz w:val="24"/>
          <w:szCs w:val="24"/>
          <w:shd w:val="clear" w:color="auto" w:fill="FFFFFF"/>
        </w:rPr>
        <w:t xml:space="preserve">(Selezione Prod) </w:t>
      </w:r>
      <w:r w:rsidRPr="0053556A">
        <w:rPr>
          <w:rFonts w:ascii="Calibri" w:hAnsi="Calibri" w:cs="Calibri"/>
          <w:color w:val="000000" w:themeColor="text1"/>
          <w:sz w:val="24"/>
          <w:szCs w:val="24"/>
          <w:shd w:val="clear" w:color="auto" w:fill="FFFFFF"/>
        </w:rPr>
        <w:t>şi Sibiu</w:t>
      </w:r>
      <w:r>
        <w:rPr>
          <w:rFonts w:ascii="Calibri" w:hAnsi="Calibri" w:cs="Calibri"/>
          <w:color w:val="000000" w:themeColor="text1"/>
          <w:sz w:val="24"/>
          <w:szCs w:val="24"/>
          <w:shd w:val="clear" w:color="auto" w:fill="FFFFFF"/>
        </w:rPr>
        <w:t xml:space="preserve"> (Somarest)</w:t>
      </w:r>
      <w:r w:rsidRPr="0053556A">
        <w:rPr>
          <w:rFonts w:ascii="Calibri" w:hAnsi="Calibri" w:cs="Calibri"/>
          <w:color w:val="000000" w:themeColor="text1"/>
          <w:sz w:val="24"/>
          <w:szCs w:val="24"/>
          <w:shd w:val="clear" w:color="auto" w:fill="FFFFFF"/>
        </w:rPr>
        <w:t xml:space="preserve">. Compania Somarest din judeţul Sibiu deţine 2 fabrici (Cisnadie şi Avrig) care produce pentru Louis Vuitton componente de genţi (curele, buzunare etc). Furla sau </w:t>
      </w:r>
      <w:r w:rsidRPr="0053556A">
        <w:rPr>
          <w:rFonts w:ascii="Calibri" w:hAnsi="Calibri" w:cs="Calibri"/>
          <w:bCs/>
          <w:color w:val="000000" w:themeColor="text1"/>
          <w:sz w:val="24"/>
          <w:szCs w:val="24"/>
          <w:shd w:val="clear" w:color="auto" w:fill="FCFCFC"/>
        </w:rPr>
        <w:t>Max Mara sun</w:t>
      </w:r>
      <w:r>
        <w:rPr>
          <w:rFonts w:ascii="Calibri" w:hAnsi="Calibri" w:cs="Calibri"/>
          <w:bCs/>
          <w:color w:val="000000" w:themeColor="text1"/>
          <w:sz w:val="24"/>
          <w:szCs w:val="24"/>
          <w:shd w:val="clear" w:color="auto" w:fill="FCFCFC"/>
        </w:rPr>
        <w:t>t</w:t>
      </w:r>
      <w:r w:rsidRPr="0053556A">
        <w:rPr>
          <w:rFonts w:ascii="Calibri" w:hAnsi="Calibri" w:cs="Calibri"/>
          <w:bCs/>
          <w:color w:val="000000" w:themeColor="text1"/>
          <w:sz w:val="24"/>
          <w:szCs w:val="24"/>
          <w:shd w:val="clear" w:color="auto" w:fill="FCFCFC"/>
        </w:rPr>
        <w:t xml:space="preserve"> încă două companii cu renume internaţional care deţin</w:t>
      </w:r>
      <w:r>
        <w:rPr>
          <w:rFonts w:ascii="Calibri" w:hAnsi="Calibri" w:cs="Calibri"/>
          <w:bCs/>
          <w:color w:val="000000" w:themeColor="text1"/>
          <w:sz w:val="24"/>
          <w:szCs w:val="24"/>
          <w:shd w:val="clear" w:color="auto" w:fill="FCFCFC"/>
        </w:rPr>
        <w:t xml:space="preserve"> o linie de producţ</w:t>
      </w:r>
      <w:r w:rsidRPr="0053556A">
        <w:rPr>
          <w:rFonts w:ascii="Calibri" w:hAnsi="Calibri" w:cs="Calibri"/>
          <w:bCs/>
          <w:color w:val="000000" w:themeColor="text1"/>
          <w:sz w:val="24"/>
          <w:szCs w:val="24"/>
          <w:shd w:val="clear" w:color="auto" w:fill="FCFCFC"/>
        </w:rPr>
        <w:t>i</w:t>
      </w:r>
      <w:r>
        <w:rPr>
          <w:rFonts w:ascii="Calibri" w:hAnsi="Calibri" w:cs="Calibri"/>
          <w:bCs/>
          <w:color w:val="000000" w:themeColor="text1"/>
          <w:sz w:val="24"/>
          <w:szCs w:val="24"/>
          <w:shd w:val="clear" w:color="auto" w:fill="FCFCFC"/>
        </w:rPr>
        <w:t>e î</w:t>
      </w:r>
      <w:r w:rsidRPr="0053556A">
        <w:rPr>
          <w:rFonts w:ascii="Calibri" w:hAnsi="Calibri" w:cs="Calibri"/>
          <w:bCs/>
          <w:color w:val="000000" w:themeColor="text1"/>
          <w:sz w:val="24"/>
          <w:szCs w:val="24"/>
          <w:shd w:val="clear" w:color="auto" w:fill="FCFCFC"/>
        </w:rPr>
        <w:t>n Sibiu</w:t>
      </w:r>
      <w:r>
        <w:rPr>
          <w:rFonts w:ascii="Calibri" w:hAnsi="Calibri" w:cs="Calibri"/>
          <w:bCs/>
          <w:color w:val="000000" w:themeColor="text1"/>
          <w:sz w:val="24"/>
          <w:szCs w:val="24"/>
          <w:shd w:val="clear" w:color="auto" w:fill="FCFCFC"/>
        </w:rPr>
        <w:t xml:space="preserve"> </w:t>
      </w:r>
      <w:r w:rsidRPr="00CC41BF">
        <w:rPr>
          <w:rFonts w:ascii="Calibri" w:hAnsi="Calibri" w:cs="Calibri"/>
          <w:bCs/>
          <w:color w:val="000000" w:themeColor="text1"/>
          <w:sz w:val="24"/>
          <w:szCs w:val="24"/>
          <w:shd w:val="clear" w:color="auto" w:fill="FCFCFC"/>
        </w:rPr>
        <w:t>şi Alba Iulia</w:t>
      </w:r>
      <w:r>
        <w:rPr>
          <w:rFonts w:ascii="Calibri" w:hAnsi="Calibri" w:cs="Calibri"/>
          <w:bCs/>
          <w:color w:val="000000" w:themeColor="text1"/>
          <w:sz w:val="24"/>
          <w:szCs w:val="24"/>
          <w:shd w:val="clear" w:color="auto" w:fill="FCFCFC"/>
        </w:rPr>
        <w:t>,  Global Fashion Production în Sebeş-Alba şi Pelara Conf SRL în Alba Iulia. O altă firma privată din judeţul Alba</w:t>
      </w:r>
      <w:r w:rsidRPr="00E54D42">
        <w:rPr>
          <w:rFonts w:ascii="Calibri" w:hAnsi="Calibri" w:cs="Calibri"/>
          <w:color w:val="000000" w:themeColor="text1"/>
          <w:sz w:val="24"/>
          <w:szCs w:val="24"/>
          <w:shd w:val="clear" w:color="auto" w:fill="FFFFFF"/>
        </w:rPr>
        <w:t xml:space="preserve"> </w:t>
      </w:r>
      <w:r w:rsidRPr="001614A6">
        <w:rPr>
          <w:rFonts w:ascii="Calibri" w:hAnsi="Calibri" w:cs="Calibri"/>
          <w:color w:val="000000" w:themeColor="text1"/>
          <w:sz w:val="24"/>
          <w:szCs w:val="24"/>
          <w:shd w:val="clear" w:color="auto" w:fill="FFFFFF"/>
        </w:rPr>
        <w:t>lucrează pentru companii renumite de pe plan mondial</w:t>
      </w:r>
      <w:r>
        <w:rPr>
          <w:rFonts w:ascii="Calibri" w:hAnsi="Calibri" w:cs="Calibri"/>
          <w:color w:val="000000" w:themeColor="text1"/>
          <w:sz w:val="24"/>
          <w:szCs w:val="24"/>
          <w:shd w:val="clear" w:color="auto" w:fill="FFFFFF"/>
        </w:rPr>
        <w:t xml:space="preserve">. Încălţăminte pentru VIKING, Dolomite, Mammut Salomon sunt câteva din exemplele </w:t>
      </w:r>
      <w:r w:rsidRPr="001614A6">
        <w:rPr>
          <w:rFonts w:ascii="Calibri" w:hAnsi="Calibri" w:cs="Calibri"/>
          <w:color w:val="000000" w:themeColor="text1"/>
          <w:sz w:val="24"/>
          <w:szCs w:val="24"/>
          <w:shd w:val="clear" w:color="auto" w:fill="FFFFFF"/>
        </w:rPr>
        <w:t>care demonstrează capacitatea compani</w:t>
      </w:r>
      <w:r>
        <w:rPr>
          <w:rFonts w:ascii="Calibri" w:hAnsi="Calibri" w:cs="Calibri"/>
          <w:color w:val="000000" w:themeColor="text1"/>
          <w:sz w:val="24"/>
          <w:szCs w:val="24"/>
          <w:shd w:val="clear" w:color="auto" w:fill="FFFFFF"/>
        </w:rPr>
        <w:t xml:space="preserve">ei Rekord din Alba Iulia. O altă firmă din Regiunea Centru care colaborează cu mari companii străine este </w:t>
      </w:r>
      <w:r w:rsidRPr="005E563E">
        <w:rPr>
          <w:rFonts w:cstheme="minorHAnsi"/>
          <w:sz w:val="24"/>
          <w:szCs w:val="24"/>
        </w:rPr>
        <w:t>R</w:t>
      </w:r>
      <w:r>
        <w:rPr>
          <w:rFonts w:cstheme="minorHAnsi"/>
          <w:sz w:val="24"/>
          <w:szCs w:val="24"/>
        </w:rPr>
        <w:t>apel SA Răhău, producător tradiţ</w:t>
      </w:r>
      <w:r w:rsidRPr="005E563E">
        <w:rPr>
          <w:rFonts w:cstheme="minorHAnsi"/>
          <w:sz w:val="24"/>
          <w:szCs w:val="24"/>
        </w:rPr>
        <w:t xml:space="preserve">ional de produse din piele. Societatea produce de ani buni genţi pentru companii precum Hogan, Bentley, Jaguar sau Aston Martin, dar şi-a dezvoltat şi un brand propriu - Carla Rossini.  </w:t>
      </w:r>
    </w:p>
    <w:p w:rsidR="00852F75" w:rsidRDefault="00852F75" w:rsidP="00852F75">
      <w:pPr>
        <w:pStyle w:val="Titlu2"/>
      </w:pPr>
      <w:r>
        <w:t xml:space="preserve">Formarea profesională în domeniul </w:t>
      </w:r>
      <w:r w:rsidRPr="00FB3A70">
        <w:t xml:space="preserve"> industriei </w:t>
      </w:r>
      <w:r>
        <w:t>uşoare</w:t>
      </w:r>
    </w:p>
    <w:p w:rsidR="00852F75" w:rsidRPr="00FB3A70" w:rsidRDefault="00852F75" w:rsidP="00852F75">
      <w:pPr>
        <w:contextualSpacing/>
        <w:jc w:val="both"/>
        <w:rPr>
          <w:b/>
          <w:sz w:val="24"/>
          <w:szCs w:val="24"/>
        </w:rPr>
      </w:pPr>
    </w:p>
    <w:p w:rsidR="00852F75" w:rsidRDefault="00852F75" w:rsidP="00852F75">
      <w:pPr>
        <w:jc w:val="both"/>
        <w:rPr>
          <w:rFonts w:cs="Arial"/>
          <w:color w:val="000000"/>
          <w:sz w:val="24"/>
          <w:szCs w:val="24"/>
          <w:shd w:val="clear" w:color="auto" w:fill="FFFFFF"/>
        </w:rPr>
      </w:pPr>
      <w:r w:rsidRPr="00A85FB8">
        <w:rPr>
          <w:color w:val="000000" w:themeColor="text1"/>
          <w:sz w:val="24"/>
          <w:szCs w:val="24"/>
        </w:rPr>
        <w:t xml:space="preserve">Din punct de vedere al ofertei educaţionale, Regiunea Centru dispune de </w:t>
      </w:r>
      <w:r>
        <w:rPr>
          <w:color w:val="000000" w:themeColor="text1"/>
          <w:sz w:val="24"/>
          <w:szCs w:val="24"/>
        </w:rPr>
        <w:t xml:space="preserve">unități de învățământ profesional, liceal sau postliceal în domeniul industriei ușoare sau secții cu acest profil </w:t>
      </w:r>
      <w:r w:rsidRPr="00A85FB8">
        <w:rPr>
          <w:color w:val="000000" w:themeColor="text1"/>
          <w:sz w:val="24"/>
          <w:szCs w:val="24"/>
        </w:rPr>
        <w:t xml:space="preserve">în </w:t>
      </w:r>
      <w:r>
        <w:rPr>
          <w:color w:val="000000" w:themeColor="text1"/>
          <w:sz w:val="24"/>
          <w:szCs w:val="24"/>
        </w:rPr>
        <w:t>toate județele Regiunii Centru</w:t>
      </w:r>
      <w:r w:rsidRPr="00A85FB8">
        <w:rPr>
          <w:color w:val="000000" w:themeColor="text1"/>
          <w:sz w:val="24"/>
          <w:szCs w:val="24"/>
        </w:rPr>
        <w:t xml:space="preserve">. </w:t>
      </w:r>
      <w:r>
        <w:rPr>
          <w:color w:val="000000" w:themeColor="text1"/>
          <w:sz w:val="24"/>
          <w:szCs w:val="24"/>
        </w:rPr>
        <w:t xml:space="preserve">De asemenea, Facultatea de Inginerie din cadrul </w:t>
      </w:r>
      <w:r w:rsidRPr="00081F48">
        <w:rPr>
          <w:rFonts w:ascii="Calibri" w:hAnsi="Calibri" w:cs="Calibri"/>
          <w:color w:val="000000" w:themeColor="text1"/>
          <w:sz w:val="24"/>
          <w:szCs w:val="24"/>
          <w:shd w:val="clear" w:color="auto" w:fill="FFFFFF"/>
        </w:rPr>
        <w:t>Universităţii Lucian Blaga din Sibiu</w:t>
      </w:r>
      <w:r w:rsidRPr="00A85FB8">
        <w:rPr>
          <w:rFonts w:cstheme="minorHAnsi"/>
          <w:b/>
          <w:color w:val="000000" w:themeColor="text1"/>
          <w:sz w:val="24"/>
          <w:szCs w:val="24"/>
        </w:rPr>
        <w:t xml:space="preserve"> </w:t>
      </w:r>
      <w:r>
        <w:rPr>
          <w:rFonts w:cstheme="minorHAnsi"/>
          <w:color w:val="000000" w:themeColor="text1"/>
          <w:sz w:val="24"/>
          <w:szCs w:val="24"/>
        </w:rPr>
        <w:t xml:space="preserve">oferă pregătire universitară </w:t>
      </w:r>
      <w:r w:rsidRPr="00081F48">
        <w:rPr>
          <w:rFonts w:cstheme="minorHAnsi"/>
          <w:color w:val="000000" w:themeColor="text1"/>
          <w:sz w:val="24"/>
          <w:szCs w:val="24"/>
        </w:rPr>
        <w:t>în domeniul i</w:t>
      </w:r>
      <w:r w:rsidRPr="00081F48">
        <w:rPr>
          <w:rFonts w:cs="Arial"/>
          <w:color w:val="000000"/>
          <w:sz w:val="24"/>
          <w:szCs w:val="24"/>
          <w:shd w:val="clear" w:color="auto" w:fill="FFFFFF"/>
        </w:rPr>
        <w:t xml:space="preserve">ngineriei industriale în domeniul </w:t>
      </w:r>
      <w:r>
        <w:rPr>
          <w:rFonts w:cs="Arial"/>
          <w:color w:val="000000"/>
          <w:sz w:val="24"/>
          <w:szCs w:val="24"/>
          <w:shd w:val="clear" w:color="auto" w:fill="FFFFFF"/>
        </w:rPr>
        <w:t>textile</w:t>
      </w:r>
    </w:p>
    <w:p w:rsidR="00852F75" w:rsidRDefault="00852F75" w:rsidP="00852F75">
      <w:pPr>
        <w:jc w:val="both"/>
        <w:rPr>
          <w:rFonts w:cs="Arial"/>
          <w:color w:val="000000"/>
          <w:sz w:val="24"/>
          <w:szCs w:val="24"/>
          <w:shd w:val="clear" w:color="auto" w:fill="FFFFFF"/>
        </w:rPr>
      </w:pPr>
    </w:p>
    <w:p w:rsidR="00852F75" w:rsidRDefault="00852F75" w:rsidP="00852F75">
      <w:pPr>
        <w:jc w:val="both"/>
        <w:rPr>
          <w:rFonts w:cs="Arial"/>
          <w:color w:val="000000"/>
          <w:sz w:val="24"/>
          <w:szCs w:val="24"/>
          <w:shd w:val="clear" w:color="auto" w:fill="FFFFFF"/>
        </w:rPr>
      </w:pPr>
    </w:p>
    <w:p w:rsidR="00852F75" w:rsidRDefault="00852F75" w:rsidP="00852F75">
      <w:pPr>
        <w:jc w:val="both"/>
        <w:rPr>
          <w:rFonts w:cs="Arial"/>
          <w:color w:val="000000"/>
          <w:sz w:val="24"/>
          <w:szCs w:val="24"/>
          <w:shd w:val="clear" w:color="auto" w:fill="FFFFFF"/>
        </w:rPr>
      </w:pPr>
    </w:p>
    <w:p w:rsidR="00852F75" w:rsidRDefault="00852F75" w:rsidP="00852F75">
      <w:pPr>
        <w:jc w:val="both"/>
        <w:rPr>
          <w:rFonts w:cs="Arial"/>
          <w:color w:val="000000"/>
          <w:sz w:val="24"/>
          <w:szCs w:val="24"/>
          <w:shd w:val="clear" w:color="auto" w:fill="FFFFFF"/>
        </w:rPr>
      </w:pPr>
    </w:p>
    <w:p w:rsidR="00852F75" w:rsidRDefault="00852F75" w:rsidP="00852F75">
      <w:pPr>
        <w:jc w:val="both"/>
        <w:rPr>
          <w:rFonts w:cs="Arial"/>
          <w:color w:val="000000"/>
          <w:sz w:val="24"/>
          <w:szCs w:val="24"/>
          <w:shd w:val="clear" w:color="auto" w:fill="FFFFFF"/>
        </w:rPr>
      </w:pPr>
    </w:p>
    <w:p w:rsidR="00852F75" w:rsidRPr="001B3E79" w:rsidRDefault="00852F75" w:rsidP="00852F75">
      <w:pPr>
        <w:jc w:val="center"/>
        <w:rPr>
          <w:rFonts w:cs="Arial"/>
          <w:b/>
          <w:color w:val="000000"/>
          <w:sz w:val="24"/>
          <w:szCs w:val="24"/>
          <w:shd w:val="clear" w:color="auto" w:fill="FFFFFF"/>
        </w:rPr>
      </w:pPr>
      <w:r>
        <w:rPr>
          <w:rFonts w:cs="Arial"/>
          <w:b/>
          <w:color w:val="000000"/>
          <w:sz w:val="24"/>
          <w:szCs w:val="24"/>
          <w:shd w:val="clear" w:color="auto" w:fill="FFFFFF"/>
        </w:rPr>
        <w:lastRenderedPageBreak/>
        <w:t xml:space="preserve">Tab. 20 </w:t>
      </w:r>
      <w:r w:rsidRPr="001B3E79">
        <w:rPr>
          <w:rFonts w:cs="Arial"/>
          <w:b/>
          <w:color w:val="000000"/>
          <w:sz w:val="24"/>
          <w:szCs w:val="24"/>
          <w:shd w:val="clear" w:color="auto" w:fill="FFFFFF"/>
        </w:rPr>
        <w:t xml:space="preserve">Liceele cu profil de industrie ușoară sau </w:t>
      </w:r>
      <w:r>
        <w:rPr>
          <w:rFonts w:cs="Arial"/>
          <w:b/>
          <w:color w:val="000000"/>
          <w:sz w:val="24"/>
          <w:szCs w:val="24"/>
          <w:shd w:val="clear" w:color="auto" w:fill="FFFFFF"/>
        </w:rPr>
        <w:t xml:space="preserve">cu </w:t>
      </w:r>
      <w:r w:rsidRPr="001B3E79">
        <w:rPr>
          <w:rFonts w:cs="Arial"/>
          <w:b/>
          <w:color w:val="000000"/>
          <w:sz w:val="24"/>
          <w:szCs w:val="24"/>
          <w:shd w:val="clear" w:color="auto" w:fill="FFFFFF"/>
        </w:rPr>
        <w:t>secții de industrie ușoară</w:t>
      </w:r>
    </w:p>
    <w:tbl>
      <w:tblPr>
        <w:tblW w:w="7325" w:type="dxa"/>
        <w:jc w:val="center"/>
        <w:tblInd w:w="-1367"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2" w:space="0" w:color="548DD4" w:themeColor="text2" w:themeTint="99"/>
          <w:insideV w:val="single" w:sz="2" w:space="0" w:color="548DD4" w:themeColor="text2" w:themeTint="99"/>
        </w:tblBorders>
        <w:tblLook w:val="04A0"/>
      </w:tblPr>
      <w:tblGrid>
        <w:gridCol w:w="2535"/>
        <w:gridCol w:w="4790"/>
      </w:tblGrid>
      <w:tr w:rsidR="00852F75" w:rsidRPr="000A0F40" w:rsidTr="005F5D09">
        <w:trPr>
          <w:trHeight w:val="300"/>
          <w:jc w:val="center"/>
        </w:trPr>
        <w:tc>
          <w:tcPr>
            <w:tcW w:w="2535" w:type="dxa"/>
            <w:shd w:val="clear" w:color="auto" w:fill="8DB3E2" w:themeFill="text2" w:themeFillTint="66"/>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Jude</w:t>
            </w:r>
            <w:r>
              <w:rPr>
                <w:rFonts w:ascii="Calibri" w:eastAsia="Times New Roman" w:hAnsi="Calibri" w:cs="Calibri"/>
                <w:b/>
                <w:color w:val="000000"/>
                <w:sz w:val="24"/>
                <w:szCs w:val="24"/>
              </w:rPr>
              <w:t>ţul</w:t>
            </w:r>
          </w:p>
        </w:tc>
        <w:tc>
          <w:tcPr>
            <w:tcW w:w="4790" w:type="dxa"/>
            <w:shd w:val="clear" w:color="auto" w:fill="8DB3E2" w:themeFill="text2" w:themeFillTint="66"/>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Unitatea de învăţământ</w:t>
            </w:r>
          </w:p>
        </w:tc>
      </w:tr>
      <w:tr w:rsidR="00852F75" w:rsidRPr="000A0F40" w:rsidTr="005F5D09">
        <w:trPr>
          <w:trHeight w:val="600"/>
          <w:jc w:val="center"/>
        </w:trPr>
        <w:tc>
          <w:tcPr>
            <w:tcW w:w="2535" w:type="dxa"/>
            <w:vMerge w:val="restart"/>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Alba</w:t>
            </w: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C</w:t>
            </w:r>
            <w:r w:rsidRPr="00D55BFE">
              <w:rPr>
                <w:rFonts w:eastAsia="Times New Roman" w:cstheme="minorHAnsi"/>
                <w:color w:val="000000"/>
                <w:sz w:val="24"/>
                <w:szCs w:val="24"/>
              </w:rPr>
              <w:t xml:space="preserve">olegiul </w:t>
            </w:r>
            <w:r>
              <w:rPr>
                <w:rFonts w:eastAsia="Times New Roman" w:cstheme="minorHAnsi"/>
                <w:color w:val="000000"/>
                <w:sz w:val="24"/>
                <w:szCs w:val="24"/>
              </w:rPr>
              <w:t>Tehnic "Apulum" A</w:t>
            </w:r>
            <w:r w:rsidRPr="00D55BFE">
              <w:rPr>
                <w:rFonts w:eastAsia="Times New Roman" w:cstheme="minorHAnsi"/>
                <w:color w:val="000000"/>
                <w:sz w:val="24"/>
                <w:szCs w:val="24"/>
              </w:rPr>
              <w:t xml:space="preserve">lba </w:t>
            </w:r>
            <w:r>
              <w:rPr>
                <w:rFonts w:eastAsia="Times New Roman" w:cstheme="minorHAnsi"/>
                <w:color w:val="000000"/>
                <w:sz w:val="24"/>
                <w:szCs w:val="24"/>
              </w:rPr>
              <w:t>I</w:t>
            </w:r>
            <w:r w:rsidRPr="00D55BFE">
              <w:rPr>
                <w:rFonts w:eastAsia="Times New Roman" w:cstheme="minorHAnsi"/>
                <w:color w:val="000000"/>
                <w:sz w:val="24"/>
                <w:szCs w:val="24"/>
              </w:rPr>
              <w:t>ulia</w:t>
            </w:r>
          </w:p>
        </w:tc>
      </w:tr>
      <w:tr w:rsidR="00852F75" w:rsidRPr="000A0F40" w:rsidTr="005F5D09">
        <w:trPr>
          <w:trHeight w:val="3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L</w:t>
            </w:r>
            <w:r w:rsidRPr="00D55BFE">
              <w:rPr>
                <w:rFonts w:eastAsia="Times New Roman" w:cstheme="minorHAnsi"/>
                <w:color w:val="000000"/>
                <w:sz w:val="24"/>
                <w:szCs w:val="24"/>
              </w:rPr>
              <w:t xml:space="preserve">iceul </w:t>
            </w:r>
            <w:r>
              <w:rPr>
                <w:rFonts w:eastAsia="Times New Roman" w:cstheme="minorHAnsi"/>
                <w:color w:val="000000"/>
                <w:sz w:val="24"/>
                <w:szCs w:val="24"/>
              </w:rPr>
              <w:t>T</w:t>
            </w:r>
            <w:r w:rsidRPr="00D55BFE">
              <w:rPr>
                <w:rFonts w:eastAsia="Times New Roman" w:cstheme="minorHAnsi"/>
                <w:color w:val="000000"/>
                <w:sz w:val="24"/>
                <w:szCs w:val="24"/>
              </w:rPr>
              <w:t xml:space="preserve">ehnologic </w:t>
            </w:r>
            <w:r>
              <w:rPr>
                <w:rFonts w:eastAsia="Times New Roman" w:cstheme="minorHAnsi"/>
                <w:color w:val="000000"/>
                <w:sz w:val="24"/>
                <w:szCs w:val="24"/>
              </w:rPr>
              <w:t>S</w:t>
            </w:r>
            <w:r w:rsidRPr="00D55BFE">
              <w:rPr>
                <w:rFonts w:eastAsia="Times New Roman" w:cstheme="minorHAnsi"/>
                <w:color w:val="000000"/>
                <w:sz w:val="24"/>
                <w:szCs w:val="24"/>
              </w:rPr>
              <w:t>ebes</w:t>
            </w:r>
          </w:p>
        </w:tc>
      </w:tr>
      <w:tr w:rsidR="00852F75" w:rsidRPr="000A0F40" w:rsidTr="005F5D09">
        <w:trPr>
          <w:trHeight w:val="600"/>
          <w:jc w:val="center"/>
        </w:trPr>
        <w:tc>
          <w:tcPr>
            <w:tcW w:w="2535" w:type="dxa"/>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Brasov</w:t>
            </w: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C</w:t>
            </w:r>
            <w:r w:rsidRPr="00D55BFE">
              <w:rPr>
                <w:rFonts w:eastAsia="Times New Roman" w:cstheme="minorHAnsi"/>
                <w:color w:val="000000"/>
                <w:sz w:val="24"/>
                <w:szCs w:val="24"/>
              </w:rPr>
              <w:t xml:space="preserve">olegiul </w:t>
            </w:r>
            <w:r>
              <w:rPr>
                <w:rFonts w:eastAsia="Times New Roman" w:cstheme="minorHAnsi"/>
                <w:color w:val="000000"/>
                <w:sz w:val="24"/>
                <w:szCs w:val="24"/>
              </w:rPr>
              <w:t>T</w:t>
            </w:r>
            <w:r w:rsidRPr="00D55BFE">
              <w:rPr>
                <w:rFonts w:eastAsia="Times New Roman" w:cstheme="minorHAnsi"/>
                <w:color w:val="000000"/>
                <w:sz w:val="24"/>
                <w:szCs w:val="24"/>
              </w:rPr>
              <w:t>ehnic "</w:t>
            </w:r>
            <w:r>
              <w:rPr>
                <w:rFonts w:eastAsia="Times New Roman" w:cstheme="minorHAnsi"/>
                <w:color w:val="000000"/>
                <w:sz w:val="24"/>
                <w:szCs w:val="24"/>
              </w:rPr>
              <w:t>M</w:t>
            </w:r>
            <w:r w:rsidRPr="00D55BFE">
              <w:rPr>
                <w:rFonts w:eastAsia="Times New Roman" w:cstheme="minorHAnsi"/>
                <w:color w:val="000000"/>
                <w:sz w:val="24"/>
                <w:szCs w:val="24"/>
              </w:rPr>
              <w:t xml:space="preserve">aria </w:t>
            </w:r>
            <w:r>
              <w:rPr>
                <w:rFonts w:eastAsia="Times New Roman" w:cstheme="minorHAnsi"/>
                <w:color w:val="000000"/>
                <w:sz w:val="24"/>
                <w:szCs w:val="24"/>
              </w:rPr>
              <w:t>B</w:t>
            </w:r>
            <w:r w:rsidRPr="00D55BFE">
              <w:rPr>
                <w:rFonts w:eastAsia="Times New Roman" w:cstheme="minorHAnsi"/>
                <w:color w:val="000000"/>
                <w:sz w:val="24"/>
                <w:szCs w:val="24"/>
              </w:rPr>
              <w:t xml:space="preserve">aiulescu" </w:t>
            </w:r>
            <w:r>
              <w:rPr>
                <w:rFonts w:eastAsia="Times New Roman" w:cstheme="minorHAnsi"/>
                <w:color w:val="000000"/>
                <w:sz w:val="24"/>
                <w:szCs w:val="24"/>
              </w:rPr>
              <w:t>B</w:t>
            </w:r>
            <w:r w:rsidRPr="00D55BFE">
              <w:rPr>
                <w:rFonts w:eastAsia="Times New Roman" w:cstheme="minorHAnsi"/>
                <w:color w:val="000000"/>
                <w:sz w:val="24"/>
                <w:szCs w:val="24"/>
              </w:rPr>
              <w:t>rasov</w:t>
            </w:r>
          </w:p>
        </w:tc>
      </w:tr>
      <w:tr w:rsidR="00852F75" w:rsidRPr="000A0F40" w:rsidTr="005F5D09">
        <w:trPr>
          <w:trHeight w:val="300"/>
          <w:jc w:val="center"/>
        </w:trPr>
        <w:tc>
          <w:tcPr>
            <w:tcW w:w="2535" w:type="dxa"/>
            <w:vMerge w:val="restart"/>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Covasna</w:t>
            </w: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L</w:t>
            </w:r>
            <w:r w:rsidRPr="00D55BFE">
              <w:rPr>
                <w:rFonts w:eastAsia="Times New Roman" w:cstheme="minorHAnsi"/>
                <w:color w:val="000000"/>
                <w:sz w:val="24"/>
                <w:szCs w:val="24"/>
              </w:rPr>
              <w:t xml:space="preserve">iceul </w:t>
            </w:r>
            <w:r>
              <w:rPr>
                <w:rFonts w:eastAsia="Times New Roman" w:cstheme="minorHAnsi"/>
                <w:color w:val="000000"/>
                <w:sz w:val="24"/>
                <w:szCs w:val="24"/>
              </w:rPr>
              <w:t>T</w:t>
            </w:r>
            <w:r w:rsidRPr="00D55BFE">
              <w:rPr>
                <w:rFonts w:eastAsia="Times New Roman" w:cstheme="minorHAnsi"/>
                <w:color w:val="000000"/>
                <w:sz w:val="24"/>
                <w:szCs w:val="24"/>
              </w:rPr>
              <w:t>ehnologic "GÁBOR ÁRON" Târgu Secuiesc</w:t>
            </w:r>
          </w:p>
        </w:tc>
      </w:tr>
      <w:tr w:rsidR="00852F75" w:rsidRPr="000A0F40" w:rsidTr="005F5D09">
        <w:trPr>
          <w:trHeight w:val="3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hideMark/>
          </w:tcPr>
          <w:p w:rsidR="00852F75" w:rsidRPr="00D55BFE" w:rsidRDefault="00852F75" w:rsidP="005F5D09">
            <w:pPr>
              <w:rPr>
                <w:rFonts w:cstheme="minorHAnsi"/>
                <w:color w:val="000000"/>
                <w:sz w:val="24"/>
                <w:szCs w:val="24"/>
              </w:rPr>
            </w:pPr>
            <w:r>
              <w:rPr>
                <w:rFonts w:cstheme="minorHAnsi"/>
                <w:color w:val="000000"/>
                <w:sz w:val="24"/>
                <w:szCs w:val="24"/>
              </w:rPr>
              <w:t xml:space="preserve">Liceul Tehnologic </w:t>
            </w:r>
            <w:r w:rsidRPr="00D55BFE">
              <w:rPr>
                <w:rFonts w:cstheme="minorHAnsi"/>
                <w:color w:val="000000"/>
                <w:sz w:val="24"/>
                <w:szCs w:val="24"/>
              </w:rPr>
              <w:t>Baróti Szabó Dávid</w:t>
            </w:r>
          </w:p>
        </w:tc>
      </w:tr>
      <w:tr w:rsidR="00852F75" w:rsidRPr="000A0F40" w:rsidTr="005F5D09">
        <w:trPr>
          <w:trHeight w:val="3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hideMark/>
          </w:tcPr>
          <w:p w:rsidR="00852F75" w:rsidRPr="00D55BFE" w:rsidRDefault="00852F75" w:rsidP="005F5D09">
            <w:pPr>
              <w:rPr>
                <w:rFonts w:cstheme="minorHAnsi"/>
                <w:color w:val="000000"/>
                <w:sz w:val="24"/>
                <w:szCs w:val="24"/>
              </w:rPr>
            </w:pPr>
            <w:r>
              <w:rPr>
                <w:rFonts w:cstheme="minorHAnsi"/>
                <w:color w:val="000000"/>
                <w:sz w:val="24"/>
                <w:szCs w:val="24"/>
              </w:rPr>
              <w:t xml:space="preserve">Liceul Tehnologic </w:t>
            </w:r>
            <w:r w:rsidRPr="00D55BFE">
              <w:rPr>
                <w:rFonts w:cstheme="minorHAnsi"/>
                <w:color w:val="000000"/>
                <w:sz w:val="24"/>
                <w:szCs w:val="24"/>
              </w:rPr>
              <w:t>Kós Károly</w:t>
            </w:r>
          </w:p>
        </w:tc>
      </w:tr>
      <w:tr w:rsidR="00852F75" w:rsidRPr="000A0F40" w:rsidTr="005F5D09">
        <w:trPr>
          <w:trHeight w:val="300"/>
          <w:jc w:val="center"/>
        </w:trPr>
        <w:tc>
          <w:tcPr>
            <w:tcW w:w="2535" w:type="dxa"/>
            <w:vMerge w:val="restart"/>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Harghita</w:t>
            </w:r>
          </w:p>
        </w:tc>
        <w:tc>
          <w:tcPr>
            <w:tcW w:w="4790" w:type="dxa"/>
            <w:shd w:val="clear" w:color="auto" w:fill="auto"/>
            <w:vAlign w:val="center"/>
            <w:hideMark/>
          </w:tcPr>
          <w:p w:rsidR="00852F75" w:rsidRPr="00D55BFE" w:rsidRDefault="00852F75" w:rsidP="005F5D09">
            <w:pPr>
              <w:rPr>
                <w:rFonts w:cstheme="minorHAnsi"/>
                <w:sz w:val="24"/>
                <w:szCs w:val="24"/>
              </w:rPr>
            </w:pPr>
            <w:r w:rsidRPr="00D55BFE">
              <w:rPr>
                <w:rFonts w:cstheme="minorHAnsi"/>
                <w:sz w:val="24"/>
                <w:szCs w:val="24"/>
              </w:rPr>
              <w:t>Colegiul Tehnic "Banyai Janos" Odorheiu Secuiesc</w:t>
            </w:r>
          </w:p>
        </w:tc>
      </w:tr>
      <w:tr w:rsidR="00852F75" w:rsidRPr="000A0F40" w:rsidTr="005F5D09">
        <w:trPr>
          <w:trHeight w:val="3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vAlign w:val="center"/>
            <w:hideMark/>
          </w:tcPr>
          <w:p w:rsidR="00852F75" w:rsidRPr="00D55BFE" w:rsidRDefault="00852F75" w:rsidP="005F5D09">
            <w:pPr>
              <w:rPr>
                <w:rFonts w:cstheme="minorHAnsi"/>
                <w:sz w:val="24"/>
                <w:szCs w:val="24"/>
              </w:rPr>
            </w:pPr>
            <w:r w:rsidRPr="00D55BFE">
              <w:rPr>
                <w:rFonts w:cstheme="minorHAnsi"/>
                <w:sz w:val="24"/>
                <w:szCs w:val="24"/>
              </w:rPr>
              <w:t>Liceul Tehnologic "Szekely Karoly" Miercurea Ciuc</w:t>
            </w:r>
          </w:p>
        </w:tc>
      </w:tr>
      <w:tr w:rsidR="00852F75" w:rsidRPr="000A0F40" w:rsidTr="005F5D09">
        <w:trPr>
          <w:trHeight w:val="585"/>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vAlign w:val="center"/>
            <w:hideMark/>
          </w:tcPr>
          <w:p w:rsidR="00852F75" w:rsidRPr="00D55BFE" w:rsidRDefault="00852F75" w:rsidP="005F5D09">
            <w:pPr>
              <w:rPr>
                <w:rFonts w:cstheme="minorHAnsi"/>
                <w:sz w:val="24"/>
                <w:szCs w:val="24"/>
              </w:rPr>
            </w:pPr>
            <w:r w:rsidRPr="00D55BFE">
              <w:rPr>
                <w:rFonts w:cstheme="minorHAnsi"/>
                <w:sz w:val="24"/>
                <w:szCs w:val="24"/>
              </w:rPr>
              <w:t>Liceul Tehnologic "Zeyk Domokos" Cristuru Secuiesc</w:t>
            </w:r>
          </w:p>
        </w:tc>
      </w:tr>
      <w:tr w:rsidR="00852F75" w:rsidRPr="000A0F40" w:rsidTr="005F5D09">
        <w:trPr>
          <w:trHeight w:val="600"/>
          <w:jc w:val="center"/>
        </w:trPr>
        <w:tc>
          <w:tcPr>
            <w:tcW w:w="2535" w:type="dxa"/>
            <w:vMerge w:val="restart"/>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Mure</w:t>
            </w:r>
            <w:r>
              <w:rPr>
                <w:rFonts w:ascii="Calibri" w:eastAsia="Times New Roman" w:hAnsi="Calibri" w:cs="Calibri"/>
                <w:b/>
                <w:color w:val="000000"/>
                <w:sz w:val="24"/>
                <w:szCs w:val="24"/>
              </w:rPr>
              <w:t>ş</w:t>
            </w: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Grup S</w:t>
            </w:r>
            <w:r w:rsidRPr="00D55BFE">
              <w:rPr>
                <w:rFonts w:eastAsia="Times New Roman" w:cstheme="minorHAnsi"/>
                <w:color w:val="000000"/>
                <w:sz w:val="24"/>
                <w:szCs w:val="24"/>
              </w:rPr>
              <w:t xml:space="preserve">colar </w:t>
            </w:r>
            <w:r>
              <w:rPr>
                <w:rFonts w:eastAsia="Times New Roman" w:cstheme="minorHAnsi"/>
                <w:color w:val="000000"/>
                <w:sz w:val="24"/>
                <w:szCs w:val="24"/>
              </w:rPr>
              <w:t>A</w:t>
            </w:r>
            <w:r w:rsidRPr="00D55BFE">
              <w:rPr>
                <w:rFonts w:eastAsia="Times New Roman" w:cstheme="minorHAnsi"/>
                <w:color w:val="000000"/>
                <w:sz w:val="24"/>
                <w:szCs w:val="24"/>
              </w:rPr>
              <w:t xml:space="preserve">gricol </w:t>
            </w:r>
            <w:r>
              <w:rPr>
                <w:rFonts w:eastAsia="Times New Roman" w:cstheme="minorHAnsi"/>
                <w:color w:val="000000"/>
                <w:sz w:val="24"/>
                <w:szCs w:val="24"/>
              </w:rPr>
              <w:t>S</w:t>
            </w:r>
            <w:r w:rsidRPr="00D55BFE">
              <w:rPr>
                <w:rFonts w:eastAsia="Times New Roman" w:cstheme="minorHAnsi"/>
                <w:color w:val="000000"/>
                <w:sz w:val="24"/>
                <w:szCs w:val="24"/>
              </w:rPr>
              <w:t>ighisoara</w:t>
            </w:r>
          </w:p>
        </w:tc>
      </w:tr>
      <w:tr w:rsidR="00852F75" w:rsidRPr="000A0F40" w:rsidTr="005F5D09">
        <w:trPr>
          <w:trHeight w:val="6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L</w:t>
            </w:r>
            <w:r w:rsidRPr="00D55BFE">
              <w:rPr>
                <w:rFonts w:eastAsia="Times New Roman" w:cstheme="minorHAnsi"/>
                <w:color w:val="000000"/>
                <w:sz w:val="24"/>
                <w:szCs w:val="24"/>
              </w:rPr>
              <w:t xml:space="preserve">iceul </w:t>
            </w:r>
            <w:r>
              <w:rPr>
                <w:rFonts w:eastAsia="Times New Roman" w:cstheme="minorHAnsi"/>
                <w:color w:val="000000"/>
                <w:sz w:val="24"/>
                <w:szCs w:val="24"/>
              </w:rPr>
              <w:t>T</w:t>
            </w:r>
            <w:r w:rsidRPr="00D55BFE">
              <w:rPr>
                <w:rFonts w:eastAsia="Times New Roman" w:cstheme="minorHAnsi"/>
                <w:color w:val="000000"/>
                <w:sz w:val="24"/>
                <w:szCs w:val="24"/>
              </w:rPr>
              <w:t>ehnologic "</w:t>
            </w:r>
            <w:r>
              <w:rPr>
                <w:rFonts w:eastAsia="Times New Roman" w:cstheme="minorHAnsi"/>
                <w:color w:val="000000"/>
                <w:sz w:val="24"/>
                <w:szCs w:val="24"/>
              </w:rPr>
              <w:t>Avram I</w:t>
            </w:r>
            <w:r w:rsidRPr="00D55BFE">
              <w:rPr>
                <w:rFonts w:eastAsia="Times New Roman" w:cstheme="minorHAnsi"/>
                <w:color w:val="000000"/>
                <w:sz w:val="24"/>
                <w:szCs w:val="24"/>
              </w:rPr>
              <w:t xml:space="preserve">ancu" </w:t>
            </w:r>
            <w:r>
              <w:rPr>
                <w:rFonts w:eastAsia="Times New Roman" w:cstheme="minorHAnsi"/>
                <w:color w:val="000000"/>
                <w:sz w:val="24"/>
                <w:szCs w:val="24"/>
              </w:rPr>
              <w:t>T</w:t>
            </w:r>
            <w:r w:rsidRPr="00D55BFE">
              <w:rPr>
                <w:rFonts w:eastAsia="Times New Roman" w:cstheme="minorHAnsi"/>
                <w:color w:val="000000"/>
                <w:sz w:val="24"/>
                <w:szCs w:val="24"/>
              </w:rPr>
              <w:t xml:space="preserve">argu </w:t>
            </w:r>
            <w:r>
              <w:rPr>
                <w:rFonts w:eastAsia="Times New Roman" w:cstheme="minorHAnsi"/>
                <w:color w:val="000000"/>
                <w:sz w:val="24"/>
                <w:szCs w:val="24"/>
              </w:rPr>
              <w:t>M</w:t>
            </w:r>
            <w:r w:rsidRPr="00D55BFE">
              <w:rPr>
                <w:rFonts w:eastAsia="Times New Roman" w:cstheme="minorHAnsi"/>
                <w:color w:val="000000"/>
                <w:sz w:val="24"/>
                <w:szCs w:val="24"/>
              </w:rPr>
              <w:t>ures</w:t>
            </w:r>
          </w:p>
        </w:tc>
      </w:tr>
      <w:tr w:rsidR="00852F75" w:rsidRPr="000A0F40" w:rsidTr="005F5D09">
        <w:trPr>
          <w:trHeight w:val="6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vAlign w:val="bottom"/>
            <w:hideMark/>
          </w:tcPr>
          <w:p w:rsidR="00852F75" w:rsidRPr="003061BF" w:rsidRDefault="00852F75" w:rsidP="005F5D09">
            <w:pPr>
              <w:contextualSpacing/>
              <w:rPr>
                <w:rFonts w:eastAsia="Times New Roman" w:cstheme="minorHAnsi"/>
                <w:color w:val="000000"/>
                <w:sz w:val="24"/>
                <w:szCs w:val="24"/>
              </w:rPr>
            </w:pPr>
            <w:r w:rsidRPr="003061BF">
              <w:rPr>
                <w:rFonts w:cstheme="minorHAnsi"/>
                <w:sz w:val="24"/>
                <w:szCs w:val="24"/>
              </w:rPr>
              <w:t>Liceul Tehnologic Nr. 1</w:t>
            </w:r>
          </w:p>
        </w:tc>
      </w:tr>
      <w:tr w:rsidR="00852F75" w:rsidRPr="000A0F40" w:rsidTr="005F5D09">
        <w:trPr>
          <w:trHeight w:val="873"/>
          <w:jc w:val="center"/>
        </w:trPr>
        <w:tc>
          <w:tcPr>
            <w:tcW w:w="2535" w:type="dxa"/>
            <w:vMerge w:val="restart"/>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r w:rsidRPr="000A0F40">
              <w:rPr>
                <w:rFonts w:ascii="Calibri" w:eastAsia="Times New Roman" w:hAnsi="Calibri" w:cs="Calibri"/>
                <w:b/>
                <w:color w:val="000000"/>
                <w:sz w:val="24"/>
                <w:szCs w:val="24"/>
              </w:rPr>
              <w:t>Sibiu</w:t>
            </w:r>
          </w:p>
        </w:tc>
        <w:tc>
          <w:tcPr>
            <w:tcW w:w="4790" w:type="dxa"/>
            <w:shd w:val="clear" w:color="auto" w:fill="auto"/>
            <w:vAlign w:val="bottom"/>
            <w:hideMark/>
          </w:tcPr>
          <w:p w:rsidR="00852F75" w:rsidRPr="00D55BFE" w:rsidRDefault="00852F75" w:rsidP="005F5D09">
            <w:pPr>
              <w:rPr>
                <w:rFonts w:eastAsia="Times New Roman" w:cstheme="minorHAnsi"/>
                <w:color w:val="000000"/>
                <w:sz w:val="24"/>
                <w:szCs w:val="24"/>
              </w:rPr>
            </w:pPr>
            <w:r w:rsidRPr="003061BF">
              <w:rPr>
                <w:rFonts w:cstheme="minorHAnsi"/>
                <w:sz w:val="24"/>
                <w:szCs w:val="24"/>
              </w:rPr>
              <w:t>Colegiul Tehnic "August Treboniu Laurian" Agnita</w:t>
            </w:r>
          </w:p>
        </w:tc>
      </w:tr>
      <w:tr w:rsidR="00852F75" w:rsidRPr="000A0F40" w:rsidTr="005F5D09">
        <w:trPr>
          <w:trHeight w:val="6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hideMark/>
          </w:tcPr>
          <w:p w:rsidR="00852F75" w:rsidRPr="003061BF" w:rsidRDefault="00852F75" w:rsidP="005F5D09">
            <w:pPr>
              <w:rPr>
                <w:rFonts w:cstheme="minorHAnsi"/>
                <w:iCs/>
                <w:color w:val="000000"/>
                <w:sz w:val="24"/>
                <w:szCs w:val="24"/>
              </w:rPr>
            </w:pPr>
            <w:r w:rsidRPr="003061BF">
              <w:rPr>
                <w:rFonts w:cstheme="minorHAnsi"/>
                <w:iCs/>
                <w:color w:val="000000"/>
                <w:sz w:val="24"/>
                <w:szCs w:val="24"/>
              </w:rPr>
              <w:t>Colegiul Tehnic "Mediensis"Mediaş</w:t>
            </w:r>
          </w:p>
        </w:tc>
      </w:tr>
      <w:tr w:rsidR="00852F75" w:rsidRPr="000A0F40" w:rsidTr="005F5D09">
        <w:trPr>
          <w:trHeight w:val="600"/>
          <w:jc w:val="center"/>
        </w:trPr>
        <w:tc>
          <w:tcPr>
            <w:tcW w:w="2535" w:type="dxa"/>
            <w:vMerge/>
            <w:shd w:val="clear" w:color="auto" w:fill="C6D9F1" w:themeFill="text2" w:themeFillTint="33"/>
            <w:vAlign w:val="center"/>
            <w:hideMark/>
          </w:tcPr>
          <w:p w:rsidR="00852F75" w:rsidRPr="000A0F40" w:rsidRDefault="00852F75" w:rsidP="005F5D09">
            <w:pPr>
              <w:contextualSpacing/>
              <w:rPr>
                <w:rFonts w:ascii="Calibri" w:eastAsia="Times New Roman" w:hAnsi="Calibri" w:cs="Calibri"/>
                <w:b/>
                <w:color w:val="000000"/>
                <w:sz w:val="24"/>
                <w:szCs w:val="24"/>
              </w:rPr>
            </w:pPr>
          </w:p>
        </w:tc>
        <w:tc>
          <w:tcPr>
            <w:tcW w:w="4790" w:type="dxa"/>
            <w:shd w:val="clear" w:color="auto" w:fill="auto"/>
            <w:vAlign w:val="bottom"/>
            <w:hideMark/>
          </w:tcPr>
          <w:p w:rsidR="00852F75" w:rsidRPr="00D55BFE" w:rsidRDefault="00852F75" w:rsidP="005F5D09">
            <w:pPr>
              <w:contextualSpacing/>
              <w:rPr>
                <w:rFonts w:eastAsia="Times New Roman" w:cstheme="minorHAnsi"/>
                <w:color w:val="000000"/>
                <w:sz w:val="24"/>
                <w:szCs w:val="24"/>
              </w:rPr>
            </w:pPr>
            <w:r>
              <w:rPr>
                <w:rFonts w:eastAsia="Times New Roman" w:cstheme="minorHAnsi"/>
                <w:color w:val="000000"/>
                <w:sz w:val="24"/>
                <w:szCs w:val="24"/>
              </w:rPr>
              <w:t>C</w:t>
            </w:r>
            <w:r w:rsidRPr="00D55BFE">
              <w:rPr>
                <w:rFonts w:eastAsia="Times New Roman" w:cstheme="minorHAnsi"/>
                <w:color w:val="000000"/>
                <w:sz w:val="24"/>
                <w:szCs w:val="24"/>
              </w:rPr>
              <w:t xml:space="preserve">olegiul </w:t>
            </w:r>
            <w:r>
              <w:rPr>
                <w:rFonts w:eastAsia="Times New Roman" w:cstheme="minorHAnsi"/>
                <w:color w:val="000000"/>
                <w:sz w:val="24"/>
                <w:szCs w:val="24"/>
              </w:rPr>
              <w:t>T</w:t>
            </w:r>
            <w:r w:rsidRPr="00D55BFE">
              <w:rPr>
                <w:rFonts w:eastAsia="Times New Roman" w:cstheme="minorHAnsi"/>
                <w:color w:val="000000"/>
                <w:sz w:val="24"/>
                <w:szCs w:val="24"/>
              </w:rPr>
              <w:t xml:space="preserve">ehnic </w:t>
            </w:r>
            <w:r>
              <w:rPr>
                <w:rFonts w:eastAsia="Times New Roman" w:cstheme="minorHAnsi"/>
                <w:color w:val="000000"/>
                <w:sz w:val="24"/>
                <w:szCs w:val="24"/>
              </w:rPr>
              <w:t>”Cibinium” S</w:t>
            </w:r>
            <w:r w:rsidRPr="00D55BFE">
              <w:rPr>
                <w:rFonts w:eastAsia="Times New Roman" w:cstheme="minorHAnsi"/>
                <w:color w:val="000000"/>
                <w:sz w:val="24"/>
                <w:szCs w:val="24"/>
              </w:rPr>
              <w:t>ibiu</w:t>
            </w:r>
          </w:p>
        </w:tc>
      </w:tr>
    </w:tbl>
    <w:p w:rsidR="00852F75" w:rsidRDefault="00852F75" w:rsidP="00852F75">
      <w:pPr>
        <w:ind w:left="1333" w:hanging="1333"/>
        <w:contextualSpacing/>
        <w:jc w:val="both"/>
        <w:rPr>
          <w:b/>
          <w:sz w:val="24"/>
          <w:szCs w:val="24"/>
        </w:rPr>
      </w:pPr>
    </w:p>
    <w:p w:rsidR="00852F75" w:rsidRPr="005A0E67" w:rsidRDefault="00852F75" w:rsidP="00852F75">
      <w:pPr>
        <w:pStyle w:val="Titlu2"/>
      </w:pPr>
      <w:r>
        <w:t>Structuri de c</w:t>
      </w:r>
      <w:r w:rsidRPr="005A0E67">
        <w:t xml:space="preserve">ercetare </w:t>
      </w:r>
      <w:r>
        <w:t>–</w:t>
      </w:r>
      <w:r w:rsidRPr="005A0E67">
        <w:t xml:space="preserve"> dezvoltare</w:t>
      </w:r>
      <w:r>
        <w:t xml:space="preserve"> în domeniul industriei ușoare</w:t>
      </w:r>
    </w:p>
    <w:p w:rsidR="00852F75" w:rsidRPr="00694F2F" w:rsidRDefault="00852F75" w:rsidP="00852F75">
      <w:pPr>
        <w:pStyle w:val="Listparagraf"/>
        <w:ind w:left="540"/>
        <w:jc w:val="both"/>
        <w:rPr>
          <w:sz w:val="24"/>
          <w:szCs w:val="24"/>
        </w:rPr>
      </w:pPr>
    </w:p>
    <w:p w:rsidR="00852F75" w:rsidRPr="00D85D85" w:rsidRDefault="00852F75" w:rsidP="00852F75">
      <w:pPr>
        <w:pStyle w:val="Listparagraf"/>
        <w:numPr>
          <w:ilvl w:val="0"/>
          <w:numId w:val="33"/>
        </w:numPr>
        <w:ind w:left="540" w:hanging="540"/>
        <w:jc w:val="both"/>
        <w:rPr>
          <w:sz w:val="24"/>
          <w:szCs w:val="24"/>
        </w:rPr>
      </w:pPr>
      <w:r w:rsidRPr="00D85D85">
        <w:rPr>
          <w:b/>
          <w:sz w:val="24"/>
          <w:szCs w:val="24"/>
        </w:rPr>
        <w:t>Institutul Naţional de Cercetare-Dezvoltare pentru Textile şi Pielărie (INCDTP)</w:t>
      </w:r>
      <w:r w:rsidRPr="00D85D85">
        <w:rPr>
          <w:sz w:val="24"/>
          <w:szCs w:val="24"/>
        </w:rPr>
        <w:t xml:space="preserve">, este singurul institut cu acest profil din România și colaborează cu actori economici din întreaga țară, inclusiv din Regiunea Centru. INCDTP este membru al clusterul Transilvania Textile &amp; Fashion. INCDTP abordează domeniul industriei textile si de </w:t>
      </w:r>
      <w:r w:rsidRPr="00D85D85">
        <w:rPr>
          <w:sz w:val="24"/>
          <w:szCs w:val="24"/>
        </w:rPr>
        <w:lastRenderedPageBreak/>
        <w:t>confecţii in contextul „textilelor inteligente”, mai precis utilizarea textilelor in conexiune cu domenii industriale diverse.</w:t>
      </w:r>
    </w:p>
    <w:p w:rsidR="00852F75" w:rsidRPr="005E563E" w:rsidRDefault="00852F75" w:rsidP="00852F75">
      <w:pPr>
        <w:contextualSpacing/>
        <w:jc w:val="both"/>
        <w:rPr>
          <w:sz w:val="24"/>
          <w:szCs w:val="24"/>
        </w:rPr>
      </w:pPr>
      <w:r w:rsidRPr="005E563E">
        <w:rPr>
          <w:sz w:val="24"/>
          <w:szCs w:val="24"/>
        </w:rPr>
        <w:t>Conform Platformei Tehnologice Europene pentru Viitorul Textilelor şi Îmbrăcămintei, direcţiile de urmat în acest sector industrial sunt:</w:t>
      </w:r>
    </w:p>
    <w:p w:rsidR="00852F75" w:rsidRPr="005E563E" w:rsidRDefault="00852F75" w:rsidP="00852F75">
      <w:pPr>
        <w:pStyle w:val="Listparagraf"/>
        <w:numPr>
          <w:ilvl w:val="0"/>
          <w:numId w:val="29"/>
        </w:numPr>
        <w:jc w:val="both"/>
        <w:rPr>
          <w:b/>
          <w:sz w:val="24"/>
          <w:szCs w:val="24"/>
        </w:rPr>
      </w:pPr>
      <w:r w:rsidRPr="005E563E">
        <w:rPr>
          <w:sz w:val="24"/>
          <w:szCs w:val="24"/>
        </w:rPr>
        <w:t>trecerea de la produsele clasice la produsele multifuncţionale</w:t>
      </w:r>
    </w:p>
    <w:p w:rsidR="00852F75" w:rsidRPr="005E563E" w:rsidRDefault="00852F75" w:rsidP="00852F75">
      <w:pPr>
        <w:pStyle w:val="Listparagraf"/>
        <w:numPr>
          <w:ilvl w:val="0"/>
          <w:numId w:val="29"/>
        </w:numPr>
        <w:jc w:val="both"/>
        <w:rPr>
          <w:b/>
          <w:sz w:val="24"/>
          <w:szCs w:val="24"/>
        </w:rPr>
      </w:pPr>
      <w:r w:rsidRPr="005E563E">
        <w:rPr>
          <w:sz w:val="24"/>
          <w:szCs w:val="24"/>
        </w:rPr>
        <w:t xml:space="preserve">trecerea de la confecţiile “de masă “ la produsele personalizate;  </w:t>
      </w:r>
    </w:p>
    <w:p w:rsidR="00852F75" w:rsidRPr="005E563E" w:rsidRDefault="00852F75" w:rsidP="00852F75">
      <w:pPr>
        <w:pStyle w:val="Listparagraf"/>
        <w:numPr>
          <w:ilvl w:val="0"/>
          <w:numId w:val="29"/>
        </w:numPr>
        <w:jc w:val="both"/>
        <w:rPr>
          <w:b/>
          <w:sz w:val="24"/>
          <w:szCs w:val="24"/>
        </w:rPr>
      </w:pPr>
      <w:r w:rsidRPr="005E563E">
        <w:rPr>
          <w:sz w:val="24"/>
          <w:szCs w:val="24"/>
        </w:rPr>
        <w:t>utilizarea produselor textile într-o multitudine de domenii industriale conexe (agricultură, auto, construcţii, medicină).</w:t>
      </w:r>
    </w:p>
    <w:p w:rsidR="00852F75" w:rsidRPr="005E563E" w:rsidRDefault="00852F75" w:rsidP="00852F75">
      <w:pPr>
        <w:contextualSpacing/>
        <w:jc w:val="both"/>
        <w:rPr>
          <w:sz w:val="24"/>
          <w:szCs w:val="24"/>
        </w:rPr>
      </w:pPr>
      <w:r w:rsidRPr="005E563E">
        <w:rPr>
          <w:sz w:val="24"/>
          <w:szCs w:val="24"/>
        </w:rPr>
        <w:t xml:space="preserve">Exista un potenţial de dezvoltare al domeniului printr-o noua generaţie </w:t>
      </w:r>
      <w:r>
        <w:rPr>
          <w:sz w:val="24"/>
          <w:szCs w:val="24"/>
        </w:rPr>
        <w:t>de textile inteligente cu potenţ</w:t>
      </w:r>
      <w:r w:rsidRPr="005E563E">
        <w:rPr>
          <w:sz w:val="24"/>
          <w:szCs w:val="24"/>
        </w:rPr>
        <w:t>ial de a produce tran</w:t>
      </w:r>
      <w:r>
        <w:rPr>
          <w:sz w:val="24"/>
          <w:szCs w:val="24"/>
        </w:rPr>
        <w:t>sformă</w:t>
      </w:r>
      <w:r w:rsidRPr="005E563E">
        <w:rPr>
          <w:sz w:val="24"/>
          <w:szCs w:val="24"/>
        </w:rPr>
        <w:t xml:space="preserve">ri ale produselor clasice prin utilizarea si aplicarea eficienta in conexiune cu domenii industriale diverse. </w:t>
      </w:r>
    </w:p>
    <w:p w:rsidR="00852F75" w:rsidRPr="00D85D85" w:rsidRDefault="00852F75" w:rsidP="00852F75">
      <w:pPr>
        <w:pStyle w:val="Listparagraf"/>
        <w:numPr>
          <w:ilvl w:val="0"/>
          <w:numId w:val="32"/>
        </w:numPr>
        <w:tabs>
          <w:tab w:val="left" w:pos="540"/>
        </w:tabs>
        <w:ind w:left="0" w:firstLine="0"/>
        <w:jc w:val="both"/>
        <w:rPr>
          <w:rFonts w:cs="Arial"/>
          <w:sz w:val="24"/>
          <w:szCs w:val="24"/>
        </w:rPr>
      </w:pPr>
      <w:r w:rsidRPr="005A0E67">
        <w:rPr>
          <w:rFonts w:cs="Arial"/>
          <w:b/>
          <w:sz w:val="24"/>
          <w:szCs w:val="24"/>
          <w:shd w:val="clear" w:color="auto" w:fill="FFFFFF"/>
        </w:rPr>
        <w:t xml:space="preserve">Departamentul de Cercetare şi Producţie Textilă </w:t>
      </w:r>
      <w:r w:rsidRPr="005A0E67">
        <w:rPr>
          <w:rFonts w:cs="Arial"/>
          <w:sz w:val="24"/>
          <w:szCs w:val="24"/>
          <w:shd w:val="clear" w:color="auto" w:fill="FFFFFF"/>
        </w:rPr>
        <w:t>activează în cadrul Facultății de Inginerie a Universității Lucian Blaga din Sibiu, fiind unul din primele centre de cercetare înființate</w:t>
      </w:r>
      <w:r>
        <w:rPr>
          <w:rFonts w:cs="Arial"/>
          <w:sz w:val="24"/>
          <w:szCs w:val="24"/>
          <w:shd w:val="clear" w:color="auto" w:fill="FFFFFF"/>
        </w:rPr>
        <w:t xml:space="preserve"> în cadrul acestei Universități.</w:t>
      </w:r>
    </w:p>
    <w:p w:rsidR="00852F75" w:rsidRDefault="00852F75" w:rsidP="00852F75">
      <w:pPr>
        <w:pStyle w:val="Titlu2"/>
      </w:pPr>
      <w:r w:rsidRPr="005A0E67">
        <w:t>Provocări actuale ale sectorului la nivel național și regional</w:t>
      </w:r>
    </w:p>
    <w:p w:rsidR="00852F75" w:rsidRPr="00A85FB8" w:rsidRDefault="00852F75" w:rsidP="00852F75">
      <w:pPr>
        <w:jc w:val="both"/>
        <w:rPr>
          <w:rFonts w:cstheme="minorHAnsi"/>
          <w:sz w:val="24"/>
          <w:szCs w:val="24"/>
        </w:rPr>
      </w:pPr>
      <w:r w:rsidRPr="00A85FB8">
        <w:rPr>
          <w:sz w:val="24"/>
          <w:szCs w:val="24"/>
        </w:rPr>
        <w:t>În prezent, în ţară si pe plan mondial, coexistă două sisteme importante de realizare a îmbrăcămintei: îmbrăcăminte confecţionată în sistem industrial (dup</w:t>
      </w:r>
      <w:r>
        <w:rPr>
          <w:sz w:val="24"/>
          <w:szCs w:val="24"/>
        </w:rPr>
        <w:t>ă</w:t>
      </w:r>
      <w:r w:rsidRPr="00A85FB8">
        <w:rPr>
          <w:sz w:val="24"/>
          <w:szCs w:val="24"/>
        </w:rPr>
        <w:t xml:space="preserve"> tabele de dimensiuni sau standarde) si îmbrăcăminte confecţionată în sistem individual după mărimile individuale ale clienţilor (comanda), fapt ce necesita flexibilizarea procesului de fabricaţie. La nivel naţional</w:t>
      </w:r>
      <w:r>
        <w:rPr>
          <w:sz w:val="24"/>
          <w:szCs w:val="24"/>
        </w:rPr>
        <w:t>,</w:t>
      </w:r>
      <w:r w:rsidRPr="00A85FB8">
        <w:rPr>
          <w:sz w:val="24"/>
          <w:szCs w:val="24"/>
        </w:rPr>
        <w:t xml:space="preserve"> </w:t>
      </w:r>
      <w:r>
        <w:rPr>
          <w:sz w:val="24"/>
          <w:szCs w:val="24"/>
        </w:rPr>
        <w:t xml:space="preserve">unul din </w:t>
      </w:r>
      <w:r w:rsidRPr="00A85FB8">
        <w:rPr>
          <w:sz w:val="24"/>
          <w:szCs w:val="24"/>
        </w:rPr>
        <w:t>punct</w:t>
      </w:r>
      <w:r>
        <w:rPr>
          <w:sz w:val="24"/>
          <w:szCs w:val="24"/>
        </w:rPr>
        <w:t>ele</w:t>
      </w:r>
      <w:r w:rsidRPr="00A85FB8">
        <w:rPr>
          <w:sz w:val="24"/>
          <w:szCs w:val="24"/>
        </w:rPr>
        <w:t xml:space="preserve"> slab</w:t>
      </w:r>
      <w:r>
        <w:rPr>
          <w:sz w:val="24"/>
          <w:szCs w:val="24"/>
        </w:rPr>
        <w:t>e ale industriei ușoare este</w:t>
      </w:r>
      <w:r w:rsidRPr="00A85FB8">
        <w:rPr>
          <w:sz w:val="24"/>
          <w:szCs w:val="24"/>
        </w:rPr>
        <w:t xml:space="preserve"> dependen</w:t>
      </w:r>
      <w:r>
        <w:rPr>
          <w:sz w:val="24"/>
          <w:szCs w:val="24"/>
        </w:rPr>
        <w:t>ț</w:t>
      </w:r>
      <w:r w:rsidRPr="00A85FB8">
        <w:rPr>
          <w:sz w:val="24"/>
          <w:szCs w:val="24"/>
        </w:rPr>
        <w:t xml:space="preserve">a de sistemul lohn, care a condus la pierderea expertizei în design propriu si </w:t>
      </w:r>
      <w:r>
        <w:rPr>
          <w:sz w:val="24"/>
          <w:szCs w:val="24"/>
        </w:rPr>
        <w:t xml:space="preserve">la </w:t>
      </w:r>
      <w:r w:rsidRPr="00A85FB8">
        <w:rPr>
          <w:sz w:val="24"/>
          <w:szCs w:val="24"/>
        </w:rPr>
        <w:t>reducerea valorii adăugate a produselor finite</w:t>
      </w:r>
      <w:r>
        <w:rPr>
          <w:sz w:val="24"/>
          <w:szCs w:val="24"/>
        </w:rPr>
        <w:t>,</w:t>
      </w:r>
      <w:r w:rsidRPr="00A85FB8">
        <w:rPr>
          <w:sz w:val="24"/>
          <w:szCs w:val="24"/>
        </w:rPr>
        <w:t xml:space="preserve"> iar ca ameninţare</w:t>
      </w:r>
      <w:r>
        <w:rPr>
          <w:sz w:val="24"/>
          <w:szCs w:val="24"/>
        </w:rPr>
        <w:t xml:space="preserve"> menționăm concurența</w:t>
      </w:r>
      <w:r w:rsidRPr="00A85FB8">
        <w:rPr>
          <w:sz w:val="24"/>
          <w:szCs w:val="24"/>
        </w:rPr>
        <w:t xml:space="preserve"> agresivă a produselor din Asia si Europa (în segmentul de fashion). Menţinerea pe piaţă a producătorilor români depinde de capacitatea acestora de a introduce inovarea de produs şi intrarea pe noi segmente de piaţă. De asemenea</w:t>
      </w:r>
      <w:r>
        <w:rPr>
          <w:sz w:val="24"/>
          <w:szCs w:val="24"/>
        </w:rPr>
        <w:t>,</w:t>
      </w:r>
      <w:r w:rsidRPr="00A85FB8">
        <w:rPr>
          <w:sz w:val="24"/>
          <w:szCs w:val="24"/>
        </w:rPr>
        <w:t xml:space="preserve"> producţi</w:t>
      </w:r>
      <w:r>
        <w:rPr>
          <w:sz w:val="24"/>
          <w:szCs w:val="24"/>
        </w:rPr>
        <w:t>a</w:t>
      </w:r>
      <w:r w:rsidRPr="00A85FB8">
        <w:rPr>
          <w:sz w:val="24"/>
          <w:szCs w:val="24"/>
        </w:rPr>
        <w:t xml:space="preserve"> integrată, creaţ</w:t>
      </w:r>
      <w:r>
        <w:rPr>
          <w:sz w:val="24"/>
          <w:szCs w:val="24"/>
        </w:rPr>
        <w:t>ia ș</w:t>
      </w:r>
      <w:r w:rsidRPr="00A85FB8">
        <w:rPr>
          <w:sz w:val="24"/>
          <w:szCs w:val="24"/>
        </w:rPr>
        <w:t>i brand</w:t>
      </w:r>
      <w:r>
        <w:rPr>
          <w:sz w:val="24"/>
          <w:szCs w:val="24"/>
        </w:rPr>
        <w:t>ul propriu, inovaţia</w:t>
      </w:r>
      <w:r w:rsidRPr="00A85FB8">
        <w:rPr>
          <w:sz w:val="24"/>
          <w:szCs w:val="24"/>
        </w:rPr>
        <w:t xml:space="preserve"> în finisaj, sunt noi paradigme de producţie spre care se îndreaptă firmele pentru a se repoziţiona pe o piaţă în mişcare. </w:t>
      </w:r>
    </w:p>
    <w:p w:rsidR="00852F75" w:rsidRPr="00A85FB8" w:rsidRDefault="00852F75" w:rsidP="00852F75">
      <w:pPr>
        <w:jc w:val="both"/>
        <w:rPr>
          <w:b/>
          <w:sz w:val="24"/>
          <w:szCs w:val="24"/>
        </w:rPr>
      </w:pPr>
      <w:r w:rsidRPr="00A85FB8">
        <w:rPr>
          <w:sz w:val="24"/>
          <w:szCs w:val="24"/>
        </w:rPr>
        <w:t>Dezvoltarea inteligentă a industriei uşoare din Regiunea Centru în perioada următoare trebuie să ia în considerare o reorientare strategică prin mutarea accentului de la producția bazată pe un volum ridicat și valoare adăugată scăzută la producția bazată pe inovație și în același timp să stimuleze dezvoltarea activităților de concepție și design și utilizarea de noi materiale textile. Tradiția solidă și cunoștințele acumulate în domeniu precum și calitatea ridicată a produselor reprezintă punctele forte ale industriei textile regionale, aceste puncte forte putâ</w:t>
      </w:r>
      <w:r>
        <w:rPr>
          <w:sz w:val="24"/>
          <w:szCs w:val="24"/>
        </w:rPr>
        <w:t>nd fi dublate de o valorificare</w:t>
      </w:r>
      <w:r w:rsidRPr="00A85FB8">
        <w:rPr>
          <w:sz w:val="24"/>
          <w:szCs w:val="24"/>
        </w:rPr>
        <w:t xml:space="preserve"> mult mai bună a resurselor de creativitate și a potențialului neexploatat din acest domeniu. Organizarea mai bună a actorilor economici, inclusiv prin formarea și dezvoltarea clusterelor în acest domeniu, ar favoriza trecerea într-o etapă calitativ superioară și ar permite menținerea industriei textile, confecții si pielăriei în rândul sectoarelor competitive ale Regiunii Centru.</w:t>
      </w:r>
    </w:p>
    <w:p w:rsidR="00EA5F90" w:rsidRPr="00263395" w:rsidRDefault="00EA5F90" w:rsidP="00EA5F90">
      <w:pPr>
        <w:spacing w:after="0" w:line="240" w:lineRule="auto"/>
        <w:rPr>
          <w:rFonts w:ascii="Arial Narrow" w:hAnsi="Arial Narrow"/>
          <w:b/>
          <w:sz w:val="24"/>
          <w:szCs w:val="24"/>
        </w:rPr>
      </w:pPr>
      <w:r w:rsidRPr="00263395">
        <w:rPr>
          <w:rFonts w:ascii="Arial Narrow" w:hAnsi="Arial Narrow"/>
          <w:b/>
          <w:sz w:val="24"/>
          <w:szCs w:val="24"/>
        </w:rPr>
        <w:lastRenderedPageBreak/>
        <w:t>MEDIUL CONSTRUIT SUSTENABIL</w:t>
      </w:r>
    </w:p>
    <w:p w:rsidR="00EA5F90" w:rsidRPr="00263395" w:rsidRDefault="00BD7229" w:rsidP="00EA5F90">
      <w:pPr>
        <w:spacing w:after="0" w:line="240" w:lineRule="auto"/>
        <w:rPr>
          <w:rFonts w:ascii="Arial Narrow" w:hAnsi="Arial Narrow"/>
          <w:b/>
          <w:sz w:val="24"/>
          <w:szCs w:val="24"/>
        </w:rPr>
      </w:pPr>
      <w:r w:rsidRPr="00BD7229">
        <w:rPr>
          <w:noProof/>
        </w:rPr>
        <w:pict>
          <v:shapetype id="_x0000_t202" coordsize="21600,21600" o:spt="202" path="m,l,21600r21600,l21600,xe">
            <v:stroke joinstyle="miter"/>
            <v:path gradientshapeok="t" o:connecttype="rect"/>
          </v:shapetype>
          <v:shape id="Text Box 17" o:spid="_x0000_s1038" type="#_x0000_t202" style="position:absolute;margin-left:284.95pt;margin-top:13.95pt;width:194.35pt;height:284.25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" strokecolor="#5b9bd5" strokeweight="1pt">
            <v:textbox>
              <w:txbxContent>
                <w:p w:rsidR="00064502" w:rsidRDefault="00064502" w:rsidP="00064502">
                  <w:pPr>
                    <w:pStyle w:val="Listparagraf"/>
                    <w:spacing w:afterLines="120" w:line="240" w:lineRule="auto"/>
                    <w:ind w:left="0"/>
                    <w:jc w:val="center"/>
                    <w:rPr>
                      <w:rFonts w:ascii="Arial Narrow" w:hAnsi="Arial Narrow"/>
                      <w:b/>
                    </w:rPr>
                  </w:pPr>
                  <w:r w:rsidRPr="008B3903">
                    <w:rPr>
                      <w:rFonts w:ascii="Arial Narrow" w:hAnsi="Arial Narrow"/>
                      <w:b/>
                    </w:rPr>
                    <w:t>Prioritățile domeniului:</w:t>
                  </w:r>
                </w:p>
                <w:p w:rsidR="00064502" w:rsidRPr="003064E5" w:rsidRDefault="00064502" w:rsidP="00064502">
                  <w:pPr>
                    <w:pStyle w:val="Listparagraf"/>
                    <w:spacing w:afterLines="120" w:line="240" w:lineRule="auto"/>
                    <w:ind w:left="0"/>
                    <w:jc w:val="center"/>
                    <w:rPr>
                      <w:rFonts w:ascii="Arial Narrow" w:hAnsi="Arial Narrow"/>
                      <w:b/>
                      <w:color w:val="5B9BD5"/>
                    </w:rPr>
                  </w:pPr>
                </w:p>
                <w:p w:rsidR="00064502" w:rsidRPr="003064E5" w:rsidRDefault="00064502" w:rsidP="00981E9F">
                  <w:pPr>
                    <w:pStyle w:val="Listparagraf"/>
                    <w:numPr>
                      <w:ilvl w:val="0"/>
                      <w:numId w:val="35"/>
                    </w:numPr>
                    <w:tabs>
                      <w:tab w:val="left" w:pos="284"/>
                    </w:tabs>
                    <w:spacing w:after="0" w:line="240" w:lineRule="auto"/>
                    <w:ind w:left="0" w:firstLine="0"/>
                    <w:jc w:val="both"/>
                    <w:rPr>
                      <w:rFonts w:ascii="Arial Narrow" w:hAnsi="Arial Narrow"/>
                      <w:color w:val="538135"/>
                    </w:rPr>
                  </w:pPr>
                  <w:r w:rsidRPr="003064E5">
                    <w:rPr>
                      <w:rFonts w:ascii="Arial Narrow" w:hAnsi="Arial Narrow"/>
                      <w:color w:val="538135"/>
                    </w:rPr>
                    <w:t>Așezări umane eficiente și durabile:</w:t>
                  </w:r>
                </w:p>
                <w:p w:rsidR="00064502" w:rsidRPr="003064E5" w:rsidRDefault="00064502" w:rsidP="00981E9F">
                  <w:pPr>
                    <w:pStyle w:val="Listparagraf"/>
                    <w:numPr>
                      <w:ilvl w:val="0"/>
                      <w:numId w:val="40"/>
                    </w:numPr>
                    <w:tabs>
                      <w:tab w:val="left" w:pos="284"/>
                      <w:tab w:val="left" w:pos="567"/>
                    </w:tabs>
                    <w:spacing w:after="0" w:line="240" w:lineRule="auto"/>
                    <w:ind w:left="284" w:firstLine="0"/>
                    <w:jc w:val="both"/>
                    <w:rPr>
                      <w:rFonts w:ascii="Arial Narrow" w:hAnsi="Arial Narrow"/>
                      <w:color w:val="538135"/>
                    </w:rPr>
                  </w:pPr>
                  <w:r w:rsidRPr="003064E5">
                    <w:rPr>
                      <w:rFonts w:ascii="Arial Narrow" w:hAnsi="Arial Narrow"/>
                      <w:color w:val="538135"/>
                    </w:rPr>
                    <w:t>Planificare spațială integrată;</w:t>
                  </w:r>
                </w:p>
                <w:p w:rsidR="00064502" w:rsidRPr="003064E5" w:rsidRDefault="00064502" w:rsidP="00981E9F">
                  <w:pPr>
                    <w:pStyle w:val="Listparagraf"/>
                    <w:numPr>
                      <w:ilvl w:val="0"/>
                      <w:numId w:val="40"/>
                    </w:numPr>
                    <w:tabs>
                      <w:tab w:val="left" w:pos="284"/>
                      <w:tab w:val="left" w:pos="567"/>
                    </w:tabs>
                    <w:spacing w:after="0" w:line="240" w:lineRule="auto"/>
                    <w:ind w:left="284" w:firstLine="0"/>
                    <w:jc w:val="both"/>
                    <w:rPr>
                      <w:rFonts w:ascii="Arial Narrow" w:hAnsi="Arial Narrow"/>
                      <w:color w:val="538135"/>
                    </w:rPr>
                  </w:pPr>
                  <w:r w:rsidRPr="003064E5">
                    <w:rPr>
                      <w:rFonts w:ascii="Arial Narrow" w:hAnsi="Arial Narrow"/>
                      <w:color w:val="538135"/>
                    </w:rPr>
                    <w:t>Creșterea calității spațiale a clădirilor, spațiilor verzi, peisajelor și localităților de la nivelul regiunii;</w:t>
                  </w:r>
                </w:p>
                <w:p w:rsidR="00064502" w:rsidRPr="003064E5" w:rsidRDefault="00064502" w:rsidP="00981E9F">
                  <w:pPr>
                    <w:pStyle w:val="Listparagraf"/>
                    <w:numPr>
                      <w:ilvl w:val="0"/>
                      <w:numId w:val="40"/>
                    </w:numPr>
                    <w:tabs>
                      <w:tab w:val="left" w:pos="284"/>
                      <w:tab w:val="left" w:pos="567"/>
                    </w:tabs>
                    <w:spacing w:after="0" w:line="240" w:lineRule="auto"/>
                    <w:ind w:left="284" w:firstLine="0"/>
                    <w:jc w:val="both"/>
                    <w:rPr>
                      <w:rFonts w:ascii="Arial Narrow" w:hAnsi="Arial Narrow"/>
                      <w:color w:val="538135"/>
                    </w:rPr>
                  </w:pPr>
                  <w:r w:rsidRPr="003064E5">
                    <w:rPr>
                      <w:rFonts w:ascii="Arial Narrow" w:hAnsi="Arial Narrow"/>
                      <w:color w:val="538135"/>
                    </w:rPr>
                    <w:t>Conservarea și utilizarea sustenabilă a fondului construit existent;</w:t>
                  </w:r>
                </w:p>
                <w:p w:rsidR="00064502" w:rsidRPr="003064E5" w:rsidRDefault="00064502" w:rsidP="00981E9F">
                  <w:pPr>
                    <w:pStyle w:val="Listparagraf"/>
                    <w:numPr>
                      <w:ilvl w:val="0"/>
                      <w:numId w:val="40"/>
                    </w:numPr>
                    <w:tabs>
                      <w:tab w:val="left" w:pos="284"/>
                      <w:tab w:val="left" w:pos="567"/>
                    </w:tabs>
                    <w:spacing w:after="0" w:line="240" w:lineRule="auto"/>
                    <w:ind w:left="284" w:firstLine="0"/>
                    <w:jc w:val="both"/>
                    <w:rPr>
                      <w:rFonts w:ascii="Arial Narrow" w:hAnsi="Arial Narrow"/>
                      <w:color w:val="538135"/>
                    </w:rPr>
                  </w:pPr>
                  <w:r w:rsidRPr="003064E5">
                    <w:rPr>
                      <w:rFonts w:ascii="Arial Narrow" w:hAnsi="Arial Narrow"/>
                      <w:color w:val="538135"/>
                    </w:rPr>
                    <w:t>Dezvoltarea infrastructurii suport și asigurarea căilor de transport eficient;</w:t>
                  </w:r>
                </w:p>
                <w:p w:rsidR="00064502" w:rsidRPr="003064E5" w:rsidRDefault="00064502" w:rsidP="00981E9F">
                  <w:pPr>
                    <w:pStyle w:val="Listparagraf"/>
                    <w:numPr>
                      <w:ilvl w:val="0"/>
                      <w:numId w:val="39"/>
                    </w:numPr>
                    <w:tabs>
                      <w:tab w:val="left" w:pos="284"/>
                    </w:tabs>
                    <w:spacing w:after="0" w:line="240" w:lineRule="auto"/>
                    <w:ind w:left="0" w:firstLine="0"/>
                    <w:jc w:val="both"/>
                    <w:rPr>
                      <w:rFonts w:ascii="Arial Narrow" w:hAnsi="Arial Narrow"/>
                      <w:color w:val="538135"/>
                    </w:rPr>
                  </w:pPr>
                  <w:r w:rsidRPr="003064E5">
                    <w:rPr>
                      <w:rFonts w:ascii="Arial Narrow" w:hAnsi="Arial Narrow"/>
                      <w:color w:val="538135"/>
                    </w:rPr>
                    <w:t>Promovarea producției de energie din surse regenerabilă prin valorificarea surselor locale;</w:t>
                  </w:r>
                </w:p>
                <w:p w:rsidR="00064502" w:rsidRPr="003064E5" w:rsidRDefault="00064502" w:rsidP="00981E9F">
                  <w:pPr>
                    <w:pStyle w:val="Listparagraf"/>
                    <w:numPr>
                      <w:ilvl w:val="0"/>
                      <w:numId w:val="39"/>
                    </w:numPr>
                    <w:tabs>
                      <w:tab w:val="left" w:pos="284"/>
                    </w:tabs>
                    <w:spacing w:after="0" w:line="240" w:lineRule="auto"/>
                    <w:ind w:left="284" w:hanging="284"/>
                    <w:jc w:val="both"/>
                    <w:rPr>
                      <w:rFonts w:ascii="Arial Narrow" w:hAnsi="Arial Narrow"/>
                      <w:color w:val="538135"/>
                    </w:rPr>
                  </w:pPr>
                  <w:r w:rsidRPr="003064E5">
                    <w:rPr>
                      <w:rFonts w:ascii="Arial Narrow" w:hAnsi="Arial Narrow"/>
                      <w:color w:val="538135"/>
                    </w:rPr>
                    <w:t>Eficiență energetică;</w:t>
                  </w:r>
                </w:p>
                <w:p w:rsidR="00064502" w:rsidRPr="003064E5" w:rsidRDefault="00064502" w:rsidP="00981E9F">
                  <w:pPr>
                    <w:pStyle w:val="Listparagraf"/>
                    <w:numPr>
                      <w:ilvl w:val="0"/>
                      <w:numId w:val="39"/>
                    </w:numPr>
                    <w:tabs>
                      <w:tab w:val="left" w:pos="284"/>
                    </w:tabs>
                    <w:spacing w:after="0" w:line="240" w:lineRule="auto"/>
                    <w:ind w:left="0" w:firstLine="0"/>
                    <w:jc w:val="both"/>
                    <w:rPr>
                      <w:rFonts w:ascii="Arial Narrow" w:hAnsi="Arial Narrow"/>
                      <w:color w:val="538135"/>
                    </w:rPr>
                  </w:pPr>
                  <w:r w:rsidRPr="003064E5">
                    <w:rPr>
                      <w:rFonts w:ascii="Arial Narrow" w:hAnsi="Arial Narrow"/>
                      <w:color w:val="538135"/>
                    </w:rPr>
                    <w:t>Clădiri sustenabile și eficiente energetic;</w:t>
                  </w:r>
                </w:p>
                <w:p w:rsidR="00064502" w:rsidRPr="003064E5" w:rsidRDefault="00064502" w:rsidP="00981E9F">
                  <w:pPr>
                    <w:pStyle w:val="Listparagraf"/>
                    <w:numPr>
                      <w:ilvl w:val="0"/>
                      <w:numId w:val="35"/>
                    </w:numPr>
                    <w:tabs>
                      <w:tab w:val="left" w:pos="284"/>
                    </w:tabs>
                    <w:spacing w:after="0" w:line="240" w:lineRule="auto"/>
                    <w:ind w:left="0" w:firstLine="0"/>
                    <w:jc w:val="both"/>
                    <w:rPr>
                      <w:rFonts w:ascii="Arial Narrow" w:hAnsi="Arial Narrow"/>
                      <w:color w:val="538135"/>
                    </w:rPr>
                  </w:pPr>
                  <w:r w:rsidRPr="003064E5">
                    <w:rPr>
                      <w:rFonts w:ascii="Arial Narrow" w:hAnsi="Arial Narrow"/>
                      <w:color w:val="538135"/>
                    </w:rPr>
                    <w:t>Gestiunea corespunzătoare a resurselor;</w:t>
                  </w:r>
                </w:p>
                <w:p w:rsidR="00064502" w:rsidRPr="003064E5" w:rsidRDefault="00064502" w:rsidP="00981E9F">
                  <w:pPr>
                    <w:pStyle w:val="Listparagraf"/>
                    <w:numPr>
                      <w:ilvl w:val="0"/>
                      <w:numId w:val="35"/>
                    </w:numPr>
                    <w:tabs>
                      <w:tab w:val="left" w:pos="284"/>
                    </w:tabs>
                    <w:spacing w:after="0" w:line="240" w:lineRule="auto"/>
                    <w:ind w:left="0" w:firstLine="0"/>
                    <w:jc w:val="both"/>
                    <w:rPr>
                      <w:rFonts w:ascii="Arial Narrow" w:hAnsi="Arial Narrow"/>
                      <w:color w:val="538135"/>
                    </w:rPr>
                  </w:pPr>
                  <w:r w:rsidRPr="003064E5">
                    <w:rPr>
                      <w:rFonts w:ascii="Arial Narrow" w:hAnsi="Arial Narrow"/>
                      <w:color w:val="538135"/>
                    </w:rPr>
                    <w:t>Acţiuni destinate îmbunătăţirii mediului urban, inclusiv reabilitarea siturilor poluate şi reducerea poluării aerului;</w:t>
                  </w:r>
                </w:p>
                <w:p w:rsidR="00064502" w:rsidRPr="003064E5" w:rsidRDefault="00064502" w:rsidP="00981E9F">
                  <w:pPr>
                    <w:pStyle w:val="Listparagraf"/>
                    <w:numPr>
                      <w:ilvl w:val="0"/>
                      <w:numId w:val="35"/>
                    </w:numPr>
                    <w:tabs>
                      <w:tab w:val="left" w:pos="284"/>
                    </w:tabs>
                    <w:spacing w:after="0" w:line="240" w:lineRule="auto"/>
                    <w:ind w:left="0" w:firstLine="0"/>
                    <w:jc w:val="both"/>
                    <w:rPr>
                      <w:rFonts w:ascii="Arial Narrow" w:hAnsi="Arial Narrow"/>
                      <w:color w:val="538135"/>
                    </w:rPr>
                  </w:pPr>
                  <w:r w:rsidRPr="003064E5">
                    <w:rPr>
                      <w:rFonts w:ascii="Arial Narrow" w:hAnsi="Arial Narrow"/>
                      <w:color w:val="538135"/>
                    </w:rPr>
                    <w:t>Gestiunea deșeurilor.</w:t>
                  </w:r>
                </w:p>
                <w:p w:rsidR="00064502" w:rsidRPr="00A06552" w:rsidRDefault="00064502" w:rsidP="00EA5F90">
                  <w:pPr>
                    <w:pStyle w:val="Listparagraf"/>
                    <w:tabs>
                      <w:tab w:val="left" w:pos="426"/>
                    </w:tabs>
                    <w:spacing w:after="0" w:line="240" w:lineRule="auto"/>
                    <w:ind w:left="426"/>
                    <w:jc w:val="both"/>
                    <w:rPr>
                      <w:sz w:val="24"/>
                      <w:szCs w:val="24"/>
                    </w:rPr>
                  </w:pPr>
                </w:p>
              </w:txbxContent>
            </v:textbox>
            <w10:wrap type="square" anchorx="margin"/>
          </v:shape>
        </w:pict>
      </w:r>
    </w:p>
    <w:p w:rsidR="00EA5F90" w:rsidRPr="00263395" w:rsidRDefault="00EA5F90" w:rsidP="00064502">
      <w:pPr>
        <w:pStyle w:val="Listparagraf"/>
        <w:spacing w:afterLines="120" w:line="240" w:lineRule="auto"/>
        <w:ind w:left="0"/>
        <w:jc w:val="both"/>
        <w:rPr>
          <w:rFonts w:ascii="Arial Narrow" w:hAnsi="Arial Narrow"/>
          <w:sz w:val="24"/>
          <w:szCs w:val="24"/>
        </w:rPr>
      </w:pPr>
      <w:r w:rsidRPr="00263395">
        <w:rPr>
          <w:rFonts w:ascii="Arial Narrow" w:hAnsi="Arial Narrow"/>
          <w:sz w:val="24"/>
          <w:szCs w:val="24"/>
        </w:rPr>
        <w:t>Dezvoltarea durabilă este o prioritate pentru regiunea Centru, iar sustenabilitatea mediului construit, ca parte integrantă a acesteia, reprezintă un domeniu de interes la nivel regional.</w:t>
      </w:r>
    </w:p>
    <w:p w:rsidR="00EA5F90" w:rsidRPr="00263395" w:rsidRDefault="00EA5F90" w:rsidP="00981E9F">
      <w:pPr>
        <w:pStyle w:val="Listparagraf"/>
        <w:numPr>
          <w:ilvl w:val="0"/>
          <w:numId w:val="34"/>
        </w:numPr>
        <w:spacing w:after="0" w:line="240" w:lineRule="auto"/>
        <w:ind w:left="0" w:firstLine="0"/>
        <w:jc w:val="both"/>
        <w:rPr>
          <w:rFonts w:ascii="Arial Narrow" w:hAnsi="Arial Narrow"/>
          <w:b/>
          <w:i/>
          <w:sz w:val="24"/>
          <w:szCs w:val="24"/>
        </w:rPr>
      </w:pPr>
      <w:r w:rsidRPr="00263395">
        <w:rPr>
          <w:rFonts w:ascii="Arial Narrow" w:hAnsi="Arial Narrow"/>
          <w:b/>
          <w:i/>
          <w:sz w:val="24"/>
          <w:szCs w:val="24"/>
        </w:rPr>
        <w:t>Definirea domeniului:</w:t>
      </w:r>
    </w:p>
    <w:p w:rsidR="00EA5F90" w:rsidRPr="00263395" w:rsidRDefault="00EA5F90" w:rsidP="00EA5F90">
      <w:pPr>
        <w:pStyle w:val="Listparagraf"/>
        <w:spacing w:after="0" w:line="240" w:lineRule="auto"/>
        <w:ind w:left="0"/>
        <w:jc w:val="both"/>
        <w:rPr>
          <w:rFonts w:ascii="Arial Narrow" w:hAnsi="Arial Narrow"/>
          <w:sz w:val="24"/>
          <w:szCs w:val="24"/>
        </w:rPr>
      </w:pPr>
      <w:r w:rsidRPr="003064E5">
        <w:rPr>
          <w:rFonts w:ascii="Arial Narrow" w:hAnsi="Arial Narrow"/>
          <w:b/>
          <w:color w:val="70AD47"/>
          <w:sz w:val="24"/>
          <w:szCs w:val="24"/>
        </w:rPr>
        <w:t>Mediul construit</w:t>
      </w:r>
      <w:r w:rsidRPr="003064E5">
        <w:rPr>
          <w:rFonts w:ascii="Arial Narrow" w:hAnsi="Arial Narrow"/>
          <w:color w:val="70AD47"/>
          <w:sz w:val="24"/>
          <w:szCs w:val="24"/>
        </w:rPr>
        <w:t xml:space="preserve">  </w:t>
      </w:r>
      <w:r w:rsidRPr="00263395">
        <w:rPr>
          <w:rFonts w:ascii="Arial Narrow" w:hAnsi="Arial Narrow"/>
          <w:sz w:val="24"/>
          <w:szCs w:val="24"/>
        </w:rPr>
        <w:t xml:space="preserve">este produsul material, spațial și cultural al activității umane, care combină elemente fizice și forme de energie pentru a asigura condițiile necesare vieții omului. </w:t>
      </w:r>
    </w:p>
    <w:p w:rsidR="00EA5F90"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sz w:val="24"/>
          <w:szCs w:val="24"/>
        </w:rPr>
        <w:t>În această analiză, expresia „</w:t>
      </w:r>
      <w:r w:rsidRPr="00263395">
        <w:rPr>
          <w:rFonts w:ascii="Arial Narrow" w:hAnsi="Arial Narrow"/>
          <w:b/>
          <w:i/>
          <w:sz w:val="24"/>
          <w:szCs w:val="24"/>
        </w:rPr>
        <w:t>mediul construit sustenabil</w:t>
      </w:r>
      <w:r w:rsidRPr="00263395">
        <w:rPr>
          <w:rFonts w:ascii="Arial Narrow" w:hAnsi="Arial Narrow"/>
          <w:sz w:val="24"/>
          <w:szCs w:val="24"/>
        </w:rPr>
        <w:t xml:space="preserve">” se referă la capacitatea unităților și, mai ales, a ansamblurilor construite (localități, unități de producție, căi de comunicații etc) de a satisface necesitățile și scopul pentru care au fost, sunt sau vor fi construite, reducând, în același timp consumul de resurse neregenerabile și impactul asupra mediului.  Această analiză se centrează pe modul în care mediul construit din regiunea Centru valorifică noile tendințe în privința materialelor ecologice, eficientizarea utilizării resurselor naturale și reducerea impactului de mediu, inclusiv utilizarea eficientă a energiei. De asemenea, în plan secund, se are în vedere  promovarea producției de energie din surse regenerabile și de materiale de construcții avansate, prin utlizarea colaborării dintre mediul academic și mediul de afaceri. </w:t>
      </w:r>
    </w:p>
    <w:p w:rsidR="00EA5F90" w:rsidRPr="00263395" w:rsidRDefault="00EA5F90" w:rsidP="00EA5F90">
      <w:pPr>
        <w:pStyle w:val="Listparagraf"/>
        <w:spacing w:after="0" w:line="240" w:lineRule="auto"/>
        <w:ind w:left="0"/>
        <w:jc w:val="both"/>
        <w:rPr>
          <w:rFonts w:ascii="Arial Narrow" w:hAnsi="Arial Narrow"/>
          <w:sz w:val="24"/>
          <w:szCs w:val="24"/>
        </w:rPr>
      </w:pPr>
    </w:p>
    <w:p w:rsidR="00EA5F90" w:rsidRDefault="00EA5F90" w:rsidP="00EA5F90">
      <w:pPr>
        <w:pStyle w:val="Listparagraf"/>
        <w:spacing w:after="0" w:line="240" w:lineRule="auto"/>
        <w:ind w:left="0"/>
        <w:jc w:val="both"/>
        <w:rPr>
          <w:rFonts w:ascii="Arial Narrow" w:hAnsi="Arial Narrow"/>
          <w:sz w:val="24"/>
          <w:szCs w:val="24"/>
        </w:rPr>
      </w:pPr>
      <w:r w:rsidRPr="003064E5">
        <w:rPr>
          <w:rFonts w:ascii="Arial Narrow" w:hAnsi="Arial Narrow"/>
          <w:b/>
          <w:color w:val="70AD47"/>
          <w:sz w:val="24"/>
          <w:szCs w:val="24"/>
        </w:rPr>
        <w:t xml:space="preserve">Domenii de interes: </w:t>
      </w:r>
      <w:r w:rsidRPr="00263395">
        <w:rPr>
          <w:rFonts w:ascii="Arial Narrow" w:hAnsi="Arial Narrow"/>
          <w:sz w:val="24"/>
          <w:szCs w:val="24"/>
        </w:rPr>
        <w:t>arhitectura, urbanism, planificare urbană</w:t>
      </w:r>
      <w:r w:rsidRPr="00263395">
        <w:rPr>
          <w:rStyle w:val="Referinnotdesubsol"/>
          <w:rFonts w:ascii="Arial Narrow" w:hAnsi="Arial Narrow"/>
          <w:sz w:val="24"/>
          <w:szCs w:val="24"/>
        </w:rPr>
        <w:footnoteReference w:id="15"/>
      </w:r>
      <w:r w:rsidRPr="00263395">
        <w:rPr>
          <w:rFonts w:ascii="Arial Narrow" w:hAnsi="Arial Narrow"/>
          <w:sz w:val="24"/>
          <w:szCs w:val="24"/>
        </w:rPr>
        <w:t>, dezvoltare urbană, materiale de construcții, lucrări de construcții, producția de energie și eficiență energetică, agricultură, silvicultură, gestiunea sustenabilă a resurselor naturale, ecologie și protectia mediului, TIC;</w:t>
      </w:r>
    </w:p>
    <w:p w:rsidR="00EA5F90" w:rsidRPr="00263395" w:rsidRDefault="00EA5F90" w:rsidP="00EA5F90">
      <w:pPr>
        <w:pStyle w:val="Listparagraf"/>
        <w:spacing w:after="0" w:line="240" w:lineRule="auto"/>
        <w:ind w:left="0"/>
        <w:jc w:val="both"/>
        <w:rPr>
          <w:rFonts w:ascii="Arial Narrow" w:hAnsi="Arial Narrow"/>
          <w:sz w:val="24"/>
          <w:szCs w:val="24"/>
        </w:rPr>
      </w:pPr>
      <w:r>
        <w:rPr>
          <w:noProof/>
          <w:lang w:val="en-US" w:eastAsia="en-US"/>
        </w:rPr>
        <w:drawing>
          <wp:anchor distT="0" distB="0" distL="114300" distR="114300" simplePos="0" relativeHeight="251666432" behindDoc="0" locked="0" layoutInCell="1" allowOverlap="1">
            <wp:simplePos x="0" y="0"/>
            <wp:positionH relativeFrom="margin">
              <wp:posOffset>3664331</wp:posOffset>
            </wp:positionH>
            <wp:positionV relativeFrom="margin">
              <wp:posOffset>4884801</wp:posOffset>
            </wp:positionV>
            <wp:extent cx="2469388" cy="2175891"/>
            <wp:effectExtent l="6096" t="6096" r="5461" b="6223"/>
            <wp:wrapSquare wrapText="bothSides"/>
            <wp:docPr id="35"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EA5F90" w:rsidRPr="00263395"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sz w:val="24"/>
          <w:szCs w:val="24"/>
        </w:rPr>
        <w:t>Acest domeniu de excelență pornește de la o nevoie, respectiv are în vedere alinierea cu politicile de la nivel național și european în ceea ce privește eficiența energetică, reducerea consumului de resurse naturale, valorificarea resurselor locale  și combaterea schimbărilor climatice.  Pe de altă parte, s-a avut în vedere faptul că, la nivel regional a existat o preocupare permanentă de a promova un mediu construit sustenabil și s-a acordat o atenție sporită protecției mediului. Potrivit datelor statistice, publicate pe insse.ro</w:t>
      </w:r>
      <w:r w:rsidRPr="00263395">
        <w:rPr>
          <w:rFonts w:ascii="Arial Narrow" w:hAnsi="Arial Narrow"/>
          <w:i/>
          <w:sz w:val="24"/>
          <w:szCs w:val="24"/>
        </w:rPr>
        <w:t>,</w:t>
      </w:r>
      <w:r w:rsidRPr="00263395">
        <w:rPr>
          <w:rFonts w:ascii="Arial Narrow" w:hAnsi="Arial Narrow"/>
          <w:sz w:val="24"/>
          <w:szCs w:val="24"/>
        </w:rPr>
        <w:t xml:space="preserve"> </w:t>
      </w:r>
      <w:r w:rsidRPr="00263395">
        <w:rPr>
          <w:rFonts w:ascii="Arial Narrow" w:hAnsi="Arial Narrow"/>
          <w:b/>
          <w:i/>
          <w:sz w:val="24"/>
          <w:szCs w:val="24"/>
        </w:rPr>
        <w:t>în 2014 regiunea Centru se afla pe primul loc în ceea ce privește investițiile în domeniul protecției mediului</w:t>
      </w:r>
      <w:r w:rsidRPr="00263395">
        <w:rPr>
          <w:rStyle w:val="Referinnotdesubsol"/>
          <w:rFonts w:ascii="Arial Narrow" w:hAnsi="Arial Narrow"/>
          <w:b/>
          <w:i/>
          <w:sz w:val="24"/>
          <w:szCs w:val="24"/>
        </w:rPr>
        <w:footnoteReference w:id="16"/>
      </w:r>
      <w:r w:rsidRPr="00263395">
        <w:rPr>
          <w:rFonts w:ascii="Arial Narrow" w:hAnsi="Arial Narrow"/>
          <w:b/>
          <w:i/>
          <w:sz w:val="24"/>
          <w:szCs w:val="24"/>
        </w:rPr>
        <w:t xml:space="preserve"> (971,654 mii lei), respectiv 23% din totalul investițiilor realizate la nivel național</w:t>
      </w:r>
      <w:r w:rsidRPr="00263395">
        <w:rPr>
          <w:rFonts w:ascii="Arial Narrow" w:hAnsi="Arial Narrow"/>
          <w:i/>
          <w:sz w:val="24"/>
          <w:szCs w:val="24"/>
        </w:rPr>
        <w:t>.</w:t>
      </w:r>
      <w:r w:rsidRPr="00263395">
        <w:rPr>
          <w:rFonts w:ascii="Arial Narrow" w:hAnsi="Arial Narrow"/>
          <w:sz w:val="24"/>
          <w:szCs w:val="24"/>
        </w:rPr>
        <w:t xml:space="preserve"> </w:t>
      </w:r>
    </w:p>
    <w:p w:rsidR="00EA5F90" w:rsidRDefault="00EA5F90" w:rsidP="00EA5F90">
      <w:pPr>
        <w:pStyle w:val="Listparagraf"/>
        <w:spacing w:after="0" w:line="240" w:lineRule="auto"/>
        <w:ind w:left="0"/>
        <w:jc w:val="both"/>
        <w:rPr>
          <w:rFonts w:ascii="Arial Narrow" w:hAnsi="Arial Narrow"/>
          <w:sz w:val="24"/>
          <w:szCs w:val="24"/>
        </w:rPr>
      </w:pPr>
    </w:p>
    <w:p w:rsidR="00EA5F90" w:rsidRPr="00263395" w:rsidRDefault="00EA5F90" w:rsidP="00EA5F90">
      <w:pPr>
        <w:autoSpaceDE w:val="0"/>
        <w:autoSpaceDN w:val="0"/>
        <w:adjustRightInd w:val="0"/>
        <w:spacing w:after="0" w:line="240" w:lineRule="auto"/>
        <w:contextualSpacing/>
        <w:jc w:val="both"/>
        <w:rPr>
          <w:rFonts w:ascii="Arial Narrow" w:hAnsi="Arial Narrow"/>
          <w:sz w:val="24"/>
          <w:szCs w:val="24"/>
        </w:rPr>
      </w:pPr>
      <w:r w:rsidRPr="00263395">
        <w:rPr>
          <w:rFonts w:ascii="Arial Narrow" w:hAnsi="Arial Narrow"/>
          <w:sz w:val="24"/>
          <w:szCs w:val="24"/>
        </w:rPr>
        <w:t xml:space="preserve">În ceea ce privește </w:t>
      </w:r>
      <w:r w:rsidRPr="00263395">
        <w:rPr>
          <w:rFonts w:ascii="Arial Narrow" w:hAnsi="Arial Narrow"/>
          <w:b/>
          <w:sz w:val="24"/>
          <w:szCs w:val="24"/>
        </w:rPr>
        <w:t>activitatea economică</w:t>
      </w:r>
      <w:r w:rsidRPr="00263395">
        <w:rPr>
          <w:rFonts w:ascii="Arial Narrow" w:hAnsi="Arial Narrow"/>
          <w:sz w:val="24"/>
          <w:szCs w:val="24"/>
        </w:rPr>
        <w:t xml:space="preserve"> </w:t>
      </w:r>
      <w:r w:rsidRPr="00263395">
        <w:rPr>
          <w:rFonts w:ascii="Arial Narrow" w:hAnsi="Arial Narrow"/>
          <w:b/>
          <w:sz w:val="24"/>
          <w:szCs w:val="24"/>
        </w:rPr>
        <w:t>desfășurată în cadrul sectoarelor ce contribuie la constituirea</w:t>
      </w:r>
      <w:r w:rsidRPr="00263395">
        <w:rPr>
          <w:rFonts w:ascii="Arial Narrow" w:hAnsi="Arial Narrow"/>
          <w:sz w:val="24"/>
          <w:szCs w:val="24"/>
        </w:rPr>
        <w:t xml:space="preserve"> acestui domeniu de excelență, în regiune s-au observat  următoarele:</w:t>
      </w:r>
    </w:p>
    <w:p w:rsidR="00EA5F90" w:rsidRPr="00263395" w:rsidRDefault="00EA5F90" w:rsidP="00981E9F">
      <w:pPr>
        <w:pStyle w:val="Listparagraf"/>
        <w:numPr>
          <w:ilvl w:val="0"/>
          <w:numId w:val="35"/>
        </w:numPr>
        <w:autoSpaceDE w:val="0"/>
        <w:autoSpaceDN w:val="0"/>
        <w:adjustRightInd w:val="0"/>
        <w:spacing w:after="0" w:line="240" w:lineRule="auto"/>
        <w:ind w:left="0" w:firstLine="0"/>
        <w:jc w:val="both"/>
        <w:rPr>
          <w:rFonts w:ascii="Arial Narrow" w:hAnsi="Arial Narrow"/>
          <w:sz w:val="24"/>
          <w:szCs w:val="24"/>
        </w:rPr>
      </w:pPr>
      <w:r w:rsidRPr="00263395">
        <w:rPr>
          <w:rFonts w:ascii="Arial Narrow" w:hAnsi="Arial Narrow"/>
          <w:sz w:val="24"/>
          <w:szCs w:val="24"/>
        </w:rPr>
        <w:lastRenderedPageBreak/>
        <w:t xml:space="preserve">potrivit datelor publicate de RECOM, în anul 2014 au fost identificate la nivelul Regiunii Centru </w:t>
      </w:r>
      <w:r w:rsidRPr="00263395">
        <w:rPr>
          <w:rFonts w:ascii="Arial Narrow" w:hAnsi="Arial Narrow"/>
          <w:b/>
          <w:sz w:val="24"/>
          <w:szCs w:val="24"/>
        </w:rPr>
        <w:t>1935 de firme care au activități legate de extracția/prelucrarea/producția materialelor de construcții</w:t>
      </w:r>
      <w:r w:rsidRPr="00263395">
        <w:rPr>
          <w:rStyle w:val="Referinnotdesubsol"/>
          <w:rFonts w:ascii="Arial Narrow" w:hAnsi="Arial Narrow"/>
          <w:b/>
          <w:sz w:val="24"/>
          <w:szCs w:val="24"/>
        </w:rPr>
        <w:footnoteReference w:id="17"/>
      </w:r>
      <w:r w:rsidRPr="00263395">
        <w:rPr>
          <w:rFonts w:ascii="Arial Narrow" w:hAnsi="Arial Narrow"/>
          <w:sz w:val="24"/>
          <w:szCs w:val="24"/>
        </w:rPr>
        <w:t>. De asemenea, având în vedere cifra de afaceri (conform datelor publicate de ANAF</w:t>
      </w:r>
      <w:r w:rsidRPr="00263395">
        <w:rPr>
          <w:rStyle w:val="Referinnotdesubsol"/>
          <w:rFonts w:ascii="Arial Narrow" w:hAnsi="Arial Narrow"/>
          <w:sz w:val="24"/>
          <w:szCs w:val="24"/>
        </w:rPr>
        <w:footnoteReference w:id="18"/>
      </w:r>
      <w:r w:rsidRPr="00263395">
        <w:rPr>
          <w:rFonts w:ascii="Arial Narrow" w:hAnsi="Arial Narrow"/>
          <w:sz w:val="24"/>
          <w:szCs w:val="24"/>
        </w:rPr>
        <w:t>), al doilea mare jucător de pe piața materialelor de construcț</w:t>
      </w:r>
      <w:r>
        <w:rPr>
          <w:rFonts w:ascii="Arial Narrow" w:hAnsi="Arial Narrow"/>
          <w:sz w:val="24"/>
          <w:szCs w:val="24"/>
        </w:rPr>
        <w:t>ii</w:t>
      </w:r>
      <w:r>
        <w:rPr>
          <w:rStyle w:val="Referinnotdesubsol"/>
          <w:rFonts w:ascii="Arial Narrow" w:hAnsi="Arial Narrow"/>
          <w:sz w:val="24"/>
          <w:szCs w:val="24"/>
        </w:rPr>
        <w:footnoteReference w:id="19"/>
      </w:r>
      <w:r>
        <w:rPr>
          <w:rFonts w:ascii="Arial Narrow" w:hAnsi="Arial Narrow"/>
          <w:sz w:val="24"/>
          <w:szCs w:val="24"/>
        </w:rPr>
        <w:t xml:space="preserve"> se află în regiunea Centru </w:t>
      </w:r>
      <w:r w:rsidRPr="00263395">
        <w:rPr>
          <w:rFonts w:ascii="Arial Narrow" w:hAnsi="Arial Narrow"/>
          <w:sz w:val="24"/>
          <w:szCs w:val="24"/>
        </w:rPr>
        <w:t>și  activează în domeniul fabricării de furnire și a panourilor din lemn, subsectorul care prezintă cel mai mare interes în regiune</w:t>
      </w:r>
      <w:r>
        <w:rPr>
          <w:rFonts w:ascii="Arial Narrow" w:hAnsi="Arial Narrow"/>
          <w:sz w:val="24"/>
          <w:szCs w:val="24"/>
        </w:rPr>
        <w:t xml:space="preserve">; datorită resurselor existente, aici </w:t>
      </w:r>
      <w:r w:rsidRPr="00263395">
        <w:rPr>
          <w:rFonts w:ascii="Arial Narrow" w:hAnsi="Arial Narrow"/>
          <w:sz w:val="24"/>
          <w:szCs w:val="24"/>
        </w:rPr>
        <w:t xml:space="preserve">există filiale (ex. centre specializate, stații de betoane) ale unor importanți operatori economici de pe piața materialelor de construcții. În ceea ce privește numărul de angajați, </w:t>
      </w:r>
      <w:r>
        <w:rPr>
          <w:rFonts w:ascii="Arial Narrow" w:hAnsi="Arial Narrow"/>
          <w:sz w:val="24"/>
          <w:szCs w:val="24"/>
        </w:rPr>
        <w:t xml:space="preserve">la nivel regional </w:t>
      </w:r>
      <w:r w:rsidRPr="00263395">
        <w:rPr>
          <w:rFonts w:ascii="Arial Narrow" w:hAnsi="Arial Narrow"/>
          <w:sz w:val="24"/>
          <w:szCs w:val="24"/>
        </w:rPr>
        <w:t xml:space="preserve">s-a semnalat o evoluție din 2012 în 2014, când numărul total de angajați  din domeniul materialelor de construcții a ajuns la cca. </w:t>
      </w:r>
      <w:r>
        <w:rPr>
          <w:rFonts w:ascii="Arial Narrow" w:hAnsi="Arial Narrow"/>
          <w:sz w:val="24"/>
          <w:szCs w:val="24"/>
        </w:rPr>
        <w:t>30</w:t>
      </w:r>
      <w:r w:rsidRPr="00263395">
        <w:rPr>
          <w:rFonts w:ascii="Arial Narrow" w:hAnsi="Arial Narrow"/>
          <w:sz w:val="24"/>
          <w:szCs w:val="24"/>
        </w:rPr>
        <w:t>.000 persoane</w:t>
      </w:r>
      <w:r w:rsidRPr="00263395">
        <w:rPr>
          <w:rStyle w:val="Referinnotdesubsol"/>
          <w:rFonts w:ascii="Arial Narrow" w:hAnsi="Arial Narrow"/>
          <w:sz w:val="24"/>
          <w:szCs w:val="24"/>
        </w:rPr>
        <w:footnoteReference w:id="20"/>
      </w:r>
      <w:r w:rsidRPr="00263395">
        <w:rPr>
          <w:rFonts w:ascii="Arial Narrow" w:hAnsi="Arial Narrow"/>
          <w:sz w:val="24"/>
          <w:szCs w:val="24"/>
        </w:rPr>
        <w:t xml:space="preserve">. </w:t>
      </w:r>
    </w:p>
    <w:p w:rsidR="00EA5F90" w:rsidRPr="00263395" w:rsidRDefault="00EA5F90" w:rsidP="00064502">
      <w:pPr>
        <w:pStyle w:val="Listparagraf"/>
        <w:numPr>
          <w:ilvl w:val="0"/>
          <w:numId w:val="35"/>
        </w:numPr>
        <w:autoSpaceDE w:val="0"/>
        <w:autoSpaceDN w:val="0"/>
        <w:adjustRightInd w:val="0"/>
        <w:spacing w:afterLines="120" w:line="240" w:lineRule="auto"/>
        <w:ind w:left="0" w:firstLine="360"/>
        <w:jc w:val="both"/>
        <w:rPr>
          <w:rFonts w:ascii="Arial Narrow" w:hAnsi="Arial Narrow"/>
          <w:sz w:val="24"/>
          <w:szCs w:val="24"/>
        </w:rPr>
      </w:pPr>
      <w:r>
        <w:rPr>
          <w:noProof/>
          <w:lang w:val="en-US" w:eastAsia="en-US"/>
        </w:rPr>
        <w:drawing>
          <wp:anchor distT="0" distB="0" distL="114300" distR="114300" simplePos="0" relativeHeight="251669504" behindDoc="0" locked="0" layoutInCell="1" allowOverlap="1">
            <wp:simplePos x="0" y="0"/>
            <wp:positionH relativeFrom="margin">
              <wp:align>right</wp:align>
            </wp:positionH>
            <wp:positionV relativeFrom="paragraph">
              <wp:posOffset>129921</wp:posOffset>
            </wp:positionV>
            <wp:extent cx="2340229" cy="1979803"/>
            <wp:effectExtent l="6096" t="6096" r="6985" b="7366"/>
            <wp:wrapSquare wrapText="bothSides"/>
            <wp:docPr id="34"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263395">
        <w:rPr>
          <w:rFonts w:ascii="Arial Narrow" w:hAnsi="Arial Narrow"/>
          <w:sz w:val="24"/>
          <w:szCs w:val="24"/>
        </w:rPr>
        <w:t xml:space="preserve"> în 2014, </w:t>
      </w:r>
      <w:r w:rsidRPr="00263395">
        <w:rPr>
          <w:rFonts w:ascii="Arial Narrow" w:hAnsi="Arial Narrow"/>
          <w:b/>
          <w:sz w:val="24"/>
          <w:szCs w:val="24"/>
        </w:rPr>
        <w:t xml:space="preserve">execuția lucrărilor de construcții </w:t>
      </w:r>
      <w:r w:rsidRPr="00263395">
        <w:rPr>
          <w:rFonts w:ascii="Arial Narrow" w:hAnsi="Arial Narrow"/>
          <w:sz w:val="24"/>
          <w:szCs w:val="24"/>
        </w:rPr>
        <w:t xml:space="preserve">(grupa CAEN F), a generat, la nivel național, o valoare adăugată brută (VAB) de aprox. 15 miliarde de euro, reprezentând 6,29% din PIB-ul României și însumat aproximativ 329.208 angajați. Comparativ, regiunea Centru are 11,22 % din PIB-ul național, iar </w:t>
      </w:r>
      <w:r w:rsidRPr="00263395">
        <w:rPr>
          <w:rFonts w:ascii="Arial Narrow" w:hAnsi="Arial Narrow"/>
          <w:b/>
          <w:sz w:val="24"/>
          <w:szCs w:val="24"/>
        </w:rPr>
        <w:t>domeniul construcțiilor a generat o VAB de 7,91%  din PIB-ul regiona</w:t>
      </w:r>
      <w:r w:rsidRPr="00263395">
        <w:rPr>
          <w:rFonts w:ascii="Arial Narrow" w:hAnsi="Arial Narrow"/>
          <w:sz w:val="24"/>
          <w:szCs w:val="24"/>
        </w:rPr>
        <w:t>l</w:t>
      </w:r>
      <w:r w:rsidRPr="00263395">
        <w:rPr>
          <w:rStyle w:val="Referinnotdesubsol"/>
          <w:rFonts w:ascii="Arial Narrow" w:hAnsi="Arial Narrow"/>
          <w:sz w:val="24"/>
          <w:szCs w:val="24"/>
        </w:rPr>
        <w:footnoteReference w:id="21"/>
      </w:r>
      <w:r w:rsidRPr="00263395">
        <w:rPr>
          <w:rFonts w:ascii="Arial Narrow" w:hAnsi="Arial Narrow"/>
          <w:sz w:val="24"/>
          <w:szCs w:val="24"/>
        </w:rPr>
        <w:t xml:space="preserve">. </w:t>
      </w:r>
      <w:r w:rsidRPr="00263395">
        <w:rPr>
          <w:rFonts w:ascii="Arial Narrow" w:hAnsi="Arial Narrow"/>
          <w:b/>
          <w:sz w:val="24"/>
          <w:szCs w:val="24"/>
        </w:rPr>
        <w:t>Cifra de afaceri totală generată în 2014 de companiile din regiune care activează în acest sector (subsectoarele selectate ale grupurilor CAEN F) a fost de cca</w:t>
      </w:r>
      <w:r>
        <w:rPr>
          <w:rFonts w:ascii="Arial Narrow" w:hAnsi="Arial Narrow"/>
          <w:b/>
          <w:sz w:val="24"/>
          <w:szCs w:val="24"/>
        </w:rPr>
        <w:t>.</w:t>
      </w:r>
      <w:r w:rsidRPr="00263395">
        <w:rPr>
          <w:rFonts w:ascii="Arial Narrow" w:hAnsi="Arial Narrow"/>
          <w:b/>
          <w:sz w:val="24"/>
          <w:szCs w:val="24"/>
        </w:rPr>
        <w:t xml:space="preserve"> 1,54 miliarde de euro.</w:t>
      </w:r>
      <w:r w:rsidRPr="00263395">
        <w:rPr>
          <w:rFonts w:ascii="Arial Narrow" w:hAnsi="Arial Narrow"/>
          <w:sz w:val="24"/>
          <w:szCs w:val="24"/>
        </w:rPr>
        <w:t xml:space="preserve">  Raportat la cifra de afaceri de la nivel național</w:t>
      </w:r>
      <w:r w:rsidRPr="00263395">
        <w:rPr>
          <w:rStyle w:val="Referinnotdesubsol"/>
          <w:rFonts w:ascii="Arial Narrow" w:hAnsi="Arial Narrow"/>
          <w:sz w:val="24"/>
          <w:szCs w:val="24"/>
        </w:rPr>
        <w:footnoteReference w:id="22"/>
      </w:r>
      <w:r w:rsidRPr="00263395">
        <w:rPr>
          <w:rFonts w:ascii="Arial Narrow" w:hAnsi="Arial Narrow"/>
          <w:sz w:val="24"/>
          <w:szCs w:val="24"/>
        </w:rPr>
        <w:t xml:space="preserve">, în </w:t>
      </w:r>
      <w:r w:rsidRPr="00263395">
        <w:rPr>
          <w:rFonts w:ascii="Arial Narrow" w:hAnsi="Arial Narrow"/>
          <w:b/>
          <w:sz w:val="24"/>
          <w:szCs w:val="24"/>
        </w:rPr>
        <w:t>2014 înreprinderile active din regiunea Centru au generat o CA totală de circa 10,2%  în domeniul lucrărilor de construcții</w:t>
      </w:r>
      <w:r w:rsidRPr="00263395">
        <w:rPr>
          <w:rFonts w:ascii="Arial Narrow" w:hAnsi="Arial Narrow"/>
          <w:sz w:val="24"/>
          <w:szCs w:val="24"/>
        </w:rPr>
        <w:t>, fiind pe locul trei după regiunile București Ilfov și Nord Vest.</w:t>
      </w:r>
    </w:p>
    <w:p w:rsidR="00EA5F90" w:rsidRDefault="00EA5F90" w:rsidP="00064502">
      <w:pPr>
        <w:pStyle w:val="Listparagraf"/>
        <w:numPr>
          <w:ilvl w:val="0"/>
          <w:numId w:val="35"/>
        </w:numPr>
        <w:autoSpaceDE w:val="0"/>
        <w:autoSpaceDN w:val="0"/>
        <w:adjustRightInd w:val="0"/>
        <w:spacing w:afterLines="120" w:line="240" w:lineRule="auto"/>
        <w:ind w:left="0" w:firstLine="360"/>
        <w:jc w:val="both"/>
        <w:rPr>
          <w:rFonts w:ascii="Arial Narrow" w:hAnsi="Arial Narrow"/>
          <w:sz w:val="24"/>
          <w:szCs w:val="24"/>
        </w:rPr>
      </w:pPr>
      <w:r>
        <w:rPr>
          <w:noProof/>
          <w:lang w:val="en-US" w:eastAsia="en-US"/>
        </w:rPr>
        <w:drawing>
          <wp:anchor distT="0" distB="0" distL="114300" distR="114300" simplePos="0" relativeHeight="251674624" behindDoc="0" locked="0" layoutInCell="1" allowOverlap="1">
            <wp:simplePos x="0" y="0"/>
            <wp:positionH relativeFrom="margin">
              <wp:align>right</wp:align>
            </wp:positionH>
            <wp:positionV relativeFrom="paragraph">
              <wp:posOffset>86360</wp:posOffset>
            </wp:positionV>
            <wp:extent cx="2353310" cy="1993265"/>
            <wp:effectExtent l="19050" t="0" r="8890" b="0"/>
            <wp:wrapSquare wrapText="bothSides"/>
            <wp:docPr id="33"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40"/>
                    <a:srcRect/>
                    <a:stretch>
                      <a:fillRect/>
                    </a:stretch>
                  </pic:blipFill>
                  <pic:spPr bwMode="auto">
                    <a:xfrm>
                      <a:off x="0" y="0"/>
                      <a:ext cx="2353310" cy="1993265"/>
                    </a:xfrm>
                    <a:prstGeom prst="rect">
                      <a:avLst/>
                    </a:prstGeom>
                    <a:noFill/>
                  </pic:spPr>
                </pic:pic>
              </a:graphicData>
            </a:graphic>
          </wp:anchor>
        </w:drawing>
      </w:r>
      <w:r w:rsidRPr="00263395">
        <w:rPr>
          <w:rFonts w:ascii="Arial Narrow" w:hAnsi="Arial Narrow"/>
          <w:sz w:val="24"/>
          <w:szCs w:val="24"/>
        </w:rPr>
        <w:t>în domeniul</w:t>
      </w:r>
      <w:r w:rsidRPr="00263395">
        <w:rPr>
          <w:rFonts w:ascii="Arial Narrow" w:hAnsi="Arial Narrow"/>
          <w:b/>
          <w:sz w:val="24"/>
          <w:szCs w:val="24"/>
        </w:rPr>
        <w:t xml:space="preserve"> producţiei şi furnizării de energie electrică şi termică, gaze, apă caldă şi aer condiţionat</w:t>
      </w:r>
      <w:r w:rsidRPr="00263395">
        <w:rPr>
          <w:rFonts w:ascii="Arial Narrow" w:hAnsi="Arial Narrow"/>
          <w:sz w:val="24"/>
          <w:szCs w:val="24"/>
        </w:rPr>
        <w:t xml:space="preserve"> (cod CAEN 35) la nivelul regiunii s-a observat u</w:t>
      </w:r>
      <w:r w:rsidRPr="00263395">
        <w:rPr>
          <w:rFonts w:ascii="Arial Narrow" w:hAnsi="Arial Narrow"/>
          <w:b/>
          <w:sz w:val="24"/>
          <w:szCs w:val="24"/>
        </w:rPr>
        <w:t>n trend ascendent în ceea ce privește numărul firmelor</w:t>
      </w:r>
      <w:r w:rsidRPr="00263395">
        <w:rPr>
          <w:rFonts w:ascii="Arial Narrow" w:hAnsi="Arial Narrow"/>
          <w:sz w:val="24"/>
          <w:szCs w:val="24"/>
        </w:rPr>
        <w:t xml:space="preserve"> din regiune, respectiv de la 74 în 2010 la 158 în anul 2014. O creștere importantă s-a observat în județul Covasna unde în 2014 s-au înregistrat șapte firme active față de nicio firmă în 2013. Cele mai multe fi</w:t>
      </w:r>
      <w:r>
        <w:rPr>
          <w:rFonts w:ascii="Arial Narrow" w:hAnsi="Arial Narrow"/>
          <w:sz w:val="24"/>
          <w:szCs w:val="24"/>
        </w:rPr>
        <w:t>r</w:t>
      </w:r>
      <w:r w:rsidRPr="00263395">
        <w:rPr>
          <w:rFonts w:ascii="Arial Narrow" w:hAnsi="Arial Narrow"/>
          <w:sz w:val="24"/>
          <w:szCs w:val="24"/>
        </w:rPr>
        <w:t>me au fost în județele Brașov și Sibiu. Raportat la nivel național, în regiunea Centru au fost înregistrate 10,52% din firmele cu activitate în domeniu, regiunea poziționându-se pe locul patru după București</w:t>
      </w:r>
      <w:r>
        <w:rPr>
          <w:rFonts w:ascii="Arial Narrow" w:hAnsi="Arial Narrow"/>
          <w:sz w:val="24"/>
          <w:szCs w:val="24"/>
        </w:rPr>
        <w:t>-</w:t>
      </w:r>
      <w:r w:rsidRPr="00263395">
        <w:rPr>
          <w:rFonts w:ascii="Arial Narrow" w:hAnsi="Arial Narrow"/>
          <w:sz w:val="24"/>
          <w:szCs w:val="24"/>
        </w:rPr>
        <w:t>Ilfov (533 întreprinderi active), Nor</w:t>
      </w:r>
      <w:r>
        <w:rPr>
          <w:rFonts w:ascii="Arial Narrow" w:hAnsi="Arial Narrow"/>
          <w:sz w:val="24"/>
          <w:szCs w:val="24"/>
        </w:rPr>
        <w:t>d-</w:t>
      </w:r>
      <w:r w:rsidRPr="00263395">
        <w:rPr>
          <w:rFonts w:ascii="Arial Narrow" w:hAnsi="Arial Narrow"/>
          <w:sz w:val="24"/>
          <w:szCs w:val="24"/>
        </w:rPr>
        <w:t>Vest (241 întreprinderi active) și Vest (167 întreprinderi active).</w:t>
      </w:r>
    </w:p>
    <w:p w:rsidR="00EA5F90" w:rsidRPr="00485685" w:rsidRDefault="00EA5F90" w:rsidP="00064502">
      <w:pPr>
        <w:pStyle w:val="Listparagraf"/>
        <w:numPr>
          <w:ilvl w:val="0"/>
          <w:numId w:val="35"/>
        </w:numPr>
        <w:autoSpaceDE w:val="0"/>
        <w:autoSpaceDN w:val="0"/>
        <w:adjustRightInd w:val="0"/>
        <w:spacing w:afterLines="120" w:line="240" w:lineRule="auto"/>
        <w:ind w:left="0" w:firstLine="360"/>
        <w:jc w:val="both"/>
        <w:rPr>
          <w:rFonts w:ascii="Arial Narrow" w:hAnsi="Arial Narrow"/>
          <w:sz w:val="24"/>
          <w:szCs w:val="24"/>
        </w:rPr>
      </w:pPr>
      <w:r w:rsidRPr="00485685">
        <w:rPr>
          <w:rFonts w:ascii="Arial Narrow" w:hAnsi="Arial Narrow"/>
          <w:sz w:val="24"/>
        </w:rPr>
        <w:t xml:space="preserve">întreprinderile care activează în </w:t>
      </w:r>
      <w:r w:rsidRPr="00485685">
        <w:rPr>
          <w:rFonts w:ascii="Arial Narrow" w:hAnsi="Arial Narrow"/>
          <w:b/>
          <w:sz w:val="24"/>
        </w:rPr>
        <w:t>domeniul distribuției apei, salubritate, gestionarea deşeurilor, activităţi de decontaminare a terenurilor</w:t>
      </w:r>
      <w:r w:rsidRPr="00485685">
        <w:rPr>
          <w:rFonts w:ascii="Arial Narrow" w:hAnsi="Arial Narrow"/>
          <w:sz w:val="24"/>
        </w:rPr>
        <w:t xml:space="preserve"> (codurile CAEN 36-39) </w:t>
      </w:r>
      <w:r w:rsidRPr="00485685">
        <w:rPr>
          <w:rFonts w:ascii="Arial Narrow" w:hAnsi="Arial Narrow"/>
          <w:b/>
          <w:sz w:val="24"/>
        </w:rPr>
        <w:t xml:space="preserve">din regiunea Centru au întregistrat în 2014 o cifră totală de afaceri de 392,51 milioane  euro, clasându-se pe locul  patru </w:t>
      </w:r>
      <w:r>
        <w:rPr>
          <w:rFonts w:ascii="Arial Narrow" w:hAnsi="Arial Narrow"/>
          <w:sz w:val="24"/>
        </w:rPr>
        <w:t>după regiunile București-</w:t>
      </w:r>
      <w:r w:rsidRPr="00485685">
        <w:rPr>
          <w:rFonts w:ascii="Arial Narrow" w:hAnsi="Arial Narrow"/>
          <w:sz w:val="24"/>
        </w:rPr>
        <w:t>Ilfov, Sud</w:t>
      </w:r>
      <w:r>
        <w:rPr>
          <w:rFonts w:ascii="Arial Narrow" w:hAnsi="Arial Narrow"/>
          <w:sz w:val="24"/>
        </w:rPr>
        <w:t>-</w:t>
      </w:r>
      <w:r w:rsidRPr="00485685">
        <w:rPr>
          <w:rFonts w:ascii="Arial Narrow" w:hAnsi="Arial Narrow"/>
          <w:sz w:val="24"/>
        </w:rPr>
        <w:t>Est și Sud</w:t>
      </w:r>
      <w:r>
        <w:rPr>
          <w:rFonts w:ascii="Arial Narrow" w:hAnsi="Arial Narrow"/>
          <w:sz w:val="24"/>
        </w:rPr>
        <w:t>-</w:t>
      </w:r>
      <w:r w:rsidRPr="00485685">
        <w:rPr>
          <w:rFonts w:ascii="Arial Narrow" w:hAnsi="Arial Narrow"/>
          <w:sz w:val="24"/>
        </w:rPr>
        <w:t>Muntenia.  Comparativ cu regiunea clasată pe locul 3, regiunea Centru  se află la o diferenţă de 0,4 puncte procentuale, respectiv 11,23 milioane euro.</w:t>
      </w:r>
    </w:p>
    <w:p w:rsidR="00EA5F90" w:rsidRPr="00485685" w:rsidRDefault="00EA5F90" w:rsidP="00064502">
      <w:pPr>
        <w:pStyle w:val="Listparagraf"/>
        <w:autoSpaceDE w:val="0"/>
        <w:autoSpaceDN w:val="0"/>
        <w:adjustRightInd w:val="0"/>
        <w:spacing w:afterLines="120" w:line="240" w:lineRule="auto"/>
        <w:ind w:left="0"/>
        <w:jc w:val="both"/>
        <w:rPr>
          <w:rFonts w:ascii="Arial Narrow" w:hAnsi="Arial Narrow"/>
          <w:sz w:val="24"/>
          <w:szCs w:val="24"/>
        </w:rPr>
      </w:pPr>
      <w:r>
        <w:rPr>
          <w:rFonts w:ascii="Arial Narrow" w:hAnsi="Arial Narrow"/>
          <w:b/>
          <w:noProof/>
          <w:sz w:val="24"/>
          <w:szCs w:val="24"/>
          <w:lang w:val="en-US" w:eastAsia="en-US"/>
        </w:rPr>
        <w:drawing>
          <wp:anchor distT="0" distB="0" distL="114300" distR="114300" simplePos="0" relativeHeight="251677696" behindDoc="0" locked="0" layoutInCell="1" allowOverlap="1">
            <wp:simplePos x="0" y="0"/>
            <wp:positionH relativeFrom="margin">
              <wp:posOffset>3348355</wp:posOffset>
            </wp:positionH>
            <wp:positionV relativeFrom="paragraph">
              <wp:posOffset>248920</wp:posOffset>
            </wp:positionV>
            <wp:extent cx="2353310" cy="1990725"/>
            <wp:effectExtent l="19050" t="0" r="8890" b="0"/>
            <wp:wrapSquare wrapText="bothSides"/>
            <wp:docPr id="30" name="Chart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3"/>
                    <pic:cNvPicPr>
                      <a:picLocks noChangeArrowheads="1"/>
                    </pic:cNvPicPr>
                  </pic:nvPicPr>
                  <pic:blipFill>
                    <a:blip r:embed="rId41"/>
                    <a:srcRect/>
                    <a:stretch>
                      <a:fillRect/>
                    </a:stretch>
                  </pic:blipFill>
                  <pic:spPr bwMode="auto">
                    <a:xfrm>
                      <a:off x="0" y="0"/>
                      <a:ext cx="2353310" cy="1990725"/>
                    </a:xfrm>
                    <a:prstGeom prst="rect">
                      <a:avLst/>
                    </a:prstGeom>
                    <a:noFill/>
                  </pic:spPr>
                </pic:pic>
              </a:graphicData>
            </a:graphic>
          </wp:anchor>
        </w:drawing>
      </w:r>
      <w:fldSimple w:instr=" REF _Ref459715907 \h  \* MERGEFORMAT ">
        <w:r w:rsidRPr="00084897">
          <w:rPr>
            <w:rFonts w:ascii="Arial Narrow" w:hAnsi="Arial Narrow"/>
            <w:b/>
          </w:rPr>
          <w:t xml:space="preserve">Tabel </w:t>
        </w:r>
        <w:r w:rsidRPr="00084897">
          <w:rPr>
            <w:rFonts w:ascii="Arial Narrow" w:hAnsi="Arial Narrow"/>
            <w:b/>
            <w:noProof/>
          </w:rPr>
          <w:t>1</w:t>
        </w:r>
      </w:fldSimple>
      <w:r w:rsidRPr="00485685">
        <w:rPr>
          <w:rFonts w:ascii="Arial Narrow" w:hAnsi="Arial Narrow"/>
          <w:sz w:val="24"/>
          <w:szCs w:val="24"/>
        </w:rPr>
        <w:t xml:space="preserve"> prezintă ponderea cifrei totale de afaceri a întreprinderilor active din domeniul materialelor de construcții, producției energiei și distribuției apei, salubritate, gestionarea deșeurilor și activități de </w:t>
      </w:r>
      <w:r w:rsidRPr="00485685">
        <w:rPr>
          <w:rFonts w:ascii="Arial Narrow" w:hAnsi="Arial Narrow"/>
          <w:sz w:val="24"/>
          <w:szCs w:val="24"/>
        </w:rPr>
        <w:lastRenderedPageBreak/>
        <w:t xml:space="preserve">decontaminare, precum și </w:t>
      </w:r>
      <w:r>
        <w:rPr>
          <w:rFonts w:ascii="Arial Narrow" w:hAnsi="Arial Narrow"/>
          <w:sz w:val="24"/>
          <w:szCs w:val="24"/>
        </w:rPr>
        <w:t>execuției luc</w:t>
      </w:r>
      <w:r w:rsidRPr="00485685">
        <w:rPr>
          <w:rFonts w:ascii="Arial Narrow" w:hAnsi="Arial Narrow"/>
          <w:sz w:val="24"/>
          <w:szCs w:val="24"/>
        </w:rPr>
        <w:t>rărilor de construcții</w:t>
      </w:r>
      <w:r>
        <w:rPr>
          <w:rFonts w:ascii="Arial Narrow" w:hAnsi="Arial Narrow"/>
          <w:sz w:val="24"/>
          <w:szCs w:val="24"/>
        </w:rPr>
        <w:t>,</w:t>
      </w:r>
      <w:r w:rsidRPr="00485685">
        <w:rPr>
          <w:rFonts w:ascii="Arial Narrow" w:hAnsi="Arial Narrow"/>
          <w:sz w:val="24"/>
          <w:szCs w:val="24"/>
        </w:rPr>
        <w:t xml:space="preserve"> raportat la cifra de totală de afaceri de la nivel național. Conform datelor prezentate mai jos,  </w:t>
      </w:r>
      <w:r w:rsidRPr="00485685">
        <w:rPr>
          <w:rFonts w:ascii="Arial Narrow" w:hAnsi="Arial Narrow"/>
          <w:b/>
          <w:sz w:val="24"/>
          <w:szCs w:val="24"/>
        </w:rPr>
        <w:t>cele mai reprezentative activități economice la nivel regional sunt</w:t>
      </w:r>
      <w:r w:rsidRPr="00485685">
        <w:rPr>
          <w:rFonts w:ascii="Arial Narrow" w:hAnsi="Arial Narrow"/>
          <w:sz w:val="24"/>
          <w:szCs w:val="24"/>
        </w:rPr>
        <w:t xml:space="preserve"> </w:t>
      </w:r>
      <w:r w:rsidRPr="00485685">
        <w:rPr>
          <w:rFonts w:ascii="Arial Narrow" w:hAnsi="Arial Narrow"/>
          <w:b/>
          <w:sz w:val="24"/>
          <w:szCs w:val="24"/>
        </w:rPr>
        <w:t>prelucrarea lemnului</w:t>
      </w:r>
      <w:r w:rsidRPr="00485685">
        <w:rPr>
          <w:rFonts w:ascii="Arial Narrow" w:hAnsi="Arial Narrow"/>
          <w:sz w:val="24"/>
          <w:szCs w:val="24"/>
        </w:rPr>
        <w:t xml:space="preserve"> (CAEN 16) și </w:t>
      </w:r>
      <w:r w:rsidRPr="00485685">
        <w:rPr>
          <w:rFonts w:ascii="Arial Narrow" w:hAnsi="Arial Narrow"/>
          <w:b/>
          <w:sz w:val="24"/>
          <w:szCs w:val="24"/>
        </w:rPr>
        <w:t>fabricarea substanțelor și produselor chimice</w:t>
      </w:r>
      <w:r>
        <w:rPr>
          <w:rFonts w:ascii="Arial Narrow" w:hAnsi="Arial Narrow"/>
          <w:b/>
          <w:sz w:val="24"/>
          <w:szCs w:val="24"/>
        </w:rPr>
        <w:t xml:space="preserve"> </w:t>
      </w:r>
      <w:r w:rsidRPr="000F3B46">
        <w:rPr>
          <w:rFonts w:ascii="Arial Narrow" w:hAnsi="Arial Narrow"/>
          <w:sz w:val="24"/>
          <w:szCs w:val="24"/>
        </w:rPr>
        <w:t>(CAEN 20).</w:t>
      </w:r>
      <w:r w:rsidRPr="00485685">
        <w:rPr>
          <w:rFonts w:ascii="Arial Narrow" w:hAnsi="Arial Narrow"/>
          <w:sz w:val="24"/>
          <w:szCs w:val="24"/>
        </w:rPr>
        <w:t xml:space="preserve"> Po</w:t>
      </w:r>
      <w:r>
        <w:rPr>
          <w:rFonts w:ascii="Arial Narrow" w:hAnsi="Arial Narrow"/>
          <w:sz w:val="24"/>
          <w:szCs w:val="24"/>
        </w:rPr>
        <w:t>n</w:t>
      </w:r>
      <w:r w:rsidRPr="00485685">
        <w:rPr>
          <w:rFonts w:ascii="Arial Narrow" w:hAnsi="Arial Narrow"/>
          <w:sz w:val="24"/>
          <w:szCs w:val="24"/>
        </w:rPr>
        <w:t>derea mare a cifrei de afaceri de la nivel regional a act</w:t>
      </w:r>
      <w:r>
        <w:rPr>
          <w:rFonts w:ascii="Arial Narrow" w:hAnsi="Arial Narrow"/>
          <w:sz w:val="24"/>
          <w:szCs w:val="24"/>
        </w:rPr>
        <w:t>ivităților legate de prelucrare</w:t>
      </w:r>
      <w:r w:rsidRPr="00485685">
        <w:rPr>
          <w:rFonts w:ascii="Arial Narrow" w:hAnsi="Arial Narrow"/>
          <w:sz w:val="24"/>
          <w:szCs w:val="24"/>
        </w:rPr>
        <w:t>a lemnului este dată de resursele existente; în ceea ce privește activitatea privind fabricarea substan</w:t>
      </w:r>
      <w:r>
        <w:rPr>
          <w:rFonts w:ascii="Arial Narrow" w:hAnsi="Arial Narrow"/>
          <w:sz w:val="24"/>
          <w:szCs w:val="24"/>
        </w:rPr>
        <w:t>ț</w:t>
      </w:r>
      <w:r w:rsidRPr="00485685">
        <w:rPr>
          <w:rFonts w:ascii="Arial Narrow" w:hAnsi="Arial Narrow"/>
          <w:sz w:val="24"/>
          <w:szCs w:val="24"/>
        </w:rPr>
        <w:t xml:space="preserve">elor </w:t>
      </w:r>
      <w:r>
        <w:rPr>
          <w:rFonts w:ascii="Arial Narrow" w:hAnsi="Arial Narrow"/>
          <w:sz w:val="24"/>
          <w:szCs w:val="24"/>
        </w:rPr>
        <w:t>ș</w:t>
      </w:r>
      <w:r w:rsidRPr="00485685">
        <w:rPr>
          <w:rFonts w:ascii="Arial Narrow" w:hAnsi="Arial Narrow"/>
          <w:sz w:val="24"/>
          <w:szCs w:val="24"/>
        </w:rPr>
        <w:t>i a produselor chimice, ponderea este justificată de existența unor</w:t>
      </w:r>
      <w:r>
        <w:rPr>
          <w:rFonts w:ascii="Arial Narrow" w:hAnsi="Arial Narrow"/>
          <w:sz w:val="24"/>
          <w:szCs w:val="24"/>
        </w:rPr>
        <w:t xml:space="preserve"> mari</w:t>
      </w:r>
      <w:r w:rsidRPr="00485685">
        <w:rPr>
          <w:rFonts w:ascii="Arial Narrow" w:hAnsi="Arial Narrow"/>
          <w:sz w:val="24"/>
          <w:szCs w:val="24"/>
        </w:rPr>
        <w:t xml:space="preserve"> unități de producție</w:t>
      </w:r>
      <w:r>
        <w:rPr>
          <w:rFonts w:ascii="Arial Narrow" w:hAnsi="Arial Narrow"/>
          <w:sz w:val="24"/>
          <w:szCs w:val="24"/>
        </w:rPr>
        <w:t>,</w:t>
      </w:r>
      <w:r w:rsidRPr="00485685">
        <w:rPr>
          <w:rFonts w:ascii="Arial Narrow" w:hAnsi="Arial Narrow"/>
          <w:sz w:val="24"/>
          <w:szCs w:val="24"/>
        </w:rPr>
        <w:t xml:space="preserve"> cu tradiție în regiune (ex. Azomureș</w:t>
      </w:r>
      <w:r w:rsidRPr="00263395">
        <w:rPr>
          <w:rStyle w:val="Referinnotdesubsol"/>
          <w:rFonts w:ascii="Arial Narrow" w:hAnsi="Arial Narrow"/>
          <w:sz w:val="24"/>
          <w:szCs w:val="24"/>
        </w:rPr>
        <w:footnoteReference w:id="23"/>
      </w:r>
      <w:r w:rsidRPr="00485685">
        <w:rPr>
          <w:rFonts w:ascii="Arial Narrow" w:hAnsi="Arial Narrow"/>
          <w:sz w:val="24"/>
          <w:szCs w:val="24"/>
        </w:rPr>
        <w:t xml:space="preserve"> - cel mai mare producător de îngrășăminte chimice din România, Viromet SA -  se află în topul</w:t>
      </w:r>
      <w:r>
        <w:rPr>
          <w:rFonts w:ascii="Arial Narrow" w:hAnsi="Arial Narrow"/>
          <w:sz w:val="24"/>
          <w:szCs w:val="24"/>
        </w:rPr>
        <w:t xml:space="preserve"> național al</w:t>
      </w:r>
      <w:r w:rsidRPr="00485685">
        <w:rPr>
          <w:rFonts w:ascii="Arial Narrow" w:hAnsi="Arial Narrow"/>
          <w:sz w:val="24"/>
          <w:szCs w:val="24"/>
        </w:rPr>
        <w:t xml:space="preserve"> producătoril</w:t>
      </w:r>
      <w:r>
        <w:rPr>
          <w:rFonts w:ascii="Arial Narrow" w:hAnsi="Arial Narrow"/>
          <w:sz w:val="24"/>
          <w:szCs w:val="24"/>
        </w:rPr>
        <w:t>or şi exportatorilor de metanol/</w:t>
      </w:r>
      <w:r w:rsidRPr="00485685">
        <w:rPr>
          <w:rFonts w:ascii="Arial Narrow" w:hAnsi="Arial Narrow"/>
          <w:sz w:val="24"/>
          <w:szCs w:val="24"/>
        </w:rPr>
        <w:t>alte produse chimice). Dintre întreprinderile active</w:t>
      </w:r>
      <w:r>
        <w:rPr>
          <w:rFonts w:ascii="Arial Narrow" w:hAnsi="Arial Narrow"/>
          <w:sz w:val="24"/>
          <w:szCs w:val="24"/>
        </w:rPr>
        <w:t xml:space="preserve"> î</w:t>
      </w:r>
      <w:r w:rsidRPr="00485685">
        <w:rPr>
          <w:rFonts w:ascii="Arial Narrow" w:hAnsi="Arial Narrow"/>
          <w:sz w:val="24"/>
          <w:szCs w:val="24"/>
        </w:rPr>
        <w:t>n domeniul fabricării vopselelor, lacurilor, cernelii tipografice și masticurilor</w:t>
      </w:r>
      <w:r>
        <w:rPr>
          <w:rFonts w:ascii="Arial Narrow" w:hAnsi="Arial Narrow"/>
          <w:sz w:val="24"/>
          <w:szCs w:val="24"/>
        </w:rPr>
        <w:t>,</w:t>
      </w:r>
      <w:r w:rsidRPr="00485685">
        <w:rPr>
          <w:rFonts w:ascii="Arial Narrow" w:hAnsi="Arial Narrow"/>
          <w:sz w:val="24"/>
          <w:szCs w:val="24"/>
        </w:rPr>
        <w:t xml:space="preserve">  la nivel regional</w:t>
      </w:r>
      <w:r>
        <w:rPr>
          <w:rFonts w:ascii="Arial Narrow" w:hAnsi="Arial Narrow"/>
          <w:sz w:val="24"/>
          <w:szCs w:val="24"/>
        </w:rPr>
        <w:t>,</w:t>
      </w:r>
      <w:r w:rsidRPr="00485685">
        <w:rPr>
          <w:rFonts w:ascii="Arial Narrow" w:hAnsi="Arial Narrow"/>
          <w:sz w:val="24"/>
          <w:szCs w:val="24"/>
        </w:rPr>
        <w:t xml:space="preserve"> s-a evidențiat </w:t>
      </w:r>
      <w:r>
        <w:rPr>
          <w:rFonts w:ascii="Arial Narrow" w:hAnsi="Arial Narrow"/>
          <w:sz w:val="24"/>
          <w:szCs w:val="24"/>
        </w:rPr>
        <w:t>o firmă din Mureș</w:t>
      </w:r>
      <w:r>
        <w:rPr>
          <w:rStyle w:val="Referinnotdesubsol"/>
          <w:rFonts w:ascii="Arial Narrow" w:hAnsi="Arial Narrow"/>
          <w:sz w:val="24"/>
          <w:szCs w:val="24"/>
        </w:rPr>
        <w:footnoteReference w:id="24"/>
      </w:r>
      <w:r>
        <w:rPr>
          <w:rFonts w:ascii="Arial Narrow" w:hAnsi="Arial Narrow"/>
          <w:sz w:val="24"/>
          <w:szCs w:val="24"/>
        </w:rPr>
        <w:t>, r</w:t>
      </w:r>
      <w:r w:rsidRPr="00485685">
        <w:rPr>
          <w:rFonts w:ascii="Arial Narrow" w:hAnsi="Arial Narrow"/>
          <w:sz w:val="24"/>
          <w:szCs w:val="24"/>
        </w:rPr>
        <w:t xml:space="preserve">eprezentanță a unuia </w:t>
      </w:r>
      <w:r>
        <w:rPr>
          <w:rFonts w:ascii="Arial Narrow" w:hAnsi="Arial Narrow"/>
          <w:sz w:val="24"/>
          <w:szCs w:val="24"/>
        </w:rPr>
        <w:t>dintre cei mai mari producători de  vopsele</w:t>
      </w:r>
      <w:r w:rsidRPr="00485685">
        <w:rPr>
          <w:rFonts w:ascii="Arial Narrow" w:hAnsi="Arial Narrow"/>
          <w:sz w:val="24"/>
          <w:szCs w:val="24"/>
        </w:rPr>
        <w:t xml:space="preserve"> şi materiale de finisaj în construcţii</w:t>
      </w:r>
      <w:r>
        <w:rPr>
          <w:rFonts w:ascii="Arial Narrow" w:hAnsi="Arial Narrow"/>
          <w:sz w:val="24"/>
          <w:szCs w:val="24"/>
        </w:rPr>
        <w:t xml:space="preserve"> din Europa</w:t>
      </w:r>
      <w:r w:rsidRPr="00485685">
        <w:rPr>
          <w:rFonts w:ascii="Arial Narrow" w:hAnsi="Arial Narrow"/>
          <w:sz w:val="24"/>
          <w:szCs w:val="24"/>
        </w:rPr>
        <w:t xml:space="preserve">, </w:t>
      </w:r>
      <w:r>
        <w:rPr>
          <w:rFonts w:ascii="Arial Narrow" w:hAnsi="Arial Narrow"/>
          <w:sz w:val="24"/>
          <w:szCs w:val="24"/>
        </w:rPr>
        <w:t xml:space="preserve">cu </w:t>
      </w:r>
      <w:r w:rsidRPr="00485685">
        <w:rPr>
          <w:rFonts w:ascii="Arial Narrow" w:hAnsi="Arial Narrow"/>
          <w:sz w:val="24"/>
          <w:szCs w:val="24"/>
        </w:rPr>
        <w:t>peste 200 de angajați și o cifră de afaceri totală în 2014 de peste 15 milioane de euro.</w:t>
      </w:r>
    </w:p>
    <w:p w:rsidR="00EA5F90" w:rsidRPr="00263395" w:rsidRDefault="00EA5F90" w:rsidP="00EA5F90">
      <w:pPr>
        <w:pStyle w:val="Legend"/>
        <w:spacing w:after="0"/>
        <w:jc w:val="center"/>
        <w:rPr>
          <w:rFonts w:ascii="Arial Narrow" w:hAnsi="Arial Narrow"/>
          <w:b w:val="0"/>
          <w:szCs w:val="24"/>
        </w:rPr>
      </w:pPr>
      <w:bookmarkStart w:id="2" w:name="_Ref459715907"/>
      <w:r w:rsidRPr="00263395">
        <w:rPr>
          <w:rFonts w:ascii="Arial Narrow" w:hAnsi="Arial Narrow"/>
        </w:rPr>
        <w:t xml:space="preserve">Tabel </w:t>
      </w:r>
      <w:r w:rsidR="00BD7229" w:rsidRPr="00263395">
        <w:rPr>
          <w:rFonts w:ascii="Arial Narrow" w:hAnsi="Arial Narrow"/>
        </w:rPr>
        <w:fldChar w:fldCharType="begin"/>
      </w:r>
      <w:r w:rsidRPr="00263395">
        <w:rPr>
          <w:rFonts w:ascii="Arial Narrow" w:hAnsi="Arial Narrow"/>
        </w:rPr>
        <w:instrText xml:space="preserve"> SEQ Tabel \* ARABIC </w:instrText>
      </w:r>
      <w:r w:rsidR="00BD7229" w:rsidRPr="00263395">
        <w:rPr>
          <w:rFonts w:ascii="Arial Narrow" w:hAnsi="Arial Narrow"/>
        </w:rPr>
        <w:fldChar w:fldCharType="separate"/>
      </w:r>
      <w:r>
        <w:rPr>
          <w:rFonts w:ascii="Arial Narrow" w:hAnsi="Arial Narrow"/>
          <w:noProof/>
        </w:rPr>
        <w:t>1</w:t>
      </w:r>
      <w:r w:rsidR="00BD7229" w:rsidRPr="00263395">
        <w:rPr>
          <w:rFonts w:ascii="Arial Narrow" w:hAnsi="Arial Narrow"/>
        </w:rPr>
        <w:fldChar w:fldCharType="end"/>
      </w:r>
      <w:bookmarkEnd w:id="2"/>
      <w:r w:rsidRPr="00263395">
        <w:rPr>
          <w:rFonts w:ascii="Arial Narrow" w:hAnsi="Arial Narrow"/>
        </w:rPr>
        <w:t>.</w:t>
      </w:r>
      <w:r w:rsidRPr="00263395">
        <w:rPr>
          <w:rFonts w:ascii="Arial Narrow" w:hAnsi="Arial Narrow"/>
          <w:b w:val="0"/>
          <w:szCs w:val="24"/>
        </w:rPr>
        <w:t>Ponderea cifrei totale de afaceri de la nivel regional raportat cu nivelul național (An de referință - 2014)</w:t>
      </w:r>
    </w:p>
    <w:tbl>
      <w:tblPr>
        <w:tblW w:w="949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tblPr>
      <w:tblGrid>
        <w:gridCol w:w="956"/>
        <w:gridCol w:w="3292"/>
        <w:gridCol w:w="1559"/>
        <w:gridCol w:w="1985"/>
        <w:gridCol w:w="1701"/>
      </w:tblGrid>
      <w:tr w:rsidR="00EA5F90" w:rsidRPr="003064E5" w:rsidTr="00EA5F90">
        <w:trPr>
          <w:trHeight w:val="457"/>
        </w:trPr>
        <w:tc>
          <w:tcPr>
            <w:tcW w:w="956" w:type="dxa"/>
            <w:tcBorders>
              <w:bottom w:val="single" w:sz="12" w:space="0" w:color="8EAADB"/>
            </w:tcBorders>
            <w:shd w:val="clear" w:color="auto" w:fill="BDD6EE"/>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Cod CAEN</w:t>
            </w:r>
          </w:p>
        </w:tc>
        <w:tc>
          <w:tcPr>
            <w:tcW w:w="3292" w:type="dxa"/>
            <w:tcBorders>
              <w:bottom w:val="single" w:sz="12" w:space="0" w:color="8EAADB"/>
            </w:tcBorders>
            <w:shd w:val="clear" w:color="auto" w:fill="BDD6EE"/>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Detaliere</w:t>
            </w:r>
          </w:p>
        </w:tc>
        <w:tc>
          <w:tcPr>
            <w:tcW w:w="1559" w:type="dxa"/>
            <w:tcBorders>
              <w:bottom w:val="single" w:sz="12" w:space="0" w:color="8EAADB"/>
            </w:tcBorders>
            <w:shd w:val="clear" w:color="auto" w:fill="BDD6EE"/>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 xml:space="preserve">CA total nivel național </w:t>
            </w:r>
            <w:r w:rsidRPr="003064E5">
              <w:rPr>
                <w:rFonts w:ascii="Arial Narrow" w:eastAsia="Times New Roman" w:hAnsi="Arial Narrow"/>
                <w:color w:val="000000"/>
                <w:sz w:val="16"/>
                <w:szCs w:val="16"/>
                <w:lang w:eastAsia="ro-RO"/>
              </w:rPr>
              <w:t>(euro)</w:t>
            </w:r>
          </w:p>
        </w:tc>
        <w:tc>
          <w:tcPr>
            <w:tcW w:w="1985" w:type="dxa"/>
            <w:tcBorders>
              <w:bottom w:val="single" w:sz="12" w:space="0" w:color="8EAADB"/>
            </w:tcBorders>
            <w:shd w:val="clear" w:color="auto" w:fill="BDD6EE"/>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 xml:space="preserve">CA total la nivel de regiune </w:t>
            </w:r>
            <w:r w:rsidRPr="003064E5">
              <w:rPr>
                <w:rFonts w:ascii="Arial Narrow" w:eastAsia="Times New Roman" w:hAnsi="Arial Narrow"/>
                <w:color w:val="000000"/>
                <w:sz w:val="16"/>
                <w:szCs w:val="16"/>
                <w:lang w:eastAsia="ro-RO"/>
              </w:rPr>
              <w:t>(euro)</w:t>
            </w:r>
          </w:p>
        </w:tc>
        <w:tc>
          <w:tcPr>
            <w:tcW w:w="1701" w:type="dxa"/>
            <w:tcBorders>
              <w:bottom w:val="single" w:sz="12" w:space="0" w:color="8EAADB"/>
            </w:tcBorders>
            <w:shd w:val="clear" w:color="auto" w:fill="BDD6EE"/>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w:t>
            </w:r>
            <w:r w:rsidRPr="003064E5">
              <w:rPr>
                <w:rFonts w:ascii="Arial Narrow" w:eastAsia="Times New Roman" w:hAnsi="Arial Narrow"/>
                <w:b/>
                <w:bCs/>
                <w:color w:val="000000"/>
                <w:sz w:val="16"/>
                <w:szCs w:val="16"/>
                <w:lang w:eastAsia="ro-RO"/>
              </w:rPr>
              <w:br/>
              <w:t xml:space="preserve">(din CA </w:t>
            </w:r>
            <w:r w:rsidRPr="003064E5">
              <w:rPr>
                <w:rFonts w:ascii="Arial Narrow" w:eastAsia="Times New Roman" w:hAnsi="Arial Narrow"/>
                <w:color w:val="000000"/>
                <w:sz w:val="16"/>
                <w:szCs w:val="16"/>
                <w:lang w:eastAsia="ro-RO"/>
              </w:rPr>
              <w:t>de la nivel național</w:t>
            </w:r>
            <w:r w:rsidRPr="003064E5">
              <w:rPr>
                <w:rFonts w:ascii="Arial Narrow" w:eastAsia="Times New Roman" w:hAnsi="Arial Narrow"/>
                <w:b/>
                <w:bCs/>
                <w:color w:val="000000"/>
                <w:sz w:val="16"/>
                <w:szCs w:val="16"/>
                <w:lang w:eastAsia="ro-RO"/>
              </w:rPr>
              <w:t>)</w:t>
            </w:r>
          </w:p>
        </w:tc>
      </w:tr>
      <w:tr w:rsidR="00EA5F90" w:rsidRPr="003064E5" w:rsidTr="00EA5F90">
        <w:trPr>
          <w:trHeight w:val="259"/>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08</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Alte activitati extractive</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431.063.207,27</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39.723.989,87</w:t>
            </w:r>
          </w:p>
        </w:tc>
        <w:tc>
          <w:tcPr>
            <w:tcW w:w="1701"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9,22</w:t>
            </w:r>
          </w:p>
        </w:tc>
      </w:tr>
      <w:tr w:rsidR="00EA5F90" w:rsidRPr="003064E5" w:rsidTr="00EA5F90">
        <w:trPr>
          <w:trHeight w:val="410"/>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16</w:t>
            </w:r>
          </w:p>
        </w:tc>
        <w:tc>
          <w:tcPr>
            <w:tcW w:w="3292" w:type="dxa"/>
            <w:shd w:val="clear" w:color="auto" w:fill="auto"/>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Prelucrare lemn (materiale de dulgherie pentru construcții, ambalaje, panouri, etc)</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2.925.019.265,20</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1.334.186.040,44</w:t>
            </w:r>
          </w:p>
        </w:tc>
        <w:tc>
          <w:tcPr>
            <w:tcW w:w="1701" w:type="dxa"/>
            <w:shd w:val="clear" w:color="auto" w:fill="auto"/>
            <w:noWrap/>
            <w:vAlign w:val="center"/>
            <w:hideMark/>
          </w:tcPr>
          <w:p w:rsidR="00EA5F90" w:rsidRPr="003064E5" w:rsidRDefault="00BD7229" w:rsidP="00EA5F90">
            <w:pPr>
              <w:spacing w:after="0" w:line="240" w:lineRule="auto"/>
              <w:jc w:val="center"/>
              <w:rPr>
                <w:rFonts w:ascii="Arial Narrow" w:eastAsia="Times New Roman" w:hAnsi="Arial Narrow"/>
                <w:b/>
                <w:color w:val="000000"/>
                <w:sz w:val="16"/>
                <w:szCs w:val="16"/>
                <w:lang w:eastAsia="ro-RO"/>
              </w:rPr>
            </w:pPr>
            <w:r w:rsidRPr="00BD7229">
              <w:rPr>
                <w:noProof/>
              </w:rPr>
              <w:pict>
                <v:oval id="Oval 25" o:spid="_x0000_s1032" style="position:absolute;left:0;text-align:left;margin-left:15.45pt;margin-top:-3.75pt;width:42pt;height:21pt;z-index:-251649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" fillcolor="yellow" strokecolor="yellow" strokeweight="1pt">
                  <v:stroke joinstyle="miter"/>
                </v:oval>
              </w:pict>
            </w:r>
            <w:r w:rsidR="00EA5F90" w:rsidRPr="003064E5">
              <w:rPr>
                <w:rFonts w:ascii="Arial Narrow" w:hAnsi="Arial Narrow"/>
                <w:b/>
                <w:sz w:val="16"/>
                <w:szCs w:val="16"/>
              </w:rPr>
              <w:t>45,61</w:t>
            </w:r>
          </w:p>
        </w:tc>
      </w:tr>
      <w:tr w:rsidR="00EA5F90" w:rsidRPr="003064E5" w:rsidTr="00EA5F90">
        <w:trPr>
          <w:trHeight w:val="233"/>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20</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Fabricarea substantelor si a produselor chimice</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2.166.603.496,26</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561.616.346,67</w:t>
            </w:r>
          </w:p>
        </w:tc>
        <w:tc>
          <w:tcPr>
            <w:tcW w:w="1701" w:type="dxa"/>
            <w:shd w:val="clear" w:color="auto" w:fill="auto"/>
            <w:noWrap/>
            <w:hideMark/>
          </w:tcPr>
          <w:p w:rsidR="00EA5F90" w:rsidRPr="003064E5" w:rsidRDefault="00BD7229" w:rsidP="00EA5F90">
            <w:pPr>
              <w:spacing w:after="0" w:line="240" w:lineRule="auto"/>
              <w:ind w:left="-108"/>
              <w:jc w:val="center"/>
              <w:rPr>
                <w:rFonts w:ascii="Arial Narrow" w:eastAsia="Times New Roman" w:hAnsi="Arial Narrow"/>
                <w:b/>
                <w:color w:val="000000"/>
                <w:sz w:val="16"/>
                <w:szCs w:val="16"/>
                <w:lang w:eastAsia="ro-RO"/>
              </w:rPr>
            </w:pPr>
            <w:r w:rsidRPr="00BD7229">
              <w:rPr>
                <w:noProof/>
              </w:rPr>
              <w:pict>
                <v:oval id="Oval 28" o:spid="_x0000_s1033" style="position:absolute;left:0;text-align:left;margin-left:13.8pt;margin-top:-2.35pt;width:44.25pt;height:18.75pt;z-index:-25164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" fillcolor="yellow" strokecolor="yellow" strokeweight="1pt">
                  <v:stroke joinstyle="miter"/>
                </v:oval>
              </w:pict>
            </w:r>
            <w:r w:rsidR="00EA5F90" w:rsidRPr="003064E5">
              <w:rPr>
                <w:rFonts w:ascii="Arial Narrow" w:hAnsi="Arial Narrow"/>
                <w:b/>
                <w:sz w:val="16"/>
                <w:szCs w:val="16"/>
              </w:rPr>
              <w:t>25,92</w:t>
            </w:r>
          </w:p>
        </w:tc>
      </w:tr>
      <w:tr w:rsidR="00EA5F90" w:rsidRPr="003064E5" w:rsidTr="00EA5F90">
        <w:trPr>
          <w:trHeight w:val="265"/>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23</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Fabricarea altor produse din minerale nemetalice</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2.535.342.613,88</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315.829.402,44</w:t>
            </w:r>
          </w:p>
        </w:tc>
        <w:tc>
          <w:tcPr>
            <w:tcW w:w="1701"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12,46</w:t>
            </w:r>
          </w:p>
        </w:tc>
      </w:tr>
      <w:tr w:rsidR="00EA5F90" w:rsidRPr="003064E5" w:rsidTr="00EA5F90">
        <w:trPr>
          <w:trHeight w:val="385"/>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35</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Producţia şi furnizarea de energie electrică şi termică, gaze, apă caldă şi aer condiţionat</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12.487.190.113,22</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1.565.503.461,45</w:t>
            </w:r>
          </w:p>
        </w:tc>
        <w:tc>
          <w:tcPr>
            <w:tcW w:w="1701"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12,54</w:t>
            </w:r>
          </w:p>
        </w:tc>
      </w:tr>
      <w:tr w:rsidR="00EA5F90" w:rsidRPr="003064E5" w:rsidTr="00EA5F90">
        <w:trPr>
          <w:trHeight w:val="107"/>
        </w:trPr>
        <w:tc>
          <w:tcPr>
            <w:tcW w:w="956" w:type="dxa"/>
            <w:shd w:val="clear" w:color="auto" w:fill="auto"/>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36</w:t>
            </w:r>
          </w:p>
        </w:tc>
        <w:tc>
          <w:tcPr>
            <w:tcW w:w="3292" w:type="dxa"/>
            <w:shd w:val="clear" w:color="auto" w:fill="auto"/>
            <w:vAlign w:val="center"/>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hAnsi="Arial Narrow"/>
                <w:sz w:val="16"/>
                <w:szCs w:val="16"/>
              </w:rPr>
              <w:t>Captarea, tratarea şi distribuţia apei</w:t>
            </w:r>
          </w:p>
        </w:tc>
        <w:tc>
          <w:tcPr>
            <w:tcW w:w="1559" w:type="dxa"/>
            <w:shd w:val="clear" w:color="auto" w:fill="auto"/>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788.937.978,85</w:t>
            </w:r>
          </w:p>
        </w:tc>
        <w:tc>
          <w:tcPr>
            <w:tcW w:w="1985"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color w:val="000000"/>
                <w:sz w:val="16"/>
                <w:szCs w:val="16"/>
              </w:rPr>
              <w:t>100.704.772,03</w:t>
            </w:r>
          </w:p>
        </w:tc>
        <w:tc>
          <w:tcPr>
            <w:tcW w:w="1701"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12,76</w:t>
            </w:r>
          </w:p>
        </w:tc>
      </w:tr>
      <w:tr w:rsidR="00EA5F90" w:rsidRPr="003064E5" w:rsidTr="00EA5F90">
        <w:trPr>
          <w:trHeight w:val="167"/>
        </w:trPr>
        <w:tc>
          <w:tcPr>
            <w:tcW w:w="956" w:type="dxa"/>
            <w:shd w:val="clear" w:color="auto" w:fill="auto"/>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37</w:t>
            </w:r>
          </w:p>
        </w:tc>
        <w:tc>
          <w:tcPr>
            <w:tcW w:w="3292" w:type="dxa"/>
            <w:shd w:val="clear" w:color="auto" w:fill="auto"/>
            <w:vAlign w:val="center"/>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hAnsi="Arial Narrow"/>
                <w:sz w:val="16"/>
                <w:szCs w:val="16"/>
              </w:rPr>
              <w:t>Colectarea şi epurarea apelor uzate</w:t>
            </w:r>
          </w:p>
        </w:tc>
        <w:tc>
          <w:tcPr>
            <w:tcW w:w="1559" w:type="dxa"/>
            <w:shd w:val="clear" w:color="auto" w:fill="auto"/>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61.193.839,65</w:t>
            </w:r>
          </w:p>
        </w:tc>
        <w:tc>
          <w:tcPr>
            <w:tcW w:w="1985"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color w:val="000000"/>
                <w:sz w:val="16"/>
                <w:szCs w:val="16"/>
              </w:rPr>
              <w:t>3.362.895,37</w:t>
            </w:r>
          </w:p>
        </w:tc>
        <w:tc>
          <w:tcPr>
            <w:tcW w:w="1701"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5,5</w:t>
            </w:r>
          </w:p>
        </w:tc>
      </w:tr>
      <w:tr w:rsidR="00EA5F90" w:rsidRPr="003064E5" w:rsidTr="00EA5F90">
        <w:trPr>
          <w:trHeight w:val="653"/>
        </w:trPr>
        <w:tc>
          <w:tcPr>
            <w:tcW w:w="956" w:type="dxa"/>
            <w:shd w:val="clear" w:color="auto" w:fill="auto"/>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38</w:t>
            </w:r>
          </w:p>
        </w:tc>
        <w:tc>
          <w:tcPr>
            <w:tcW w:w="3292" w:type="dxa"/>
            <w:shd w:val="clear" w:color="auto" w:fill="auto"/>
            <w:vAlign w:val="center"/>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hAnsi="Arial Narrow"/>
                <w:sz w:val="16"/>
                <w:szCs w:val="16"/>
              </w:rPr>
              <w:t>Colectarea, tratarea şi eliminarea deşeurilor; activităţi de recuperare a materialelor  reciclabile</w:t>
            </w:r>
          </w:p>
        </w:tc>
        <w:tc>
          <w:tcPr>
            <w:tcW w:w="1559" w:type="dxa"/>
            <w:shd w:val="clear" w:color="auto" w:fill="auto"/>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2.251.323.188,55</w:t>
            </w:r>
          </w:p>
        </w:tc>
        <w:tc>
          <w:tcPr>
            <w:tcW w:w="1985"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color w:val="000000"/>
                <w:sz w:val="16"/>
                <w:szCs w:val="16"/>
              </w:rPr>
              <w:t>288.316.305,95</w:t>
            </w:r>
          </w:p>
        </w:tc>
        <w:tc>
          <w:tcPr>
            <w:tcW w:w="1701"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12,81</w:t>
            </w:r>
          </w:p>
        </w:tc>
      </w:tr>
      <w:tr w:rsidR="00EA5F90" w:rsidRPr="003064E5" w:rsidTr="00EA5F90">
        <w:trPr>
          <w:trHeight w:val="136"/>
        </w:trPr>
        <w:tc>
          <w:tcPr>
            <w:tcW w:w="956" w:type="dxa"/>
            <w:shd w:val="clear" w:color="auto" w:fill="auto"/>
            <w:noWrap/>
            <w:vAlign w:val="center"/>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39</w:t>
            </w:r>
          </w:p>
        </w:tc>
        <w:tc>
          <w:tcPr>
            <w:tcW w:w="3292" w:type="dxa"/>
            <w:shd w:val="clear" w:color="auto" w:fill="auto"/>
            <w:vAlign w:val="center"/>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hAnsi="Arial Narrow"/>
                <w:sz w:val="16"/>
                <w:szCs w:val="16"/>
              </w:rPr>
              <w:t>Activităţi  şi servicii de decontaminare</w:t>
            </w:r>
          </w:p>
        </w:tc>
        <w:tc>
          <w:tcPr>
            <w:tcW w:w="1559" w:type="dxa"/>
            <w:shd w:val="clear" w:color="auto" w:fill="auto"/>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27.541.019,82</w:t>
            </w:r>
          </w:p>
        </w:tc>
        <w:tc>
          <w:tcPr>
            <w:tcW w:w="1985"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color w:val="000000"/>
                <w:sz w:val="16"/>
                <w:szCs w:val="16"/>
              </w:rPr>
              <w:t>152.683,48</w:t>
            </w:r>
          </w:p>
        </w:tc>
        <w:tc>
          <w:tcPr>
            <w:tcW w:w="1701" w:type="dxa"/>
            <w:shd w:val="clear" w:color="auto" w:fill="auto"/>
            <w:noWrap/>
            <w:vAlign w:val="center"/>
          </w:tcPr>
          <w:p w:rsidR="00EA5F90" w:rsidRPr="003064E5" w:rsidRDefault="00EA5F90" w:rsidP="00EA5F90">
            <w:pPr>
              <w:spacing w:after="0" w:line="240" w:lineRule="auto"/>
              <w:jc w:val="center"/>
              <w:rPr>
                <w:rFonts w:ascii="Arial Narrow" w:hAnsi="Arial Narrow"/>
                <w:sz w:val="16"/>
                <w:szCs w:val="16"/>
              </w:rPr>
            </w:pPr>
            <w:r w:rsidRPr="003064E5">
              <w:rPr>
                <w:rFonts w:ascii="Arial Narrow" w:hAnsi="Arial Narrow"/>
                <w:sz w:val="16"/>
                <w:szCs w:val="16"/>
              </w:rPr>
              <w:t>0,55</w:t>
            </w:r>
          </w:p>
        </w:tc>
      </w:tr>
      <w:tr w:rsidR="00EA5F90" w:rsidRPr="003064E5" w:rsidTr="00EA5F90">
        <w:trPr>
          <w:trHeight w:val="326"/>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41</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Construcții de clădiri (rezidentiale, nerezidențiale etc)</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7.170.509.470,04</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689.183.110,44</w:t>
            </w:r>
          </w:p>
        </w:tc>
        <w:tc>
          <w:tcPr>
            <w:tcW w:w="1701"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9,61</w:t>
            </w:r>
          </w:p>
        </w:tc>
      </w:tr>
      <w:tr w:rsidR="00EA5F90" w:rsidRPr="003064E5" w:rsidTr="00EA5F90">
        <w:trPr>
          <w:trHeight w:val="133"/>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42</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Lucrări de geniu (drumuri, CF, poduri, etc)</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4.195.054.641,41</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469.224.756,89</w:t>
            </w:r>
          </w:p>
        </w:tc>
        <w:tc>
          <w:tcPr>
            <w:tcW w:w="1701"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11,19</w:t>
            </w:r>
          </w:p>
        </w:tc>
      </w:tr>
      <w:tr w:rsidR="00EA5F90" w:rsidRPr="003064E5" w:rsidTr="00EA5F90">
        <w:trPr>
          <w:trHeight w:val="223"/>
        </w:trPr>
        <w:tc>
          <w:tcPr>
            <w:tcW w:w="956"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43</w:t>
            </w:r>
          </w:p>
        </w:tc>
        <w:tc>
          <w:tcPr>
            <w:tcW w:w="3292" w:type="dxa"/>
            <w:shd w:val="clear" w:color="auto" w:fill="auto"/>
            <w:vAlign w:val="center"/>
            <w:hideMark/>
          </w:tcPr>
          <w:p w:rsidR="00EA5F90" w:rsidRPr="003064E5" w:rsidRDefault="00EA5F90" w:rsidP="00EA5F90">
            <w:pPr>
              <w:spacing w:after="0" w:line="240" w:lineRule="auto"/>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Lucrări speciale de construcții</w:t>
            </w:r>
          </w:p>
        </w:tc>
        <w:tc>
          <w:tcPr>
            <w:tcW w:w="1559" w:type="dxa"/>
            <w:shd w:val="clear" w:color="auto" w:fill="auto"/>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3.642.373.132,82</w:t>
            </w:r>
          </w:p>
        </w:tc>
        <w:tc>
          <w:tcPr>
            <w:tcW w:w="1985"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395.489.747,33</w:t>
            </w:r>
          </w:p>
        </w:tc>
        <w:tc>
          <w:tcPr>
            <w:tcW w:w="1701" w:type="dxa"/>
            <w:shd w:val="clear" w:color="auto" w:fill="auto"/>
            <w:noWrap/>
            <w:vAlign w:val="center"/>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10,86</w:t>
            </w:r>
          </w:p>
        </w:tc>
      </w:tr>
    </w:tbl>
    <w:p w:rsidR="00EA5F90" w:rsidRPr="00263395" w:rsidRDefault="00EA5F90" w:rsidP="00EA5F90">
      <w:pPr>
        <w:spacing w:after="0" w:line="240" w:lineRule="auto"/>
        <w:jc w:val="right"/>
        <w:rPr>
          <w:rFonts w:ascii="Arial Narrow" w:hAnsi="Arial Narrow"/>
          <w:b/>
          <w:sz w:val="14"/>
          <w:szCs w:val="16"/>
        </w:rPr>
      </w:pPr>
      <w:r w:rsidRPr="00263395">
        <w:rPr>
          <w:rFonts w:ascii="Arial Narrow" w:hAnsi="Arial Narrow"/>
          <w:b/>
          <w:sz w:val="14"/>
          <w:szCs w:val="16"/>
        </w:rPr>
        <w:t xml:space="preserve">Sursă date: ANAF și INS </w:t>
      </w:r>
    </w:p>
    <w:p w:rsidR="00EA5F90" w:rsidRDefault="00EA5F90" w:rsidP="00EA5F90">
      <w:pPr>
        <w:pStyle w:val="Listparagraf"/>
        <w:autoSpaceDE w:val="0"/>
        <w:autoSpaceDN w:val="0"/>
        <w:adjustRightInd w:val="0"/>
        <w:spacing w:after="0" w:line="240" w:lineRule="auto"/>
        <w:ind w:left="0" w:firstLine="720"/>
        <w:jc w:val="both"/>
        <w:rPr>
          <w:rFonts w:ascii="Arial Narrow" w:hAnsi="Arial Narrow" w:cs="TimesNewRoman"/>
          <w:sz w:val="24"/>
          <w:szCs w:val="24"/>
        </w:rPr>
      </w:pPr>
    </w:p>
    <w:p w:rsidR="00EA5F90" w:rsidRDefault="00EA5F90" w:rsidP="00EA5F90">
      <w:pPr>
        <w:pStyle w:val="Listparagraf"/>
        <w:autoSpaceDE w:val="0"/>
        <w:autoSpaceDN w:val="0"/>
        <w:adjustRightInd w:val="0"/>
        <w:spacing w:after="0" w:line="240" w:lineRule="auto"/>
        <w:ind w:left="0" w:firstLine="720"/>
        <w:jc w:val="both"/>
        <w:rPr>
          <w:rFonts w:ascii="Arial Narrow" w:hAnsi="Arial Narrow" w:cs="TimesNewRoman"/>
          <w:sz w:val="24"/>
          <w:szCs w:val="24"/>
        </w:rPr>
      </w:pPr>
      <w:r w:rsidRPr="00263395">
        <w:rPr>
          <w:rFonts w:ascii="Arial Narrow" w:hAnsi="Arial Narrow" w:cs="TimesNewRoman"/>
          <w:sz w:val="24"/>
          <w:szCs w:val="24"/>
        </w:rPr>
        <w:t>Din analiza situațiilor</w:t>
      </w:r>
      <w:r w:rsidRPr="00263395">
        <w:rPr>
          <w:rStyle w:val="Referinnotdesubsol"/>
          <w:rFonts w:ascii="Arial Narrow" w:hAnsi="Arial Narrow" w:cs="TimesNewRoman"/>
          <w:sz w:val="24"/>
          <w:szCs w:val="24"/>
        </w:rPr>
        <w:footnoteReference w:id="25"/>
      </w:r>
      <w:r w:rsidRPr="00263395">
        <w:rPr>
          <w:rFonts w:ascii="Arial Narrow" w:hAnsi="Arial Narrow" w:cs="TimesNewRoman"/>
          <w:sz w:val="24"/>
          <w:szCs w:val="24"/>
        </w:rPr>
        <w:t xml:space="preserve"> raportate de întreprinderile active în sectoarele economice </w:t>
      </w:r>
      <w:r>
        <w:rPr>
          <w:rFonts w:ascii="Arial Narrow" w:hAnsi="Arial Narrow" w:cs="TimesNewRoman"/>
          <w:sz w:val="24"/>
          <w:szCs w:val="24"/>
        </w:rPr>
        <w:t>examinate</w:t>
      </w:r>
      <w:r w:rsidRPr="00263395">
        <w:rPr>
          <w:rStyle w:val="Referinnotdesubsol"/>
          <w:rFonts w:ascii="Arial Narrow" w:hAnsi="Arial Narrow" w:cs="TimesNewRoman"/>
          <w:sz w:val="24"/>
          <w:szCs w:val="24"/>
        </w:rPr>
        <w:footnoteReference w:id="26"/>
      </w:r>
      <w:r w:rsidRPr="00263395">
        <w:rPr>
          <w:rFonts w:ascii="Arial Narrow" w:hAnsi="Arial Narrow" w:cs="TimesNewRoman"/>
          <w:sz w:val="24"/>
          <w:szCs w:val="24"/>
        </w:rPr>
        <w:t>,  se pot concluziona următoarele:</w:t>
      </w:r>
    </w:p>
    <w:p w:rsidR="00EA5F90" w:rsidRPr="00BA0D4E" w:rsidRDefault="00EA5F90" w:rsidP="00EA5F90">
      <w:pPr>
        <w:autoSpaceDE w:val="0"/>
        <w:autoSpaceDN w:val="0"/>
        <w:adjustRightInd w:val="0"/>
        <w:spacing w:after="0" w:line="240" w:lineRule="auto"/>
        <w:jc w:val="both"/>
        <w:rPr>
          <w:rFonts w:ascii="Arial Narrow" w:hAnsi="Arial Narrow" w:cs="TimesNewRoman"/>
          <w:sz w:val="24"/>
          <w:szCs w:val="24"/>
        </w:rPr>
      </w:pPr>
    </w:p>
    <w:p w:rsidR="00EA5F90" w:rsidRPr="00263395" w:rsidRDefault="00EA5F90" w:rsidP="00981E9F">
      <w:pPr>
        <w:pStyle w:val="Listparagraf"/>
        <w:numPr>
          <w:ilvl w:val="0"/>
          <w:numId w:val="43"/>
        </w:numPr>
        <w:tabs>
          <w:tab w:val="left" w:pos="284"/>
        </w:tabs>
        <w:spacing w:after="160" w:line="259" w:lineRule="auto"/>
        <w:ind w:left="0" w:firstLine="0"/>
        <w:jc w:val="both"/>
        <w:rPr>
          <w:rFonts w:ascii="Arial Narrow" w:hAnsi="Arial Narrow" w:cs="TimesNewRoman"/>
          <w:sz w:val="24"/>
          <w:szCs w:val="24"/>
        </w:rPr>
      </w:pPr>
      <w:r w:rsidRPr="00263395">
        <w:rPr>
          <w:rFonts w:ascii="Arial Narrow" w:hAnsi="Arial Narrow" w:cs="TimesNewRoman"/>
          <w:sz w:val="24"/>
          <w:szCs w:val="24"/>
        </w:rPr>
        <w:t>cea mai bine reprezentată activitate în regiune este prelucrarea lemnului (CAEN 16), fiind desfășurată preponderent în județele Alba, Covasna și Harghita, respectiv în zonele unde există materie primă. În plus, existența resurselor lemnoase  a condus la dezvoltarea sistemelor de producție a energiei regenerabile prin utilizarea biomasei (evidențiat de numărul firmelor active din domeniu) și la creșterea utilizatorilor acestui tip de  centrale și resurse energetice (ex. Sistemul centralizat de termoficare din Miercurea Ciuc);</w:t>
      </w:r>
    </w:p>
    <w:p w:rsidR="00EA5F90" w:rsidRPr="00263395" w:rsidRDefault="00EA5F90" w:rsidP="00981E9F">
      <w:pPr>
        <w:pStyle w:val="Listparagraf"/>
        <w:numPr>
          <w:ilvl w:val="0"/>
          <w:numId w:val="43"/>
        </w:numPr>
        <w:tabs>
          <w:tab w:val="left" w:pos="0"/>
          <w:tab w:val="left" w:pos="284"/>
          <w:tab w:val="left" w:pos="851"/>
          <w:tab w:val="left" w:pos="993"/>
        </w:tabs>
        <w:autoSpaceDE w:val="0"/>
        <w:autoSpaceDN w:val="0"/>
        <w:adjustRightInd w:val="0"/>
        <w:spacing w:after="0" w:line="240" w:lineRule="auto"/>
        <w:ind w:left="0" w:firstLine="0"/>
        <w:jc w:val="both"/>
        <w:rPr>
          <w:rFonts w:ascii="Arial Narrow" w:hAnsi="Arial Narrow" w:cs="TimesNewRoman"/>
          <w:sz w:val="24"/>
          <w:szCs w:val="24"/>
        </w:rPr>
      </w:pPr>
      <w:r w:rsidRPr="00263395">
        <w:rPr>
          <w:rFonts w:ascii="Arial Narrow" w:hAnsi="Arial Narrow" w:cs="TimesNewRoman"/>
          <w:sz w:val="24"/>
          <w:szCs w:val="24"/>
        </w:rPr>
        <w:t>producătorii de materiale de construcţii au achiziţionat și recondiționat</w:t>
      </w:r>
      <w:r>
        <w:rPr>
          <w:rStyle w:val="Referinnotdesubsol"/>
          <w:rFonts w:ascii="Arial Narrow" w:hAnsi="Arial Narrow" w:cs="TimesNewRoman"/>
          <w:sz w:val="24"/>
          <w:szCs w:val="24"/>
        </w:rPr>
        <w:footnoteReference w:id="27"/>
      </w:r>
      <w:r w:rsidRPr="00263395">
        <w:rPr>
          <w:rFonts w:ascii="Arial Narrow" w:hAnsi="Arial Narrow" w:cs="TimesNewRoman"/>
          <w:sz w:val="24"/>
          <w:szCs w:val="24"/>
        </w:rPr>
        <w:t xml:space="preserve"> unităţi de producţie</w:t>
      </w:r>
      <w:r>
        <w:rPr>
          <w:rFonts w:ascii="Arial Narrow" w:hAnsi="Arial Narrow" w:cs="TimesNewRoman"/>
          <w:sz w:val="24"/>
          <w:szCs w:val="24"/>
        </w:rPr>
        <w:t xml:space="preserve">, ținând cont de anumite </w:t>
      </w:r>
      <w:r w:rsidRPr="00263395">
        <w:rPr>
          <w:rFonts w:ascii="Arial Narrow" w:hAnsi="Arial Narrow" w:cs="TimesNewRoman"/>
          <w:sz w:val="24"/>
          <w:szCs w:val="24"/>
        </w:rPr>
        <w:t>de anumite avantaje tehnico- e</w:t>
      </w:r>
      <w:r>
        <w:rPr>
          <w:rFonts w:ascii="Arial Narrow" w:hAnsi="Arial Narrow" w:cs="TimesNewRoman"/>
          <w:sz w:val="24"/>
          <w:szCs w:val="24"/>
        </w:rPr>
        <w:t>c</w:t>
      </w:r>
      <w:r w:rsidRPr="00263395">
        <w:rPr>
          <w:rFonts w:ascii="Arial Narrow" w:hAnsi="Arial Narrow" w:cs="TimesNewRoman"/>
          <w:sz w:val="24"/>
          <w:szCs w:val="24"/>
        </w:rPr>
        <w:t>onomice: existența unor spații adecvate în aceste zone (</w:t>
      </w:r>
      <w:r>
        <w:rPr>
          <w:rFonts w:ascii="Arial Narrow" w:hAnsi="Arial Narrow" w:cs="TimesNewRoman"/>
          <w:sz w:val="24"/>
          <w:szCs w:val="24"/>
        </w:rPr>
        <w:t xml:space="preserve">fabrici neutilizate, parcuri industriale, infrastructură etc) </w:t>
      </w:r>
      <w:r w:rsidRPr="00263395">
        <w:rPr>
          <w:rFonts w:ascii="Arial Narrow" w:hAnsi="Arial Narrow" w:cs="TimesNewRoman"/>
          <w:sz w:val="24"/>
          <w:szCs w:val="24"/>
        </w:rPr>
        <w:t>sau au construit</w:t>
      </w:r>
      <w:r>
        <w:rPr>
          <w:rStyle w:val="Referinnotdesubsol"/>
          <w:rFonts w:ascii="Arial Narrow" w:hAnsi="Arial Narrow" w:cs="TimesNewRoman"/>
          <w:sz w:val="24"/>
          <w:szCs w:val="24"/>
        </w:rPr>
        <w:footnoteReference w:id="28"/>
      </w:r>
      <w:r w:rsidRPr="007B5D0F">
        <w:rPr>
          <w:rFonts w:ascii="Arial Narrow" w:hAnsi="Arial Narrow" w:cs="TimesNewRoman"/>
          <w:sz w:val="24"/>
          <w:szCs w:val="24"/>
        </w:rPr>
        <w:t xml:space="preserve"> </w:t>
      </w:r>
      <w:r>
        <w:rPr>
          <w:rFonts w:ascii="Arial Narrow" w:hAnsi="Arial Narrow" w:cs="TimesNewRoman"/>
          <w:sz w:val="24"/>
          <w:szCs w:val="24"/>
        </w:rPr>
        <w:t xml:space="preserve">unități </w:t>
      </w:r>
      <w:r w:rsidRPr="00263395">
        <w:rPr>
          <w:rFonts w:ascii="Arial Narrow" w:hAnsi="Arial Narrow" w:cs="TimesNewRoman"/>
          <w:sz w:val="24"/>
          <w:szCs w:val="24"/>
        </w:rPr>
        <w:t xml:space="preserve">în zone strategice, în </w:t>
      </w:r>
      <w:r w:rsidRPr="00263395">
        <w:rPr>
          <w:rFonts w:ascii="Arial Narrow" w:hAnsi="Arial Narrow" w:cs="TimesNewRoman"/>
          <w:sz w:val="24"/>
          <w:szCs w:val="24"/>
        </w:rPr>
        <w:lastRenderedPageBreak/>
        <w:t xml:space="preserve">general aproape de marile centre </w:t>
      </w:r>
      <w:r>
        <w:rPr>
          <w:rFonts w:ascii="Arial Narrow" w:hAnsi="Arial Narrow" w:cs="TimesNewRoman"/>
          <w:sz w:val="24"/>
          <w:szCs w:val="24"/>
        </w:rPr>
        <w:t>din regiune</w:t>
      </w:r>
      <w:r w:rsidRPr="00263395">
        <w:rPr>
          <w:rFonts w:ascii="Arial Narrow" w:hAnsi="Arial Narrow" w:cs="TimesNewRoman"/>
          <w:sz w:val="24"/>
          <w:szCs w:val="24"/>
        </w:rPr>
        <w:t xml:space="preserve"> (Brașov, Tîrgu Mureș, Sibiu, Alba Iulia)</w:t>
      </w:r>
      <w:r>
        <w:rPr>
          <w:rFonts w:ascii="Arial Narrow" w:hAnsi="Arial Narrow" w:cs="TimesNewRoman"/>
          <w:sz w:val="24"/>
          <w:szCs w:val="24"/>
        </w:rPr>
        <w:t xml:space="preserve"> asigurând astfel </w:t>
      </w:r>
      <w:r w:rsidRPr="00263395">
        <w:rPr>
          <w:rFonts w:ascii="Arial Narrow" w:hAnsi="Arial Narrow" w:cs="TimesNewRoman"/>
          <w:sz w:val="24"/>
          <w:szCs w:val="24"/>
        </w:rPr>
        <w:t>reducerea costurilor de transport către zonele de consum etc.</w:t>
      </w:r>
    </w:p>
    <w:p w:rsidR="00EA5F90" w:rsidRPr="00263395" w:rsidRDefault="00EA5F90" w:rsidP="00064502">
      <w:pPr>
        <w:pStyle w:val="Listparagraf"/>
        <w:numPr>
          <w:ilvl w:val="0"/>
          <w:numId w:val="43"/>
        </w:numPr>
        <w:tabs>
          <w:tab w:val="left" w:pos="567"/>
        </w:tabs>
        <w:autoSpaceDE w:val="0"/>
        <w:autoSpaceDN w:val="0"/>
        <w:adjustRightInd w:val="0"/>
        <w:spacing w:afterLines="120" w:line="240" w:lineRule="auto"/>
        <w:ind w:left="0" w:firstLine="0"/>
        <w:jc w:val="both"/>
        <w:rPr>
          <w:rFonts w:ascii="Arial Narrow" w:hAnsi="Arial Narrow"/>
          <w:sz w:val="24"/>
          <w:szCs w:val="24"/>
        </w:rPr>
      </w:pPr>
      <w:r w:rsidRPr="00263395">
        <w:rPr>
          <w:rFonts w:ascii="Arial Narrow" w:hAnsi="Arial Narrow" w:cs="TimesNewRoman"/>
          <w:sz w:val="24"/>
          <w:szCs w:val="24"/>
        </w:rPr>
        <w:t>cei mai importanţi investitori de pe piaţa materialelor de construcţii sunt grupuri străine, care au investit și au construit fabrici de profil în regiunea Centru; cu toate acestea, la nivel regional există întreprinderi</w:t>
      </w:r>
      <w:r w:rsidRPr="00263395">
        <w:rPr>
          <w:rStyle w:val="Referinnotdesubsol"/>
          <w:rFonts w:ascii="Arial Narrow" w:hAnsi="Arial Narrow" w:cs="TimesNewRoman"/>
          <w:sz w:val="24"/>
          <w:szCs w:val="24"/>
        </w:rPr>
        <w:footnoteReference w:id="29"/>
      </w:r>
      <w:r w:rsidRPr="00263395">
        <w:rPr>
          <w:rFonts w:ascii="Arial Narrow" w:hAnsi="Arial Narrow" w:cs="TimesNewRoman"/>
          <w:sz w:val="24"/>
          <w:szCs w:val="24"/>
        </w:rPr>
        <w:t xml:space="preserve">, cu acționariat integral românesc,  care, în sectorul lor de activitate, se găsesc în topul național în ceea ce privește productivitatea, cifra de afaceri înregistrată, profitabilitatea  etc. </w:t>
      </w:r>
    </w:p>
    <w:p w:rsidR="00EA5F90" w:rsidRDefault="00EA5F90" w:rsidP="00981E9F">
      <w:pPr>
        <w:pStyle w:val="Listparagraf"/>
        <w:numPr>
          <w:ilvl w:val="0"/>
          <w:numId w:val="43"/>
        </w:numPr>
        <w:tabs>
          <w:tab w:val="left" w:pos="426"/>
          <w:tab w:val="left" w:pos="851"/>
        </w:tabs>
        <w:autoSpaceDE w:val="0"/>
        <w:autoSpaceDN w:val="0"/>
        <w:adjustRightInd w:val="0"/>
        <w:spacing w:after="0" w:line="240" w:lineRule="auto"/>
        <w:ind w:left="0" w:firstLine="0"/>
        <w:jc w:val="both"/>
        <w:rPr>
          <w:rFonts w:ascii="Arial Narrow" w:hAnsi="Arial Narrow" w:cs="TimesNewRoman"/>
          <w:sz w:val="24"/>
          <w:szCs w:val="24"/>
        </w:rPr>
      </w:pPr>
      <w:r w:rsidRPr="00B74E4A">
        <w:rPr>
          <w:rFonts w:ascii="Arial Narrow" w:hAnsi="Arial Narrow" w:cs="TimesNewRoman"/>
          <w:sz w:val="24"/>
          <w:szCs w:val="24"/>
        </w:rPr>
        <w:t>extracția resurselor minerale se face preponderent în județele Alba, Harghita și Covasna, evidențiindu-se în regiune firme care au investit și în procesele ulterioare: producția de materiale de construcție - transport – vânzare client</w:t>
      </w:r>
      <w:r>
        <w:rPr>
          <w:rStyle w:val="Referinnotdesubsol"/>
          <w:rFonts w:ascii="Arial Narrow" w:hAnsi="Arial Narrow" w:cs="TimesNewRoman"/>
          <w:sz w:val="24"/>
          <w:szCs w:val="24"/>
        </w:rPr>
        <w:footnoteReference w:id="30"/>
      </w:r>
      <w:r w:rsidRPr="00B74E4A">
        <w:rPr>
          <w:rFonts w:ascii="Arial Narrow" w:hAnsi="Arial Narrow" w:cs="TimesNewRoman"/>
          <w:sz w:val="24"/>
          <w:szCs w:val="24"/>
        </w:rPr>
        <w:t xml:space="preserve">. </w:t>
      </w:r>
    </w:p>
    <w:p w:rsidR="00EA5F90" w:rsidRPr="00B74E4A" w:rsidRDefault="00EA5F90" w:rsidP="00EA5F90">
      <w:pPr>
        <w:pStyle w:val="Listparagraf"/>
        <w:tabs>
          <w:tab w:val="left" w:pos="426"/>
          <w:tab w:val="left" w:pos="851"/>
        </w:tabs>
        <w:autoSpaceDE w:val="0"/>
        <w:autoSpaceDN w:val="0"/>
        <w:adjustRightInd w:val="0"/>
        <w:spacing w:after="0" w:line="240" w:lineRule="auto"/>
        <w:ind w:left="0"/>
        <w:jc w:val="both"/>
        <w:rPr>
          <w:rFonts w:ascii="Arial Narrow" w:hAnsi="Arial Narrow" w:cs="TimesNewRoman"/>
          <w:sz w:val="24"/>
          <w:szCs w:val="24"/>
        </w:rPr>
      </w:pPr>
    </w:p>
    <w:p w:rsidR="00EA5F90" w:rsidRPr="00BA0D4E" w:rsidRDefault="000865B4" w:rsidP="00064502">
      <w:pPr>
        <w:pStyle w:val="Listparagraf"/>
        <w:tabs>
          <w:tab w:val="left" w:pos="567"/>
          <w:tab w:val="left" w:pos="709"/>
        </w:tabs>
        <w:autoSpaceDE w:val="0"/>
        <w:autoSpaceDN w:val="0"/>
        <w:adjustRightInd w:val="0"/>
        <w:spacing w:afterLines="120" w:line="240" w:lineRule="auto"/>
        <w:ind w:left="0"/>
        <w:jc w:val="both"/>
        <w:rPr>
          <w:rFonts w:ascii="Arial Narrow" w:hAnsi="Arial Narrow"/>
          <w:b/>
          <w:sz w:val="24"/>
          <w:szCs w:val="24"/>
        </w:rPr>
      </w:pPr>
      <w:r>
        <w:rPr>
          <w:rFonts w:ascii="Arial Narrow" w:hAnsi="Arial Narrow"/>
          <w:b/>
          <w:i/>
          <w:noProof/>
          <w:sz w:val="24"/>
          <w:szCs w:val="24"/>
          <w:lang w:val="en-US" w:eastAsia="en-US"/>
        </w:rPr>
        <w:drawing>
          <wp:anchor distT="0" distB="0" distL="114300" distR="114300" simplePos="0" relativeHeight="251675648" behindDoc="0" locked="0" layoutInCell="1" allowOverlap="1">
            <wp:simplePos x="0" y="0"/>
            <wp:positionH relativeFrom="margin">
              <wp:posOffset>3300730</wp:posOffset>
            </wp:positionH>
            <wp:positionV relativeFrom="page">
              <wp:posOffset>4476750</wp:posOffset>
            </wp:positionV>
            <wp:extent cx="2819400" cy="3524250"/>
            <wp:effectExtent l="19050" t="0" r="0" b="0"/>
            <wp:wrapSquare wrapText="bothSides"/>
            <wp:docPr id="29"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EA5F90" w:rsidRPr="00263395">
        <w:rPr>
          <w:rFonts w:ascii="Arial Narrow" w:hAnsi="Arial Narrow"/>
          <w:b/>
          <w:i/>
          <w:sz w:val="24"/>
          <w:szCs w:val="24"/>
        </w:rPr>
        <w:t>Mediul construit sustenabil</w:t>
      </w:r>
      <w:r w:rsidR="00EA5F90" w:rsidRPr="00263395">
        <w:rPr>
          <w:rFonts w:ascii="Arial Narrow" w:hAnsi="Arial Narrow"/>
          <w:b/>
          <w:sz w:val="24"/>
          <w:szCs w:val="24"/>
        </w:rPr>
        <w:t xml:space="preserve"> </w:t>
      </w:r>
      <w:r w:rsidR="00EA5F90" w:rsidRPr="00263395">
        <w:rPr>
          <w:rFonts w:ascii="Arial Narrow" w:hAnsi="Arial Narrow"/>
          <w:sz w:val="24"/>
          <w:szCs w:val="24"/>
        </w:rPr>
        <w:t>se poate realiza pe baza unor modele conceptuale performante (funcționale, care să ofere siguranță, cu impact redus faţă de mediu), folosind materiale cu caracteristici fizico-mecanice superioare (ex.reciclabile şi cu consumuri de resurse energetice scăzute, impact minim faţă de mediu) și prin aplicarea unor tehnologii adecvate.  Dezvoltarea acestor modele conceptuale se poate realiza numai prin existența unei relații strânse între mediul academic și mediul de afaceri, respectiv intensificarea cooperării şi comunicării dintre aceștia. În ultima perioadă (2015-2016), potrivit datelor publicate de Forumul Economic Mondial,  în documentul intitulat „</w:t>
      </w:r>
      <w:r w:rsidR="00EA5F90" w:rsidRPr="00263395">
        <w:rPr>
          <w:rFonts w:ascii="Arial Narrow" w:hAnsi="Arial Narrow"/>
          <w:i/>
          <w:sz w:val="24"/>
          <w:szCs w:val="24"/>
        </w:rPr>
        <w:t>Raport privind competitivitatea globală 2015-2016</w:t>
      </w:r>
      <w:r w:rsidR="00EA5F90" w:rsidRPr="00263395">
        <w:rPr>
          <w:rStyle w:val="Referinnotdesubsol"/>
          <w:rFonts w:ascii="Arial Narrow" w:hAnsi="Arial Narrow"/>
          <w:sz w:val="24"/>
          <w:szCs w:val="24"/>
        </w:rPr>
        <w:footnoteReference w:id="31"/>
      </w:r>
      <w:r w:rsidR="00EA5F90" w:rsidRPr="00263395">
        <w:rPr>
          <w:rFonts w:ascii="Arial Narrow" w:hAnsi="Arial Narrow"/>
          <w:sz w:val="24"/>
          <w:szCs w:val="24"/>
        </w:rPr>
        <w:t xml:space="preserve">”, România este clasată pe locul 71  în ceea ce priveşte indicele global al competitivității din punct de vedere al calității colaborării CDI dintre universități și întreprinderi , cu un scor de 3,6  pe o scară de la 1 la 7. În acest context, în perioada 2014-2020, </w:t>
      </w:r>
      <w:r w:rsidR="00EA5F90" w:rsidRPr="00BA0D4E">
        <w:rPr>
          <w:rFonts w:ascii="Arial Narrow" w:hAnsi="Arial Narrow"/>
          <w:b/>
          <w:sz w:val="24"/>
          <w:szCs w:val="24"/>
        </w:rPr>
        <w:t xml:space="preserve">la nivel regional se au în vedere dezvoltarea de proiecte și/sau programe care să asigure creșterea gradului de colaborare CDI  dintre IMM-uri și universități și asigurarea transferului tehnologic.      </w:t>
      </w:r>
    </w:p>
    <w:p w:rsidR="00EA5F90" w:rsidRDefault="00EA5F90" w:rsidP="00064502">
      <w:pPr>
        <w:pStyle w:val="Listparagraf"/>
        <w:tabs>
          <w:tab w:val="left" w:pos="567"/>
          <w:tab w:val="left" w:pos="709"/>
        </w:tabs>
        <w:autoSpaceDE w:val="0"/>
        <w:autoSpaceDN w:val="0"/>
        <w:adjustRightInd w:val="0"/>
        <w:spacing w:afterLines="120" w:line="240" w:lineRule="auto"/>
        <w:ind w:left="0"/>
        <w:jc w:val="both"/>
        <w:rPr>
          <w:rFonts w:ascii="Arial Narrow" w:hAnsi="Arial Narrow"/>
          <w:sz w:val="24"/>
          <w:szCs w:val="24"/>
        </w:rPr>
      </w:pPr>
      <w:r w:rsidRPr="00263395">
        <w:rPr>
          <w:rFonts w:ascii="Arial Narrow" w:hAnsi="Arial Narrow"/>
          <w:sz w:val="24"/>
          <w:szCs w:val="24"/>
        </w:rPr>
        <w:t xml:space="preserve">                  </w:t>
      </w:r>
    </w:p>
    <w:p w:rsidR="00EA5F90" w:rsidRDefault="00EA5F90" w:rsidP="00064502">
      <w:pPr>
        <w:pStyle w:val="Listparagraf"/>
        <w:tabs>
          <w:tab w:val="left" w:pos="567"/>
          <w:tab w:val="left" w:pos="709"/>
        </w:tabs>
        <w:autoSpaceDE w:val="0"/>
        <w:autoSpaceDN w:val="0"/>
        <w:adjustRightInd w:val="0"/>
        <w:spacing w:afterLines="120" w:line="240" w:lineRule="auto"/>
        <w:ind w:left="0"/>
        <w:jc w:val="both"/>
        <w:rPr>
          <w:rFonts w:ascii="Arial Narrow" w:hAnsi="Arial Narrow"/>
          <w:noProof/>
          <w:sz w:val="24"/>
          <w:szCs w:val="24"/>
        </w:rPr>
      </w:pPr>
      <w:r w:rsidRPr="00263395">
        <w:rPr>
          <w:rFonts w:ascii="Arial Narrow" w:hAnsi="Arial Narrow"/>
          <w:b/>
          <w:sz w:val="24"/>
          <w:szCs w:val="24"/>
        </w:rPr>
        <w:t>Schematic,</w:t>
      </w:r>
      <w:r w:rsidRPr="00263395">
        <w:rPr>
          <w:rFonts w:ascii="Arial Narrow" w:hAnsi="Arial Narrow"/>
          <w:sz w:val="24"/>
          <w:szCs w:val="24"/>
        </w:rPr>
        <w:t xml:space="preserve"> mediul construit sustenabil cuprinde:</w:t>
      </w:r>
      <w:r w:rsidRPr="00263395">
        <w:rPr>
          <w:rFonts w:ascii="Arial Narrow" w:hAnsi="Arial Narrow"/>
          <w:noProof/>
          <w:sz w:val="24"/>
          <w:szCs w:val="24"/>
        </w:rPr>
        <w:t xml:space="preserve"> </w:t>
      </w:r>
    </w:p>
    <w:p w:rsidR="00EA5F90" w:rsidRPr="00263395" w:rsidRDefault="00EA5F90" w:rsidP="00EA5F90">
      <w:pPr>
        <w:pStyle w:val="Listparagraf"/>
        <w:spacing w:after="0" w:line="240" w:lineRule="auto"/>
        <w:ind w:left="0"/>
        <w:jc w:val="both"/>
        <w:rPr>
          <w:rFonts w:ascii="Arial Narrow" w:hAnsi="Arial Narrow"/>
          <w:sz w:val="24"/>
          <w:szCs w:val="24"/>
        </w:rPr>
      </w:pPr>
    </w:p>
    <w:p w:rsidR="00EA5F90" w:rsidRPr="00263395" w:rsidRDefault="00BD7229" w:rsidP="00981E9F">
      <w:pPr>
        <w:pStyle w:val="Listparagraf"/>
        <w:numPr>
          <w:ilvl w:val="0"/>
          <w:numId w:val="36"/>
        </w:numPr>
        <w:tabs>
          <w:tab w:val="left" w:pos="284"/>
        </w:tabs>
        <w:spacing w:after="0" w:line="240" w:lineRule="auto"/>
        <w:ind w:left="0" w:firstLine="0"/>
        <w:jc w:val="both"/>
        <w:rPr>
          <w:rFonts w:ascii="Arial Narrow" w:hAnsi="Arial Narrow"/>
          <w:sz w:val="24"/>
          <w:szCs w:val="24"/>
        </w:rPr>
      </w:pPr>
      <w:r w:rsidRPr="00BD7229">
        <w:rPr>
          <w:noProof/>
        </w:rPr>
        <w:pict>
          <v:shape id="Text Box 42" o:spid="_x0000_s1041" type="#_x0000_t202" style="position:absolute;left:0;text-align:left;margin-left:257.95pt;margin-top:559.9pt;width:220.5pt;height:31.5pt;z-index:2516766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" fillcolor="#c5e0b4" strokecolor="#5b9bd5" strokeweight="2.25pt">
            <v:textbox style="mso-next-textbox:#Text Box 42">
              <w:txbxContent>
                <w:p w:rsidR="00064502" w:rsidRDefault="00064502" w:rsidP="00EA5F90">
                  <w:pPr>
                    <w:spacing w:after="0" w:line="240" w:lineRule="auto"/>
                    <w:jc w:val="center"/>
                    <w:rPr>
                      <w:rFonts w:ascii="Arial Narrow" w:hAnsi="Arial Narrow"/>
                      <w:b/>
                      <w:sz w:val="18"/>
                    </w:rPr>
                  </w:pPr>
                </w:p>
                <w:p w:rsidR="00064502" w:rsidRPr="002D7463" w:rsidRDefault="00064502" w:rsidP="00EA5F90">
                  <w:pPr>
                    <w:spacing w:after="0" w:line="240" w:lineRule="auto"/>
                    <w:jc w:val="center"/>
                    <w:rPr>
                      <w:rFonts w:ascii="Arial Narrow" w:hAnsi="Arial Narrow"/>
                      <w:b/>
                      <w:sz w:val="18"/>
                    </w:rPr>
                  </w:pPr>
                  <w:r w:rsidRPr="002D7463">
                    <w:rPr>
                      <w:rFonts w:ascii="Arial Narrow" w:hAnsi="Arial Narrow"/>
                      <w:b/>
                      <w:sz w:val="18"/>
                    </w:rPr>
                    <w:t>MEDIUL CONSTRUIT SUSTENABIL</w:t>
                  </w:r>
                </w:p>
              </w:txbxContent>
            </v:textbox>
            <w10:wrap type="square" anchorx="margin" anchory="margin"/>
          </v:shape>
        </w:pict>
      </w:r>
      <w:r w:rsidR="00EA5F90" w:rsidRPr="003064E5">
        <w:rPr>
          <w:rFonts w:ascii="Arial Narrow" w:hAnsi="Arial Narrow"/>
          <w:b/>
          <w:color w:val="70AD47"/>
          <w:sz w:val="24"/>
          <w:szCs w:val="24"/>
        </w:rPr>
        <w:t>materiale și produse (avansate)</w:t>
      </w:r>
      <w:r w:rsidR="00EA5F90" w:rsidRPr="00263395">
        <w:rPr>
          <w:rFonts w:ascii="Arial Narrow" w:hAnsi="Arial Narrow"/>
          <w:sz w:val="24"/>
          <w:szCs w:val="24"/>
        </w:rPr>
        <w:t xml:space="preserve"> - dezvoltarea durabilă a mediului construit este condiționată de asigurarea unor materiale și produse sustenabile, reducerea consumului de resurse neregenerabile,</w:t>
      </w:r>
      <w:r w:rsidR="00EA5F90">
        <w:rPr>
          <w:rFonts w:ascii="Arial Narrow" w:hAnsi="Arial Narrow"/>
          <w:sz w:val="24"/>
          <w:szCs w:val="24"/>
        </w:rPr>
        <w:t xml:space="preserve"> </w:t>
      </w:r>
      <w:r w:rsidR="00EA5F90" w:rsidRPr="00263395">
        <w:rPr>
          <w:rFonts w:ascii="Arial Narrow" w:hAnsi="Arial Narrow"/>
          <w:sz w:val="24"/>
          <w:szCs w:val="24"/>
        </w:rPr>
        <w:t>valorificarea resurselor locale regenerabile și reducerea cantității de deșeuri</w:t>
      </w:r>
      <w:r w:rsidR="00EA5F90">
        <w:rPr>
          <w:rFonts w:ascii="Arial Narrow" w:hAnsi="Arial Narrow"/>
          <w:sz w:val="24"/>
          <w:szCs w:val="24"/>
        </w:rPr>
        <w:t>;</w:t>
      </w:r>
    </w:p>
    <w:p w:rsidR="00EA5F90" w:rsidRPr="00263395" w:rsidRDefault="00EA5F90" w:rsidP="00981E9F">
      <w:pPr>
        <w:pStyle w:val="Listparagraf"/>
        <w:numPr>
          <w:ilvl w:val="0"/>
          <w:numId w:val="36"/>
        </w:numPr>
        <w:tabs>
          <w:tab w:val="left" w:pos="284"/>
        </w:tabs>
        <w:spacing w:after="0" w:line="240" w:lineRule="auto"/>
        <w:ind w:left="0" w:firstLine="0"/>
        <w:jc w:val="both"/>
        <w:rPr>
          <w:rFonts w:ascii="Arial Narrow" w:hAnsi="Arial Narrow"/>
          <w:sz w:val="24"/>
          <w:szCs w:val="24"/>
        </w:rPr>
      </w:pPr>
      <w:r w:rsidRPr="003064E5">
        <w:rPr>
          <w:rFonts w:ascii="Arial Narrow" w:hAnsi="Arial Narrow"/>
          <w:b/>
          <w:color w:val="70AD47"/>
          <w:sz w:val="24"/>
          <w:szCs w:val="24"/>
        </w:rPr>
        <w:t>clădiri eficiente</w:t>
      </w:r>
      <w:r w:rsidRPr="00263395">
        <w:rPr>
          <w:rFonts w:ascii="Arial Narrow" w:hAnsi="Arial Narrow"/>
          <w:sz w:val="24"/>
          <w:szCs w:val="24"/>
        </w:rPr>
        <w:t xml:space="preserve"> –  construirea unor clădiri eficiente cu un consum redus de resurse și reabilitarea clădirilor existente în vederea asigurării eficienței</w:t>
      </w:r>
      <w:r>
        <w:rPr>
          <w:rFonts w:ascii="Arial Narrow" w:hAnsi="Arial Narrow"/>
          <w:sz w:val="24"/>
          <w:szCs w:val="24"/>
        </w:rPr>
        <w:t xml:space="preserve"> energetice;</w:t>
      </w:r>
    </w:p>
    <w:p w:rsidR="00EA5F90" w:rsidRPr="001D5DD5" w:rsidRDefault="00EA5F90" w:rsidP="00981E9F">
      <w:pPr>
        <w:pStyle w:val="Listparagraf"/>
        <w:numPr>
          <w:ilvl w:val="0"/>
          <w:numId w:val="36"/>
        </w:numPr>
        <w:tabs>
          <w:tab w:val="left" w:pos="284"/>
        </w:tabs>
        <w:spacing w:after="0" w:line="240" w:lineRule="auto"/>
        <w:ind w:left="0" w:firstLine="0"/>
        <w:jc w:val="both"/>
        <w:rPr>
          <w:rFonts w:ascii="Arial Narrow" w:hAnsi="Arial Narrow"/>
          <w:sz w:val="24"/>
          <w:szCs w:val="24"/>
        </w:rPr>
      </w:pPr>
      <w:r w:rsidRPr="003064E5">
        <w:rPr>
          <w:rFonts w:ascii="Arial Narrow" w:hAnsi="Arial Narrow"/>
          <w:b/>
          <w:color w:val="70AD47"/>
          <w:sz w:val="24"/>
          <w:szCs w:val="24"/>
        </w:rPr>
        <w:t xml:space="preserve">infrastructură și sisteme suport eficiente </w:t>
      </w:r>
      <w:r w:rsidRPr="001D5DD5">
        <w:rPr>
          <w:rFonts w:ascii="Arial Narrow" w:hAnsi="Arial Narrow"/>
          <w:sz w:val="24"/>
          <w:szCs w:val="24"/>
        </w:rPr>
        <w:t>– element cheie în asigurarea unui mediu construit sustenabil;</w:t>
      </w:r>
    </w:p>
    <w:p w:rsidR="00EA5F90" w:rsidRPr="00263395" w:rsidRDefault="00EA5F90" w:rsidP="00981E9F">
      <w:pPr>
        <w:pStyle w:val="Listparagraf"/>
        <w:numPr>
          <w:ilvl w:val="0"/>
          <w:numId w:val="36"/>
        </w:numPr>
        <w:tabs>
          <w:tab w:val="left" w:pos="284"/>
        </w:tabs>
        <w:spacing w:after="0" w:line="240" w:lineRule="auto"/>
        <w:ind w:left="0" w:firstLine="0"/>
        <w:jc w:val="both"/>
        <w:rPr>
          <w:rFonts w:ascii="Arial Narrow" w:hAnsi="Arial Narrow"/>
          <w:sz w:val="24"/>
          <w:szCs w:val="24"/>
        </w:rPr>
      </w:pPr>
      <w:r w:rsidRPr="003064E5">
        <w:rPr>
          <w:rFonts w:ascii="Arial Narrow" w:hAnsi="Arial Narrow"/>
          <w:b/>
          <w:color w:val="70AD47"/>
          <w:sz w:val="24"/>
          <w:szCs w:val="24"/>
        </w:rPr>
        <w:t>așezări durabile</w:t>
      </w:r>
      <w:r w:rsidRPr="003064E5">
        <w:rPr>
          <w:rStyle w:val="Referinnotdesubsol"/>
          <w:rFonts w:ascii="Arial Narrow" w:hAnsi="Arial Narrow"/>
          <w:color w:val="70AD47"/>
          <w:sz w:val="24"/>
          <w:szCs w:val="24"/>
        </w:rPr>
        <w:footnoteReference w:id="32"/>
      </w:r>
      <w:r w:rsidRPr="001D5DD5">
        <w:rPr>
          <w:rFonts w:ascii="Arial Narrow" w:hAnsi="Arial Narrow"/>
          <w:sz w:val="24"/>
          <w:szCs w:val="24"/>
        </w:rPr>
        <w:t>–</w:t>
      </w:r>
      <w:r w:rsidRPr="00263395">
        <w:rPr>
          <w:rFonts w:ascii="Arial Narrow" w:hAnsi="Arial Narrow"/>
          <w:sz w:val="24"/>
          <w:szCs w:val="24"/>
        </w:rPr>
        <w:t xml:space="preserve"> având în vedere faptul că  în Regiunea Centru gradul de urbanizare este mai mare </w:t>
      </w:r>
      <w:r w:rsidRPr="00263395">
        <w:rPr>
          <w:rFonts w:ascii="Arial Narrow" w:hAnsi="Arial Narrow"/>
          <w:sz w:val="24"/>
          <w:szCs w:val="24"/>
        </w:rPr>
        <w:lastRenderedPageBreak/>
        <w:t>decât cel de la nivel național</w:t>
      </w:r>
      <w:r w:rsidRPr="00263395">
        <w:rPr>
          <w:rStyle w:val="Referinnotdesubsol"/>
          <w:rFonts w:ascii="Arial Narrow" w:hAnsi="Arial Narrow"/>
          <w:sz w:val="24"/>
          <w:szCs w:val="24"/>
        </w:rPr>
        <w:footnoteReference w:id="33"/>
      </w:r>
      <w:r w:rsidRPr="00263395">
        <w:rPr>
          <w:rFonts w:ascii="Arial Narrow" w:hAnsi="Arial Narrow"/>
          <w:sz w:val="24"/>
          <w:szCs w:val="24"/>
        </w:rPr>
        <w:t>, prezenta analiza se va axa pe dezvoltarea durabilă a localităților urbane din regiune.</w:t>
      </w:r>
      <w:r w:rsidRPr="00263395">
        <w:rPr>
          <w:rFonts w:ascii="Arial Narrow" w:hAnsi="Arial Narrow"/>
          <w:b/>
          <w:noProof/>
          <w:sz w:val="24"/>
          <w:szCs w:val="24"/>
        </w:rPr>
        <w:t xml:space="preserve"> </w:t>
      </w:r>
    </w:p>
    <w:p w:rsidR="00EA5F90" w:rsidRPr="002862FA" w:rsidRDefault="00EA5F90" w:rsidP="00981E9F">
      <w:pPr>
        <w:pStyle w:val="Listparagraf"/>
        <w:numPr>
          <w:ilvl w:val="0"/>
          <w:numId w:val="36"/>
        </w:numPr>
        <w:tabs>
          <w:tab w:val="left" w:pos="284"/>
        </w:tabs>
        <w:spacing w:after="0" w:line="240" w:lineRule="auto"/>
        <w:ind w:left="0" w:firstLine="0"/>
        <w:jc w:val="both"/>
        <w:rPr>
          <w:rFonts w:ascii="Arial Narrow" w:hAnsi="Arial Narrow"/>
          <w:b/>
          <w:noProof/>
          <w:sz w:val="24"/>
          <w:szCs w:val="24"/>
        </w:rPr>
      </w:pPr>
      <w:r w:rsidRPr="003064E5">
        <w:rPr>
          <w:rFonts w:ascii="Arial Narrow" w:hAnsi="Arial Narrow"/>
          <w:b/>
          <w:color w:val="70AD47"/>
          <w:sz w:val="24"/>
          <w:szCs w:val="24"/>
        </w:rPr>
        <w:t xml:space="preserve">organizarea și managementul la nivel de întreprindere </w:t>
      </w:r>
      <w:r w:rsidRPr="002862FA">
        <w:rPr>
          <w:rFonts w:ascii="Arial Narrow" w:hAnsi="Arial Narrow"/>
          <w:sz w:val="24"/>
          <w:szCs w:val="24"/>
        </w:rPr>
        <w:t>– cuprinde totalitatea activităților desfășurate de întreprinderi în ceea ce privește dezvoltarea sistemelor de producție, proceselor tehologice și activităților operaționale și administrative, inclusiv activitățile propuse pentru eficientizarea consumului de resurse, energie și managementul deșeurilor.</w:t>
      </w:r>
      <w:r w:rsidRPr="002862FA">
        <w:rPr>
          <w:rFonts w:ascii="Arial Narrow" w:hAnsi="Arial Narrow"/>
          <w:b/>
          <w:noProof/>
          <w:sz w:val="24"/>
          <w:szCs w:val="24"/>
        </w:rPr>
        <w:t xml:space="preserve">  </w:t>
      </w:r>
    </w:p>
    <w:p w:rsidR="00EA5F90" w:rsidRPr="00263395" w:rsidRDefault="00BD7229" w:rsidP="00EA5F90">
      <w:pPr>
        <w:pStyle w:val="Listparagraf"/>
        <w:tabs>
          <w:tab w:val="left" w:pos="284"/>
        </w:tabs>
        <w:spacing w:after="0" w:line="240" w:lineRule="auto"/>
        <w:ind w:left="0"/>
        <w:jc w:val="both"/>
        <w:rPr>
          <w:rFonts w:ascii="Arial Narrow" w:hAnsi="Arial Narrow"/>
          <w:sz w:val="24"/>
          <w:szCs w:val="24"/>
        </w:rPr>
      </w:pPr>
      <w:r w:rsidRPr="00BD7229">
        <w:rPr>
          <w:noProof/>
        </w:rPr>
        <w:pict>
          <v:shape id="Text Box 4" o:spid="_x0000_s1049" type="#_x0000_t202" style="position:absolute;left:0;text-align:left;margin-left:-.05pt;margin-top:8.4pt;width:246.75pt;height:272.25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" fillcolor="#ededed" strokecolor="#5b9bd5" strokeweight="1pt">
            <v:textbox>
              <w:txbxContent>
                <w:p w:rsidR="00064502" w:rsidRDefault="00064502" w:rsidP="00EA5F90">
                  <w:pPr>
                    <w:spacing w:after="0" w:line="240" w:lineRule="auto"/>
                    <w:jc w:val="center"/>
                    <w:rPr>
                      <w:rFonts w:ascii="Arial Narrow" w:hAnsi="Arial Narrow"/>
                      <w:b/>
                    </w:rPr>
                  </w:pPr>
                  <w:r w:rsidRPr="00A1717E">
                    <w:rPr>
                      <w:rFonts w:ascii="Arial Narrow" w:hAnsi="Arial Narrow"/>
                      <w:b/>
                    </w:rPr>
                    <w:t>Avantaje</w:t>
                  </w:r>
                  <w:r>
                    <w:rPr>
                      <w:rFonts w:ascii="Arial Narrow" w:hAnsi="Arial Narrow"/>
                      <w:b/>
                    </w:rPr>
                    <w:t>le</w:t>
                  </w:r>
                  <w:r w:rsidRPr="00A1717E">
                    <w:rPr>
                      <w:rFonts w:ascii="Arial Narrow" w:hAnsi="Arial Narrow"/>
                      <w:b/>
                    </w:rPr>
                    <w:t xml:space="preserve"> cheie ale regiunii Centru</w:t>
                  </w:r>
                </w:p>
                <w:p w:rsidR="00064502" w:rsidRPr="00A1717E" w:rsidRDefault="00064502" w:rsidP="00EA5F90">
                  <w:pPr>
                    <w:spacing w:after="0" w:line="240" w:lineRule="auto"/>
                    <w:jc w:val="center"/>
                    <w:rPr>
                      <w:rFonts w:ascii="Arial Narrow" w:hAnsi="Arial Narrow"/>
                      <w:b/>
                    </w:rPr>
                  </w:pP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sidRPr="00A1717E">
                    <w:rPr>
                      <w:rFonts w:ascii="Arial Narrow" w:hAnsi="Arial Narrow"/>
                    </w:rPr>
                    <w:t>regiune bogată în resurse naturale (minerale și energetice)</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sidRPr="00A1717E">
                    <w:rPr>
                      <w:rFonts w:ascii="Arial Narrow" w:hAnsi="Arial Narrow"/>
                    </w:rPr>
                    <w:t>varietate de proiecte CD realizate de mediul privat în domeniul mate</w:t>
                  </w:r>
                  <w:r>
                    <w:rPr>
                      <w:rFonts w:ascii="Arial Narrow" w:hAnsi="Arial Narrow"/>
                    </w:rPr>
                    <w:t>rialelor și produselor avansate;</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sidRPr="00A1717E">
                    <w:rPr>
                      <w:rFonts w:ascii="Arial Narrow" w:hAnsi="Arial Narrow"/>
                    </w:rPr>
                    <w:t>interes sporit în dezoltarea colaborării dintre mediul privat și cel academic;</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Pr>
                      <w:rFonts w:ascii="Arial Narrow" w:hAnsi="Arial Narrow"/>
                      <w:b/>
                    </w:rPr>
                    <w:t>30</w:t>
                  </w:r>
                  <w:r w:rsidRPr="00A1717E">
                    <w:rPr>
                      <w:rFonts w:ascii="Arial Narrow" w:hAnsi="Arial Narrow"/>
                      <w:b/>
                    </w:rPr>
                    <w:t xml:space="preserve"> 0000* persoane angajate</w:t>
                  </w:r>
                  <w:r w:rsidRPr="00A1717E">
                    <w:rPr>
                      <w:rFonts w:ascii="Arial Narrow" w:hAnsi="Arial Narrow"/>
                    </w:rPr>
                    <w:t xml:space="preserve"> în companii legate de sectorul materialelor de construcțiilor;</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sidRPr="00A1717E">
                    <w:rPr>
                      <w:rFonts w:ascii="Arial Narrow" w:hAnsi="Arial Narrow"/>
                    </w:rPr>
                    <w:t>al doilea mare jucător de pe piața materialelor de construcții;</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sidRPr="00A1717E">
                    <w:rPr>
                      <w:rFonts w:ascii="Arial Narrow" w:hAnsi="Arial Narrow"/>
                    </w:rPr>
                    <w:t>24%* din întreprinderile active la nivel național în domeniul prelucrării lemnului (CAEN 16)</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rPr>
                  </w:pPr>
                  <w:r w:rsidRPr="00A1717E">
                    <w:rPr>
                      <w:rFonts w:ascii="Arial Narrow" w:hAnsi="Arial Narrow"/>
                    </w:rPr>
                    <w:t>existenta specialiștilor în domeniul proiectării și dezvoltării materialor sustenabile</w:t>
                  </w:r>
                </w:p>
                <w:p w:rsidR="00064502" w:rsidRPr="00A1717E" w:rsidRDefault="00064502" w:rsidP="00981E9F">
                  <w:pPr>
                    <w:pStyle w:val="Listparagraf"/>
                    <w:numPr>
                      <w:ilvl w:val="0"/>
                      <w:numId w:val="41"/>
                    </w:numPr>
                    <w:tabs>
                      <w:tab w:val="left" w:pos="142"/>
                    </w:tabs>
                    <w:spacing w:after="160" w:line="259" w:lineRule="auto"/>
                    <w:ind w:left="0" w:firstLine="0"/>
                    <w:jc w:val="both"/>
                    <w:rPr>
                      <w:rFonts w:ascii="Arial Narrow" w:hAnsi="Arial Narrow"/>
                      <w:b/>
                    </w:rPr>
                  </w:pPr>
                  <w:r w:rsidRPr="00A1717E">
                    <w:rPr>
                      <w:rFonts w:ascii="Arial Narrow" w:hAnsi="Arial Narrow"/>
                      <w:b/>
                    </w:rPr>
                    <w:t>potențial bioenergetic ridicat</w:t>
                  </w:r>
                  <w:r>
                    <w:rPr>
                      <w:rFonts w:ascii="Arial Narrow" w:hAnsi="Arial Narrow"/>
                      <w:b/>
                    </w:rPr>
                    <w:t xml:space="preserve"> </w:t>
                  </w:r>
                  <w:r w:rsidRPr="00073807">
                    <w:rPr>
                      <w:rFonts w:ascii="Arial Narrow" w:hAnsi="Arial Narrow"/>
                    </w:rPr>
                    <w:t>(PEBL 457,18 TJ și PEBV 1570,53 TJ )</w:t>
                  </w:r>
                </w:p>
                <w:p w:rsidR="00064502" w:rsidRPr="00A1717E" w:rsidRDefault="00064502" w:rsidP="00EA5F90">
                  <w:pPr>
                    <w:tabs>
                      <w:tab w:val="left" w:pos="142"/>
                    </w:tabs>
                    <w:jc w:val="both"/>
                    <w:rPr>
                      <w:rFonts w:ascii="Arial Narrow" w:hAnsi="Arial Narrow"/>
                      <w:b/>
                      <w:sz w:val="14"/>
                      <w:szCs w:val="14"/>
                    </w:rPr>
                  </w:pPr>
                  <w:r w:rsidRPr="00A1717E">
                    <w:rPr>
                      <w:rFonts w:ascii="Arial Narrow" w:hAnsi="Arial Narrow"/>
                      <w:b/>
                      <w:sz w:val="14"/>
                      <w:szCs w:val="14"/>
                    </w:rPr>
                    <w:t xml:space="preserve">*Sursă: </w:t>
                  </w:r>
                  <w:r w:rsidRPr="00A1717E">
                    <w:rPr>
                      <w:rFonts w:ascii="Arial Narrow" w:hAnsi="Arial Narrow"/>
                      <w:sz w:val="14"/>
                      <w:szCs w:val="14"/>
                    </w:rPr>
                    <w:t>Prelucrare pe baza datelor publicate de ANAF și RECOM</w:t>
                  </w:r>
                </w:p>
                <w:p w:rsidR="00064502" w:rsidRPr="00A1717E" w:rsidRDefault="00064502" w:rsidP="00EA5F90">
                  <w:pPr>
                    <w:pStyle w:val="Listparagraf"/>
                    <w:tabs>
                      <w:tab w:val="left" w:pos="142"/>
                    </w:tabs>
                    <w:ind w:left="0"/>
                    <w:jc w:val="both"/>
                    <w:rPr>
                      <w:rFonts w:ascii="Arial Narrow" w:hAnsi="Arial Narrow"/>
                      <w:b/>
                      <w:sz w:val="14"/>
                      <w:szCs w:val="14"/>
                    </w:rPr>
                  </w:pPr>
                </w:p>
              </w:txbxContent>
            </v:textbox>
            <w10:wrap type="square" anchorx="margin"/>
          </v:shape>
        </w:pict>
      </w:r>
    </w:p>
    <w:p w:rsidR="00EA5F90" w:rsidRPr="003064E5" w:rsidRDefault="00EA5F90" w:rsidP="00981E9F">
      <w:pPr>
        <w:pStyle w:val="Listparagraf"/>
        <w:numPr>
          <w:ilvl w:val="0"/>
          <w:numId w:val="44"/>
        </w:numPr>
        <w:tabs>
          <w:tab w:val="left" w:pos="284"/>
        </w:tabs>
        <w:spacing w:after="0" w:line="240" w:lineRule="auto"/>
        <w:jc w:val="both"/>
        <w:rPr>
          <w:rFonts w:ascii="Arial Narrow" w:hAnsi="Arial Narrow"/>
          <w:color w:val="70AD47"/>
          <w:sz w:val="24"/>
          <w:szCs w:val="24"/>
        </w:rPr>
      </w:pPr>
      <w:r w:rsidRPr="003064E5">
        <w:rPr>
          <w:rFonts w:ascii="Arial Narrow" w:hAnsi="Arial Narrow"/>
          <w:b/>
          <w:color w:val="70AD47"/>
          <w:sz w:val="24"/>
          <w:szCs w:val="24"/>
        </w:rPr>
        <w:t>Materiale și produse</w:t>
      </w:r>
      <w:r w:rsidRPr="003064E5">
        <w:rPr>
          <w:rFonts w:ascii="Arial Narrow" w:eastAsia="Times New Roman" w:hAnsi="Arial Narrow"/>
          <w:noProof/>
          <w:color w:val="70AD47"/>
          <w:sz w:val="24"/>
          <w:szCs w:val="24"/>
        </w:rPr>
        <w:t xml:space="preserve"> </w:t>
      </w:r>
    </w:p>
    <w:p w:rsidR="00EA5F90" w:rsidRDefault="00EA5F90" w:rsidP="00EA5F90">
      <w:pPr>
        <w:tabs>
          <w:tab w:val="left" w:pos="426"/>
        </w:tabs>
        <w:spacing w:after="0" w:line="240" w:lineRule="auto"/>
        <w:jc w:val="both"/>
        <w:rPr>
          <w:rFonts w:ascii="Arial Narrow" w:hAnsi="Arial Narrow"/>
          <w:sz w:val="24"/>
          <w:szCs w:val="24"/>
        </w:rPr>
      </w:pPr>
      <w:r w:rsidRPr="00850A85">
        <w:rPr>
          <w:rFonts w:ascii="Arial Narrow" w:hAnsi="Arial Narrow"/>
          <w:sz w:val="24"/>
          <w:szCs w:val="24"/>
        </w:rPr>
        <w:t>Consumul de resurse naturale în mediul construit și respectiv în sectorul construcțiilor este determinat în mare parte de deciziile din faza de proiectare și de alegere a materialelor. În ceea ce privește alegerea materialelor de construcție, la nivelul regiunii s-au făcut progrese în ultima perioadă. Un exemplu relevant în acest sens este elementulul modular BSF</w:t>
      </w:r>
      <w:r w:rsidRPr="00263395">
        <w:rPr>
          <w:rStyle w:val="Referinnotdesubsol"/>
          <w:rFonts w:ascii="Arial Narrow" w:hAnsi="Arial Narrow"/>
          <w:sz w:val="24"/>
          <w:szCs w:val="24"/>
        </w:rPr>
        <w:footnoteReference w:id="34"/>
      </w:r>
      <w:r w:rsidRPr="00850A85">
        <w:rPr>
          <w:rFonts w:ascii="Arial Narrow" w:hAnsi="Arial Narrow"/>
          <w:sz w:val="24"/>
          <w:szCs w:val="24"/>
        </w:rPr>
        <w:t>, propus de o companie privată  din regiune</w:t>
      </w:r>
      <w:r>
        <w:rPr>
          <w:rFonts w:ascii="Arial Narrow" w:hAnsi="Arial Narrow"/>
          <w:sz w:val="24"/>
          <w:szCs w:val="24"/>
        </w:rPr>
        <w:t xml:space="preserve">. Acesta este </w:t>
      </w:r>
      <w:r w:rsidRPr="00850A85">
        <w:rPr>
          <w:rFonts w:ascii="Arial Narrow" w:hAnsi="Arial Narrow"/>
          <w:sz w:val="24"/>
          <w:szCs w:val="24"/>
        </w:rPr>
        <w:t>compus dintr-un bloc de spumă poliuretanică placat cu plăci din gips carton, tablă zincată, fibră de sticlă, fibrociment etc. și</w:t>
      </w:r>
      <w:r>
        <w:rPr>
          <w:rFonts w:ascii="Arial Narrow" w:hAnsi="Arial Narrow"/>
          <w:sz w:val="24"/>
          <w:szCs w:val="24"/>
        </w:rPr>
        <w:t xml:space="preserve"> este utilizat î</w:t>
      </w:r>
      <w:r w:rsidRPr="00850A85">
        <w:rPr>
          <w:rFonts w:ascii="Arial Narrow" w:hAnsi="Arial Narrow"/>
          <w:sz w:val="24"/>
          <w:szCs w:val="24"/>
        </w:rPr>
        <w:t xml:space="preserve">ntr-o gamă largă de aplicaţii în industria construcţiilor. </w:t>
      </w:r>
    </w:p>
    <w:p w:rsidR="00EA5F90" w:rsidRDefault="00EA5F90" w:rsidP="00EA5F90">
      <w:pPr>
        <w:tabs>
          <w:tab w:val="left" w:pos="426"/>
        </w:tabs>
        <w:spacing w:after="0" w:line="240" w:lineRule="auto"/>
        <w:jc w:val="both"/>
        <w:rPr>
          <w:rFonts w:ascii="Arial Narrow" w:hAnsi="Arial Narrow"/>
          <w:sz w:val="24"/>
          <w:szCs w:val="24"/>
        </w:rPr>
      </w:pPr>
      <w:r w:rsidRPr="00850A85">
        <w:rPr>
          <w:rFonts w:ascii="Arial Narrow" w:hAnsi="Arial Narrow"/>
          <w:sz w:val="24"/>
          <w:szCs w:val="24"/>
        </w:rPr>
        <w:t xml:space="preserve">În plus, la nivelul regiunii există </w:t>
      </w:r>
      <w:r w:rsidRPr="00850A85">
        <w:rPr>
          <w:rFonts w:ascii="Arial Narrow" w:hAnsi="Arial Narrow"/>
          <w:b/>
          <w:sz w:val="24"/>
          <w:szCs w:val="24"/>
        </w:rPr>
        <w:t>operatori economici cu activitate în domeniul CD</w:t>
      </w:r>
      <w:r w:rsidRPr="00263395">
        <w:rPr>
          <w:rStyle w:val="Referinnotdesubsol"/>
          <w:rFonts w:ascii="Arial Narrow" w:hAnsi="Arial Narrow"/>
          <w:b/>
          <w:sz w:val="24"/>
          <w:szCs w:val="24"/>
        </w:rPr>
        <w:footnoteReference w:id="35"/>
      </w:r>
      <w:r w:rsidRPr="00850A85">
        <w:rPr>
          <w:rFonts w:ascii="Arial Narrow" w:hAnsi="Arial Narrow"/>
          <w:b/>
          <w:sz w:val="24"/>
          <w:szCs w:val="24"/>
        </w:rPr>
        <w:t xml:space="preserve">. </w:t>
      </w:r>
      <w:r w:rsidRPr="00850A85">
        <w:rPr>
          <w:rFonts w:ascii="Arial Narrow" w:hAnsi="Arial Narrow"/>
          <w:sz w:val="24"/>
          <w:szCs w:val="24"/>
        </w:rPr>
        <w:t>Promovarea materialelor și produselor avansate este susținută și de activitatatea institutelor de</w:t>
      </w:r>
      <w:r w:rsidRPr="00850A85">
        <w:rPr>
          <w:rFonts w:ascii="Arial Narrow" w:hAnsi="Arial Narrow"/>
          <w:b/>
          <w:sz w:val="24"/>
          <w:szCs w:val="24"/>
        </w:rPr>
        <w:t xml:space="preserve"> </w:t>
      </w:r>
      <w:r w:rsidRPr="00850A85">
        <w:rPr>
          <w:rFonts w:ascii="Arial Narrow" w:hAnsi="Arial Narrow"/>
          <w:sz w:val="24"/>
          <w:szCs w:val="24"/>
        </w:rPr>
        <w:t>cercetare</w:t>
      </w:r>
      <w:r w:rsidRPr="00263395">
        <w:rPr>
          <w:rStyle w:val="Referinnotdesubsol"/>
          <w:rFonts w:ascii="Arial Narrow" w:hAnsi="Arial Narrow"/>
          <w:sz w:val="24"/>
          <w:szCs w:val="24"/>
        </w:rPr>
        <w:footnoteReference w:id="36"/>
      </w:r>
      <w:r w:rsidRPr="00850A85">
        <w:rPr>
          <w:rFonts w:ascii="Arial Narrow" w:hAnsi="Arial Narrow"/>
          <w:sz w:val="24"/>
          <w:szCs w:val="24"/>
        </w:rPr>
        <w:t xml:space="preserve"> și centrele universitare</w:t>
      </w:r>
      <w:r w:rsidRPr="00263395">
        <w:rPr>
          <w:rStyle w:val="Referinnotdesubsol"/>
          <w:rFonts w:ascii="Arial Narrow" w:hAnsi="Arial Narrow"/>
          <w:sz w:val="24"/>
          <w:szCs w:val="24"/>
        </w:rPr>
        <w:footnoteReference w:id="37"/>
      </w:r>
      <w:r w:rsidRPr="00850A85">
        <w:rPr>
          <w:rFonts w:ascii="Arial Narrow" w:hAnsi="Arial Narrow"/>
          <w:sz w:val="24"/>
          <w:szCs w:val="24"/>
        </w:rPr>
        <w:t xml:space="preserve"> din regiune. </w:t>
      </w:r>
    </w:p>
    <w:p w:rsidR="00EA5F90" w:rsidRPr="002862FA" w:rsidRDefault="00BD7229" w:rsidP="00EA5F90">
      <w:pPr>
        <w:tabs>
          <w:tab w:val="left" w:pos="284"/>
        </w:tabs>
        <w:spacing w:after="0" w:line="240" w:lineRule="auto"/>
        <w:jc w:val="both"/>
        <w:rPr>
          <w:rFonts w:ascii="Arial Narrow" w:hAnsi="Arial Narrow"/>
          <w:sz w:val="24"/>
          <w:szCs w:val="24"/>
        </w:rPr>
      </w:pPr>
      <w:r w:rsidRPr="00BD7229">
        <w:rPr>
          <w:noProof/>
        </w:rPr>
        <w:lastRenderedPageBreak/>
        <w:pict>
          <v:shape id="Text Box 18" o:spid="_x0000_s1045" type="#_x0000_t202" style="position:absolute;left:0;text-align:left;margin-left:189.8pt;margin-top:26.65pt;width:231.5pt;height:20.4pt;z-index:25168076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" filled="f" stroked="f" strokeweight=".5pt">
            <v:textbox>
              <w:txbxContent>
                <w:p w:rsidR="00064502" w:rsidRPr="00506CE8" w:rsidRDefault="00064502" w:rsidP="00EA5F90">
                  <w:pPr>
                    <w:jc w:val="center"/>
                    <w:rPr>
                      <w:rFonts w:ascii="Arial Narrow" w:hAnsi="Arial Narrow"/>
                      <w:b/>
                      <w:i/>
                      <w:sz w:val="16"/>
                      <w:szCs w:val="14"/>
                    </w:rPr>
                  </w:pPr>
                  <w:r w:rsidRPr="00506CE8">
                    <w:rPr>
                      <w:rFonts w:ascii="Arial Narrow" w:hAnsi="Arial Narrow"/>
                      <w:b/>
                      <w:i/>
                      <w:sz w:val="16"/>
                      <w:szCs w:val="14"/>
                    </w:rPr>
                    <w:t xml:space="preserve">Potențial de dezvoltare sustenabilă a industriei </w:t>
                  </w:r>
                  <w:r w:rsidRPr="00073807">
                    <w:rPr>
                      <w:rFonts w:ascii="Arial Narrow" w:hAnsi="Arial Narrow"/>
                      <w:b/>
                      <w:i/>
                      <w:sz w:val="18"/>
                      <w:szCs w:val="14"/>
                    </w:rPr>
                    <w:t>lemnului</w:t>
                  </w:r>
                </w:p>
              </w:txbxContent>
            </v:textbox>
            <w10:wrap anchorx="margin"/>
          </v:shape>
        </w:pict>
      </w:r>
      <w:r w:rsidR="00EA5F90" w:rsidRPr="003064E5">
        <w:rPr>
          <w:rFonts w:ascii="Arial Narrow" w:hAnsi="Arial Narrow"/>
          <w:b/>
          <w:i/>
          <w:color w:val="70AD47"/>
          <w:sz w:val="24"/>
          <w:szCs w:val="24"/>
        </w:rPr>
        <w:t xml:space="preserve">Eficiența resurselor - oportunitate în dezvoltarea sustenabilă a sectorului construcțiilor. Materiale de construcții. </w:t>
      </w:r>
      <w:r w:rsidR="00EA5F90" w:rsidRPr="00312D29">
        <w:rPr>
          <w:rFonts w:ascii="Arial Narrow" w:hAnsi="Arial Narrow"/>
          <w:sz w:val="24"/>
          <w:szCs w:val="24"/>
        </w:rPr>
        <w:t xml:space="preserve">Materialele de construcții reprezintă intrări pentru industria construcțiilor și, ca atare, este foarte important ca acestea să fie exploatate/produse/dezvoltate în mod sustenabil. Natura producției și a consumului pentru cele mai multe materiale de construcții contribuie la strânsa legătură dintre acestea și sectorul construcțiilor în ansamblu (inclusiv construirea de clădiri rezidențiale și comerciale și de construcție specializate). </w:t>
      </w:r>
      <w:r w:rsidR="00EA5F90">
        <w:rPr>
          <w:rFonts w:ascii="Arial Narrow" w:hAnsi="Arial Narrow"/>
          <w:sz w:val="24"/>
          <w:szCs w:val="24"/>
        </w:rPr>
        <w:t>Consumul mare de resurse (pe distanțe mari) și costurile</w:t>
      </w:r>
      <w:r w:rsidR="00EA5F90" w:rsidRPr="00312D29">
        <w:rPr>
          <w:rFonts w:ascii="Arial Narrow" w:hAnsi="Arial Narrow"/>
          <w:sz w:val="24"/>
          <w:szCs w:val="24"/>
        </w:rPr>
        <w:t xml:space="preserve"> de transport ridicate</w:t>
      </w:r>
      <w:r w:rsidR="00EA5F90">
        <w:rPr>
          <w:rFonts w:ascii="Arial Narrow" w:hAnsi="Arial Narrow"/>
          <w:sz w:val="24"/>
          <w:szCs w:val="24"/>
        </w:rPr>
        <w:t xml:space="preserve"> fac ca piața </w:t>
      </w:r>
      <w:r w:rsidR="00EA5F90" w:rsidRPr="00312D29">
        <w:rPr>
          <w:rFonts w:ascii="Arial Narrow" w:hAnsi="Arial Narrow"/>
          <w:sz w:val="24"/>
          <w:szCs w:val="24"/>
        </w:rPr>
        <w:t xml:space="preserve">materialelor de construcții </w:t>
      </w:r>
      <w:r w:rsidR="00EA5F90">
        <w:rPr>
          <w:rFonts w:ascii="Arial Narrow" w:hAnsi="Arial Narrow"/>
          <w:sz w:val="24"/>
          <w:szCs w:val="24"/>
        </w:rPr>
        <w:t>să fie</w:t>
      </w:r>
      <w:r w:rsidR="00EA5F90" w:rsidRPr="00312D29">
        <w:rPr>
          <w:rFonts w:ascii="Arial Narrow" w:hAnsi="Arial Narrow"/>
          <w:sz w:val="24"/>
          <w:szCs w:val="24"/>
        </w:rPr>
        <w:t xml:space="preserve"> în mare măsură locală - materialele de construcție sunt, în general, furnizate companiilor de construcții </w:t>
      </w:r>
      <w:r w:rsidR="00EA5F90">
        <w:rPr>
          <w:rFonts w:ascii="Arial Narrow" w:hAnsi="Arial Narrow"/>
          <w:sz w:val="24"/>
          <w:szCs w:val="24"/>
        </w:rPr>
        <w:t>din</w:t>
      </w:r>
      <w:r w:rsidR="00EA5F90" w:rsidRPr="00312D29">
        <w:rPr>
          <w:rFonts w:ascii="Arial Narrow" w:hAnsi="Arial Narrow"/>
          <w:sz w:val="24"/>
          <w:szCs w:val="24"/>
        </w:rPr>
        <w:t xml:space="preserve"> vecinătatea relativă a instalațiilor de producție. </w:t>
      </w:r>
      <w:r w:rsidR="00EA5F90">
        <w:rPr>
          <w:rFonts w:ascii="Arial Narrow" w:hAnsi="Arial Narrow"/>
          <w:sz w:val="24"/>
          <w:szCs w:val="24"/>
        </w:rPr>
        <w:t xml:space="preserve">În acest context, piața materialelor de construcții are la baza cererea de pe piața </w:t>
      </w:r>
      <w:r w:rsidR="000865B4">
        <w:rPr>
          <w:rFonts w:ascii="Arial Narrow" w:hAnsi="Arial Narrow"/>
          <w:noProof/>
          <w:sz w:val="24"/>
          <w:szCs w:val="24"/>
        </w:rPr>
        <w:drawing>
          <wp:anchor distT="0" distB="0" distL="114300" distR="114300" simplePos="0" relativeHeight="251679744" behindDoc="0" locked="0" layoutInCell="1" allowOverlap="1">
            <wp:simplePos x="0" y="0"/>
            <wp:positionH relativeFrom="margin">
              <wp:posOffset>1919605</wp:posOffset>
            </wp:positionH>
            <wp:positionV relativeFrom="margin">
              <wp:posOffset>109855</wp:posOffset>
            </wp:positionV>
            <wp:extent cx="3838575" cy="2409825"/>
            <wp:effectExtent l="38100" t="0" r="28575" b="9525"/>
            <wp:wrapSquare wrapText="bothSides"/>
            <wp:docPr id="26"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EA5F90">
        <w:rPr>
          <w:rFonts w:ascii="Arial Narrow" w:hAnsi="Arial Narrow"/>
          <w:sz w:val="24"/>
          <w:szCs w:val="24"/>
        </w:rPr>
        <w:t>locală/regională și resursele existente.  A</w:t>
      </w:r>
      <w:r w:rsidR="00EA5F90" w:rsidRPr="00312D29">
        <w:rPr>
          <w:rFonts w:ascii="Arial Narrow" w:hAnsi="Arial Narrow"/>
          <w:sz w:val="24"/>
          <w:szCs w:val="24"/>
        </w:rPr>
        <w:t xml:space="preserve">vând în vedere resursele existente la nivel regional, </w:t>
      </w:r>
      <w:r w:rsidR="00EA5F90">
        <w:rPr>
          <w:rFonts w:ascii="Arial Narrow" w:hAnsi="Arial Narrow"/>
          <w:sz w:val="24"/>
          <w:szCs w:val="24"/>
        </w:rPr>
        <w:t>d</w:t>
      </w:r>
      <w:r w:rsidR="00EA5F90" w:rsidRPr="00312D29">
        <w:rPr>
          <w:rFonts w:ascii="Arial Narrow" w:hAnsi="Arial Narrow"/>
          <w:sz w:val="24"/>
          <w:szCs w:val="24"/>
        </w:rPr>
        <w:t xml:space="preserve">intre activitățile legate de sectorul materialelor de construcții, cea mai bine conturată este producția lemnului (CAEN 16). Astfel, </w:t>
      </w:r>
      <w:r w:rsidR="00EA5F90" w:rsidRPr="002862FA">
        <w:rPr>
          <w:rFonts w:ascii="Arial Narrow" w:hAnsi="Arial Narrow"/>
          <w:b/>
          <w:sz w:val="24"/>
          <w:szCs w:val="24"/>
        </w:rPr>
        <w:t xml:space="preserve">la </w:t>
      </w:r>
      <w:r w:rsidRPr="00BD7229">
        <w:rPr>
          <w:noProof/>
        </w:rPr>
        <w:pict>
          <v:shape id="Text Box 19" o:spid="_x0000_s1046" type="#_x0000_t202" style="position:absolute;left:0;text-align:left;margin-left:296.85pt;margin-top:118.75pt;width:88.5pt;height:79.5pt;z-index:251681792;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" filled="f" stroked="f" strokeweight=".5pt">
            <v:textbox>
              <w:txbxContent>
                <w:p w:rsidR="00064502" w:rsidRDefault="00064502" w:rsidP="00EA5F90">
                  <w:pPr>
                    <w:tabs>
                      <w:tab w:val="left" w:pos="426"/>
                    </w:tabs>
                    <w:spacing w:after="0" w:line="240" w:lineRule="auto"/>
                    <w:jc w:val="both"/>
                  </w:pPr>
                  <w:r w:rsidRPr="002C42F7">
                    <w:rPr>
                      <w:rFonts w:ascii="Arial Narrow" w:hAnsi="Arial Narrow"/>
                      <w:sz w:val="14"/>
                      <w:szCs w:val="14"/>
                    </w:rPr>
                    <w:t xml:space="preserve">- </w:t>
                  </w:r>
                  <w:r w:rsidRPr="00073807">
                    <w:rPr>
                      <w:rFonts w:ascii="Arial Narrow" w:hAnsi="Arial Narrow"/>
                      <w:sz w:val="16"/>
                      <w:szCs w:val="14"/>
                    </w:rPr>
                    <w:t>Cea mai mare CA totală raportată la CA de la nivel național (1.334 milioane euro), 1303 firme, inclusiv al doilea producător din țară.</w:t>
                  </w:r>
                </w:p>
              </w:txbxContent>
            </v:textbox>
            <w10:wrap anchorx="page"/>
          </v:shape>
        </w:pict>
      </w:r>
      <w:r w:rsidRPr="00BD7229">
        <w:rPr>
          <w:noProof/>
        </w:rPr>
        <w:pict>
          <v:shape id="Text Box 24" o:spid="_x0000_s1047" type="#_x0000_t202" style="position:absolute;left:0;text-align:left;margin-left:385.35pt;margin-top:114.4pt;width:90.9pt;height:98.25pt;z-index:251682816;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" filled="f" stroked="f" strokeweight=".5pt">
            <v:textbox>
              <w:txbxContent>
                <w:p w:rsidR="00064502" w:rsidRPr="00073807" w:rsidRDefault="00064502" w:rsidP="00EA5F90">
                  <w:pPr>
                    <w:tabs>
                      <w:tab w:val="left" w:pos="0"/>
                    </w:tabs>
                    <w:spacing w:after="0" w:line="240" w:lineRule="auto"/>
                    <w:jc w:val="both"/>
                    <w:rPr>
                      <w:rFonts w:ascii="Arial Narrow" w:hAnsi="Arial Narrow"/>
                      <w:sz w:val="16"/>
                      <w:szCs w:val="16"/>
                    </w:rPr>
                  </w:pPr>
                  <w:r w:rsidRPr="00073807">
                    <w:rPr>
                      <w:rFonts w:ascii="Arial Narrow" w:hAnsi="Arial Narrow"/>
                      <w:bCs/>
                      <w:sz w:val="16"/>
                      <w:szCs w:val="16"/>
                    </w:rPr>
                    <w:t>Programe universitare specializate  -</w:t>
                  </w:r>
                  <w:r w:rsidRPr="00073807">
                    <w:rPr>
                      <w:rFonts w:ascii="Arial Narrow" w:hAnsi="Arial Narrow"/>
                      <w:b/>
                      <w:bCs/>
                      <w:sz w:val="16"/>
                      <w:szCs w:val="16"/>
                    </w:rPr>
                    <w:t>unica facultate de profil din țară se află la Brașov -Facultatea de Ingineria Lemnului</w:t>
                  </w:r>
                  <w:r w:rsidRPr="00073807">
                    <w:rPr>
                      <w:rFonts w:ascii="Arial Narrow" w:hAnsi="Arial Narrow"/>
                      <w:bCs/>
                      <w:sz w:val="16"/>
                      <w:szCs w:val="16"/>
                    </w:rPr>
                    <w:t xml:space="preserve">); Numeroase </w:t>
                  </w:r>
                  <w:hyperlink r:id="rId50" w:history="1">
                    <w:r w:rsidRPr="00073807">
                      <w:rPr>
                        <w:rStyle w:val="Hyperlink"/>
                        <w:rFonts w:ascii="Arial Narrow" w:hAnsi="Arial Narrow"/>
                        <w:bCs/>
                        <w:sz w:val="16"/>
                        <w:szCs w:val="16"/>
                      </w:rPr>
                      <w:t>proiecte de cercetare</w:t>
                    </w:r>
                  </w:hyperlink>
                  <w:r w:rsidRPr="00073807">
                    <w:rPr>
                      <w:rFonts w:ascii="Arial Narrow" w:hAnsi="Arial Narrow"/>
                      <w:bCs/>
                      <w:sz w:val="16"/>
                      <w:szCs w:val="16"/>
                    </w:rPr>
                    <w:t xml:space="preserve"> în domeniu;</w:t>
                  </w:r>
                </w:p>
              </w:txbxContent>
            </v:textbox>
            <w10:wrap anchorx="page"/>
          </v:shape>
        </w:pict>
      </w:r>
      <w:r w:rsidR="00EA5F90" w:rsidRPr="002862FA">
        <w:rPr>
          <w:rFonts w:ascii="Arial Narrow" w:hAnsi="Arial Narrow"/>
          <w:b/>
          <w:sz w:val="24"/>
          <w:szCs w:val="24"/>
        </w:rPr>
        <w:t xml:space="preserve">nivelul anului 2014, regiunea </w:t>
      </w:r>
      <w:r w:rsidRPr="00BD7229">
        <w:rPr>
          <w:noProof/>
        </w:rPr>
        <w:pict>
          <v:shape id="Text Box 26" o:spid="_x0000_s1048" type="#_x0000_t202" style="position:absolute;left:0;text-align:left;margin-left:148.85pt;margin-top:124.15pt;width:77.15pt;height:52.4pt;z-index:25168384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" filled="f" stroked="f" strokeweight=".5pt">
            <v:textbox>
              <w:txbxContent>
                <w:p w:rsidR="00064502" w:rsidRPr="00073807" w:rsidRDefault="00064502" w:rsidP="00EA5F90">
                  <w:pPr>
                    <w:tabs>
                      <w:tab w:val="left" w:pos="426"/>
                    </w:tabs>
                    <w:spacing w:after="0" w:line="240" w:lineRule="auto"/>
                    <w:jc w:val="center"/>
                    <w:rPr>
                      <w:rFonts w:ascii="Arial Narrow" w:hAnsi="Arial Narrow"/>
                      <w:sz w:val="16"/>
                      <w:szCs w:val="14"/>
                    </w:rPr>
                  </w:pPr>
                  <w:r w:rsidRPr="00073807">
                    <w:rPr>
                      <w:rFonts w:ascii="Arial Narrow" w:hAnsi="Arial Narrow"/>
                      <w:sz w:val="16"/>
                      <w:szCs w:val="14"/>
                    </w:rPr>
                    <w:t>- 1264 mii ha ocupată de vegetație forestieră;</w:t>
                  </w:r>
                </w:p>
                <w:p w:rsidR="00064502" w:rsidRPr="00073807" w:rsidRDefault="00064502" w:rsidP="00EA5F90">
                  <w:pPr>
                    <w:tabs>
                      <w:tab w:val="left" w:pos="426"/>
                    </w:tabs>
                    <w:spacing w:after="0" w:line="240" w:lineRule="auto"/>
                    <w:jc w:val="center"/>
                    <w:rPr>
                      <w:rFonts w:ascii="Arial Narrow" w:hAnsi="Arial Narrow"/>
                      <w:sz w:val="16"/>
                      <w:szCs w:val="14"/>
                    </w:rPr>
                  </w:pPr>
                  <w:r w:rsidRPr="00073807">
                    <w:rPr>
                      <w:rFonts w:ascii="Arial Narrow" w:hAnsi="Arial Narrow"/>
                      <w:sz w:val="16"/>
                      <w:szCs w:val="14"/>
                    </w:rPr>
                    <w:t xml:space="preserve">- peste </w:t>
                  </w:r>
                  <w:r w:rsidRPr="00073807">
                    <w:rPr>
                      <w:rFonts w:ascii="Arial Narrow" w:hAnsi="Arial Narrow"/>
                      <w:b/>
                      <w:bCs/>
                      <w:sz w:val="16"/>
                      <w:szCs w:val="14"/>
                    </w:rPr>
                    <w:t>4237,2 mii mc lemn recoltat.</w:t>
                  </w:r>
                </w:p>
                <w:p w:rsidR="00064502" w:rsidRPr="00073807" w:rsidRDefault="00064502" w:rsidP="00EA5F90">
                  <w:pPr>
                    <w:tabs>
                      <w:tab w:val="left" w:pos="426"/>
                    </w:tabs>
                    <w:jc w:val="center"/>
                    <w:rPr>
                      <w:sz w:val="24"/>
                    </w:rPr>
                  </w:pPr>
                </w:p>
              </w:txbxContent>
            </v:textbox>
            <w10:wrap anchorx="margin"/>
          </v:shape>
        </w:pict>
      </w:r>
      <w:r w:rsidR="00EA5F90" w:rsidRPr="002862FA">
        <w:rPr>
          <w:rFonts w:ascii="Arial Narrow" w:hAnsi="Arial Narrow"/>
          <w:b/>
          <w:sz w:val="24"/>
          <w:szCs w:val="24"/>
        </w:rPr>
        <w:t>Centru ocupa primul loc în ceea ce privește numărul total de întreprinderi active</w:t>
      </w:r>
      <w:r w:rsidR="00EA5F90" w:rsidRPr="00312D29">
        <w:rPr>
          <w:rFonts w:ascii="Arial Narrow" w:hAnsi="Arial Narrow"/>
          <w:sz w:val="24"/>
          <w:szCs w:val="24"/>
        </w:rPr>
        <w:t xml:space="preserve"> </w:t>
      </w:r>
      <w:r w:rsidR="00EA5F90" w:rsidRPr="00312D29">
        <w:rPr>
          <w:rFonts w:ascii="Arial Narrow" w:hAnsi="Arial Narrow"/>
          <w:b/>
          <w:sz w:val="24"/>
          <w:szCs w:val="24"/>
        </w:rPr>
        <w:t>- peste 1300 de întreprinderi active</w:t>
      </w:r>
      <w:r w:rsidR="00EA5F90">
        <w:rPr>
          <w:rStyle w:val="Referinnotdesubsol"/>
          <w:rFonts w:ascii="Arial Narrow" w:hAnsi="Arial Narrow"/>
          <w:b/>
          <w:sz w:val="24"/>
          <w:szCs w:val="24"/>
        </w:rPr>
        <w:footnoteReference w:id="38"/>
      </w:r>
      <w:r w:rsidR="00EA5F90" w:rsidRPr="00312D29">
        <w:rPr>
          <w:rFonts w:ascii="Arial Narrow" w:hAnsi="Arial Narrow"/>
          <w:b/>
          <w:sz w:val="24"/>
          <w:szCs w:val="24"/>
        </w:rPr>
        <w:t>, 24% din numărul total de companii de la nivel național</w:t>
      </w:r>
      <w:r w:rsidR="00EA5F90" w:rsidRPr="00312D29">
        <w:rPr>
          <w:rFonts w:ascii="Arial Narrow" w:hAnsi="Arial Narrow"/>
          <w:sz w:val="24"/>
          <w:szCs w:val="24"/>
        </w:rPr>
        <w:t xml:space="preserve">. </w:t>
      </w:r>
      <w:r w:rsidR="00EA5F90" w:rsidRPr="002862FA">
        <w:rPr>
          <w:rFonts w:ascii="Arial Narrow" w:hAnsi="Arial Narrow"/>
          <w:sz w:val="24"/>
          <w:szCs w:val="24"/>
        </w:rPr>
        <w:t>Resursele naturale, existența specialiștilor în domeniu și activitatea de cercetare bogată pot conduce la dezvoltarea sustenabilă a acestui sector. Figura alăturată prezintă potențialul de dezvoltare a acestuia.</w:t>
      </w:r>
    </w:p>
    <w:p w:rsidR="00EA5F90" w:rsidRPr="00E6540C" w:rsidRDefault="00EA5F90" w:rsidP="00EA5F90">
      <w:pPr>
        <w:pStyle w:val="Listparagraf"/>
        <w:spacing w:after="0" w:line="240" w:lineRule="auto"/>
        <w:ind w:left="0"/>
        <w:jc w:val="both"/>
        <w:rPr>
          <w:rFonts w:ascii="Arial Narrow" w:hAnsi="Arial Narrow"/>
          <w:sz w:val="24"/>
          <w:szCs w:val="24"/>
          <w:highlight w:val="yellow"/>
        </w:rPr>
      </w:pPr>
      <w:r w:rsidRPr="003064E5">
        <w:rPr>
          <w:rFonts w:ascii="Arial Narrow" w:hAnsi="Arial Narrow"/>
          <w:b/>
          <w:i/>
          <w:color w:val="70AD47"/>
          <w:sz w:val="24"/>
          <w:szCs w:val="24"/>
        </w:rPr>
        <w:t xml:space="preserve">Eficiență în extracția resurselor minerale în regiunea Centru. Minerit sustenabil în regiunea Centru. </w:t>
      </w:r>
      <w:r w:rsidRPr="00263395">
        <w:rPr>
          <w:rFonts w:ascii="Arial Narrow" w:hAnsi="Arial Narrow"/>
          <w:sz w:val="24"/>
          <w:szCs w:val="24"/>
        </w:rPr>
        <w:t xml:space="preserve">Regiunea Centru este cunoscută pentru  potenţialul deosebit în domeniul resurselor minerale, în special gaze naturale, sare, aur, argint, roci utilizabile în construcție etc. Datorită resurselor existente, industria extractivă din regiune s-a aflat deseori în avanposturile dezvoltării la nivel național, oferind metode noi de identificare şi evaluare a resurselor minerale, metode care s-au dovedit ulterior de o importanţă majoră în întreaga lume. Numărul mare al siturilor și permiselor de exploatare </w:t>
      </w:r>
      <w:r w:rsidRPr="00263395">
        <w:rPr>
          <w:rStyle w:val="Referinnotdesubsol"/>
          <w:rFonts w:ascii="Arial Narrow" w:hAnsi="Arial Narrow"/>
          <w:sz w:val="24"/>
          <w:szCs w:val="24"/>
        </w:rPr>
        <w:footnoteReference w:id="39"/>
      </w:r>
      <w:r w:rsidRPr="00263395">
        <w:rPr>
          <w:rFonts w:ascii="Arial Narrow" w:hAnsi="Arial Narrow"/>
          <w:sz w:val="24"/>
          <w:szCs w:val="24"/>
        </w:rPr>
        <w:t>(143) sugerează că în regiunea Centru există  potențial și</w:t>
      </w:r>
      <w:r>
        <w:rPr>
          <w:rFonts w:ascii="Arial Narrow" w:hAnsi="Arial Narrow"/>
          <w:sz w:val="24"/>
          <w:szCs w:val="24"/>
        </w:rPr>
        <w:t xml:space="preserve"> inclusiv</w:t>
      </w:r>
      <w:r w:rsidRPr="00263395">
        <w:rPr>
          <w:rFonts w:ascii="Arial Narrow" w:hAnsi="Arial Narrow"/>
          <w:sz w:val="24"/>
          <w:szCs w:val="24"/>
        </w:rPr>
        <w:t xml:space="preserve"> interes ridicat  </w:t>
      </w:r>
      <w:r>
        <w:rPr>
          <w:rFonts w:ascii="Arial Narrow" w:hAnsi="Arial Narrow"/>
          <w:sz w:val="24"/>
          <w:szCs w:val="24"/>
        </w:rPr>
        <w:t xml:space="preserve">din partea operatorilor economici; la nivelul regiunii, </w:t>
      </w:r>
      <w:r w:rsidRPr="00263395">
        <w:rPr>
          <w:rFonts w:ascii="Arial Narrow" w:hAnsi="Arial Narrow"/>
          <w:b/>
          <w:sz w:val="24"/>
          <w:szCs w:val="24"/>
        </w:rPr>
        <w:t xml:space="preserve">peste 125 de companii </w:t>
      </w:r>
      <w:r>
        <w:rPr>
          <w:rFonts w:ascii="Arial Narrow" w:hAnsi="Arial Narrow"/>
          <w:b/>
          <w:sz w:val="24"/>
          <w:szCs w:val="24"/>
        </w:rPr>
        <w:t xml:space="preserve">au </w:t>
      </w:r>
      <w:r w:rsidRPr="00FA2F1F">
        <w:rPr>
          <w:rFonts w:ascii="Arial Narrow" w:hAnsi="Arial Narrow"/>
          <w:b/>
          <w:sz w:val="24"/>
          <w:szCs w:val="24"/>
        </w:rPr>
        <w:t>activități legate de extracția materialelor</w:t>
      </w:r>
      <w:r w:rsidRPr="00FA2F1F">
        <w:rPr>
          <w:rFonts w:ascii="Arial Narrow" w:hAnsi="Arial Narrow"/>
          <w:sz w:val="24"/>
          <w:szCs w:val="24"/>
        </w:rPr>
        <w:t>, res</w:t>
      </w:r>
      <w:r w:rsidRPr="00FA2F1F">
        <w:rPr>
          <w:rFonts w:ascii="Arial Narrow" w:hAnsi="Arial Narrow"/>
          <w:b/>
          <w:sz w:val="24"/>
          <w:szCs w:val="24"/>
        </w:rPr>
        <w:t>pectiv, aici se găsesc 14% din numărul întreprinderilor active de la nivel național</w:t>
      </w:r>
      <w:r w:rsidRPr="00FA2F1F">
        <w:rPr>
          <w:rFonts w:ascii="Arial Narrow" w:hAnsi="Arial Narrow"/>
          <w:sz w:val="24"/>
          <w:szCs w:val="24"/>
        </w:rPr>
        <w:t xml:space="preserve">. Conform statisticilor, în ceea ce privește numărul de firme în domeniul extracției (CAEN 08), </w:t>
      </w:r>
      <w:r w:rsidRPr="00FA2F1F">
        <w:rPr>
          <w:rFonts w:ascii="Arial Narrow" w:hAnsi="Arial Narrow"/>
          <w:b/>
          <w:sz w:val="24"/>
          <w:szCs w:val="24"/>
        </w:rPr>
        <w:t>regiunea Centru ocupă a doua poziție</w:t>
      </w:r>
      <w:r>
        <w:rPr>
          <w:rFonts w:ascii="Arial Narrow" w:hAnsi="Arial Narrow"/>
          <w:b/>
          <w:sz w:val="24"/>
          <w:szCs w:val="24"/>
        </w:rPr>
        <w:t xml:space="preserve"> la nivel național, </w:t>
      </w:r>
      <w:r w:rsidRPr="00FA2F1F">
        <w:rPr>
          <w:rFonts w:ascii="Arial Narrow" w:hAnsi="Arial Narrow"/>
          <w:sz w:val="24"/>
          <w:szCs w:val="24"/>
        </w:rPr>
        <w:t xml:space="preserve">după </w:t>
      </w:r>
      <w:r>
        <w:rPr>
          <w:rFonts w:ascii="Arial Narrow" w:hAnsi="Arial Narrow"/>
          <w:sz w:val="24"/>
          <w:szCs w:val="24"/>
        </w:rPr>
        <w:t xml:space="preserve">regiunea </w:t>
      </w:r>
      <w:r w:rsidRPr="00FA2F1F">
        <w:rPr>
          <w:rFonts w:ascii="Arial Narrow" w:hAnsi="Arial Narrow"/>
          <w:sz w:val="24"/>
          <w:szCs w:val="24"/>
        </w:rPr>
        <w:t>Nord – Vest</w:t>
      </w:r>
      <w:r w:rsidRPr="00263395">
        <w:rPr>
          <w:rFonts w:ascii="Arial Narrow" w:hAnsi="Arial Narrow"/>
          <w:sz w:val="24"/>
          <w:szCs w:val="24"/>
        </w:rPr>
        <w:t>. Acest lucru indică faptul că</w:t>
      </w:r>
      <w:r>
        <w:rPr>
          <w:rFonts w:ascii="Arial Narrow" w:hAnsi="Arial Narrow"/>
          <w:sz w:val="24"/>
          <w:szCs w:val="24"/>
        </w:rPr>
        <w:t>, la nivel regional există interes pentru acest subdomeniu, iar</w:t>
      </w:r>
      <w:r w:rsidRPr="00263395">
        <w:rPr>
          <w:rFonts w:ascii="Arial Narrow" w:hAnsi="Arial Narrow"/>
          <w:sz w:val="24"/>
          <w:szCs w:val="24"/>
        </w:rPr>
        <w:t xml:space="preserve"> pentru asigurarea unui mediu construit sustenabil </w:t>
      </w:r>
      <w:r w:rsidRPr="00E6540C">
        <w:rPr>
          <w:rFonts w:ascii="Arial Narrow" w:hAnsi="Arial Narrow"/>
          <w:sz w:val="24"/>
          <w:szCs w:val="24"/>
        </w:rPr>
        <w:t xml:space="preserve">se impune aplicarea celor mai bune tehnici disponibile, un manangement riguros al </w:t>
      </w:r>
      <w:r>
        <w:rPr>
          <w:rFonts w:ascii="Arial Narrow" w:hAnsi="Arial Narrow"/>
          <w:sz w:val="24"/>
          <w:szCs w:val="24"/>
        </w:rPr>
        <w:t xml:space="preserve">resurselor, eficientizarea </w:t>
      </w:r>
      <w:r w:rsidRPr="00E6540C">
        <w:rPr>
          <w:rFonts w:ascii="Arial Narrow" w:hAnsi="Arial Narrow"/>
          <w:sz w:val="24"/>
          <w:szCs w:val="24"/>
        </w:rPr>
        <w:t>activi</w:t>
      </w:r>
      <w:r>
        <w:rPr>
          <w:rFonts w:ascii="Arial Narrow" w:hAnsi="Arial Narrow"/>
          <w:sz w:val="24"/>
          <w:szCs w:val="24"/>
        </w:rPr>
        <w:t>t</w:t>
      </w:r>
      <w:r w:rsidRPr="00E6540C">
        <w:rPr>
          <w:rFonts w:ascii="Arial Narrow" w:hAnsi="Arial Narrow"/>
          <w:sz w:val="24"/>
          <w:szCs w:val="24"/>
        </w:rPr>
        <w:t xml:space="preserve">ăților și dezvoltarea unor sisteme performante. </w:t>
      </w:r>
    </w:p>
    <w:p w:rsidR="00EA5F90" w:rsidRDefault="00EA5F90" w:rsidP="00EA5F90">
      <w:pPr>
        <w:pStyle w:val="Listparagraf"/>
        <w:spacing w:after="0" w:line="240" w:lineRule="auto"/>
        <w:ind w:left="0"/>
        <w:jc w:val="both"/>
        <w:rPr>
          <w:rFonts w:ascii="Arial Narrow" w:hAnsi="Arial Narrow"/>
          <w:sz w:val="24"/>
          <w:szCs w:val="24"/>
        </w:rPr>
      </w:pPr>
      <w:r w:rsidRPr="003064E5">
        <w:rPr>
          <w:rFonts w:ascii="Arial Narrow" w:hAnsi="Arial Narrow"/>
          <w:b/>
          <w:i/>
          <w:color w:val="70AD47"/>
          <w:sz w:val="24"/>
          <w:szCs w:val="24"/>
        </w:rPr>
        <w:t xml:space="preserve">Reducerea consumului de energie din surse convenționale. </w:t>
      </w:r>
      <w:r w:rsidRPr="00263395">
        <w:rPr>
          <w:rFonts w:ascii="Arial Narrow" w:hAnsi="Arial Narrow"/>
          <w:sz w:val="24"/>
          <w:szCs w:val="24"/>
        </w:rPr>
        <w:t xml:space="preserve">Valorificarea resurselor locale este o prioritate pentru regiunea Centru. Acest lucru se referă și la resursele energetice, respectiv la nivel regional s-a identificat un </w:t>
      </w:r>
      <w:r w:rsidRPr="00E6540C">
        <w:rPr>
          <w:rFonts w:ascii="Arial Narrow" w:hAnsi="Arial Narrow"/>
          <w:b/>
          <w:sz w:val="24"/>
          <w:szCs w:val="24"/>
        </w:rPr>
        <w:t>bun potențial de producere a energiei din biomasă (PEBL 457,18 TJ și PEBV 1570,53 TJ )</w:t>
      </w:r>
      <w:r w:rsidRPr="00263395">
        <w:rPr>
          <w:rFonts w:ascii="Arial Narrow" w:hAnsi="Arial Narrow"/>
          <w:sz w:val="24"/>
          <w:szCs w:val="24"/>
        </w:rPr>
        <w:t xml:space="preserve"> </w:t>
      </w:r>
      <w:r w:rsidRPr="00440427">
        <w:rPr>
          <w:rFonts w:ascii="Arial Narrow" w:hAnsi="Arial Narrow"/>
          <w:b/>
          <w:sz w:val="24"/>
          <w:szCs w:val="24"/>
        </w:rPr>
        <w:t>și din surse solare</w:t>
      </w:r>
      <w:r w:rsidRPr="00263395">
        <w:rPr>
          <w:rFonts w:ascii="Arial Narrow" w:hAnsi="Arial Narrow"/>
          <w:sz w:val="24"/>
          <w:szCs w:val="24"/>
        </w:rPr>
        <w:t xml:space="preserve">. De asemenea, potențialul micro-hidro  de la nivelul comunităților din zona montană reprezintă peste 30% din întreg potențialul micro-hidro al României. </w:t>
      </w:r>
      <w:r>
        <w:rPr>
          <w:rFonts w:ascii="Arial Narrow" w:hAnsi="Arial Narrow"/>
          <w:sz w:val="24"/>
          <w:szCs w:val="24"/>
        </w:rPr>
        <w:t>În ceea ce privește situația existentă, l</w:t>
      </w:r>
      <w:r w:rsidRPr="00263395">
        <w:rPr>
          <w:rFonts w:ascii="Arial Narrow" w:hAnsi="Arial Narrow"/>
          <w:sz w:val="24"/>
          <w:szCs w:val="24"/>
        </w:rPr>
        <w:t xml:space="preserve">a nivel regional, </w:t>
      </w:r>
      <w:r w:rsidRPr="00BC0B5B">
        <w:rPr>
          <w:rFonts w:ascii="Arial Narrow" w:hAnsi="Arial Narrow"/>
          <w:sz w:val="24"/>
          <w:szCs w:val="24"/>
        </w:rPr>
        <w:t>structura capacității electrice totale instalate după tipul de SRE</w:t>
      </w:r>
      <w:r w:rsidRPr="00BC0B5B">
        <w:rPr>
          <w:rStyle w:val="Referinnotdesubsol"/>
          <w:rFonts w:ascii="Arial Narrow" w:hAnsi="Arial Narrow"/>
          <w:sz w:val="24"/>
          <w:szCs w:val="24"/>
        </w:rPr>
        <w:footnoteReference w:id="40"/>
      </w:r>
      <w:r w:rsidRPr="00BC0B5B">
        <w:rPr>
          <w:rFonts w:ascii="Arial Narrow" w:hAnsi="Arial Narrow"/>
          <w:sz w:val="24"/>
          <w:szCs w:val="24"/>
        </w:rPr>
        <w:t xml:space="preserve"> a fost astfel: 69,84% solar, 14,3 % hidro (capacități instalate după 2009, </w:t>
      </w:r>
      <w:r w:rsidRPr="00BC0B5B">
        <w:rPr>
          <w:rFonts w:ascii="Arial Narrow" w:hAnsi="Arial Narrow"/>
          <w:sz w:val="24"/>
          <w:szCs w:val="24"/>
        </w:rPr>
        <w:lastRenderedPageBreak/>
        <w:t>microhidrocentrale), 3,23% biomasă și 12,63% energie electrică produsă în centrale de cogenerare.</w:t>
      </w:r>
      <w:r w:rsidRPr="00263395">
        <w:rPr>
          <w:rFonts w:ascii="Arial Narrow" w:hAnsi="Arial Narrow"/>
          <w:sz w:val="24"/>
          <w:szCs w:val="24"/>
        </w:rPr>
        <w:t xml:space="preserve"> Conform datelor prezentate de ANRE, la sfârsitul lunii mai 2016, aveau licență de funcțio</w:t>
      </w:r>
      <w:r>
        <w:rPr>
          <w:rFonts w:ascii="Arial Narrow" w:hAnsi="Arial Narrow"/>
          <w:sz w:val="24"/>
          <w:szCs w:val="24"/>
        </w:rPr>
        <w:t>n</w:t>
      </w:r>
      <w:r w:rsidRPr="00263395">
        <w:rPr>
          <w:rFonts w:ascii="Arial Narrow" w:hAnsi="Arial Narrow"/>
          <w:sz w:val="24"/>
          <w:szCs w:val="24"/>
        </w:rPr>
        <w:t>are 726 de producători energie din surse regenerabile ( E-SRE), din care 71 erau localizati la nivelul regiunii Centru. La nivelul regiunii Centru,  energia electrică din surse regenerabilă se produce utilizând biomasă, energie solară și hidro. Puterea instalată la nivel regional raportată la cea înregistrată la nivel național se prezintă mai jos.</w:t>
      </w:r>
    </w:p>
    <w:p w:rsidR="00EA5F90" w:rsidRPr="00263395" w:rsidRDefault="00EA5F90" w:rsidP="00EA5F90">
      <w:pPr>
        <w:pStyle w:val="Legend"/>
        <w:spacing w:after="0"/>
        <w:jc w:val="center"/>
        <w:rPr>
          <w:rFonts w:ascii="Arial Narrow" w:hAnsi="Arial Narrow"/>
          <w:b w:val="0"/>
          <w:sz w:val="24"/>
          <w:szCs w:val="24"/>
        </w:rPr>
      </w:pPr>
      <w:r w:rsidRPr="00263395">
        <w:rPr>
          <w:rFonts w:ascii="Arial Narrow" w:hAnsi="Arial Narrow"/>
          <w:b w:val="0"/>
        </w:rPr>
        <w:t xml:space="preserve">Tabel </w:t>
      </w:r>
      <w:r w:rsidR="00BD7229" w:rsidRPr="00263395">
        <w:rPr>
          <w:rFonts w:ascii="Arial Narrow" w:hAnsi="Arial Narrow"/>
          <w:b w:val="0"/>
        </w:rPr>
        <w:fldChar w:fldCharType="begin"/>
      </w:r>
      <w:r w:rsidRPr="00263395">
        <w:rPr>
          <w:rFonts w:ascii="Arial Narrow" w:hAnsi="Arial Narrow"/>
          <w:b w:val="0"/>
        </w:rPr>
        <w:instrText xml:space="preserve"> SEQ Tabel \* ARABIC </w:instrText>
      </w:r>
      <w:r w:rsidR="00BD7229" w:rsidRPr="00263395">
        <w:rPr>
          <w:rFonts w:ascii="Arial Narrow" w:hAnsi="Arial Narrow"/>
          <w:b w:val="0"/>
        </w:rPr>
        <w:fldChar w:fldCharType="separate"/>
      </w:r>
      <w:r>
        <w:rPr>
          <w:rFonts w:ascii="Arial Narrow" w:hAnsi="Arial Narrow"/>
          <w:b w:val="0"/>
          <w:noProof/>
        </w:rPr>
        <w:t>2</w:t>
      </w:r>
      <w:r w:rsidR="00BD7229" w:rsidRPr="00263395">
        <w:rPr>
          <w:rFonts w:ascii="Arial Narrow" w:hAnsi="Arial Narrow"/>
          <w:b w:val="0"/>
        </w:rPr>
        <w:fldChar w:fldCharType="end"/>
      </w:r>
      <w:r w:rsidRPr="00263395">
        <w:rPr>
          <w:rFonts w:ascii="Arial Narrow" w:hAnsi="Arial Narrow"/>
          <w:b w:val="0"/>
        </w:rPr>
        <w:t>. E-SRE. Putere instalată la nivel regional  faă de puterea instalată la  nivel național</w:t>
      </w:r>
    </w:p>
    <w:tbl>
      <w:tblPr>
        <w:tblW w:w="964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2489"/>
        <w:gridCol w:w="2161"/>
        <w:gridCol w:w="2396"/>
        <w:gridCol w:w="2598"/>
      </w:tblGrid>
      <w:tr w:rsidR="00EA5F90" w:rsidRPr="003064E5" w:rsidTr="00EA5F90">
        <w:trPr>
          <w:trHeight w:val="117"/>
        </w:trPr>
        <w:tc>
          <w:tcPr>
            <w:tcW w:w="2489" w:type="dxa"/>
            <w:tcBorders>
              <w:bottom w:val="single" w:sz="12" w:space="0" w:color="9CC2E5"/>
            </w:tcBorders>
            <w:shd w:val="clear" w:color="auto" w:fill="BDD6EE"/>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E-SRE</w:t>
            </w:r>
          </w:p>
        </w:tc>
        <w:tc>
          <w:tcPr>
            <w:tcW w:w="2161" w:type="dxa"/>
            <w:tcBorders>
              <w:bottom w:val="single" w:sz="12" w:space="0" w:color="9CC2E5"/>
            </w:tcBorders>
            <w:shd w:val="clear" w:color="auto" w:fill="BDD6EE"/>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PI (MW) - național</w:t>
            </w:r>
          </w:p>
        </w:tc>
        <w:tc>
          <w:tcPr>
            <w:tcW w:w="2396" w:type="dxa"/>
            <w:tcBorders>
              <w:bottom w:val="single" w:sz="12" w:space="0" w:color="9CC2E5"/>
            </w:tcBorders>
            <w:shd w:val="clear" w:color="auto" w:fill="BDD6EE"/>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PI (MW) - regional</w:t>
            </w:r>
          </w:p>
        </w:tc>
        <w:tc>
          <w:tcPr>
            <w:tcW w:w="2598" w:type="dxa"/>
            <w:tcBorders>
              <w:bottom w:val="single" w:sz="12" w:space="0" w:color="9CC2E5"/>
            </w:tcBorders>
            <w:shd w:val="clear" w:color="auto" w:fill="BDD6EE"/>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 din PI de la nivel național</w:t>
            </w:r>
          </w:p>
        </w:tc>
      </w:tr>
      <w:tr w:rsidR="00EA5F90" w:rsidRPr="003064E5" w:rsidTr="00EA5F90">
        <w:trPr>
          <w:trHeight w:val="248"/>
        </w:trPr>
        <w:tc>
          <w:tcPr>
            <w:tcW w:w="2489" w:type="dxa"/>
            <w:shd w:val="clear" w:color="auto" w:fill="auto"/>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hidro</w:t>
            </w:r>
            <w:r w:rsidRPr="003064E5">
              <w:rPr>
                <w:rStyle w:val="Referinnotdesubsol"/>
                <w:rFonts w:ascii="Arial Narrow" w:hAnsi="Arial Narrow"/>
                <w:b/>
                <w:bCs/>
                <w:sz w:val="16"/>
                <w:szCs w:val="24"/>
              </w:rPr>
              <w:footnoteReference w:id="41"/>
            </w:r>
          </w:p>
        </w:tc>
        <w:tc>
          <w:tcPr>
            <w:tcW w:w="2161"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617,445</w:t>
            </w:r>
          </w:p>
        </w:tc>
        <w:tc>
          <w:tcPr>
            <w:tcW w:w="239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131,52</w:t>
            </w:r>
          </w:p>
        </w:tc>
        <w:tc>
          <w:tcPr>
            <w:tcW w:w="2598"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21,3</w:t>
            </w:r>
          </w:p>
        </w:tc>
      </w:tr>
      <w:tr w:rsidR="00EA5F90" w:rsidRPr="003064E5" w:rsidTr="00EA5F90">
        <w:trPr>
          <w:trHeight w:val="279"/>
        </w:trPr>
        <w:tc>
          <w:tcPr>
            <w:tcW w:w="2489" w:type="dxa"/>
            <w:shd w:val="clear" w:color="auto" w:fill="auto"/>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fotovoltaic</w:t>
            </w:r>
          </w:p>
        </w:tc>
        <w:tc>
          <w:tcPr>
            <w:tcW w:w="2161"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3114,31</w:t>
            </w:r>
          </w:p>
        </w:tc>
        <w:tc>
          <w:tcPr>
            <w:tcW w:w="239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568,28</w:t>
            </w:r>
          </w:p>
        </w:tc>
        <w:tc>
          <w:tcPr>
            <w:tcW w:w="2598"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18,25</w:t>
            </w:r>
          </w:p>
        </w:tc>
      </w:tr>
      <w:tr w:rsidR="00EA5F90" w:rsidRPr="003064E5" w:rsidTr="00EA5F90">
        <w:trPr>
          <w:trHeight w:val="262"/>
        </w:trPr>
        <w:tc>
          <w:tcPr>
            <w:tcW w:w="2489" w:type="dxa"/>
            <w:shd w:val="clear" w:color="auto" w:fill="auto"/>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cogenerare</w:t>
            </w:r>
          </w:p>
        </w:tc>
        <w:tc>
          <w:tcPr>
            <w:tcW w:w="2161"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1132,077</w:t>
            </w:r>
          </w:p>
        </w:tc>
        <w:tc>
          <w:tcPr>
            <w:tcW w:w="239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101,99</w:t>
            </w:r>
          </w:p>
        </w:tc>
        <w:tc>
          <w:tcPr>
            <w:tcW w:w="2598"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9,01%</w:t>
            </w:r>
          </w:p>
        </w:tc>
      </w:tr>
      <w:tr w:rsidR="00EA5F90" w:rsidRPr="003064E5" w:rsidTr="00EA5F90">
        <w:trPr>
          <w:trHeight w:val="262"/>
        </w:trPr>
        <w:tc>
          <w:tcPr>
            <w:tcW w:w="2489" w:type="dxa"/>
            <w:shd w:val="clear" w:color="auto" w:fill="auto"/>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biomasă</w:t>
            </w:r>
          </w:p>
        </w:tc>
        <w:tc>
          <w:tcPr>
            <w:tcW w:w="2161"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143,848</w:t>
            </w:r>
          </w:p>
        </w:tc>
        <w:tc>
          <w:tcPr>
            <w:tcW w:w="239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26,25</w:t>
            </w:r>
          </w:p>
        </w:tc>
        <w:tc>
          <w:tcPr>
            <w:tcW w:w="2598"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18,25</w:t>
            </w:r>
          </w:p>
        </w:tc>
      </w:tr>
    </w:tbl>
    <w:p w:rsidR="00EA5F90" w:rsidRPr="00263395" w:rsidRDefault="00EA5F90" w:rsidP="00EA5F90">
      <w:pPr>
        <w:pStyle w:val="Listparagraf"/>
        <w:spacing w:after="0" w:line="240" w:lineRule="auto"/>
        <w:ind w:left="0"/>
        <w:jc w:val="right"/>
        <w:rPr>
          <w:rFonts w:ascii="Arial Narrow" w:hAnsi="Arial Narrow"/>
          <w:sz w:val="14"/>
          <w:szCs w:val="24"/>
        </w:rPr>
      </w:pPr>
      <w:r w:rsidRPr="00263395">
        <w:rPr>
          <w:rFonts w:ascii="Arial Narrow" w:hAnsi="Arial Narrow"/>
          <w:sz w:val="14"/>
          <w:szCs w:val="24"/>
        </w:rPr>
        <w:t>Sursa: Transelectrica</w:t>
      </w:r>
    </w:p>
    <w:p w:rsidR="00EA5F90" w:rsidRDefault="00EA5F90" w:rsidP="00EA5F90">
      <w:pPr>
        <w:pStyle w:val="Listparagraf"/>
        <w:spacing w:after="0" w:line="240" w:lineRule="auto"/>
        <w:ind w:left="0"/>
        <w:jc w:val="both"/>
        <w:rPr>
          <w:rFonts w:ascii="Arial Narrow" w:hAnsi="Arial Narrow"/>
          <w:b/>
          <w:sz w:val="24"/>
          <w:szCs w:val="24"/>
        </w:rPr>
      </w:pPr>
      <w:r w:rsidRPr="00263395">
        <w:rPr>
          <w:rFonts w:ascii="Arial Narrow" w:hAnsi="Arial Narrow"/>
          <w:sz w:val="24"/>
          <w:szCs w:val="24"/>
        </w:rPr>
        <w:t>Producția de de E-SRE</w:t>
      </w:r>
      <w:r w:rsidRPr="003064E5">
        <w:rPr>
          <w:rFonts w:ascii="Arial Narrow" w:hAnsi="Arial Narrow"/>
          <w:color w:val="70AD47"/>
          <w:sz w:val="24"/>
          <w:szCs w:val="24"/>
        </w:rPr>
        <w:t xml:space="preserve"> </w:t>
      </w:r>
      <w:r w:rsidRPr="00263395">
        <w:rPr>
          <w:rFonts w:ascii="Arial Narrow" w:hAnsi="Arial Narrow"/>
          <w:sz w:val="24"/>
          <w:szCs w:val="24"/>
        </w:rPr>
        <w:t>este condiționată de disponibilitatea resurselor: dacă potențialul solar și hidro al regiunii sunt ponderate, conform datelor statistice</w:t>
      </w:r>
      <w:r>
        <w:rPr>
          <w:rFonts w:ascii="Arial Narrow" w:hAnsi="Arial Narrow"/>
          <w:sz w:val="24"/>
          <w:szCs w:val="24"/>
        </w:rPr>
        <w:t>,</w:t>
      </w:r>
      <w:r w:rsidRPr="00263395">
        <w:rPr>
          <w:rFonts w:ascii="Arial Narrow" w:hAnsi="Arial Narrow"/>
          <w:sz w:val="24"/>
          <w:szCs w:val="24"/>
        </w:rPr>
        <w:t xml:space="preserve"> potențialul energetic al biomasei este ridicat</w:t>
      </w:r>
      <w:r>
        <w:rPr>
          <w:rFonts w:ascii="Arial Narrow" w:hAnsi="Arial Narrow"/>
          <w:sz w:val="24"/>
          <w:szCs w:val="24"/>
        </w:rPr>
        <w:t xml:space="preserve"> (a se vedea </w:t>
      </w:r>
      <w:fldSimple w:instr=" REF _Ref460324412 \h  \* MERGEFORMAT ">
        <w:r w:rsidRPr="00084897">
          <w:rPr>
            <w:rFonts w:ascii="Arial Narrow" w:hAnsi="Arial Narrow"/>
            <w:b/>
          </w:rPr>
          <w:t>Tabel</w:t>
        </w:r>
        <w:r w:rsidRPr="00263395">
          <w:rPr>
            <w:rFonts w:ascii="Arial Narrow" w:hAnsi="Arial Narrow"/>
          </w:rPr>
          <w:t xml:space="preserve"> </w:t>
        </w:r>
        <w:r>
          <w:rPr>
            <w:rFonts w:ascii="Arial Narrow" w:hAnsi="Arial Narrow"/>
            <w:noProof/>
          </w:rPr>
          <w:t>3</w:t>
        </w:r>
      </w:fldSimple>
      <w:r>
        <w:rPr>
          <w:rFonts w:ascii="Arial Narrow" w:hAnsi="Arial Narrow"/>
          <w:sz w:val="24"/>
          <w:szCs w:val="24"/>
        </w:rPr>
        <w:t>)</w:t>
      </w:r>
      <w:r w:rsidRPr="00263395">
        <w:rPr>
          <w:rFonts w:ascii="Arial Narrow" w:hAnsi="Arial Narrow"/>
          <w:sz w:val="24"/>
          <w:szCs w:val="24"/>
        </w:rPr>
        <w:t xml:space="preserve"> Studiile de specialitate dau biomasa ca principala sursă regenerabilă de energie la nivelul regiunii. Un raport al Agenției Europene de Mediu (AEM), efectuat în 2006, considera că 15% din cererea europeană de energie estimată pentru 2030 ar putea fi acoperită de bioenergie obţinută din produse agricole, forestiere şi deşeuri, folosind doar resurse europene. Noile studii</w:t>
      </w:r>
      <w:r w:rsidRPr="00263395">
        <w:rPr>
          <w:rStyle w:val="Referinnotdesubsol"/>
          <w:rFonts w:ascii="Arial Narrow" w:hAnsi="Arial Narrow"/>
          <w:sz w:val="24"/>
          <w:szCs w:val="24"/>
        </w:rPr>
        <w:footnoteReference w:id="42"/>
      </w:r>
      <w:r w:rsidRPr="00263395">
        <w:rPr>
          <w:rFonts w:ascii="Arial Narrow" w:hAnsi="Arial Narrow"/>
          <w:sz w:val="24"/>
          <w:szCs w:val="24"/>
        </w:rPr>
        <w:t xml:space="preserve"> propun aplicarea principiilor privind eficiența resurselor în dezvoltarea producției de bioenergie în Europa, ceea ce înseamnă o producție mai mare cu un impact de mediu mai mic. Alegerea adecvată a culturilor și identificarea celor mai bune tehnici pentru valorificarea energetică a acestora sunt principalele provocări pentru </w:t>
      </w:r>
      <w:r>
        <w:rPr>
          <w:rFonts w:ascii="Arial Narrow" w:hAnsi="Arial Narrow"/>
          <w:sz w:val="24"/>
          <w:szCs w:val="24"/>
        </w:rPr>
        <w:t>producția de</w:t>
      </w:r>
      <w:r w:rsidRPr="00263395">
        <w:rPr>
          <w:rFonts w:ascii="Arial Narrow" w:hAnsi="Arial Narrow"/>
          <w:sz w:val="24"/>
          <w:szCs w:val="24"/>
        </w:rPr>
        <w:t xml:space="preserve"> bioenergie. </w:t>
      </w:r>
      <w:r w:rsidRPr="009648C5">
        <w:rPr>
          <w:rFonts w:ascii="Arial Narrow" w:hAnsi="Arial Narrow"/>
          <w:sz w:val="24"/>
          <w:szCs w:val="24"/>
        </w:rPr>
        <w:t>Pe baza datelor obținute în studiile anterioare</w:t>
      </w:r>
      <w:r w:rsidRPr="009648C5">
        <w:rPr>
          <w:rStyle w:val="Referinnotdesubsol"/>
          <w:rFonts w:ascii="Arial Narrow" w:hAnsi="Arial Narrow"/>
          <w:sz w:val="24"/>
          <w:szCs w:val="24"/>
        </w:rPr>
        <w:footnoteReference w:id="43"/>
      </w:r>
      <w:r w:rsidRPr="009648C5">
        <w:rPr>
          <w:rFonts w:ascii="Arial Narrow" w:hAnsi="Arial Narrow"/>
          <w:sz w:val="24"/>
          <w:szCs w:val="24"/>
        </w:rPr>
        <w:t>, lunând în calcul potențialul de producție al bioenergiei, având în vedere noile politici din domeniu și potențialul de dezvoltare al tehnologiilor pentru producerea sustenabilă a bioenergiei, considerăm că, utilizarea biomasei pentru producția de energie în centrale electrice, termice și de cogenerare este o iniţiativă importantă la nivel regional.</w:t>
      </w:r>
      <w:r>
        <w:rPr>
          <w:rFonts w:ascii="Arial Narrow" w:hAnsi="Arial Narrow"/>
          <w:b/>
          <w:sz w:val="24"/>
          <w:szCs w:val="24"/>
        </w:rPr>
        <w:t xml:space="preserve">  </w:t>
      </w:r>
    </w:p>
    <w:p w:rsidR="00EA5F90" w:rsidRPr="00263395" w:rsidRDefault="00EA5F90" w:rsidP="00EA5F90">
      <w:pPr>
        <w:pStyle w:val="Legend"/>
        <w:spacing w:after="0"/>
        <w:jc w:val="center"/>
        <w:rPr>
          <w:rFonts w:ascii="Arial Narrow" w:hAnsi="Arial Narrow"/>
          <w:b w:val="0"/>
        </w:rPr>
      </w:pPr>
      <w:bookmarkStart w:id="3" w:name="_Ref460324412"/>
      <w:r w:rsidRPr="00263395">
        <w:rPr>
          <w:rFonts w:ascii="Arial Narrow" w:hAnsi="Arial Narrow"/>
        </w:rPr>
        <w:t xml:space="preserve">Tabel </w:t>
      </w:r>
      <w:r w:rsidR="00BD7229" w:rsidRPr="00263395">
        <w:rPr>
          <w:rFonts w:ascii="Arial Narrow" w:hAnsi="Arial Narrow"/>
        </w:rPr>
        <w:fldChar w:fldCharType="begin"/>
      </w:r>
      <w:r w:rsidRPr="00263395">
        <w:rPr>
          <w:rFonts w:ascii="Arial Narrow" w:hAnsi="Arial Narrow"/>
        </w:rPr>
        <w:instrText xml:space="preserve"> SEQ Tabel \* ARABIC </w:instrText>
      </w:r>
      <w:r w:rsidR="00BD7229" w:rsidRPr="00263395">
        <w:rPr>
          <w:rFonts w:ascii="Arial Narrow" w:hAnsi="Arial Narrow"/>
        </w:rPr>
        <w:fldChar w:fldCharType="separate"/>
      </w:r>
      <w:r>
        <w:rPr>
          <w:rFonts w:ascii="Arial Narrow" w:hAnsi="Arial Narrow"/>
          <w:noProof/>
        </w:rPr>
        <w:t>3</w:t>
      </w:r>
      <w:r w:rsidR="00BD7229" w:rsidRPr="00263395">
        <w:rPr>
          <w:rFonts w:ascii="Arial Narrow" w:hAnsi="Arial Narrow"/>
        </w:rPr>
        <w:fldChar w:fldCharType="end"/>
      </w:r>
      <w:bookmarkEnd w:id="3"/>
      <w:r w:rsidRPr="00263395">
        <w:rPr>
          <w:rFonts w:ascii="Arial Narrow" w:hAnsi="Arial Narrow"/>
        </w:rPr>
        <w:t xml:space="preserve">. </w:t>
      </w:r>
      <w:r w:rsidRPr="00263395">
        <w:rPr>
          <w:rFonts w:ascii="Arial Narrow" w:hAnsi="Arial Narrow"/>
          <w:b w:val="0"/>
        </w:rPr>
        <w:t>Potențialul biomasă lemnoasă</w:t>
      </w:r>
      <w:r w:rsidRPr="00263395">
        <w:rPr>
          <w:rStyle w:val="Referinnotdesubsol"/>
          <w:rFonts w:ascii="Arial Narrow" w:hAnsi="Arial Narrow"/>
          <w:b w:val="0"/>
        </w:rPr>
        <w:footnoteReference w:id="44"/>
      </w:r>
      <w:r w:rsidRPr="00263395">
        <w:rPr>
          <w:rFonts w:ascii="Arial Narrow" w:hAnsi="Arial Narrow"/>
          <w:b w:val="0"/>
        </w:rPr>
        <w:t xml:space="preserve"> (PEBL) și biomasă vegetală (PEBV)</w:t>
      </w:r>
    </w:p>
    <w:tbl>
      <w:tblPr>
        <w:tblW w:w="949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3284"/>
        <w:gridCol w:w="3586"/>
        <w:gridCol w:w="2623"/>
      </w:tblGrid>
      <w:tr w:rsidR="00EA5F90" w:rsidRPr="003064E5" w:rsidTr="00EA5F90">
        <w:trPr>
          <w:trHeight w:val="131"/>
        </w:trPr>
        <w:tc>
          <w:tcPr>
            <w:tcW w:w="3284" w:type="dxa"/>
            <w:tcBorders>
              <w:bottom w:val="single" w:sz="12" w:space="0" w:color="9CC2E5"/>
            </w:tcBorders>
            <w:shd w:val="clear" w:color="auto" w:fill="BDD6EE"/>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Judet</w:t>
            </w:r>
          </w:p>
        </w:tc>
        <w:tc>
          <w:tcPr>
            <w:tcW w:w="3586" w:type="dxa"/>
            <w:tcBorders>
              <w:bottom w:val="single" w:sz="12" w:space="0" w:color="9CC2E5"/>
            </w:tcBorders>
            <w:shd w:val="clear" w:color="auto" w:fill="BDD6EE"/>
          </w:tcPr>
          <w:p w:rsidR="00EA5F90" w:rsidRPr="003064E5" w:rsidRDefault="00EA5F90" w:rsidP="00EA5F90">
            <w:pPr>
              <w:pStyle w:val="Listparagraf"/>
              <w:spacing w:after="0" w:line="240" w:lineRule="auto"/>
              <w:ind w:left="0"/>
              <w:jc w:val="center"/>
              <w:rPr>
                <w:rFonts w:ascii="Arial Narrow" w:hAnsi="Arial Narrow"/>
                <w:bCs/>
                <w:sz w:val="16"/>
                <w:szCs w:val="24"/>
              </w:rPr>
            </w:pPr>
            <w:r w:rsidRPr="003064E5">
              <w:rPr>
                <w:rFonts w:ascii="Arial Narrow" w:hAnsi="Arial Narrow"/>
                <w:b/>
                <w:bCs/>
                <w:sz w:val="16"/>
                <w:szCs w:val="24"/>
              </w:rPr>
              <w:t>PEBL (TJ)</w:t>
            </w:r>
          </w:p>
        </w:tc>
        <w:tc>
          <w:tcPr>
            <w:tcW w:w="2623" w:type="dxa"/>
            <w:tcBorders>
              <w:bottom w:val="single" w:sz="12" w:space="0" w:color="9CC2E5"/>
            </w:tcBorders>
            <w:shd w:val="clear" w:color="auto" w:fill="BDD6EE"/>
          </w:tcPr>
          <w:p w:rsidR="00EA5F90" w:rsidRPr="003064E5" w:rsidRDefault="00EA5F90" w:rsidP="00EA5F90">
            <w:pPr>
              <w:spacing w:after="0" w:line="240" w:lineRule="auto"/>
              <w:jc w:val="center"/>
              <w:rPr>
                <w:rFonts w:ascii="Arial Narrow" w:hAnsi="Arial Narrow"/>
                <w:bCs/>
                <w:sz w:val="16"/>
                <w:szCs w:val="24"/>
              </w:rPr>
            </w:pPr>
            <w:r w:rsidRPr="003064E5">
              <w:rPr>
                <w:rFonts w:ascii="Arial Narrow" w:hAnsi="Arial Narrow"/>
                <w:b/>
                <w:bCs/>
                <w:sz w:val="16"/>
                <w:szCs w:val="24"/>
              </w:rPr>
              <w:t>PEBV</w:t>
            </w:r>
          </w:p>
        </w:tc>
      </w:tr>
      <w:tr w:rsidR="00EA5F90" w:rsidRPr="003064E5" w:rsidTr="00EA5F90">
        <w:trPr>
          <w:trHeight w:val="131"/>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Alba</w:t>
            </w:r>
          </w:p>
        </w:tc>
        <w:tc>
          <w:tcPr>
            <w:tcW w:w="358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49,56</w:t>
            </w:r>
          </w:p>
        </w:tc>
        <w:tc>
          <w:tcPr>
            <w:tcW w:w="2623" w:type="dxa"/>
            <w:shd w:val="clear" w:color="auto" w:fill="auto"/>
          </w:tcPr>
          <w:p w:rsidR="00EA5F90" w:rsidRPr="003064E5" w:rsidRDefault="00EA5F90" w:rsidP="00EA5F90">
            <w:pPr>
              <w:spacing w:after="0" w:line="240" w:lineRule="auto"/>
              <w:jc w:val="center"/>
              <w:rPr>
                <w:rFonts w:ascii="Arial Narrow" w:hAnsi="Arial Narrow"/>
                <w:sz w:val="16"/>
                <w:szCs w:val="24"/>
              </w:rPr>
            </w:pPr>
            <w:r w:rsidRPr="003064E5">
              <w:rPr>
                <w:rFonts w:ascii="Arial Narrow" w:hAnsi="Arial Narrow"/>
                <w:sz w:val="16"/>
                <w:szCs w:val="24"/>
              </w:rPr>
              <w:t>342,24</w:t>
            </w:r>
          </w:p>
        </w:tc>
      </w:tr>
      <w:tr w:rsidR="00EA5F90" w:rsidRPr="003064E5" w:rsidTr="00EA5F90">
        <w:trPr>
          <w:trHeight w:val="278"/>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Brașov</w:t>
            </w:r>
          </w:p>
        </w:tc>
        <w:tc>
          <w:tcPr>
            <w:tcW w:w="358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58,71</w:t>
            </w:r>
          </w:p>
        </w:tc>
        <w:tc>
          <w:tcPr>
            <w:tcW w:w="2623"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130,79</w:t>
            </w:r>
          </w:p>
        </w:tc>
      </w:tr>
      <w:tr w:rsidR="00EA5F90" w:rsidRPr="003064E5" w:rsidTr="00EA5F90">
        <w:trPr>
          <w:trHeight w:val="263"/>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Covasna</w:t>
            </w:r>
          </w:p>
        </w:tc>
        <w:tc>
          <w:tcPr>
            <w:tcW w:w="358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63,01</w:t>
            </w:r>
          </w:p>
        </w:tc>
        <w:tc>
          <w:tcPr>
            <w:tcW w:w="2623" w:type="dxa"/>
            <w:shd w:val="clear" w:color="auto" w:fill="auto"/>
          </w:tcPr>
          <w:p w:rsidR="00EA5F90" w:rsidRPr="003064E5" w:rsidRDefault="00EA5F90" w:rsidP="00EA5F90">
            <w:pPr>
              <w:spacing w:after="0" w:line="240" w:lineRule="auto"/>
              <w:jc w:val="center"/>
              <w:rPr>
                <w:rFonts w:ascii="Arial Narrow" w:hAnsi="Arial Narrow"/>
                <w:sz w:val="16"/>
                <w:szCs w:val="24"/>
              </w:rPr>
            </w:pPr>
            <w:r w:rsidRPr="003064E5">
              <w:rPr>
                <w:rFonts w:ascii="Arial Narrow" w:hAnsi="Arial Narrow"/>
                <w:sz w:val="16"/>
                <w:szCs w:val="24"/>
              </w:rPr>
              <w:t>107,29</w:t>
            </w:r>
          </w:p>
        </w:tc>
      </w:tr>
      <w:tr w:rsidR="00EA5F90" w:rsidRPr="003064E5" w:rsidTr="00EA5F90">
        <w:trPr>
          <w:trHeight w:val="115"/>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Harghita</w:t>
            </w:r>
          </w:p>
        </w:tc>
        <w:tc>
          <w:tcPr>
            <w:tcW w:w="358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146,29</w:t>
            </w:r>
          </w:p>
        </w:tc>
        <w:tc>
          <w:tcPr>
            <w:tcW w:w="2623"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50,31</w:t>
            </w:r>
          </w:p>
        </w:tc>
      </w:tr>
      <w:tr w:rsidR="00EA5F90" w:rsidRPr="003064E5" w:rsidTr="00EA5F90">
        <w:trPr>
          <w:trHeight w:val="263"/>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Mureș</w:t>
            </w:r>
          </w:p>
        </w:tc>
        <w:tc>
          <w:tcPr>
            <w:tcW w:w="3586"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90,60</w:t>
            </w:r>
          </w:p>
        </w:tc>
        <w:tc>
          <w:tcPr>
            <w:tcW w:w="2623" w:type="dxa"/>
            <w:shd w:val="clear" w:color="auto" w:fill="auto"/>
          </w:tcPr>
          <w:p w:rsidR="00EA5F90" w:rsidRPr="003064E5" w:rsidRDefault="00EA5F90" w:rsidP="00EA5F90">
            <w:pPr>
              <w:pStyle w:val="Listparagraf"/>
              <w:spacing w:after="0" w:line="240" w:lineRule="auto"/>
              <w:ind w:left="0"/>
              <w:jc w:val="center"/>
              <w:rPr>
                <w:rFonts w:ascii="Arial Narrow" w:hAnsi="Arial Narrow"/>
                <w:sz w:val="16"/>
                <w:szCs w:val="24"/>
              </w:rPr>
            </w:pPr>
            <w:r w:rsidRPr="003064E5">
              <w:rPr>
                <w:rFonts w:ascii="Arial Narrow" w:hAnsi="Arial Narrow"/>
                <w:sz w:val="16"/>
                <w:szCs w:val="24"/>
              </w:rPr>
              <w:t>686,40</w:t>
            </w:r>
          </w:p>
        </w:tc>
      </w:tr>
      <w:tr w:rsidR="00EA5F90" w:rsidRPr="003064E5" w:rsidTr="00EA5F90">
        <w:trPr>
          <w:trHeight w:val="68"/>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Sibiu</w:t>
            </w:r>
          </w:p>
        </w:tc>
        <w:tc>
          <w:tcPr>
            <w:tcW w:w="3586" w:type="dxa"/>
            <w:shd w:val="clear" w:color="auto" w:fill="auto"/>
          </w:tcPr>
          <w:p w:rsidR="00EA5F90" w:rsidRPr="003064E5" w:rsidRDefault="00EA5F90" w:rsidP="00EA5F90">
            <w:pPr>
              <w:spacing w:after="0" w:line="240" w:lineRule="auto"/>
              <w:jc w:val="center"/>
              <w:rPr>
                <w:rFonts w:ascii="Arial Narrow" w:hAnsi="Arial Narrow"/>
                <w:sz w:val="16"/>
                <w:szCs w:val="24"/>
              </w:rPr>
            </w:pPr>
            <w:r w:rsidRPr="003064E5">
              <w:rPr>
                <w:rFonts w:ascii="Arial Narrow" w:hAnsi="Arial Narrow"/>
                <w:sz w:val="16"/>
                <w:szCs w:val="24"/>
              </w:rPr>
              <w:t>49,01</w:t>
            </w:r>
          </w:p>
        </w:tc>
        <w:tc>
          <w:tcPr>
            <w:tcW w:w="2623" w:type="dxa"/>
            <w:shd w:val="clear" w:color="auto" w:fill="auto"/>
          </w:tcPr>
          <w:p w:rsidR="00EA5F90" w:rsidRPr="003064E5" w:rsidRDefault="00EA5F90" w:rsidP="00EA5F90">
            <w:pPr>
              <w:spacing w:after="0" w:line="240" w:lineRule="auto"/>
              <w:jc w:val="center"/>
              <w:rPr>
                <w:rFonts w:ascii="Arial Narrow" w:hAnsi="Arial Narrow"/>
                <w:sz w:val="16"/>
                <w:szCs w:val="24"/>
              </w:rPr>
            </w:pPr>
            <w:r w:rsidRPr="003064E5">
              <w:rPr>
                <w:rFonts w:ascii="Arial Narrow" w:hAnsi="Arial Narrow"/>
                <w:sz w:val="16"/>
                <w:szCs w:val="24"/>
              </w:rPr>
              <w:t>253,50</w:t>
            </w:r>
          </w:p>
        </w:tc>
      </w:tr>
      <w:tr w:rsidR="00EA5F90" w:rsidRPr="003064E5" w:rsidTr="00EA5F90">
        <w:trPr>
          <w:trHeight w:val="68"/>
        </w:trPr>
        <w:tc>
          <w:tcPr>
            <w:tcW w:w="3284" w:type="dxa"/>
            <w:shd w:val="clear" w:color="auto" w:fill="auto"/>
          </w:tcPr>
          <w:p w:rsidR="00EA5F90" w:rsidRPr="003064E5" w:rsidRDefault="00EA5F90" w:rsidP="00EA5F90">
            <w:pPr>
              <w:pStyle w:val="Listparagraf"/>
              <w:spacing w:after="0" w:line="240" w:lineRule="auto"/>
              <w:ind w:left="0"/>
              <w:jc w:val="center"/>
              <w:rPr>
                <w:rFonts w:ascii="Arial Narrow" w:hAnsi="Arial Narrow"/>
                <w:b/>
                <w:bCs/>
                <w:sz w:val="16"/>
                <w:szCs w:val="24"/>
              </w:rPr>
            </w:pPr>
            <w:r w:rsidRPr="003064E5">
              <w:rPr>
                <w:rFonts w:ascii="Arial Narrow" w:hAnsi="Arial Narrow"/>
                <w:b/>
                <w:bCs/>
                <w:sz w:val="16"/>
                <w:szCs w:val="24"/>
              </w:rPr>
              <w:t>Total la nivelul regiunii</w:t>
            </w:r>
          </w:p>
        </w:tc>
        <w:tc>
          <w:tcPr>
            <w:tcW w:w="3586" w:type="dxa"/>
            <w:shd w:val="clear" w:color="auto" w:fill="auto"/>
          </w:tcPr>
          <w:p w:rsidR="00EA5F90" w:rsidRPr="003064E5" w:rsidRDefault="00EA5F90" w:rsidP="00EA5F90">
            <w:pPr>
              <w:spacing w:after="0" w:line="240" w:lineRule="auto"/>
              <w:jc w:val="center"/>
              <w:rPr>
                <w:rFonts w:ascii="Arial Narrow" w:hAnsi="Arial Narrow"/>
                <w:b/>
                <w:sz w:val="16"/>
                <w:szCs w:val="24"/>
              </w:rPr>
            </w:pPr>
            <w:r w:rsidRPr="003064E5">
              <w:rPr>
                <w:rFonts w:ascii="Arial Narrow" w:hAnsi="Arial Narrow"/>
                <w:b/>
                <w:sz w:val="16"/>
                <w:szCs w:val="24"/>
              </w:rPr>
              <w:t>457,18</w:t>
            </w:r>
          </w:p>
        </w:tc>
        <w:tc>
          <w:tcPr>
            <w:tcW w:w="2623" w:type="dxa"/>
            <w:shd w:val="clear" w:color="auto" w:fill="auto"/>
          </w:tcPr>
          <w:p w:rsidR="00EA5F90" w:rsidRPr="003064E5" w:rsidRDefault="00EA5F90" w:rsidP="00EA5F90">
            <w:pPr>
              <w:spacing w:after="0" w:line="240" w:lineRule="auto"/>
              <w:jc w:val="center"/>
              <w:rPr>
                <w:rFonts w:ascii="Arial Narrow" w:hAnsi="Arial Narrow"/>
                <w:b/>
                <w:sz w:val="16"/>
                <w:szCs w:val="24"/>
              </w:rPr>
            </w:pPr>
            <w:r w:rsidRPr="003064E5">
              <w:rPr>
                <w:rFonts w:ascii="Arial Narrow" w:hAnsi="Arial Narrow"/>
                <w:b/>
                <w:sz w:val="16"/>
                <w:szCs w:val="24"/>
              </w:rPr>
              <w:t>1570,53</w:t>
            </w:r>
          </w:p>
        </w:tc>
      </w:tr>
    </w:tbl>
    <w:p w:rsidR="00EA5F90" w:rsidRPr="00263395" w:rsidRDefault="00EA5F90" w:rsidP="00EA5F90">
      <w:pPr>
        <w:pStyle w:val="Listparagraf"/>
        <w:spacing w:after="0" w:line="240" w:lineRule="auto"/>
        <w:ind w:left="0"/>
        <w:jc w:val="right"/>
        <w:rPr>
          <w:rFonts w:ascii="Arial Narrow" w:hAnsi="Arial Narrow"/>
          <w:sz w:val="14"/>
          <w:szCs w:val="24"/>
        </w:rPr>
      </w:pPr>
      <w:r w:rsidRPr="00263395">
        <w:rPr>
          <w:rFonts w:ascii="Arial Narrow" w:hAnsi="Arial Narrow"/>
          <w:sz w:val="14"/>
          <w:szCs w:val="24"/>
        </w:rPr>
        <w:t xml:space="preserve">Sursa: </w:t>
      </w:r>
      <w:r>
        <w:rPr>
          <w:rFonts w:ascii="Arial Narrow" w:hAnsi="Arial Narrow"/>
          <w:sz w:val="14"/>
          <w:szCs w:val="24"/>
        </w:rPr>
        <w:t>MDRAP</w:t>
      </w:r>
    </w:p>
    <w:p w:rsidR="00EA5F90" w:rsidRDefault="00EA5F90" w:rsidP="00EA5F90">
      <w:pPr>
        <w:pStyle w:val="Listparagraf"/>
        <w:spacing w:after="0" w:line="240" w:lineRule="auto"/>
        <w:ind w:left="0"/>
        <w:jc w:val="both"/>
        <w:rPr>
          <w:rFonts w:ascii="Arial Narrow" w:hAnsi="Arial Narrow"/>
          <w:b/>
          <w:sz w:val="24"/>
          <w:szCs w:val="24"/>
        </w:rPr>
      </w:pPr>
      <w:r w:rsidRPr="00263395">
        <w:rPr>
          <w:rFonts w:ascii="Arial Narrow" w:hAnsi="Arial Narrow"/>
          <w:sz w:val="24"/>
          <w:szCs w:val="24"/>
        </w:rPr>
        <w:t>Având în vedere resursele lemnoase existente la nivelul regiunii Centru, precum și stimulentele disponibile (acordarea de finanțări nerambursabile de până la 70% din 200.000 euro), în perioada 2007-2013 au fost puse în funcțiune/modernizate linii de producție peleți/brichete,</w:t>
      </w:r>
      <w:r>
        <w:rPr>
          <w:rFonts w:ascii="Arial Narrow" w:hAnsi="Arial Narrow"/>
          <w:sz w:val="24"/>
          <w:szCs w:val="24"/>
        </w:rPr>
        <w:t xml:space="preserve"> </w:t>
      </w:r>
      <w:r w:rsidRPr="00263395">
        <w:rPr>
          <w:rFonts w:ascii="Arial Narrow" w:hAnsi="Arial Narrow"/>
          <w:sz w:val="24"/>
          <w:szCs w:val="24"/>
        </w:rPr>
        <w:t xml:space="preserve">contribuind astfel la creșterea gradului de utilizare eficientă a resurselor energetice existente.  </w:t>
      </w:r>
      <w:r w:rsidRPr="009648C5">
        <w:rPr>
          <w:rFonts w:ascii="Arial Narrow" w:hAnsi="Arial Narrow"/>
          <w:sz w:val="24"/>
          <w:szCs w:val="24"/>
        </w:rPr>
        <w:t>P</w:t>
      </w:r>
      <w:r w:rsidRPr="00263395">
        <w:rPr>
          <w:rFonts w:ascii="Arial Narrow" w:hAnsi="Arial Narrow"/>
          <w:sz w:val="24"/>
          <w:szCs w:val="24"/>
        </w:rPr>
        <w:t xml:space="preserve">roducția de căldură și energie electrică și producția combinată de căldură și energie electrică din biomasă forestieră a crescut în ultimii ani în </w:t>
      </w:r>
      <w:r>
        <w:rPr>
          <w:rFonts w:ascii="Arial Narrow" w:hAnsi="Arial Narrow"/>
          <w:sz w:val="24"/>
          <w:szCs w:val="24"/>
        </w:rPr>
        <w:t>r</w:t>
      </w:r>
      <w:r w:rsidRPr="00263395">
        <w:rPr>
          <w:rFonts w:ascii="Arial Narrow" w:hAnsi="Arial Narrow"/>
          <w:sz w:val="24"/>
          <w:szCs w:val="24"/>
        </w:rPr>
        <w:t>egiunea Centru (spre exemplu în judeţul Harghita există sisteme funcţionale de producere a energiei din biomasă - proiectul privind producerea de energie din biomasă (peleţi) din municipiul Miercurea Ciuc, centrala de producție E-SRE  din Sebeș aparținând Holzindustrie Schweighofer etc.). Căldura și energia electrică sunt produse și pentru locuințe individuale izolate, școli, servicii publice, spitale, comunități sătești sau orașe (sistemul centralizat pe bază de rumeguş de la Vlăhiţa). Valorificarea energetică a resurselor locale (hidro, biomasă, solar) este una din principale preocupări ale mediu</w:t>
      </w:r>
      <w:r>
        <w:rPr>
          <w:rFonts w:ascii="Arial Narrow" w:hAnsi="Arial Narrow"/>
          <w:sz w:val="24"/>
          <w:szCs w:val="24"/>
        </w:rPr>
        <w:t>lu</w:t>
      </w:r>
      <w:r w:rsidRPr="00263395">
        <w:rPr>
          <w:rFonts w:ascii="Arial Narrow" w:hAnsi="Arial Narrow"/>
          <w:sz w:val="24"/>
          <w:szCs w:val="24"/>
        </w:rPr>
        <w:t xml:space="preserve">i academic de profil din regiune. În aceste condiții, în ultima perioadă au fost </w:t>
      </w:r>
      <w:r w:rsidRPr="00263395">
        <w:rPr>
          <w:rFonts w:ascii="Arial Narrow" w:hAnsi="Arial Narrow"/>
          <w:sz w:val="24"/>
          <w:szCs w:val="24"/>
        </w:rPr>
        <w:lastRenderedPageBreak/>
        <w:t>elaborate mai multe proiecte</w:t>
      </w:r>
      <w:r w:rsidRPr="00263395">
        <w:rPr>
          <w:rStyle w:val="Referinnotdesubsol"/>
          <w:rFonts w:ascii="Arial Narrow" w:hAnsi="Arial Narrow"/>
          <w:sz w:val="24"/>
          <w:szCs w:val="24"/>
        </w:rPr>
        <w:footnoteReference w:id="45"/>
      </w:r>
      <w:r w:rsidRPr="00263395">
        <w:rPr>
          <w:rFonts w:ascii="Arial Narrow" w:hAnsi="Arial Narrow"/>
          <w:sz w:val="24"/>
          <w:szCs w:val="24"/>
        </w:rPr>
        <w:t xml:space="preserve"> privind identificarea celor mai bune soluții pentru valorificarea energetică a resurselor precum și instalarea unor sisteme performante pentru producția de E-SRE. Acestea au fost coordonate de Universități</w:t>
      </w:r>
      <w:r w:rsidRPr="00263395">
        <w:rPr>
          <w:rStyle w:val="Referinnotdesubsol"/>
          <w:rFonts w:ascii="Arial Narrow" w:hAnsi="Arial Narrow"/>
          <w:sz w:val="24"/>
          <w:szCs w:val="24"/>
        </w:rPr>
        <w:footnoteReference w:id="46"/>
      </w:r>
      <w:r w:rsidRPr="00263395">
        <w:rPr>
          <w:rFonts w:ascii="Arial Narrow" w:hAnsi="Arial Narrow"/>
          <w:sz w:val="24"/>
          <w:szCs w:val="24"/>
        </w:rPr>
        <w:t>, autorități publice, mediul privat sau ONG-uri. În plus, s-a avut în vedere și cooperarea interregională, un exemplu în acest sens,este proiectul „</w:t>
      </w:r>
      <w:r w:rsidRPr="00E6540C">
        <w:rPr>
          <w:rFonts w:ascii="Arial Narrow" w:hAnsi="Arial Narrow"/>
          <w:i/>
          <w:sz w:val="24"/>
          <w:szCs w:val="24"/>
        </w:rPr>
        <w:t>BIO4ECO</w:t>
      </w:r>
      <w:r>
        <w:rPr>
          <w:rFonts w:ascii="Arial Narrow" w:hAnsi="Arial Narrow"/>
          <w:i/>
          <w:sz w:val="24"/>
          <w:szCs w:val="24"/>
        </w:rPr>
        <w:t xml:space="preserve"> – </w:t>
      </w:r>
      <w:r w:rsidRPr="00E6540C">
        <w:rPr>
          <w:rFonts w:ascii="Arial Narrow" w:hAnsi="Arial Narrow"/>
          <w:i/>
          <w:sz w:val="24"/>
          <w:szCs w:val="24"/>
        </w:rPr>
        <w:t>Sustainable regional bioenergy policies: a game changer</w:t>
      </w:r>
      <w:r w:rsidRPr="00263395">
        <w:rPr>
          <w:rFonts w:ascii="Arial Narrow" w:hAnsi="Arial Narrow"/>
          <w:sz w:val="24"/>
          <w:szCs w:val="24"/>
        </w:rPr>
        <w:t>” (Politici regionale durabile în domeniul bioenergiei: schimbarea jocului)</w:t>
      </w:r>
      <w:r>
        <w:rPr>
          <w:rStyle w:val="Referinnotdesubsol"/>
          <w:rFonts w:ascii="Arial Narrow" w:hAnsi="Arial Narrow"/>
          <w:sz w:val="24"/>
          <w:szCs w:val="24"/>
        </w:rPr>
        <w:footnoteReference w:id="47"/>
      </w:r>
      <w:r>
        <w:rPr>
          <w:rFonts w:ascii="Arial Narrow" w:hAnsi="Arial Narrow"/>
          <w:sz w:val="24"/>
          <w:szCs w:val="24"/>
        </w:rPr>
        <w:t>.</w:t>
      </w:r>
      <w:r w:rsidRPr="00263395">
        <w:rPr>
          <w:rFonts w:ascii="Arial Narrow" w:hAnsi="Arial Narrow"/>
          <w:sz w:val="24"/>
          <w:szCs w:val="24"/>
        </w:rPr>
        <w:t xml:space="preserve"> </w:t>
      </w:r>
      <w:r>
        <w:rPr>
          <w:rFonts w:ascii="Arial Narrow" w:hAnsi="Arial Narrow"/>
          <w:sz w:val="24"/>
          <w:szCs w:val="24"/>
        </w:rPr>
        <w:t>Pe de altă parte</w:t>
      </w:r>
      <w:r w:rsidRPr="00263395">
        <w:rPr>
          <w:rFonts w:ascii="Arial Narrow" w:hAnsi="Arial Narrow"/>
          <w:sz w:val="24"/>
          <w:szCs w:val="24"/>
        </w:rPr>
        <w:t xml:space="preserve">, </w:t>
      </w:r>
      <w:r w:rsidRPr="00163E08">
        <w:rPr>
          <w:rFonts w:ascii="Arial Narrow" w:hAnsi="Arial Narrow"/>
          <w:b/>
          <w:sz w:val="24"/>
          <w:szCs w:val="24"/>
        </w:rPr>
        <w:t xml:space="preserve">pentru asigurarea condițiilor necesare desfășurării activităților CDI, la nivel regional s-a avut în vedere </w:t>
      </w:r>
      <w:r w:rsidRPr="00263395">
        <w:rPr>
          <w:rFonts w:ascii="Arial Narrow" w:hAnsi="Arial Narrow"/>
          <w:b/>
          <w:sz w:val="24"/>
          <w:szCs w:val="24"/>
        </w:rPr>
        <w:t>dezvoltarea infrastructurii</w:t>
      </w:r>
      <w:r w:rsidRPr="00263395">
        <w:rPr>
          <w:rStyle w:val="Referinnotdesubsol"/>
          <w:rFonts w:ascii="Arial Narrow" w:hAnsi="Arial Narrow"/>
          <w:b/>
          <w:sz w:val="24"/>
          <w:szCs w:val="24"/>
        </w:rPr>
        <w:footnoteReference w:id="48"/>
      </w:r>
      <w:r>
        <w:rPr>
          <w:rFonts w:ascii="Arial Narrow" w:hAnsi="Arial Narrow"/>
          <w:b/>
          <w:sz w:val="24"/>
          <w:szCs w:val="24"/>
        </w:rPr>
        <w:t xml:space="preserve"> necesare pentru cercetare în domeniu.</w:t>
      </w:r>
    </w:p>
    <w:p w:rsidR="00EA5F90" w:rsidRDefault="00BD7229" w:rsidP="00EA5F90">
      <w:pPr>
        <w:pStyle w:val="Listparagraf"/>
        <w:spacing w:after="0" w:line="240" w:lineRule="auto"/>
        <w:ind w:left="0"/>
        <w:jc w:val="both"/>
        <w:rPr>
          <w:rFonts w:ascii="Arial Narrow" w:hAnsi="Arial Narrow"/>
          <w:b/>
          <w:sz w:val="24"/>
          <w:szCs w:val="24"/>
        </w:rPr>
      </w:pPr>
      <w:r w:rsidRPr="00BD7229">
        <w:rPr>
          <w:noProof/>
        </w:rPr>
        <w:pict>
          <v:shape id="Text Box 21" o:spid="_x0000_s1050" type="#_x0000_t202" style="position:absolute;left:0;text-align:left;margin-left:246.4pt;margin-top:29.4pt;width:216.8pt;height:254.7pt;z-index:251685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" fillcolor="#ededed" strokecolor="#5b9bd5" strokeweight="1pt">
            <v:textbox>
              <w:txbxContent>
                <w:p w:rsidR="00064502" w:rsidRPr="006534C8" w:rsidRDefault="00064502" w:rsidP="00EA5F90">
                  <w:pPr>
                    <w:jc w:val="center"/>
                    <w:rPr>
                      <w:rFonts w:ascii="Arial Narrow" w:hAnsi="Arial Narrow"/>
                      <w:b/>
                    </w:rPr>
                  </w:pPr>
                  <w:r w:rsidRPr="006534C8">
                    <w:rPr>
                      <w:rFonts w:ascii="Arial Narrow" w:hAnsi="Arial Narrow"/>
                      <w:b/>
                    </w:rPr>
                    <w:t>Avantaje cheie ale regiunii Centru</w:t>
                  </w:r>
                </w:p>
                <w:p w:rsidR="00064502" w:rsidRPr="006534C8" w:rsidRDefault="00064502" w:rsidP="00981E9F">
                  <w:pPr>
                    <w:pStyle w:val="Listparagraf"/>
                    <w:numPr>
                      <w:ilvl w:val="0"/>
                      <w:numId w:val="52"/>
                    </w:numPr>
                    <w:tabs>
                      <w:tab w:val="left" w:pos="142"/>
                      <w:tab w:val="left" w:pos="284"/>
                      <w:tab w:val="left" w:pos="426"/>
                      <w:tab w:val="left" w:pos="2268"/>
                    </w:tabs>
                    <w:spacing w:after="0" w:line="240" w:lineRule="auto"/>
                    <w:ind w:left="0" w:firstLine="0"/>
                    <w:jc w:val="both"/>
                    <w:rPr>
                      <w:rFonts w:ascii="Arial Narrow" w:hAnsi="Arial Narrow"/>
                    </w:rPr>
                  </w:pPr>
                  <w:r w:rsidRPr="006534C8">
                    <w:rPr>
                      <w:rFonts w:ascii="Arial Narrow" w:hAnsi="Arial Narrow"/>
                    </w:rPr>
                    <w:t>existența unor operatori economici importanți în domeniul termoizolării clădilor, tâmplăriei etc</w:t>
                  </w:r>
                </w:p>
                <w:p w:rsidR="00064502" w:rsidRPr="006534C8" w:rsidRDefault="00064502" w:rsidP="00981E9F">
                  <w:pPr>
                    <w:pStyle w:val="Listparagraf"/>
                    <w:numPr>
                      <w:ilvl w:val="0"/>
                      <w:numId w:val="52"/>
                    </w:numPr>
                    <w:tabs>
                      <w:tab w:val="left" w:pos="142"/>
                      <w:tab w:val="left" w:pos="284"/>
                      <w:tab w:val="left" w:pos="426"/>
                      <w:tab w:val="left" w:pos="2268"/>
                    </w:tabs>
                    <w:spacing w:after="0" w:line="240" w:lineRule="auto"/>
                    <w:ind w:left="0" w:firstLine="0"/>
                    <w:jc w:val="both"/>
                    <w:rPr>
                      <w:rFonts w:ascii="Arial Narrow" w:hAnsi="Arial Narrow"/>
                    </w:rPr>
                  </w:pPr>
                  <w:r w:rsidRPr="006534C8">
                    <w:rPr>
                      <w:rFonts w:ascii="Arial Narrow" w:hAnsi="Arial Narrow"/>
                    </w:rPr>
                    <w:t>interes ridicat al mediului academic din regiune în dezvoltarea sistemelor de creștere a eficienței energetice, dovedit prin proiectele CDI implementate/în curs de implementare.</w:t>
                  </w:r>
                </w:p>
                <w:p w:rsidR="00064502" w:rsidRPr="006534C8" w:rsidRDefault="00064502" w:rsidP="00981E9F">
                  <w:pPr>
                    <w:pStyle w:val="Listparagraf"/>
                    <w:numPr>
                      <w:ilvl w:val="0"/>
                      <w:numId w:val="52"/>
                    </w:numPr>
                    <w:tabs>
                      <w:tab w:val="left" w:pos="142"/>
                      <w:tab w:val="left" w:pos="284"/>
                      <w:tab w:val="left" w:pos="360"/>
                      <w:tab w:val="left" w:pos="426"/>
                      <w:tab w:val="left" w:pos="2268"/>
                    </w:tabs>
                    <w:spacing w:after="0" w:line="240" w:lineRule="auto"/>
                    <w:ind w:left="0" w:firstLine="0"/>
                    <w:jc w:val="both"/>
                    <w:rPr>
                      <w:rFonts w:ascii="Arial Narrow" w:hAnsi="Arial Narrow"/>
                    </w:rPr>
                  </w:pPr>
                  <w:r w:rsidRPr="006534C8">
                    <w:rPr>
                      <w:rFonts w:ascii="Arial Narrow" w:hAnsi="Arial Narrow"/>
                    </w:rPr>
                    <w:t>interesul acordat de firmele de arhitectură și proiectare în vederea construirii clădirilor eficiente energetic</w:t>
                  </w:r>
                  <w:r>
                    <w:rPr>
                      <w:rFonts w:ascii="Arial Narrow" w:hAnsi="Arial Narrow"/>
                    </w:rPr>
                    <w:t>;</w:t>
                  </w:r>
                </w:p>
                <w:p w:rsidR="00064502" w:rsidRPr="006534C8" w:rsidRDefault="00064502" w:rsidP="00981E9F">
                  <w:pPr>
                    <w:pStyle w:val="Listparagraf"/>
                    <w:numPr>
                      <w:ilvl w:val="0"/>
                      <w:numId w:val="52"/>
                    </w:numPr>
                    <w:tabs>
                      <w:tab w:val="left" w:pos="142"/>
                      <w:tab w:val="left" w:pos="284"/>
                      <w:tab w:val="left" w:pos="360"/>
                      <w:tab w:val="left" w:pos="426"/>
                      <w:tab w:val="left" w:pos="2268"/>
                    </w:tabs>
                    <w:spacing w:after="0" w:line="240" w:lineRule="auto"/>
                    <w:ind w:left="0" w:firstLine="0"/>
                    <w:jc w:val="both"/>
                    <w:rPr>
                      <w:rFonts w:ascii="Arial Narrow" w:hAnsi="Arial Narrow"/>
                    </w:rPr>
                  </w:pPr>
                  <w:r w:rsidRPr="006534C8">
                    <w:rPr>
                      <w:rFonts w:ascii="Arial Narrow" w:hAnsi="Arial Narrow"/>
                    </w:rPr>
                    <w:t>interes crescut în punerea în aplicarea a noilor metode de reducere a consumului de resurse și eficiență energetică, demonstrat prin proiectele pilot implementate la nivel regional (neZEH) sau casele eficiente energetic respectând principiile de proiectare ale caselor pasive din Brașov.</w:t>
                  </w:r>
                </w:p>
                <w:p w:rsidR="00064502" w:rsidRPr="006534C8" w:rsidRDefault="00064502" w:rsidP="00981E9F">
                  <w:pPr>
                    <w:pStyle w:val="Listparagraf"/>
                    <w:numPr>
                      <w:ilvl w:val="0"/>
                      <w:numId w:val="52"/>
                    </w:numPr>
                    <w:tabs>
                      <w:tab w:val="left" w:pos="142"/>
                      <w:tab w:val="left" w:pos="284"/>
                      <w:tab w:val="left" w:pos="426"/>
                      <w:tab w:val="left" w:pos="2268"/>
                    </w:tabs>
                    <w:spacing w:after="0" w:line="240" w:lineRule="auto"/>
                    <w:ind w:left="0" w:firstLine="0"/>
                    <w:jc w:val="both"/>
                    <w:rPr>
                      <w:rFonts w:ascii="Arial Narrow" w:hAnsi="Arial Narrow"/>
                    </w:rPr>
                  </w:pPr>
                  <w:r w:rsidRPr="006534C8">
                    <w:rPr>
                      <w:rFonts w:ascii="Arial Narrow" w:hAnsi="Arial Narrow"/>
                    </w:rPr>
                    <w:t xml:space="preserve">peste </w:t>
                  </w:r>
                  <w:r w:rsidRPr="006534C8">
                    <w:rPr>
                      <w:rFonts w:ascii="Arial Narrow" w:hAnsi="Arial Narrow"/>
                      <w:b/>
                    </w:rPr>
                    <w:t>28.000 de apartamente reabilitate</w:t>
                  </w:r>
                  <w:r w:rsidRPr="006534C8">
                    <w:rPr>
                      <w:rFonts w:ascii="Arial Narrow" w:hAnsi="Arial Narrow"/>
                    </w:rPr>
                    <w:t xml:space="preserve"> termic în perioada 200</w:t>
                  </w:r>
                  <w:r>
                    <w:rPr>
                      <w:rFonts w:ascii="Arial Narrow" w:hAnsi="Arial Narrow"/>
                    </w:rPr>
                    <w:t>5</w:t>
                  </w:r>
                  <w:r w:rsidRPr="006534C8">
                    <w:rPr>
                      <w:rFonts w:ascii="Arial Narrow" w:hAnsi="Arial Narrow"/>
                    </w:rPr>
                    <w:t>-2013;</w:t>
                  </w:r>
                </w:p>
                <w:p w:rsidR="00064502" w:rsidRPr="006534C8" w:rsidRDefault="00064502" w:rsidP="00EA5F90">
                  <w:pPr>
                    <w:pStyle w:val="Listparagraf"/>
                    <w:tabs>
                      <w:tab w:val="left" w:pos="142"/>
                      <w:tab w:val="left" w:pos="284"/>
                      <w:tab w:val="left" w:pos="426"/>
                      <w:tab w:val="left" w:pos="2268"/>
                    </w:tabs>
                    <w:spacing w:after="0" w:line="240" w:lineRule="auto"/>
                    <w:ind w:left="0"/>
                    <w:jc w:val="both"/>
                    <w:rPr>
                      <w:rFonts w:ascii="Arial Narrow" w:hAnsi="Arial Narrow"/>
                    </w:rPr>
                  </w:pPr>
                </w:p>
                <w:p w:rsidR="00064502" w:rsidRPr="006534C8" w:rsidRDefault="00064502" w:rsidP="00EA5F90">
                  <w:pPr>
                    <w:pStyle w:val="Listparagraf"/>
                    <w:tabs>
                      <w:tab w:val="left" w:pos="284"/>
                      <w:tab w:val="left" w:pos="709"/>
                      <w:tab w:val="left" w:pos="2268"/>
                    </w:tabs>
                    <w:spacing w:after="0" w:line="240" w:lineRule="auto"/>
                    <w:ind w:left="0"/>
                    <w:jc w:val="both"/>
                    <w:rPr>
                      <w:rFonts w:ascii="Arial Narrow" w:hAnsi="Arial Narrow"/>
                      <w:sz w:val="24"/>
                      <w:szCs w:val="24"/>
                    </w:rPr>
                  </w:pPr>
                </w:p>
                <w:p w:rsidR="00064502" w:rsidRPr="00CA729F" w:rsidRDefault="00064502" w:rsidP="00EA5F90">
                  <w:pPr>
                    <w:pStyle w:val="Listparagraf"/>
                    <w:tabs>
                      <w:tab w:val="left" w:pos="142"/>
                      <w:tab w:val="left" w:pos="284"/>
                      <w:tab w:val="left" w:pos="567"/>
                    </w:tabs>
                    <w:ind w:left="0"/>
                    <w:jc w:val="both"/>
                    <w:rPr>
                      <w:rFonts w:ascii="Arial Narrow" w:hAnsi="Arial Narrow"/>
                      <w:b/>
                    </w:rPr>
                  </w:pPr>
                </w:p>
              </w:txbxContent>
            </v:textbox>
            <w10:wrap type="square" anchorx="margin"/>
          </v:shape>
        </w:pict>
      </w:r>
    </w:p>
    <w:p w:rsidR="00EA5F90" w:rsidRPr="003064E5" w:rsidRDefault="00EA5F90" w:rsidP="00981E9F">
      <w:pPr>
        <w:pStyle w:val="Listparagraf"/>
        <w:numPr>
          <w:ilvl w:val="0"/>
          <w:numId w:val="44"/>
        </w:numPr>
        <w:tabs>
          <w:tab w:val="left" w:pos="284"/>
        </w:tabs>
        <w:spacing w:after="0" w:line="240" w:lineRule="auto"/>
        <w:ind w:hanging="720"/>
        <w:jc w:val="both"/>
        <w:rPr>
          <w:rFonts w:ascii="Arial Narrow" w:hAnsi="Arial Narrow"/>
          <w:b/>
          <w:color w:val="70AD47"/>
          <w:sz w:val="24"/>
          <w:szCs w:val="24"/>
        </w:rPr>
      </w:pPr>
      <w:r w:rsidRPr="003064E5">
        <w:rPr>
          <w:rFonts w:ascii="Arial Narrow" w:hAnsi="Arial Narrow"/>
          <w:b/>
          <w:color w:val="70AD47"/>
          <w:sz w:val="24"/>
          <w:szCs w:val="24"/>
        </w:rPr>
        <w:t>Clădiri eficiente:</w:t>
      </w:r>
    </w:p>
    <w:p w:rsidR="00EA5F90" w:rsidRPr="003064E5" w:rsidRDefault="00EA5F90" w:rsidP="00EA5F90">
      <w:pPr>
        <w:pStyle w:val="Listparagraf"/>
        <w:tabs>
          <w:tab w:val="left" w:pos="284"/>
        </w:tabs>
        <w:spacing w:after="0" w:line="240" w:lineRule="auto"/>
        <w:jc w:val="both"/>
        <w:rPr>
          <w:rFonts w:ascii="Arial Narrow" w:hAnsi="Arial Narrow"/>
          <w:b/>
          <w:color w:val="70AD47"/>
          <w:sz w:val="24"/>
          <w:szCs w:val="24"/>
        </w:rPr>
      </w:pPr>
    </w:p>
    <w:p w:rsidR="00EA5F90"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sz w:val="24"/>
          <w:szCs w:val="24"/>
        </w:rPr>
        <w:t>Construcțiile</w:t>
      </w:r>
      <w:r>
        <w:rPr>
          <w:rFonts w:ascii="Arial Narrow" w:hAnsi="Arial Narrow"/>
          <w:sz w:val="24"/>
          <w:szCs w:val="24"/>
        </w:rPr>
        <w:t xml:space="preserve"> </w:t>
      </w:r>
      <w:r w:rsidRPr="00263395">
        <w:rPr>
          <w:rFonts w:ascii="Arial Narrow" w:hAnsi="Arial Narrow"/>
          <w:sz w:val="24"/>
          <w:szCs w:val="24"/>
        </w:rPr>
        <w:t>sustenabile</w:t>
      </w:r>
      <w:r>
        <w:rPr>
          <w:rStyle w:val="Referinnotdesubsol"/>
          <w:rFonts w:ascii="Arial Narrow" w:hAnsi="Arial Narrow"/>
          <w:sz w:val="24"/>
          <w:szCs w:val="24"/>
        </w:rPr>
        <w:footnoteReference w:id="49"/>
      </w:r>
      <w:r w:rsidRPr="00263395">
        <w:rPr>
          <w:rFonts w:ascii="Arial Narrow" w:hAnsi="Arial Narrow"/>
          <w:sz w:val="24"/>
          <w:szCs w:val="24"/>
        </w:rPr>
        <w:t xml:space="preserve"> se bazează pe următoarele puncte cheie:</w:t>
      </w:r>
      <w:r w:rsidRPr="003064E5">
        <w:rPr>
          <w:rFonts w:ascii="Arial Narrow" w:hAnsi="Arial Narrow"/>
          <w:noProof/>
          <w:color w:val="70AD47"/>
          <w:sz w:val="24"/>
          <w:szCs w:val="24"/>
        </w:rPr>
        <w:t xml:space="preserve"> </w:t>
      </w:r>
      <w:r w:rsidRPr="00263395">
        <w:rPr>
          <w:rFonts w:ascii="Arial Narrow" w:hAnsi="Arial Narrow"/>
          <w:sz w:val="24"/>
          <w:szCs w:val="24"/>
        </w:rPr>
        <w:t xml:space="preserve">1. </w:t>
      </w:r>
      <w:r w:rsidRPr="00263395">
        <w:rPr>
          <w:rFonts w:ascii="Arial Narrow" w:hAnsi="Arial Narrow"/>
          <w:b/>
          <w:sz w:val="24"/>
          <w:szCs w:val="24"/>
        </w:rPr>
        <w:t>amplasament</w:t>
      </w:r>
      <w:r>
        <w:rPr>
          <w:rFonts w:ascii="Arial Narrow" w:hAnsi="Arial Narrow"/>
          <w:b/>
          <w:sz w:val="24"/>
          <w:szCs w:val="24"/>
        </w:rPr>
        <w:t>ul</w:t>
      </w:r>
      <w:r w:rsidRPr="00263395">
        <w:rPr>
          <w:rFonts w:ascii="Arial Narrow" w:hAnsi="Arial Narrow"/>
          <w:b/>
          <w:sz w:val="24"/>
          <w:szCs w:val="24"/>
        </w:rPr>
        <w:t>:</w:t>
      </w:r>
      <w:r>
        <w:rPr>
          <w:rFonts w:ascii="Arial Narrow" w:hAnsi="Arial Narrow"/>
          <w:sz w:val="24"/>
          <w:szCs w:val="24"/>
        </w:rPr>
        <w:t xml:space="preserve"> </w:t>
      </w:r>
      <w:r w:rsidRPr="00263395">
        <w:rPr>
          <w:rFonts w:ascii="Arial Narrow" w:hAnsi="Arial Narrow"/>
          <w:sz w:val="24"/>
          <w:szCs w:val="24"/>
        </w:rPr>
        <w:t xml:space="preserve">care să răspundă nevoilor investitorului și să respecte normele și legislația în vigoare/în cazul unei clădiri existente trebuie </w:t>
      </w:r>
      <w:r>
        <w:rPr>
          <w:rFonts w:ascii="Arial Narrow" w:hAnsi="Arial Narrow"/>
          <w:sz w:val="24"/>
          <w:szCs w:val="24"/>
        </w:rPr>
        <w:t xml:space="preserve">avute în vedere </w:t>
      </w:r>
      <w:r w:rsidRPr="00263395">
        <w:rPr>
          <w:rFonts w:ascii="Arial Narrow" w:hAnsi="Arial Narrow"/>
          <w:sz w:val="24"/>
          <w:szCs w:val="24"/>
        </w:rPr>
        <w:t>condițiile pedoclimatice</w:t>
      </w:r>
      <w:r>
        <w:rPr>
          <w:rFonts w:ascii="Arial Narrow" w:hAnsi="Arial Narrow"/>
          <w:sz w:val="24"/>
          <w:szCs w:val="24"/>
        </w:rPr>
        <w:t xml:space="preserve"> și studiile de teren</w:t>
      </w:r>
      <w:r w:rsidRPr="00263395">
        <w:rPr>
          <w:rFonts w:ascii="Arial Narrow" w:hAnsi="Arial Narrow"/>
          <w:sz w:val="24"/>
          <w:szCs w:val="24"/>
        </w:rPr>
        <w:t xml:space="preserve">; 2. </w:t>
      </w:r>
      <w:r w:rsidRPr="00263395">
        <w:rPr>
          <w:rFonts w:ascii="Arial Narrow" w:hAnsi="Arial Narrow"/>
          <w:b/>
          <w:sz w:val="24"/>
          <w:szCs w:val="24"/>
        </w:rPr>
        <w:t>proiectare</w:t>
      </w:r>
      <w:r>
        <w:rPr>
          <w:rFonts w:ascii="Arial Narrow" w:hAnsi="Arial Narrow"/>
          <w:b/>
          <w:sz w:val="24"/>
          <w:szCs w:val="24"/>
        </w:rPr>
        <w:t>a</w:t>
      </w:r>
      <w:r w:rsidRPr="00263395">
        <w:rPr>
          <w:rFonts w:ascii="Arial Narrow" w:hAnsi="Arial Narrow"/>
          <w:b/>
          <w:sz w:val="24"/>
          <w:szCs w:val="24"/>
        </w:rPr>
        <w:t>:</w:t>
      </w:r>
      <w:r w:rsidRPr="00263395">
        <w:rPr>
          <w:rFonts w:ascii="Arial Narrow" w:hAnsi="Arial Narrow"/>
          <w:sz w:val="24"/>
          <w:szCs w:val="24"/>
        </w:rPr>
        <w:t xml:space="preserve"> în termeni de durabilitate</w:t>
      </w:r>
      <w:r>
        <w:rPr>
          <w:rFonts w:ascii="Arial Narrow" w:hAnsi="Arial Narrow"/>
          <w:sz w:val="24"/>
          <w:szCs w:val="24"/>
        </w:rPr>
        <w:t>, pe baza analizelor/studiilor anterioare</w:t>
      </w:r>
      <w:r w:rsidRPr="00263395">
        <w:rPr>
          <w:rFonts w:ascii="Arial Narrow" w:hAnsi="Arial Narrow"/>
          <w:sz w:val="24"/>
          <w:szCs w:val="24"/>
        </w:rPr>
        <w:t>;</w:t>
      </w:r>
      <w:r w:rsidRPr="00263395">
        <w:rPr>
          <w:rFonts w:ascii="Arial Narrow" w:hAnsi="Arial Narrow"/>
          <w:noProof/>
          <w:sz w:val="24"/>
          <w:szCs w:val="24"/>
        </w:rPr>
        <w:t xml:space="preserve"> 3.</w:t>
      </w:r>
      <w:r w:rsidRPr="00263395">
        <w:rPr>
          <w:rFonts w:ascii="Arial Narrow" w:hAnsi="Arial Narrow"/>
          <w:b/>
          <w:noProof/>
          <w:sz w:val="24"/>
          <w:szCs w:val="24"/>
        </w:rPr>
        <w:t>m</w:t>
      </w:r>
      <w:r w:rsidRPr="00263395">
        <w:rPr>
          <w:rFonts w:ascii="Arial Narrow" w:hAnsi="Arial Narrow"/>
          <w:b/>
          <w:sz w:val="24"/>
          <w:szCs w:val="24"/>
        </w:rPr>
        <w:t>ateriale</w:t>
      </w:r>
      <w:r>
        <w:rPr>
          <w:rFonts w:ascii="Arial Narrow" w:hAnsi="Arial Narrow"/>
          <w:b/>
          <w:sz w:val="24"/>
          <w:szCs w:val="24"/>
        </w:rPr>
        <w:t>le</w:t>
      </w:r>
      <w:r w:rsidRPr="00263395">
        <w:rPr>
          <w:rFonts w:ascii="Arial Narrow" w:hAnsi="Arial Narrow"/>
          <w:b/>
          <w:sz w:val="24"/>
          <w:szCs w:val="24"/>
        </w:rPr>
        <w:t xml:space="preserve"> de construcție</w:t>
      </w:r>
      <w:r w:rsidRPr="00263395">
        <w:rPr>
          <w:rFonts w:ascii="Arial Narrow" w:hAnsi="Arial Narrow"/>
          <w:sz w:val="24"/>
          <w:szCs w:val="24"/>
        </w:rPr>
        <w:t xml:space="preserve">: </w:t>
      </w:r>
      <w:r>
        <w:rPr>
          <w:rFonts w:ascii="Arial Narrow" w:hAnsi="Arial Narrow"/>
          <w:sz w:val="24"/>
          <w:szCs w:val="24"/>
        </w:rPr>
        <w:t xml:space="preserve">utilizarea unor materiale eficiente, fabricate </w:t>
      </w:r>
      <w:r w:rsidRPr="00263395">
        <w:rPr>
          <w:rFonts w:ascii="Arial Narrow" w:hAnsi="Arial Narrow"/>
          <w:sz w:val="24"/>
          <w:szCs w:val="24"/>
        </w:rPr>
        <w:t>în mod durabil. 4.</w:t>
      </w:r>
      <w:r w:rsidRPr="00263395">
        <w:rPr>
          <w:rFonts w:ascii="Arial Narrow" w:hAnsi="Arial Narrow"/>
          <w:b/>
          <w:sz w:val="24"/>
          <w:szCs w:val="24"/>
        </w:rPr>
        <w:t>execuţie și managementul resurselor</w:t>
      </w:r>
      <w:r w:rsidRPr="00263395">
        <w:rPr>
          <w:rFonts w:ascii="Arial Narrow" w:hAnsi="Arial Narrow"/>
          <w:sz w:val="24"/>
          <w:szCs w:val="24"/>
        </w:rPr>
        <w:t>, inclusiv colectarea și valorificarea deșeurilor rezultate, refolosire</w:t>
      </w:r>
      <w:r>
        <w:rPr>
          <w:rFonts w:ascii="Arial Narrow" w:hAnsi="Arial Narrow"/>
          <w:sz w:val="24"/>
          <w:szCs w:val="24"/>
        </w:rPr>
        <w:t>a</w:t>
      </w:r>
      <w:r w:rsidRPr="00263395">
        <w:rPr>
          <w:rFonts w:ascii="Arial Narrow" w:hAnsi="Arial Narrow"/>
          <w:sz w:val="24"/>
          <w:szCs w:val="24"/>
        </w:rPr>
        <w:t xml:space="preserve"> componente</w:t>
      </w:r>
      <w:r>
        <w:rPr>
          <w:rFonts w:ascii="Arial Narrow" w:hAnsi="Arial Narrow"/>
          <w:sz w:val="24"/>
          <w:szCs w:val="24"/>
        </w:rPr>
        <w:t>lor etc.</w:t>
      </w:r>
      <w:r w:rsidRPr="00263395">
        <w:rPr>
          <w:rFonts w:ascii="Arial Narrow" w:hAnsi="Arial Narrow"/>
          <w:sz w:val="24"/>
          <w:szCs w:val="24"/>
        </w:rPr>
        <w:t>; 5.</w:t>
      </w:r>
      <w:r w:rsidRPr="00263395">
        <w:rPr>
          <w:rFonts w:ascii="Arial Narrow" w:hAnsi="Arial Narrow"/>
          <w:b/>
          <w:sz w:val="24"/>
          <w:szCs w:val="24"/>
        </w:rPr>
        <w:t>post-execuție</w:t>
      </w:r>
      <w:r w:rsidRPr="00263395">
        <w:rPr>
          <w:rFonts w:ascii="Arial Narrow" w:hAnsi="Arial Narrow"/>
          <w:sz w:val="24"/>
          <w:szCs w:val="24"/>
        </w:rPr>
        <w:t>: eficiență energetică</w:t>
      </w:r>
      <w:r>
        <w:rPr>
          <w:rFonts w:ascii="Arial Narrow" w:hAnsi="Arial Narrow"/>
          <w:sz w:val="24"/>
          <w:szCs w:val="24"/>
        </w:rPr>
        <w:t xml:space="preserve"> și</w:t>
      </w:r>
      <w:r w:rsidRPr="00263395">
        <w:rPr>
          <w:rFonts w:ascii="Arial Narrow" w:hAnsi="Arial Narrow"/>
          <w:sz w:val="24"/>
          <w:szCs w:val="24"/>
        </w:rPr>
        <w:t xml:space="preserve"> consum responsabil</w:t>
      </w:r>
      <w:r>
        <w:rPr>
          <w:rFonts w:ascii="Arial Narrow" w:hAnsi="Arial Narrow"/>
          <w:sz w:val="24"/>
          <w:szCs w:val="24"/>
        </w:rPr>
        <w:t>.</w:t>
      </w:r>
    </w:p>
    <w:p w:rsidR="00EA5F90" w:rsidRDefault="00EA5F90" w:rsidP="00EA5F90">
      <w:pPr>
        <w:pStyle w:val="Listparagraf"/>
        <w:spacing w:after="0" w:line="240" w:lineRule="auto"/>
        <w:ind w:left="0"/>
        <w:jc w:val="both"/>
        <w:rPr>
          <w:rFonts w:ascii="Arial Narrow" w:hAnsi="Arial Narrow"/>
          <w:sz w:val="24"/>
          <w:szCs w:val="24"/>
        </w:rPr>
      </w:pPr>
    </w:p>
    <w:p w:rsidR="00EA5F90" w:rsidRDefault="00EA5F90" w:rsidP="00EA5F90">
      <w:pPr>
        <w:pStyle w:val="Listparagraf"/>
        <w:spacing w:after="0" w:line="240" w:lineRule="auto"/>
        <w:ind w:left="0"/>
        <w:jc w:val="both"/>
        <w:rPr>
          <w:rFonts w:ascii="Arial Narrow" w:hAnsi="Arial Narrow"/>
          <w:sz w:val="24"/>
          <w:szCs w:val="24"/>
        </w:rPr>
      </w:pPr>
    </w:p>
    <w:p w:rsidR="00EA5F90" w:rsidRDefault="00EA5F90" w:rsidP="00EA5F90">
      <w:pPr>
        <w:pStyle w:val="Listparagraf"/>
        <w:spacing w:after="0" w:line="240" w:lineRule="auto"/>
        <w:ind w:left="0"/>
        <w:jc w:val="both"/>
        <w:rPr>
          <w:rFonts w:ascii="Arial Narrow" w:hAnsi="Arial Narrow"/>
          <w:sz w:val="24"/>
          <w:szCs w:val="24"/>
        </w:rPr>
      </w:pPr>
    </w:p>
    <w:p w:rsidR="00EA5F90" w:rsidRDefault="000865B4" w:rsidP="00EA5F90">
      <w:pPr>
        <w:pStyle w:val="Listparagraf"/>
        <w:spacing w:after="0" w:line="240" w:lineRule="auto"/>
        <w:ind w:left="0"/>
        <w:jc w:val="both"/>
        <w:rPr>
          <w:rFonts w:ascii="Arial Narrow" w:hAnsi="Arial Narrow" w:cs="Calibri"/>
          <w:sz w:val="24"/>
          <w:szCs w:val="24"/>
        </w:rPr>
      </w:pPr>
      <w:r>
        <w:rPr>
          <w:rFonts w:ascii="Arial Narrow" w:hAnsi="Arial Narrow" w:cs="Calibri"/>
          <w:noProof/>
          <w:sz w:val="24"/>
          <w:szCs w:val="24"/>
          <w:lang w:val="en-US" w:eastAsia="en-US"/>
        </w:rPr>
        <w:drawing>
          <wp:anchor distT="0" distB="0" distL="114300" distR="114300" simplePos="0" relativeHeight="251686912" behindDoc="1" locked="0" layoutInCell="1" allowOverlap="1">
            <wp:simplePos x="0" y="0"/>
            <wp:positionH relativeFrom="margin">
              <wp:posOffset>3215005</wp:posOffset>
            </wp:positionH>
            <wp:positionV relativeFrom="paragraph">
              <wp:posOffset>-4427220</wp:posOffset>
            </wp:positionV>
            <wp:extent cx="2409825" cy="1752600"/>
            <wp:effectExtent l="19050" t="0" r="9525" b="0"/>
            <wp:wrapTight wrapText="bothSides">
              <wp:wrapPolygon edited="0">
                <wp:start x="-171" y="0"/>
                <wp:lineTo x="-171" y="21600"/>
                <wp:lineTo x="21685" y="21600"/>
                <wp:lineTo x="21685" y="0"/>
                <wp:lineTo x="-171" y="0"/>
              </wp:wrapPolygon>
            </wp:wrapTight>
            <wp:docPr id="27"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EA5F90" w:rsidRPr="00263395">
        <w:rPr>
          <w:rFonts w:ascii="Arial Narrow" w:hAnsi="Arial Narrow" w:cs="Calibri"/>
          <w:sz w:val="24"/>
          <w:szCs w:val="24"/>
        </w:rPr>
        <w:t>Energia și</w:t>
      </w:r>
      <w:r w:rsidR="00EA5F90" w:rsidRPr="003064E5">
        <w:rPr>
          <w:rFonts w:ascii="Arial Narrow" w:hAnsi="Arial Narrow" w:cs="Calibri"/>
          <w:color w:val="5B9BD5"/>
          <w:sz w:val="24"/>
          <w:szCs w:val="24"/>
        </w:rPr>
        <w:t xml:space="preserve"> </w:t>
      </w:r>
      <w:r w:rsidR="00EA5F90" w:rsidRPr="00263395">
        <w:rPr>
          <w:rFonts w:ascii="Arial Narrow" w:hAnsi="Arial Narrow" w:cs="Calibri"/>
          <w:color w:val="000000"/>
          <w:sz w:val="24"/>
          <w:szCs w:val="24"/>
        </w:rPr>
        <w:t xml:space="preserve">respectiv modul de utilizare a acesteia este unul din cei mai importanți factori care determină </w:t>
      </w:r>
      <w:r w:rsidR="00EA5F90" w:rsidRPr="004B503D">
        <w:rPr>
          <w:rFonts w:ascii="Arial Narrow" w:hAnsi="Arial Narrow" w:cs="Calibri"/>
          <w:b/>
          <w:color w:val="000000"/>
          <w:sz w:val="24"/>
          <w:szCs w:val="24"/>
        </w:rPr>
        <w:t>eficiența unei clădiri</w:t>
      </w:r>
      <w:r w:rsidR="00EA5F90">
        <w:rPr>
          <w:rStyle w:val="Referinnotdesubsol"/>
          <w:rFonts w:ascii="Arial Narrow" w:hAnsi="Arial Narrow" w:cs="Calibri"/>
          <w:color w:val="000000"/>
          <w:sz w:val="24"/>
          <w:szCs w:val="24"/>
        </w:rPr>
        <w:footnoteReference w:id="50"/>
      </w:r>
      <w:r w:rsidR="00EA5F90" w:rsidRPr="00263395">
        <w:rPr>
          <w:rFonts w:ascii="Arial Narrow" w:hAnsi="Arial Narrow" w:cs="Calibri"/>
          <w:color w:val="000000"/>
          <w:sz w:val="24"/>
          <w:szCs w:val="24"/>
        </w:rPr>
        <w:t>.</w:t>
      </w:r>
      <w:r w:rsidR="00EA5F90">
        <w:rPr>
          <w:rFonts w:ascii="Arial Narrow" w:hAnsi="Arial Narrow" w:cs="Calibri"/>
          <w:color w:val="000000"/>
          <w:sz w:val="24"/>
          <w:szCs w:val="24"/>
        </w:rPr>
        <w:t xml:space="preserve"> </w:t>
      </w:r>
      <w:r w:rsidR="00EA5F90" w:rsidRPr="00263395">
        <w:rPr>
          <w:rFonts w:ascii="Arial Narrow" w:hAnsi="Arial Narrow" w:cs="Calibri"/>
          <w:color w:val="000000"/>
          <w:sz w:val="24"/>
          <w:szCs w:val="24"/>
        </w:rPr>
        <w:t xml:space="preserve"> </w:t>
      </w:r>
      <w:r w:rsidR="00EA5F90" w:rsidRPr="00DA4324">
        <w:rPr>
          <w:rFonts w:ascii="Arial Narrow" w:hAnsi="Arial Narrow"/>
          <w:sz w:val="24"/>
          <w:szCs w:val="24"/>
        </w:rPr>
        <w:t xml:space="preserve">Eficiența energetică este cea mai puțin costisitoare metodă de a reduce emisiile de gaze cu efect de seră (GES) și conduce concomitent la eficientizarea economică a tehnologiilor, la reducerea gradului de sărăcie energetică în rândul populației și la securitate energetică. </w:t>
      </w:r>
      <w:r w:rsidR="00EA5F90" w:rsidRPr="00DA4324">
        <w:rPr>
          <w:rFonts w:ascii="Arial Narrow" w:hAnsi="Arial Narrow"/>
          <w:sz w:val="24"/>
          <w:szCs w:val="24"/>
        </w:rPr>
        <w:lastRenderedPageBreak/>
        <w:t xml:space="preserve">Eficienţă energetică în România și, implicit, în Regiunea Centru a crescut continuu în </w:t>
      </w:r>
      <w:r w:rsidR="00EA5F90">
        <w:rPr>
          <w:rFonts w:ascii="Arial Narrow" w:hAnsi="Arial Narrow"/>
          <w:sz w:val="24"/>
          <w:szCs w:val="24"/>
        </w:rPr>
        <w:t>ultimii ani</w:t>
      </w:r>
      <w:r w:rsidR="00EA5F90">
        <w:rPr>
          <w:rStyle w:val="Referinnotdesubsol"/>
          <w:rFonts w:ascii="Arial Narrow" w:hAnsi="Arial Narrow"/>
          <w:sz w:val="24"/>
          <w:szCs w:val="24"/>
        </w:rPr>
        <w:footnoteReference w:id="51"/>
      </w:r>
      <w:r w:rsidR="00EA5F90" w:rsidRPr="00DA4324">
        <w:rPr>
          <w:rFonts w:ascii="Arial Narrow" w:hAnsi="Arial Narrow"/>
          <w:sz w:val="24"/>
          <w:szCs w:val="24"/>
        </w:rPr>
        <w:t>. Intensitatea energetică a mediului rezidențial din România a scăzut între 2007 - 2012 cu aproximativ 42%, atât ca urmare a creșterii numărului de măsuri de eficiență energetică implementate</w:t>
      </w:r>
      <w:r w:rsidR="00EA5F90">
        <w:rPr>
          <w:rStyle w:val="Referinnotdesubsol"/>
          <w:rFonts w:ascii="Arial Narrow" w:hAnsi="Arial Narrow"/>
          <w:sz w:val="24"/>
          <w:szCs w:val="24"/>
        </w:rPr>
        <w:footnoteReference w:id="52"/>
      </w:r>
      <w:r w:rsidR="00EA5F90" w:rsidRPr="00DA4324">
        <w:rPr>
          <w:rFonts w:ascii="Arial Narrow" w:hAnsi="Arial Narrow"/>
          <w:sz w:val="24"/>
          <w:szCs w:val="24"/>
        </w:rPr>
        <w:t xml:space="preserve"> cât și a restructurării care a urmat crizei. În perioada analizată, cel mai mare progres în implementarea măsurilor de eficiență energetică a fost semnalat în sectorul gospodăriilor unde s-a observat o creștere de 32,2%</w:t>
      </w:r>
      <w:r w:rsidR="00EA5F90" w:rsidRPr="0084489A">
        <w:rPr>
          <w:rFonts w:ascii="Arial Narrow" w:hAnsi="Arial Narrow"/>
          <w:sz w:val="24"/>
          <w:szCs w:val="24"/>
        </w:rPr>
        <w:t xml:space="preserve"> </w:t>
      </w:r>
      <w:r w:rsidR="00EA5F90" w:rsidRPr="00DA4324">
        <w:rPr>
          <w:rFonts w:ascii="Arial Narrow" w:hAnsi="Arial Narrow"/>
          <w:sz w:val="24"/>
          <w:szCs w:val="24"/>
        </w:rPr>
        <w:t xml:space="preserve">în 2011 față de perioada 2000-2010. </w:t>
      </w:r>
      <w:r w:rsidR="00EA5F90">
        <w:rPr>
          <w:rFonts w:ascii="Arial Narrow" w:hAnsi="Arial Narrow"/>
          <w:sz w:val="24"/>
          <w:szCs w:val="24"/>
        </w:rPr>
        <w:t>La nivel național, c</w:t>
      </w:r>
      <w:r w:rsidR="00EA5F90" w:rsidRPr="00DA4324">
        <w:rPr>
          <w:rFonts w:ascii="Arial Narrow" w:hAnsi="Arial Narrow"/>
          <w:sz w:val="24"/>
          <w:szCs w:val="24"/>
        </w:rPr>
        <w:t>onsumul specific de energie electrică a crescut cu 47%, iar consumul de energie pentru încălzirea spațiilor cu 32%</w:t>
      </w:r>
      <w:r w:rsidR="00EA5F90">
        <w:rPr>
          <w:rStyle w:val="Referinnotdesubsol"/>
          <w:rFonts w:ascii="Arial Narrow" w:hAnsi="Arial Narrow"/>
          <w:sz w:val="24"/>
          <w:szCs w:val="24"/>
        </w:rPr>
        <w:footnoteReference w:id="53"/>
      </w:r>
      <w:r w:rsidR="00EA5F90" w:rsidRPr="00DA4324">
        <w:rPr>
          <w:rFonts w:ascii="Arial Narrow" w:hAnsi="Arial Narrow"/>
          <w:sz w:val="24"/>
          <w:szCs w:val="24"/>
        </w:rPr>
        <w:t xml:space="preserve">. Aceste evoluții în sectorul casnic au fost influențate de doi factori divergenți: inițierea de măsuri politice și tehnice pentru creșterea eficienței energetice (ex. reabilitare termică) și creșterea nivelul de confort al populației, creșterea numărului de aparate de uz casnic . </w:t>
      </w:r>
      <w:r w:rsidR="00EA5F90" w:rsidRPr="00263395">
        <w:rPr>
          <w:rFonts w:ascii="Arial Narrow" w:hAnsi="Arial Narrow"/>
          <w:sz w:val="24"/>
          <w:szCs w:val="24"/>
        </w:rPr>
        <w:t>Datele statistice</w:t>
      </w:r>
      <w:r w:rsidR="00EA5F90" w:rsidRPr="00263395">
        <w:rPr>
          <w:rStyle w:val="Referinnotdesubsol"/>
          <w:rFonts w:ascii="Arial Narrow" w:hAnsi="Arial Narrow"/>
          <w:sz w:val="24"/>
          <w:szCs w:val="24"/>
        </w:rPr>
        <w:footnoteReference w:id="54"/>
      </w:r>
      <w:r w:rsidR="00EA5F90" w:rsidRPr="00263395">
        <w:rPr>
          <w:rFonts w:ascii="Arial Narrow" w:hAnsi="Arial Narrow"/>
          <w:sz w:val="24"/>
          <w:szCs w:val="24"/>
        </w:rPr>
        <w:t xml:space="preserve"> sublinează faptul că</w:t>
      </w:r>
      <w:r w:rsidR="00EA5F90">
        <w:rPr>
          <w:rFonts w:ascii="Arial Narrow" w:hAnsi="Arial Narrow"/>
          <w:sz w:val="24"/>
          <w:szCs w:val="24"/>
        </w:rPr>
        <w:t>,</w:t>
      </w:r>
      <w:r w:rsidR="00EA5F90" w:rsidRPr="00263395">
        <w:rPr>
          <w:rFonts w:ascii="Arial Narrow" w:hAnsi="Arial Narrow"/>
          <w:sz w:val="24"/>
          <w:szCs w:val="24"/>
        </w:rPr>
        <w:t xml:space="preserve"> </w:t>
      </w:r>
      <w:r w:rsidR="00EA5F90" w:rsidRPr="00263395">
        <w:rPr>
          <w:rFonts w:ascii="Arial Narrow" w:hAnsi="Arial Narrow"/>
          <w:b/>
          <w:sz w:val="24"/>
          <w:szCs w:val="24"/>
        </w:rPr>
        <w:t>sectorul locuinţelor şi sectorul terţiar</w:t>
      </w:r>
      <w:r w:rsidR="00EA5F90" w:rsidRPr="00263395">
        <w:rPr>
          <w:rFonts w:ascii="Arial Narrow" w:hAnsi="Arial Narrow"/>
          <w:sz w:val="24"/>
          <w:szCs w:val="24"/>
        </w:rPr>
        <w:t xml:space="preserve"> (birouri, spații comerciale şi alte clădiri nerezidenţiale) </w:t>
      </w:r>
      <w:r w:rsidR="00EA5F90" w:rsidRPr="00263395">
        <w:rPr>
          <w:rFonts w:ascii="Arial Narrow" w:hAnsi="Arial Narrow"/>
          <w:b/>
          <w:sz w:val="24"/>
          <w:szCs w:val="24"/>
        </w:rPr>
        <w:t>reprezintă împreună cca</w:t>
      </w:r>
      <w:r w:rsidR="00EA5F90" w:rsidRPr="00263395">
        <w:rPr>
          <w:rFonts w:ascii="Arial Narrow" w:hAnsi="Arial Narrow"/>
          <w:sz w:val="24"/>
          <w:szCs w:val="24"/>
        </w:rPr>
        <w:t xml:space="preserve"> </w:t>
      </w:r>
      <w:r w:rsidR="00EA5F90" w:rsidRPr="00263395">
        <w:rPr>
          <w:rFonts w:ascii="Arial Narrow" w:hAnsi="Arial Narrow"/>
          <w:b/>
          <w:sz w:val="24"/>
          <w:szCs w:val="24"/>
        </w:rPr>
        <w:t>40% din consumul total de energie la nivel naţional.</w:t>
      </w:r>
      <w:r w:rsidR="00EA5F90">
        <w:rPr>
          <w:rFonts w:ascii="Arial Narrow" w:hAnsi="Arial Narrow"/>
          <w:b/>
          <w:sz w:val="24"/>
          <w:szCs w:val="24"/>
        </w:rPr>
        <w:t xml:space="preserve"> </w:t>
      </w:r>
      <w:r w:rsidR="00EA5F90" w:rsidRPr="00263395">
        <w:rPr>
          <w:rFonts w:ascii="Arial Narrow" w:hAnsi="Arial Narrow"/>
          <w:sz w:val="24"/>
          <w:szCs w:val="24"/>
        </w:rPr>
        <w:t>Evoluția situației economice după anul 2000, a condus la creșterea veniturilor populației și a consumului energetic</w:t>
      </w:r>
      <w:r w:rsidR="00EA5F90" w:rsidRPr="00263395">
        <w:rPr>
          <w:rStyle w:val="Referinnotdesubsol"/>
          <w:rFonts w:ascii="Arial Narrow" w:hAnsi="Arial Narrow"/>
          <w:sz w:val="24"/>
          <w:szCs w:val="24"/>
        </w:rPr>
        <w:footnoteReference w:id="55"/>
      </w:r>
      <w:r w:rsidR="00EA5F90" w:rsidRPr="00263395">
        <w:rPr>
          <w:rFonts w:ascii="Arial Narrow" w:hAnsi="Arial Narrow"/>
          <w:sz w:val="24"/>
          <w:szCs w:val="24"/>
        </w:rPr>
        <w:t xml:space="preserve"> în perioada 2000-2003, ulterior (2004-2006), semnalându-se un trend descendent (în contextul alinierii prețurilor </w:t>
      </w:r>
      <w:r w:rsidR="00EA5F90">
        <w:rPr>
          <w:rFonts w:ascii="Arial Narrow" w:hAnsi="Arial Narrow"/>
          <w:sz w:val="24"/>
          <w:szCs w:val="24"/>
        </w:rPr>
        <w:t xml:space="preserve">la </w:t>
      </w:r>
      <w:r w:rsidR="00EA5F90" w:rsidRPr="00263395">
        <w:rPr>
          <w:rFonts w:ascii="Arial Narrow" w:hAnsi="Arial Narrow"/>
          <w:sz w:val="24"/>
          <w:szCs w:val="24"/>
        </w:rPr>
        <w:t xml:space="preserve">cele de la nivel european). În 2008, consumul total de energie în mediul rezidențial a fost de 32%, iar în sectorul industrial de 37%, după 2009, populația a devenit principalul consumator ajungând la un consum anual de 35% din consumul energetic național. </w:t>
      </w:r>
      <w:r w:rsidR="00EA5F90">
        <w:rPr>
          <w:rFonts w:ascii="Arial Narrow" w:hAnsi="Arial Narrow" w:cs="Calibri"/>
          <w:sz w:val="24"/>
          <w:szCs w:val="24"/>
        </w:rPr>
        <w:t xml:space="preserve">Având în vedere datele de mai sus, în prezenta analiză se vor trata numai sectorul rezidențial de la nivelul regiunii. </w:t>
      </w:r>
    </w:p>
    <w:p w:rsidR="00EA5F90" w:rsidRDefault="000865B4" w:rsidP="00EA5F90">
      <w:pPr>
        <w:spacing w:after="0" w:line="240" w:lineRule="auto"/>
        <w:jc w:val="both"/>
        <w:rPr>
          <w:rFonts w:ascii="Arial Narrow" w:hAnsi="Arial Narrow"/>
          <w:sz w:val="24"/>
          <w:szCs w:val="24"/>
        </w:rPr>
      </w:pPr>
      <w:r>
        <w:rPr>
          <w:rFonts w:ascii="Arial Narrow" w:hAnsi="Arial Narrow"/>
          <w:b/>
          <w:noProof/>
          <w:color w:val="70AD47"/>
          <w:sz w:val="24"/>
          <w:szCs w:val="24"/>
        </w:rPr>
        <w:drawing>
          <wp:anchor distT="0" distB="0" distL="114300" distR="114300" simplePos="0" relativeHeight="251687936" behindDoc="1" locked="0" layoutInCell="1" allowOverlap="1">
            <wp:simplePos x="0" y="0"/>
            <wp:positionH relativeFrom="margin">
              <wp:posOffset>3243580</wp:posOffset>
            </wp:positionH>
            <wp:positionV relativeFrom="paragraph">
              <wp:posOffset>-2726055</wp:posOffset>
            </wp:positionV>
            <wp:extent cx="2438400" cy="1809750"/>
            <wp:effectExtent l="19050" t="0" r="19050" b="0"/>
            <wp:wrapTight wrapText="bothSides">
              <wp:wrapPolygon edited="0">
                <wp:start x="-169" y="0"/>
                <wp:lineTo x="-169" y="21600"/>
                <wp:lineTo x="21769" y="21600"/>
                <wp:lineTo x="21769" y="0"/>
                <wp:lineTo x="-169" y="0"/>
              </wp:wrapPolygon>
            </wp:wrapTight>
            <wp:docPr id="28"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EA5F90" w:rsidRPr="003064E5">
        <w:rPr>
          <w:rFonts w:ascii="Arial Narrow" w:hAnsi="Arial Narrow"/>
          <w:b/>
          <w:color w:val="70AD47"/>
          <w:sz w:val="24"/>
          <w:szCs w:val="24"/>
        </w:rPr>
        <w:t>Clădiri rezidențiale în regiunea Centru</w:t>
      </w:r>
      <w:r w:rsidR="00EA5F90" w:rsidRPr="00DA4324">
        <w:rPr>
          <w:rFonts w:ascii="Arial Narrow" w:hAnsi="Arial Narrow"/>
          <w:b/>
          <w:sz w:val="24"/>
          <w:szCs w:val="24"/>
        </w:rPr>
        <w:t xml:space="preserve">: </w:t>
      </w:r>
      <w:r w:rsidR="00EA5F90" w:rsidRPr="00DA4324">
        <w:rPr>
          <w:rFonts w:ascii="Arial Narrow" w:hAnsi="Arial Narrow"/>
          <w:sz w:val="24"/>
          <w:szCs w:val="24"/>
        </w:rPr>
        <w:t xml:space="preserve">potrivit datelor statistice, în 2015, fondul de locuințe și-a păstrat trendul ascendent din ultimii ani, înregistrând la nivelul regiunii </w:t>
      </w:r>
      <w:r w:rsidR="00EA5F90" w:rsidRPr="007C2410">
        <w:rPr>
          <w:rFonts w:ascii="Arial Narrow" w:hAnsi="Arial Narrow"/>
          <w:b/>
          <w:sz w:val="24"/>
          <w:szCs w:val="24"/>
        </w:rPr>
        <w:t>1.013.368 de locuințe proprietate privată</w:t>
      </w:r>
      <w:r w:rsidR="00EA5F90" w:rsidRPr="00DA4324">
        <w:rPr>
          <w:rFonts w:ascii="Arial Narrow" w:hAnsi="Arial Narrow"/>
          <w:sz w:val="24"/>
          <w:szCs w:val="24"/>
        </w:rPr>
        <w:t xml:space="preserve">, din care </w:t>
      </w:r>
      <w:r w:rsidR="00EA5F90" w:rsidRPr="007C2410">
        <w:rPr>
          <w:rFonts w:ascii="Arial Narrow" w:hAnsi="Arial Narrow"/>
          <w:b/>
          <w:sz w:val="24"/>
          <w:szCs w:val="24"/>
        </w:rPr>
        <w:t>596.799 locuințe se aflau în mediul urban</w:t>
      </w:r>
      <w:r w:rsidR="00EA5F90" w:rsidRPr="00DA4324">
        <w:rPr>
          <w:rFonts w:ascii="Arial Narrow" w:hAnsi="Arial Narrow"/>
          <w:sz w:val="24"/>
          <w:szCs w:val="24"/>
        </w:rPr>
        <w:t xml:space="preserve">, respectiv 58% din totalul de locuințe identificate la nivelul regiunii. </w:t>
      </w:r>
      <w:r w:rsidR="00EA5F90" w:rsidRPr="00DA4324">
        <w:rPr>
          <w:rFonts w:ascii="Arial Narrow" w:hAnsi="Arial Narrow"/>
          <w:b/>
          <w:sz w:val="24"/>
          <w:szCs w:val="24"/>
        </w:rPr>
        <w:t xml:space="preserve">Raportat la nivel național, în funcție de numărul de locuințe proprietate privată existente în mediul urban, în  2015 regiunea Centru se afla pe locul 3 </w:t>
      </w:r>
      <w:r w:rsidR="00EA5F90">
        <w:rPr>
          <w:rFonts w:ascii="Arial Narrow" w:hAnsi="Arial Narrow"/>
          <w:sz w:val="24"/>
          <w:szCs w:val="24"/>
        </w:rPr>
        <w:t>după București-Ilfov și Nord-</w:t>
      </w:r>
      <w:r w:rsidR="00EA5F90" w:rsidRPr="00DA4324">
        <w:rPr>
          <w:rFonts w:ascii="Arial Narrow" w:hAnsi="Arial Narrow"/>
          <w:sz w:val="24"/>
          <w:szCs w:val="24"/>
        </w:rPr>
        <w:t xml:space="preserve">Est, semnalându-se o creștere de peste 40% față de 1990. Eficiența energetică a fondului de locuințe din mediul urban a fost o prioritate la nivel regional, iar în vederea </w:t>
      </w:r>
      <w:r w:rsidR="00EA5F90" w:rsidRPr="00DA4324">
        <w:rPr>
          <w:rFonts w:ascii="Arial Narrow" w:hAnsi="Arial Narrow"/>
          <w:b/>
          <w:sz w:val="24"/>
          <w:szCs w:val="24"/>
        </w:rPr>
        <w:t>î</w:t>
      </w:r>
      <w:r w:rsidR="00EA5F90" w:rsidRPr="00DA4324">
        <w:rPr>
          <w:rFonts w:ascii="Arial Narrow" w:hAnsi="Arial Narrow"/>
          <w:b/>
          <w:color w:val="212121"/>
          <w:sz w:val="24"/>
          <w:szCs w:val="24"/>
          <w:shd w:val="clear" w:color="auto" w:fill="FFFFFF"/>
        </w:rPr>
        <w:t xml:space="preserve">mbunătățirii eficienței energetice a acestuia </w:t>
      </w:r>
      <w:r w:rsidR="00EA5F90" w:rsidRPr="00DA4324">
        <w:rPr>
          <w:rFonts w:ascii="Arial Narrow" w:hAnsi="Arial Narrow"/>
          <w:color w:val="212121"/>
          <w:sz w:val="24"/>
          <w:szCs w:val="24"/>
          <w:shd w:val="clear" w:color="auto" w:fill="FFFFFF"/>
        </w:rPr>
        <w:t>s-au implementat măsuri specifice precum</w:t>
      </w:r>
      <w:r w:rsidR="00EA5F90">
        <w:rPr>
          <w:rFonts w:ascii="Arial Narrow" w:hAnsi="Arial Narrow"/>
          <w:color w:val="212121"/>
          <w:sz w:val="24"/>
          <w:szCs w:val="24"/>
          <w:shd w:val="clear" w:color="auto" w:fill="FFFFFF"/>
        </w:rPr>
        <w:t>:</w:t>
      </w:r>
      <w:r w:rsidR="00EA5F90" w:rsidRPr="00DA4324">
        <w:rPr>
          <w:rFonts w:ascii="Arial Narrow" w:hAnsi="Arial Narrow"/>
          <w:color w:val="212121"/>
          <w:sz w:val="24"/>
          <w:szCs w:val="24"/>
          <w:shd w:val="clear" w:color="auto" w:fill="FFFFFF"/>
        </w:rPr>
        <w:t xml:space="preserve"> reabilitarea termică a blocurilor, înlocuirea/reabilitarea sistemelor de încălzire și apă caldă, audit energetic etc. </w:t>
      </w:r>
      <w:r w:rsidR="00EA5F90" w:rsidRPr="00DA4324">
        <w:rPr>
          <w:rFonts w:ascii="Arial Narrow" w:hAnsi="Arial Narrow"/>
          <w:sz w:val="24"/>
          <w:szCs w:val="24"/>
        </w:rPr>
        <w:t xml:space="preserve">Spre exemplu, prin sprijinul obținut prin POR 2007-2013, în regiune s-au implementat măsuri de eficiență energetică (reabilitare </w:t>
      </w:r>
      <w:r w:rsidR="00EA5F90">
        <w:rPr>
          <w:rFonts w:ascii="Arial Narrow" w:hAnsi="Arial Narrow"/>
          <w:sz w:val="24"/>
          <w:szCs w:val="24"/>
        </w:rPr>
        <w:t>t</w:t>
      </w:r>
      <w:r w:rsidR="00EA5F90" w:rsidRPr="00DA4324">
        <w:rPr>
          <w:rFonts w:ascii="Arial Narrow" w:hAnsi="Arial Narrow"/>
          <w:sz w:val="24"/>
          <w:szCs w:val="24"/>
        </w:rPr>
        <w:t xml:space="preserve">ermică) în județele Harghita, Mureș și Alba, fiind reabilitate circa </w:t>
      </w:r>
      <w:r w:rsidR="00EA5F90" w:rsidRPr="00DA4324">
        <w:rPr>
          <w:rFonts w:ascii="Arial Narrow" w:hAnsi="Arial Narrow"/>
          <w:b/>
          <w:sz w:val="24"/>
          <w:szCs w:val="24"/>
        </w:rPr>
        <w:t>2000 apartamente</w:t>
      </w:r>
      <w:r w:rsidR="00EA5F90" w:rsidRPr="00DA4324">
        <w:rPr>
          <w:rFonts w:ascii="Arial Narrow" w:hAnsi="Arial Narrow"/>
          <w:sz w:val="24"/>
          <w:szCs w:val="24"/>
        </w:rPr>
        <w:t>. Aceste proiecte au asigurat red</w:t>
      </w:r>
      <w:r w:rsidR="00EA5F90" w:rsidRPr="00DA4324">
        <w:rPr>
          <w:rFonts w:ascii="Arial Narrow" w:hAnsi="Arial Narrow"/>
          <w:b/>
          <w:sz w:val="24"/>
          <w:szCs w:val="24"/>
        </w:rPr>
        <w:t>ucerea consumului de energie cu peste 47,6%</w:t>
      </w:r>
      <w:r w:rsidR="00EA5F90" w:rsidRPr="00DA4324">
        <w:rPr>
          <w:rFonts w:ascii="Arial Narrow" w:hAnsi="Arial Narrow"/>
          <w:sz w:val="24"/>
          <w:szCs w:val="24"/>
        </w:rPr>
        <w:t>. Finanțarea prin POR 2007-2013 s-a suprapus cu o un alt program de finanțare</w:t>
      </w:r>
      <w:r w:rsidR="00EA5F90">
        <w:rPr>
          <w:rStyle w:val="Referinnotdesubsol"/>
          <w:rFonts w:ascii="Arial Narrow" w:hAnsi="Arial Narrow"/>
          <w:sz w:val="24"/>
          <w:szCs w:val="24"/>
        </w:rPr>
        <w:footnoteReference w:id="56"/>
      </w:r>
      <w:r w:rsidR="00EA5F90" w:rsidRPr="00DA4324">
        <w:rPr>
          <w:rFonts w:ascii="Arial Narrow" w:hAnsi="Arial Narrow"/>
          <w:sz w:val="24"/>
          <w:szCs w:val="24"/>
        </w:rPr>
        <w:t xml:space="preserve">,  susținut din fonduri guvernamentale și derulat în paralel. De acest sprijin au beneficiat și APL-uri din regiunea Centru (ex. Miercurea Ciuc, Toplița, Boresc, Cristuru Secuiesc, Tîrgu Mureș, Sărmașu, Sfântu Gheorghe, Brașov, Predeal, Săcele Zărnești, Alba Iulia etc), respectiv în cadrul programului au fost incluse pentru reabilitare </w:t>
      </w:r>
      <w:r w:rsidR="00EA5F90" w:rsidRPr="00DA4324">
        <w:rPr>
          <w:rFonts w:ascii="Arial Narrow" w:hAnsi="Arial Narrow"/>
          <w:b/>
          <w:sz w:val="24"/>
          <w:szCs w:val="24"/>
        </w:rPr>
        <w:t>peste 26.000 de apartamente</w:t>
      </w:r>
      <w:r w:rsidR="00EA5F90" w:rsidRPr="00263395">
        <w:rPr>
          <w:rStyle w:val="Referinnotdesubsol"/>
          <w:rFonts w:ascii="Arial Narrow" w:hAnsi="Arial Narrow"/>
          <w:b/>
          <w:sz w:val="24"/>
          <w:szCs w:val="24"/>
        </w:rPr>
        <w:footnoteReference w:id="57"/>
      </w:r>
      <w:r w:rsidR="00EA5F90" w:rsidRPr="00DA4324">
        <w:rPr>
          <w:rFonts w:ascii="Arial Narrow" w:hAnsi="Arial Narrow"/>
          <w:sz w:val="24"/>
          <w:szCs w:val="24"/>
        </w:rPr>
        <w:t>.  La nivelul regiunii s-au realizat și investiții privind instalarea de panouri solare şi instalaţii termice pe structuri rezidenţiale și clădiri publice (şcoli, spitale, grădiniţe etc.) prin programul Casa Verde sau prin</w:t>
      </w:r>
      <w:r w:rsidR="00EA5F90">
        <w:rPr>
          <w:rFonts w:ascii="Arial Narrow" w:hAnsi="Arial Narrow"/>
          <w:sz w:val="24"/>
          <w:szCs w:val="24"/>
        </w:rPr>
        <w:t xml:space="preserve"> finanțare din surse private</w:t>
      </w:r>
      <w:r w:rsidR="00EA5F90" w:rsidRPr="00DA4324">
        <w:rPr>
          <w:rFonts w:ascii="Arial Narrow" w:hAnsi="Arial Narrow"/>
          <w:sz w:val="24"/>
          <w:szCs w:val="24"/>
        </w:rPr>
        <w:t>. Cu toate acestea, conform unor studii</w:t>
      </w:r>
      <w:r w:rsidR="00EA5F90" w:rsidRPr="00263395">
        <w:rPr>
          <w:rStyle w:val="Referinnotdesubsol"/>
          <w:rFonts w:ascii="Arial Narrow" w:hAnsi="Arial Narrow"/>
          <w:sz w:val="24"/>
          <w:szCs w:val="24"/>
        </w:rPr>
        <w:footnoteReference w:id="58"/>
      </w:r>
      <w:r w:rsidR="00EA5F90" w:rsidRPr="00DA4324">
        <w:rPr>
          <w:rFonts w:ascii="Arial Narrow" w:hAnsi="Arial Narrow"/>
          <w:sz w:val="24"/>
          <w:szCs w:val="24"/>
        </w:rPr>
        <w:t xml:space="preserve"> ale Băncii Mondiale,  în România numai 1% din blocurile propuse spre reabilitare au fost realizate până în 2012. Aceeași sursă indică faptul că, având în vedere starea de uzură a clădirilor, în principal din cauza </w:t>
      </w:r>
      <w:r w:rsidR="00EA5F90" w:rsidRPr="00DA4324">
        <w:rPr>
          <w:rFonts w:ascii="Arial Narrow" w:hAnsi="Arial Narrow"/>
          <w:sz w:val="24"/>
          <w:szCs w:val="24"/>
        </w:rPr>
        <w:lastRenderedPageBreak/>
        <w:t>neefectuării reparaţiilor la timp, îndeosebi în cazul blocurilor de locuinţe din zonele urbane şi, parţial, în cazul caselor unifamiliale din zonele rurale, peste jumătate din clădirile rezidențiale existente necesită reabilitare şi modernizare termică. Pentru identificarea unor modalități noi pentru reabilitarea clădirilor existente,  la nivel regional au fost implementate mai multe proiecte de cercetare</w:t>
      </w:r>
      <w:r w:rsidR="00EA5F90" w:rsidRPr="00263395">
        <w:rPr>
          <w:rStyle w:val="Referinnotdesubsol"/>
          <w:rFonts w:ascii="Arial Narrow" w:hAnsi="Arial Narrow"/>
          <w:sz w:val="24"/>
          <w:szCs w:val="24"/>
        </w:rPr>
        <w:footnoteReference w:id="59"/>
      </w:r>
      <w:r w:rsidR="00EA5F90" w:rsidRPr="00DA4324">
        <w:rPr>
          <w:rFonts w:ascii="Arial Narrow" w:hAnsi="Arial Narrow"/>
          <w:sz w:val="24"/>
          <w:szCs w:val="24"/>
        </w:rPr>
        <w:t xml:space="preserve">. </w:t>
      </w:r>
    </w:p>
    <w:p w:rsidR="00EA5F90" w:rsidRPr="00DA4324" w:rsidRDefault="00EA5F90" w:rsidP="00EA5F90">
      <w:pPr>
        <w:spacing w:after="0" w:line="240" w:lineRule="auto"/>
        <w:jc w:val="both"/>
        <w:rPr>
          <w:rFonts w:ascii="Arial Narrow" w:hAnsi="Arial Narrow"/>
          <w:sz w:val="24"/>
          <w:szCs w:val="24"/>
        </w:rPr>
      </w:pPr>
      <w:r w:rsidRPr="00DA4324">
        <w:rPr>
          <w:rFonts w:ascii="Arial Narrow" w:hAnsi="Arial Narrow"/>
          <w:sz w:val="24"/>
          <w:szCs w:val="24"/>
        </w:rPr>
        <w:t>Colaborarea cu mediul academic a condus la dezvoltarea unor sisteme de termoizolații inovative</w:t>
      </w:r>
      <w:r>
        <w:rPr>
          <w:rStyle w:val="Referinnotdesubsol"/>
          <w:rFonts w:ascii="Arial Narrow" w:hAnsi="Arial Narrow"/>
          <w:sz w:val="24"/>
          <w:szCs w:val="24"/>
        </w:rPr>
        <w:footnoteReference w:id="60"/>
      </w:r>
      <w:r w:rsidRPr="00DA4324">
        <w:rPr>
          <w:rFonts w:ascii="Arial Narrow" w:hAnsi="Arial Narrow"/>
          <w:sz w:val="24"/>
          <w:szCs w:val="24"/>
        </w:rPr>
        <w:t xml:space="preserve"> și </w:t>
      </w:r>
      <w:r>
        <w:rPr>
          <w:rFonts w:ascii="Arial Narrow" w:hAnsi="Arial Narrow"/>
          <w:sz w:val="24"/>
          <w:szCs w:val="24"/>
        </w:rPr>
        <w:t>la</w:t>
      </w:r>
      <w:r w:rsidRPr="00DA4324">
        <w:rPr>
          <w:rFonts w:ascii="Arial Narrow" w:hAnsi="Arial Narrow"/>
          <w:sz w:val="24"/>
          <w:szCs w:val="24"/>
        </w:rPr>
        <w:t xml:space="preserve"> </w:t>
      </w:r>
      <w:r>
        <w:rPr>
          <w:rFonts w:ascii="Arial Narrow" w:hAnsi="Arial Narrow"/>
          <w:sz w:val="24"/>
          <w:szCs w:val="24"/>
        </w:rPr>
        <w:t xml:space="preserve">realizarea de </w:t>
      </w:r>
      <w:r w:rsidRPr="00DA4324">
        <w:rPr>
          <w:rFonts w:ascii="Arial Narrow" w:hAnsi="Arial Narrow"/>
          <w:sz w:val="24"/>
          <w:szCs w:val="24"/>
        </w:rPr>
        <w:t xml:space="preserve">noi materiale și produse pentru eficientizarea consumului de energie în clădiri (ex. proiect Folex – casa pasivă din localitatea Aiud, județul Alba). </w:t>
      </w:r>
      <w:r w:rsidRPr="00263395">
        <w:rPr>
          <w:rFonts w:ascii="Arial Narrow" w:hAnsi="Arial Narrow"/>
          <w:sz w:val="24"/>
          <w:szCs w:val="24"/>
        </w:rPr>
        <w:t xml:space="preserve">La nivelul regiunii, mai exact în județul Brașov, </w:t>
      </w:r>
      <w:r w:rsidRPr="00263395">
        <w:rPr>
          <w:rFonts w:ascii="Arial Narrow" w:hAnsi="Arial Narrow"/>
          <w:b/>
          <w:sz w:val="24"/>
          <w:szCs w:val="24"/>
        </w:rPr>
        <w:t>au fost fost construite</w:t>
      </w:r>
      <w:r w:rsidRPr="00263395">
        <w:rPr>
          <w:rFonts w:ascii="Arial Narrow" w:hAnsi="Arial Narrow"/>
          <w:sz w:val="24"/>
          <w:szCs w:val="24"/>
        </w:rPr>
        <w:t xml:space="preserve"> </w:t>
      </w:r>
      <w:r w:rsidRPr="00263395">
        <w:rPr>
          <w:rFonts w:ascii="Arial Narrow" w:hAnsi="Arial Narrow"/>
          <w:b/>
          <w:sz w:val="24"/>
          <w:szCs w:val="24"/>
        </w:rPr>
        <w:t>case eficiente energetic respectând principiile de proiectare ale caselor pasive</w:t>
      </w:r>
      <w:r w:rsidRPr="00263395">
        <w:rPr>
          <w:rStyle w:val="Referinnotdesubsol"/>
          <w:rFonts w:ascii="Arial Narrow" w:hAnsi="Arial Narrow"/>
          <w:sz w:val="24"/>
          <w:szCs w:val="24"/>
        </w:rPr>
        <w:footnoteReference w:id="61"/>
      </w:r>
      <w:r w:rsidRPr="00263395">
        <w:rPr>
          <w:rFonts w:ascii="Arial Narrow" w:hAnsi="Arial Narrow"/>
          <w:sz w:val="24"/>
          <w:szCs w:val="24"/>
        </w:rPr>
        <w:t>. În plus, Asociatia Casa Pasiva din Romania (din Miercurea Ciuc) a derulat un proiect</w:t>
      </w:r>
      <w:r w:rsidRPr="00263395">
        <w:rPr>
          <w:rStyle w:val="Referinnotdesubsol"/>
          <w:rFonts w:ascii="Arial Narrow" w:hAnsi="Arial Narrow"/>
          <w:sz w:val="24"/>
          <w:szCs w:val="24"/>
        </w:rPr>
        <w:footnoteReference w:id="62"/>
      </w:r>
      <w:r w:rsidRPr="00263395">
        <w:rPr>
          <w:rFonts w:ascii="Arial Narrow" w:hAnsi="Arial Narrow"/>
          <w:sz w:val="24"/>
          <w:szCs w:val="24"/>
        </w:rPr>
        <w:t xml:space="preserve"> privind </w:t>
      </w:r>
      <w:r w:rsidRPr="00263395">
        <w:rPr>
          <w:rFonts w:ascii="Arial Narrow" w:hAnsi="Arial Narrow"/>
          <w:b/>
          <w:sz w:val="24"/>
          <w:szCs w:val="24"/>
        </w:rPr>
        <w:t>certificarea viitorilor executanți pentru realizarea clădirilor cu un consum minim de energie,</w:t>
      </w:r>
      <w:r w:rsidRPr="00263395">
        <w:rPr>
          <w:rFonts w:ascii="Arial Narrow" w:hAnsi="Arial Narrow"/>
          <w:sz w:val="24"/>
          <w:szCs w:val="24"/>
        </w:rPr>
        <w:t xml:space="preserve"> conform Directivei 27/2012/UE, bazat pe ISO 17024:2012 și ECVET (CertCraft ISO și ECVET).  De asemenea, au fost implmentate și programe de cooperare cu alte state, spre exemplu, prin asistență nerambursabilă norvegiană, în Brașov au fost reabilitate (izolare termică) clădiri municipale și școli utilizând tehnologii de construcții inteligente. </w:t>
      </w:r>
      <w:r w:rsidRPr="00DA4324">
        <w:rPr>
          <w:rFonts w:ascii="Arial Narrow" w:hAnsi="Arial Narrow"/>
          <w:sz w:val="24"/>
          <w:szCs w:val="24"/>
        </w:rPr>
        <w:t xml:space="preserve"> Un alt exemplu în acest sens este proiectul „neZEH- Nearly Zero-Energy Hotels (neZEH) – Hoteluri cu consum de energie aproape zero”; o inițiativă europeană care propun soluții concrete </w:t>
      </w:r>
      <w:r>
        <w:rPr>
          <w:rFonts w:ascii="Arial Narrow" w:hAnsi="Arial Narrow"/>
          <w:sz w:val="24"/>
          <w:szCs w:val="24"/>
        </w:rPr>
        <w:t>(</w:t>
      </w:r>
      <w:r w:rsidRPr="00DA4324">
        <w:rPr>
          <w:rFonts w:ascii="Arial Narrow" w:hAnsi="Arial Narrow"/>
          <w:sz w:val="24"/>
          <w:szCs w:val="24"/>
        </w:rPr>
        <w:t xml:space="preserve">măsuri de eficiență energetică, </w:t>
      </w:r>
      <w:r>
        <w:rPr>
          <w:rFonts w:ascii="Arial Narrow" w:hAnsi="Arial Narrow"/>
          <w:sz w:val="24"/>
          <w:szCs w:val="24"/>
        </w:rPr>
        <w:t>producerea E-SRE</w:t>
      </w:r>
      <w:r w:rsidRPr="00DA4324">
        <w:rPr>
          <w:rFonts w:ascii="Arial Narrow" w:hAnsi="Arial Narrow"/>
          <w:sz w:val="24"/>
          <w:szCs w:val="24"/>
        </w:rPr>
        <w:t xml:space="preserve"> și stimularea schimbării de comportament a personalului și clienților</w:t>
      </w:r>
      <w:r>
        <w:rPr>
          <w:rFonts w:ascii="Arial Narrow" w:hAnsi="Arial Narrow"/>
          <w:sz w:val="24"/>
          <w:szCs w:val="24"/>
        </w:rPr>
        <w:t xml:space="preserve">) </w:t>
      </w:r>
      <w:r w:rsidRPr="00DA4324">
        <w:rPr>
          <w:rFonts w:ascii="Arial Narrow" w:hAnsi="Arial Narrow"/>
          <w:sz w:val="24"/>
          <w:szCs w:val="24"/>
        </w:rPr>
        <w:t>pentru reducerea de până la 70% din costurile de operare</w:t>
      </w:r>
      <w:r>
        <w:rPr>
          <w:rFonts w:ascii="Arial Narrow" w:hAnsi="Arial Narrow"/>
          <w:sz w:val="24"/>
          <w:szCs w:val="24"/>
        </w:rPr>
        <w:t xml:space="preserve"> a hotelurilor. </w:t>
      </w:r>
      <w:r w:rsidRPr="00DA4324">
        <w:rPr>
          <w:rFonts w:ascii="Arial Narrow" w:hAnsi="Arial Narrow"/>
          <w:sz w:val="24"/>
          <w:szCs w:val="24"/>
        </w:rPr>
        <w:t>În România au fost selectate trei hoteluri (proiecte pilot), situate în județele Brașov și Harghita. În urma unui audit energetic, s-au stabilit măsuri spe</w:t>
      </w:r>
      <w:r>
        <w:rPr>
          <w:rFonts w:ascii="Arial Narrow" w:hAnsi="Arial Narrow"/>
          <w:sz w:val="24"/>
          <w:szCs w:val="24"/>
        </w:rPr>
        <w:t>ci</w:t>
      </w:r>
      <w:r w:rsidRPr="00DA4324">
        <w:rPr>
          <w:rFonts w:ascii="Arial Narrow" w:hAnsi="Arial Narrow"/>
          <w:sz w:val="24"/>
          <w:szCs w:val="24"/>
        </w:rPr>
        <w:t>fice pentru creșterea performanței energetice a clădirilor și reducerea consumului de energie din surse neregenerabile, reducându-se și costurile operaționale ale hotelului</w:t>
      </w:r>
      <w:r>
        <w:rPr>
          <w:rStyle w:val="Referinnotdesubsol"/>
          <w:rFonts w:ascii="Arial Narrow" w:hAnsi="Arial Narrow"/>
          <w:sz w:val="24"/>
          <w:szCs w:val="24"/>
        </w:rPr>
        <w:footnoteReference w:id="63"/>
      </w:r>
      <w:r w:rsidRPr="00DA4324">
        <w:rPr>
          <w:rFonts w:ascii="Arial Narrow" w:hAnsi="Arial Narrow"/>
          <w:sz w:val="24"/>
          <w:szCs w:val="24"/>
        </w:rPr>
        <w:t xml:space="preserve">. </w:t>
      </w:r>
    </w:p>
    <w:p w:rsidR="00EA5F90" w:rsidRPr="00263395" w:rsidRDefault="00EA5F90" w:rsidP="00EA5F90">
      <w:pPr>
        <w:pStyle w:val="Listparagraf"/>
        <w:spacing w:after="0" w:line="240" w:lineRule="auto"/>
        <w:ind w:left="0"/>
        <w:jc w:val="both"/>
        <w:rPr>
          <w:rFonts w:ascii="Arial Narrow" w:hAnsi="Arial Narrow" w:cs="Calibri"/>
          <w:color w:val="000000"/>
          <w:sz w:val="24"/>
          <w:szCs w:val="24"/>
        </w:rPr>
      </w:pPr>
      <w:r w:rsidRPr="00DA4324">
        <w:rPr>
          <w:rFonts w:ascii="Arial Narrow" w:hAnsi="Arial Narrow"/>
          <w:sz w:val="24"/>
          <w:szCs w:val="24"/>
        </w:rPr>
        <w:t>În ultima perioadă, la nivel regional s-a urmărit trendul european, prin care se are în vedere utilizarea produselor locale și aplicarea tehnicilor tradiționale cu mici ajustări adaptate condițiilor actuale: de exemplu,  în județele regiunii, cu precădere Harghita, Mureș și Covasna, există constructori care folosesc lemnul pentru execuția integrală a clădirilor,  asigurând astfel eficiență energetică. În plus, pentru izolarea caselor din lemn, un constructor din Mureș folosește lână. De asemenea, există constructori care utilizează chirpicii din argil</w:t>
      </w:r>
      <w:r>
        <w:rPr>
          <w:rFonts w:ascii="Arial Narrow" w:hAnsi="Arial Narrow"/>
          <w:sz w:val="24"/>
          <w:szCs w:val="24"/>
        </w:rPr>
        <w:t>ă</w:t>
      </w:r>
      <w:r w:rsidRPr="00DA4324">
        <w:rPr>
          <w:rFonts w:ascii="Arial Narrow" w:hAnsi="Arial Narrow"/>
          <w:sz w:val="24"/>
          <w:szCs w:val="24"/>
        </w:rPr>
        <w:t>, paiele (de exemplu o firmă  din Sovata construiește case din baloți de paie), varul natural sau alte materiale sustenabile. Preocuparea pentru utilizarea materialelor de construcții ecologice, de la nivelul regiunii, este dovedită și de existența unor distribuitori locali de astfel de produse</w:t>
      </w:r>
      <w:r>
        <w:rPr>
          <w:rStyle w:val="Referinnotdesubsol"/>
          <w:rFonts w:ascii="Arial Narrow" w:hAnsi="Arial Narrow"/>
          <w:sz w:val="24"/>
          <w:szCs w:val="24"/>
        </w:rPr>
        <w:footnoteReference w:id="64"/>
      </w:r>
      <w:r>
        <w:rPr>
          <w:rFonts w:ascii="Arial Narrow" w:hAnsi="Arial Narrow"/>
          <w:sz w:val="24"/>
          <w:szCs w:val="24"/>
        </w:rPr>
        <w:t xml:space="preserve">. </w:t>
      </w:r>
      <w:r w:rsidRPr="00263395">
        <w:rPr>
          <w:rFonts w:ascii="Arial Narrow" w:hAnsi="Arial Narrow"/>
          <w:sz w:val="24"/>
          <w:szCs w:val="24"/>
        </w:rPr>
        <w:t>Pe de altă parte, în ceea ce privește activitatea economică</w:t>
      </w:r>
      <w:r>
        <w:rPr>
          <w:rFonts w:ascii="Arial Narrow" w:hAnsi="Arial Narrow"/>
          <w:sz w:val="24"/>
          <w:szCs w:val="24"/>
        </w:rPr>
        <w:t>,</w:t>
      </w:r>
      <w:r w:rsidRPr="00263395">
        <w:rPr>
          <w:rFonts w:ascii="Arial Narrow" w:hAnsi="Arial Narrow"/>
          <w:sz w:val="24"/>
          <w:szCs w:val="24"/>
        </w:rPr>
        <w:t xml:space="preserve"> la nivelul regiunii se găsește unul din cei mai importanți producători de materiale de construcții și izolații (vată minerală sticlă</w:t>
      </w:r>
      <w:r>
        <w:rPr>
          <w:rFonts w:ascii="Arial Narrow" w:hAnsi="Arial Narrow"/>
          <w:sz w:val="24"/>
          <w:szCs w:val="24"/>
        </w:rPr>
        <w:t>)</w:t>
      </w:r>
      <w:r>
        <w:rPr>
          <w:rStyle w:val="Referinnotdesubsol"/>
          <w:rFonts w:ascii="Arial Narrow" w:hAnsi="Arial Narrow"/>
          <w:sz w:val="24"/>
          <w:szCs w:val="24"/>
        </w:rPr>
        <w:footnoteReference w:id="65"/>
      </w:r>
      <w:r w:rsidRPr="00263395">
        <w:rPr>
          <w:rFonts w:ascii="Arial Narrow" w:hAnsi="Arial Narrow"/>
          <w:sz w:val="24"/>
          <w:szCs w:val="24"/>
        </w:rPr>
        <w:t xml:space="preserve">.  </w:t>
      </w: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r w:rsidRPr="00263395">
        <w:rPr>
          <w:rFonts w:ascii="Arial Narrow" w:hAnsi="Arial Narrow" w:cs="Calibri"/>
          <w:color w:val="000000"/>
          <w:sz w:val="24"/>
          <w:szCs w:val="24"/>
        </w:rPr>
        <w:t xml:space="preserve">Conform </w:t>
      </w:r>
      <w:r w:rsidRPr="00263395">
        <w:rPr>
          <w:rFonts w:ascii="Arial Narrow" w:hAnsi="Arial Narrow"/>
          <w:sz w:val="24"/>
          <w:szCs w:val="24"/>
        </w:rPr>
        <w:t>Directivei 2010/31/UE privind performanţa energetică a clădirilor (transpusă în legislaţia naţională prin Legea nr. 372/2005, republicată, cu modificările şi completările ulterioare), începând cu 1 ianuarie 2</w:t>
      </w:r>
      <w:r>
        <w:rPr>
          <w:rFonts w:ascii="Arial Narrow" w:hAnsi="Arial Narrow"/>
          <w:sz w:val="24"/>
          <w:szCs w:val="24"/>
        </w:rPr>
        <w:t>019 toate clădirile publice nou-</w:t>
      </w:r>
      <w:r w:rsidRPr="00263395">
        <w:rPr>
          <w:rFonts w:ascii="Arial Narrow" w:hAnsi="Arial Narrow"/>
          <w:sz w:val="24"/>
          <w:szCs w:val="24"/>
        </w:rPr>
        <w:t xml:space="preserve">construite și </w:t>
      </w:r>
      <w:r>
        <w:rPr>
          <w:rFonts w:ascii="Arial Narrow" w:hAnsi="Arial Narrow"/>
          <w:sz w:val="24"/>
          <w:szCs w:val="24"/>
        </w:rPr>
        <w:t>î</w:t>
      </w:r>
      <w:r w:rsidRPr="00263395">
        <w:rPr>
          <w:rFonts w:ascii="Arial Narrow" w:hAnsi="Arial Narrow"/>
          <w:sz w:val="24"/>
          <w:szCs w:val="24"/>
        </w:rPr>
        <w:t>ncep</w:t>
      </w:r>
      <w:r>
        <w:rPr>
          <w:rFonts w:ascii="Arial Narrow" w:hAnsi="Arial Narrow"/>
          <w:sz w:val="24"/>
          <w:szCs w:val="24"/>
        </w:rPr>
        <w:t>â</w:t>
      </w:r>
      <w:r w:rsidRPr="00263395">
        <w:rPr>
          <w:rFonts w:ascii="Arial Narrow" w:hAnsi="Arial Narrow"/>
          <w:sz w:val="24"/>
          <w:szCs w:val="24"/>
        </w:rPr>
        <w:t>nd cu 1 ianuarie 2021 toate cl</w:t>
      </w:r>
      <w:r>
        <w:rPr>
          <w:rFonts w:ascii="Arial Narrow" w:hAnsi="Arial Narrow"/>
          <w:sz w:val="24"/>
          <w:szCs w:val="24"/>
        </w:rPr>
        <w:t>ă</w:t>
      </w:r>
      <w:r w:rsidRPr="00263395">
        <w:rPr>
          <w:rFonts w:ascii="Arial Narrow" w:hAnsi="Arial Narrow"/>
          <w:sz w:val="24"/>
          <w:szCs w:val="24"/>
        </w:rPr>
        <w:t>dirile private nou</w:t>
      </w:r>
      <w:r>
        <w:rPr>
          <w:rFonts w:ascii="Arial Narrow" w:hAnsi="Arial Narrow"/>
          <w:sz w:val="24"/>
          <w:szCs w:val="24"/>
        </w:rPr>
        <w:t>-</w:t>
      </w:r>
      <w:r w:rsidRPr="00263395">
        <w:rPr>
          <w:rFonts w:ascii="Arial Narrow" w:hAnsi="Arial Narrow"/>
          <w:sz w:val="24"/>
          <w:szCs w:val="24"/>
        </w:rPr>
        <w:t>construite trebuie s</w:t>
      </w:r>
      <w:r>
        <w:rPr>
          <w:rFonts w:ascii="Arial Narrow" w:hAnsi="Arial Narrow"/>
          <w:sz w:val="24"/>
          <w:szCs w:val="24"/>
        </w:rPr>
        <w:t>ă</w:t>
      </w:r>
      <w:r w:rsidRPr="00263395">
        <w:rPr>
          <w:rFonts w:ascii="Arial Narrow" w:hAnsi="Arial Narrow"/>
          <w:sz w:val="24"/>
          <w:szCs w:val="24"/>
        </w:rPr>
        <w:t xml:space="preserve"> fie cl</w:t>
      </w:r>
      <w:r>
        <w:rPr>
          <w:rFonts w:ascii="Arial Narrow" w:hAnsi="Arial Narrow"/>
          <w:sz w:val="24"/>
          <w:szCs w:val="24"/>
        </w:rPr>
        <w:t>ă</w:t>
      </w:r>
      <w:r w:rsidRPr="00263395">
        <w:rPr>
          <w:rFonts w:ascii="Arial Narrow" w:hAnsi="Arial Narrow"/>
          <w:sz w:val="24"/>
          <w:szCs w:val="24"/>
        </w:rPr>
        <w:t xml:space="preserve">diri cu consum de energie apropiat de zero (nZEB). În acest context, eficiența energetică a clădirilor este un obiectiv al regiunii Centru. </w:t>
      </w:r>
      <w:r>
        <w:rPr>
          <w:rFonts w:ascii="Arial Narrow" w:hAnsi="Arial Narrow"/>
          <w:sz w:val="24"/>
          <w:szCs w:val="24"/>
        </w:rPr>
        <w:t xml:space="preserve"> Mai jos sunt</w:t>
      </w:r>
      <w:r w:rsidRPr="00263395">
        <w:rPr>
          <w:rFonts w:ascii="Arial Narrow" w:hAnsi="Arial Narrow" w:cs="Calibri"/>
          <w:color w:val="000000"/>
          <w:sz w:val="24"/>
          <w:szCs w:val="24"/>
        </w:rPr>
        <w:t xml:space="preserve"> prezentate tipurile de clădiri sustenabile care răspund cerințelor de eficiență energetică.</w:t>
      </w:r>
      <w:r>
        <w:rPr>
          <w:rFonts w:ascii="Arial Narrow" w:hAnsi="Arial Narrow" w:cs="Calibri"/>
          <w:color w:val="000000"/>
          <w:sz w:val="24"/>
          <w:szCs w:val="24"/>
        </w:rPr>
        <w:t xml:space="preserve"> </w:t>
      </w: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BD7229" w:rsidP="00EA5F90">
      <w:pPr>
        <w:tabs>
          <w:tab w:val="center" w:pos="567"/>
          <w:tab w:val="left" w:pos="851"/>
        </w:tabs>
        <w:spacing w:after="0" w:line="240" w:lineRule="auto"/>
        <w:contextualSpacing/>
        <w:jc w:val="both"/>
        <w:rPr>
          <w:rFonts w:ascii="Arial Narrow" w:hAnsi="Arial Narrow" w:cs="Calibri"/>
          <w:color w:val="000000"/>
          <w:sz w:val="24"/>
          <w:szCs w:val="24"/>
        </w:rPr>
      </w:pPr>
      <w:r w:rsidRPr="00BD7229">
        <w:rPr>
          <w:noProof/>
        </w:rPr>
        <w:pict>
          <v:shape id="Text Box 1" o:spid="_x0000_s1054" type="#_x0000_t202" style="position:absolute;left:0;text-align:left;margin-left:-15.75pt;margin-top:-55.1pt;width:474.7pt;height:567.75pt;z-index:251689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" fillcolor="#e2f0d9" stroked="f" strokeweight=".5pt">
            <v:shadow on="t" color="black" offset="0,1pt"/>
            <v:textbox>
              <w:txbxContent>
                <w:p w:rsidR="00064502" w:rsidRDefault="00064502" w:rsidP="00EA5F90">
                  <w:pPr>
                    <w:spacing w:after="0" w:line="240" w:lineRule="auto"/>
                    <w:jc w:val="right"/>
                    <w:rPr>
                      <w:rFonts w:ascii="Arial Narrow" w:hAnsi="Arial Narrow"/>
                      <w:b/>
                      <w:sz w:val="16"/>
                      <w:szCs w:val="16"/>
                    </w:rPr>
                  </w:pPr>
                  <w:r w:rsidRPr="00340CF6">
                    <w:rPr>
                      <w:rFonts w:ascii="Arial Narrow" w:hAnsi="Arial Narrow"/>
                      <w:b/>
                      <w:sz w:val="16"/>
                      <w:szCs w:val="16"/>
                    </w:rPr>
                    <w:t>Tipuri de clădiri sustenabile. Concepte și legislație</w:t>
                  </w:r>
                </w:p>
                <w:p w:rsidR="00064502" w:rsidRPr="00555B97" w:rsidRDefault="00064502" w:rsidP="00EA5F90">
                  <w:pPr>
                    <w:spacing w:after="0" w:line="240" w:lineRule="auto"/>
                    <w:jc w:val="right"/>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LOW ENERGY BUILDING (LEB) - Clădire cu consum redus de energie</w:t>
                  </w:r>
                  <w:r w:rsidRPr="00340CF6">
                    <w:rPr>
                      <w:rFonts w:ascii="Arial Narrow" w:hAnsi="Arial Narrow"/>
                      <w:sz w:val="16"/>
                      <w:szCs w:val="16"/>
                    </w:rPr>
                    <w:t xml:space="preserve">; conceptul a fost formulat ca rezultat al preocupărilor la nivel mondial în privința consumului semnificativ de energie în sectorul clădirilor. Nu există o valoare unitară a consumului de energie în funcție de care clădirile să se încadreze în standardul de clădire cu consum redus de energie. </w:t>
                  </w:r>
                </w:p>
                <w:p w:rsidR="00064502" w:rsidRPr="003064E5" w:rsidRDefault="00064502" w:rsidP="00EA5F90">
                  <w:pPr>
                    <w:spacing w:after="0" w:line="240" w:lineRule="auto"/>
                    <w:jc w:val="both"/>
                    <w:rPr>
                      <w:rFonts w:ascii="Arial Narrow" w:hAnsi="Arial Narrow"/>
                      <w:b/>
                      <w:color w:val="5B9BD5"/>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PASSIVE HOUSE (PH)</w:t>
                  </w:r>
                  <w:r w:rsidRPr="003064E5">
                    <w:rPr>
                      <w:rFonts w:ascii="Arial Narrow" w:hAnsi="Arial Narrow"/>
                      <w:color w:val="5B9BD5"/>
                      <w:sz w:val="16"/>
                      <w:szCs w:val="16"/>
                    </w:rPr>
                    <w:t xml:space="preserve"> – C</w:t>
                  </w:r>
                  <w:r w:rsidRPr="003064E5">
                    <w:rPr>
                      <w:rFonts w:ascii="Arial Narrow" w:hAnsi="Arial Narrow"/>
                      <w:b/>
                      <w:color w:val="5B9BD5"/>
                      <w:sz w:val="16"/>
                      <w:szCs w:val="16"/>
                    </w:rPr>
                    <w:t>asă pasivă</w:t>
                  </w:r>
                  <w:r w:rsidRPr="00340CF6">
                    <w:rPr>
                      <w:rFonts w:ascii="Arial Narrow" w:hAnsi="Arial Narrow"/>
                      <w:sz w:val="16"/>
                      <w:szCs w:val="16"/>
                    </w:rPr>
                    <w:t>; conceptul a fost introdus în 1988 de către Bo Adamson de la Universitatea Lund din Suedia și Wolfgang Feist de la Institutul pentru Locuințe și Mediu din Darmstadt, Germania și a fost dezvoltat în continuare în Germania unde a fost înființat în 1996 Passivhaus-Institut și elaborat standardul Passivhaus în care se specifică: necesarul de energie primară pentru încălzire, răcire, apă caldă și electricitate nu trebuie să fie mai mare de 120 kWh/mp/an, din care necesarul de energie pentru încălzire sau răcire să nu fie mai mare de 15 kWh/mp/an sau sarcina de vârf pentru încălzire să fie de maximum 10W/mp, iar clădirea nu trebuie să aibă infiltrații de aer cu o rată mai mare de 0,6 schimburi pe oră la o diferență de presiune de 50 Pa.</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NEARLY ZERO ENERGY BUILDING (nZEB)</w:t>
                  </w:r>
                  <w:r w:rsidRPr="003064E5">
                    <w:rPr>
                      <w:rFonts w:ascii="Arial Narrow" w:hAnsi="Arial Narrow"/>
                      <w:color w:val="5B9BD5"/>
                      <w:sz w:val="16"/>
                      <w:szCs w:val="16"/>
                    </w:rPr>
                    <w:t xml:space="preserve"> – </w:t>
                  </w:r>
                  <w:r w:rsidRPr="003064E5">
                    <w:rPr>
                      <w:rFonts w:ascii="Arial Narrow" w:hAnsi="Arial Narrow"/>
                      <w:b/>
                      <w:color w:val="5B9BD5"/>
                      <w:sz w:val="16"/>
                      <w:szCs w:val="16"/>
                    </w:rPr>
                    <w:t>Clădire cu consum de energie (din surse convenționale) aproape egal cu zero</w:t>
                  </w:r>
                  <w:r w:rsidRPr="003064E5">
                    <w:rPr>
                      <w:rFonts w:ascii="Arial Narrow" w:hAnsi="Arial Narrow"/>
                      <w:color w:val="5B9BD5"/>
                      <w:sz w:val="16"/>
                      <w:szCs w:val="16"/>
                    </w:rPr>
                    <w:t xml:space="preserve">; </w:t>
                  </w:r>
                  <w:r w:rsidRPr="00340CF6">
                    <w:rPr>
                      <w:rFonts w:ascii="Arial Narrow" w:hAnsi="Arial Narrow"/>
                      <w:sz w:val="16"/>
                      <w:szCs w:val="16"/>
                    </w:rPr>
                    <w:t>conceptul a fost introdus prin Directiva Europeană 2010/31 în care este definit astfel: „o clădire cu o performanță energetică foarte ridicată al cărei necesar de energie aproape egal cu zero sau foarte scăzut ar trebui să fie acoperit, într-o foarte mare măsură, cu energie din surse regenerabile, produsă la fața locului sau în apropiere”.</w:t>
                  </w:r>
                </w:p>
                <w:p w:rsidR="00064502" w:rsidRPr="00340CF6" w:rsidRDefault="00064502" w:rsidP="00EA5F90">
                  <w:pPr>
                    <w:spacing w:after="0" w:line="240" w:lineRule="auto"/>
                    <w:jc w:val="both"/>
                    <w:rPr>
                      <w:rFonts w:ascii="Arial Narrow" w:hAnsi="Arial Narrow"/>
                      <w:sz w:val="16"/>
                      <w:szCs w:val="16"/>
                    </w:rPr>
                  </w:pPr>
                </w:p>
                <w:p w:rsidR="00064502" w:rsidRPr="00555B97"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 xml:space="preserve">ZERO ENERGY BUILDING (ZEB),NET-ZERO ENERGY BUILDING(NZEB) – Clădire cu consum nul de energie din surse convenționale; </w:t>
                  </w:r>
                  <w:r w:rsidRPr="00555B97">
                    <w:rPr>
                      <w:rFonts w:ascii="Arial Narrow" w:hAnsi="Arial Narrow"/>
                      <w:sz w:val="16"/>
                      <w:szCs w:val="16"/>
                    </w:rPr>
                    <w:t>este o clădire cu consum redus de energie pentru care cantitatea anuală de energie consumată este egală cu cantitatea de energie produsă local din surse regenerabile de energie.</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PLUS ENERGY BUILDING (PEB)</w:t>
                  </w:r>
                  <w:r w:rsidRPr="003064E5">
                    <w:rPr>
                      <w:rFonts w:ascii="Arial Narrow" w:hAnsi="Arial Narrow"/>
                      <w:color w:val="5B9BD5"/>
                      <w:sz w:val="16"/>
                      <w:szCs w:val="16"/>
                    </w:rPr>
                    <w:t xml:space="preserve"> – </w:t>
                  </w:r>
                  <w:r w:rsidRPr="003064E5">
                    <w:rPr>
                      <w:rFonts w:ascii="Arial Narrow" w:hAnsi="Arial Narrow"/>
                      <w:b/>
                      <w:color w:val="5B9BD5"/>
                      <w:sz w:val="16"/>
                      <w:szCs w:val="16"/>
                    </w:rPr>
                    <w:t>Clădire cu producție de energie din surse regenerabile mai mare decât consumul</w:t>
                  </w:r>
                  <w:r w:rsidRPr="003064E5">
                    <w:rPr>
                      <w:rFonts w:ascii="Arial Narrow" w:hAnsi="Arial Narrow"/>
                      <w:color w:val="5B9BD5"/>
                      <w:sz w:val="16"/>
                      <w:szCs w:val="16"/>
                    </w:rPr>
                    <w:t xml:space="preserve">; </w:t>
                  </w:r>
                  <w:r w:rsidRPr="00340CF6">
                    <w:rPr>
                      <w:rFonts w:ascii="Arial Narrow" w:hAnsi="Arial Narrow"/>
                      <w:sz w:val="16"/>
                      <w:szCs w:val="16"/>
                    </w:rPr>
                    <w:t>este o clădire în care cantitatea anuală de energie produsă local din surse regenerabile este mai mare decât consumul anual de energie al clădirii, energia suplimentară fiind utilizată pentru consumatori proprii din afara clădirii (mijloace de transport electrice etc) sau livrată în rețeaua electrică locală; conceptul a fost introdus în 1994 de către arhitectul Rolf Disch prin construirea reședinței lui private (the Heliotrope) în Freiburg, Germania.</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 xml:space="preserve">AUTONOMOUS BUILDING, ENERGY AUTARKIC BUILDING,OFF-THE-GRID BUILDING </w:t>
                  </w:r>
                  <w:r w:rsidRPr="003064E5">
                    <w:rPr>
                      <w:rFonts w:ascii="Arial Narrow" w:hAnsi="Arial Narrow"/>
                      <w:color w:val="5B9BD5"/>
                      <w:sz w:val="16"/>
                      <w:szCs w:val="16"/>
                    </w:rPr>
                    <w:t xml:space="preserve">– </w:t>
                  </w:r>
                  <w:r w:rsidRPr="003064E5">
                    <w:rPr>
                      <w:rFonts w:ascii="Arial Narrow" w:hAnsi="Arial Narrow"/>
                      <w:b/>
                      <w:color w:val="5B9BD5"/>
                      <w:sz w:val="16"/>
                      <w:szCs w:val="16"/>
                    </w:rPr>
                    <w:t>Clădire autonomă energetic, clădire independentă energetic, clădire nelegată la rețea</w:t>
                  </w:r>
                  <w:r w:rsidRPr="00340CF6">
                    <w:rPr>
                      <w:rFonts w:ascii="Arial Narrow" w:hAnsi="Arial Narrow"/>
                      <w:sz w:val="16"/>
                      <w:szCs w:val="16"/>
                    </w:rPr>
                    <w:t>; este o clădire care își asigură întregul necesar de energie cu sisteme de conversie a surselor regenerabile de energie și de stocare a energiei astfel obținute fără a fi racordată la rețelele publice de energie.</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LOW CARBON BUILDING (LCB)</w:t>
                  </w:r>
                  <w:r w:rsidRPr="003064E5">
                    <w:rPr>
                      <w:rFonts w:ascii="Arial Narrow" w:hAnsi="Arial Narrow"/>
                      <w:color w:val="5B9BD5"/>
                      <w:sz w:val="16"/>
                      <w:szCs w:val="16"/>
                    </w:rPr>
                    <w:t xml:space="preserve"> – </w:t>
                  </w:r>
                  <w:r w:rsidRPr="003064E5">
                    <w:rPr>
                      <w:rFonts w:ascii="Arial Narrow" w:hAnsi="Arial Narrow"/>
                      <w:b/>
                      <w:color w:val="5B9BD5"/>
                      <w:sz w:val="16"/>
                      <w:szCs w:val="16"/>
                    </w:rPr>
                    <w:t>Clădire cu emisii reduse de gaze cu efect de seră</w:t>
                  </w:r>
                  <w:r w:rsidRPr="003064E5">
                    <w:rPr>
                      <w:rFonts w:ascii="Arial Narrow" w:hAnsi="Arial Narrow"/>
                      <w:color w:val="5B9BD5"/>
                      <w:sz w:val="16"/>
                      <w:szCs w:val="16"/>
                    </w:rPr>
                    <w:t xml:space="preserve">; </w:t>
                  </w:r>
                  <w:r w:rsidRPr="00340CF6">
                    <w:rPr>
                      <w:rFonts w:ascii="Arial Narrow" w:hAnsi="Arial Narrow"/>
                      <w:sz w:val="16"/>
                      <w:szCs w:val="16"/>
                    </w:rPr>
                    <w:t>este o clădire prin a cărei utilizare se produc emisii reduse de gaze cu efect de seră asociate energiei necesare pentru încălzire, răcire, apă caldă și iluminat.</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ZERO CARBON BUILDING (ZCB),NET</w:t>
                  </w:r>
                  <w:r w:rsidRPr="003064E5">
                    <w:rPr>
                      <w:rFonts w:ascii="Arial Narrow" w:hAnsi="Arial Narrow"/>
                      <w:color w:val="5B9BD5"/>
                      <w:sz w:val="16"/>
                      <w:szCs w:val="16"/>
                    </w:rPr>
                    <w:t>-</w:t>
                  </w:r>
                  <w:r w:rsidRPr="003064E5">
                    <w:rPr>
                      <w:rFonts w:ascii="Arial Narrow" w:hAnsi="Arial Narrow"/>
                      <w:b/>
                      <w:color w:val="5B9BD5"/>
                      <w:sz w:val="16"/>
                      <w:szCs w:val="16"/>
                    </w:rPr>
                    <w:t>ZERO CARBON BUILDING</w:t>
                  </w:r>
                  <w:r w:rsidRPr="003064E5">
                    <w:rPr>
                      <w:rFonts w:ascii="Arial Narrow" w:hAnsi="Arial Narrow"/>
                      <w:color w:val="5B9BD5"/>
                      <w:sz w:val="16"/>
                      <w:szCs w:val="16"/>
                    </w:rPr>
                    <w:t xml:space="preserve"> (</w:t>
                  </w:r>
                  <w:r w:rsidRPr="003064E5">
                    <w:rPr>
                      <w:rFonts w:ascii="Arial Narrow" w:hAnsi="Arial Narrow"/>
                      <w:b/>
                      <w:color w:val="5B9BD5"/>
                      <w:sz w:val="16"/>
                      <w:szCs w:val="16"/>
                    </w:rPr>
                    <w:t>NZCB</w:t>
                  </w:r>
                  <w:r w:rsidRPr="003064E5">
                    <w:rPr>
                      <w:rFonts w:ascii="Arial Narrow" w:hAnsi="Arial Narrow"/>
                      <w:color w:val="5B9BD5"/>
                      <w:sz w:val="16"/>
                      <w:szCs w:val="16"/>
                    </w:rPr>
                    <w:t>),</w:t>
                  </w:r>
                  <w:r w:rsidRPr="003064E5">
                    <w:rPr>
                      <w:rFonts w:ascii="Arial Narrow" w:hAnsi="Arial Narrow"/>
                      <w:b/>
                      <w:color w:val="5B9BD5"/>
                      <w:sz w:val="16"/>
                      <w:szCs w:val="16"/>
                    </w:rPr>
                    <w:t xml:space="preserve">CARBON NEUTRAL BUILDING (CNB) </w:t>
                  </w:r>
                  <w:r w:rsidRPr="003064E5">
                    <w:rPr>
                      <w:rFonts w:ascii="Arial Narrow" w:hAnsi="Arial Narrow"/>
                      <w:color w:val="5B9BD5"/>
                      <w:sz w:val="16"/>
                      <w:szCs w:val="16"/>
                    </w:rPr>
                    <w:t xml:space="preserve">– </w:t>
                  </w:r>
                  <w:r w:rsidRPr="003064E5">
                    <w:rPr>
                      <w:rFonts w:ascii="Arial Narrow" w:hAnsi="Arial Narrow"/>
                      <w:b/>
                      <w:color w:val="5B9BD5"/>
                      <w:sz w:val="16"/>
                      <w:szCs w:val="16"/>
                    </w:rPr>
                    <w:t>Clădire cu emisii zero de oxizi de carbon; Clădire cu emisii zero de gaze cu efect de seră;Clădire cu bilanț nul al dioxidului de carbon</w:t>
                  </w:r>
                  <w:r w:rsidRPr="003064E5">
                    <w:rPr>
                      <w:rFonts w:ascii="Arial Narrow" w:hAnsi="Arial Narrow"/>
                      <w:color w:val="5B9BD5"/>
                      <w:sz w:val="16"/>
                      <w:szCs w:val="16"/>
                    </w:rPr>
                    <w:t xml:space="preserve">; </w:t>
                  </w:r>
                  <w:r w:rsidRPr="00340CF6">
                    <w:rPr>
                      <w:rFonts w:ascii="Arial Narrow" w:hAnsi="Arial Narrow"/>
                      <w:sz w:val="16"/>
                      <w:szCs w:val="16"/>
                    </w:rPr>
                    <w:t>este o clădire cu consum redus de energie care utilizează surse de energie fără emisii de gaze cu efect de seră asociate.</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sz w:val="16"/>
                      <w:szCs w:val="16"/>
                    </w:rPr>
                  </w:pPr>
                  <w:r w:rsidRPr="003064E5">
                    <w:rPr>
                      <w:rFonts w:ascii="Arial Narrow" w:hAnsi="Arial Narrow"/>
                      <w:b/>
                      <w:color w:val="5B9BD5"/>
                      <w:sz w:val="16"/>
                      <w:szCs w:val="16"/>
                    </w:rPr>
                    <w:t>ZERO CARBON LIFE-CYCLE BUILDING</w:t>
                  </w:r>
                  <w:r w:rsidRPr="003064E5">
                    <w:rPr>
                      <w:rFonts w:ascii="Arial Narrow" w:hAnsi="Arial Narrow"/>
                      <w:color w:val="5B9BD5"/>
                      <w:sz w:val="16"/>
                      <w:szCs w:val="16"/>
                    </w:rPr>
                    <w:t xml:space="preserve"> - </w:t>
                  </w:r>
                  <w:r w:rsidRPr="003064E5">
                    <w:rPr>
                      <w:rFonts w:ascii="Arial Narrow" w:hAnsi="Arial Narrow"/>
                      <w:b/>
                      <w:color w:val="5B9BD5"/>
                      <w:sz w:val="16"/>
                      <w:szCs w:val="16"/>
                    </w:rPr>
                    <w:t>clădire cu bilanț nul al emisiilor de CO</w:t>
                  </w:r>
                  <w:r w:rsidRPr="003064E5">
                    <w:rPr>
                      <w:rFonts w:ascii="Arial Narrow" w:hAnsi="Arial Narrow"/>
                      <w:b/>
                      <w:color w:val="5B9BD5"/>
                      <w:sz w:val="16"/>
                      <w:szCs w:val="16"/>
                      <w:vertAlign w:val="subscript"/>
                    </w:rPr>
                    <w:t>2</w:t>
                  </w:r>
                  <w:r w:rsidRPr="003064E5">
                    <w:rPr>
                      <w:rFonts w:ascii="Arial Narrow" w:hAnsi="Arial Narrow"/>
                      <w:b/>
                      <w:color w:val="5B9BD5"/>
                      <w:sz w:val="16"/>
                      <w:szCs w:val="16"/>
                    </w:rPr>
                    <w:t xml:space="preserve"> pe întreg ciclul de viață</w:t>
                  </w:r>
                  <w:r w:rsidRPr="003064E5">
                    <w:rPr>
                      <w:rFonts w:ascii="Arial Narrow" w:hAnsi="Arial Narrow"/>
                      <w:color w:val="5B9BD5"/>
                      <w:sz w:val="16"/>
                      <w:szCs w:val="16"/>
                    </w:rPr>
                    <w:t xml:space="preserve">; </w:t>
                  </w:r>
                  <w:r w:rsidRPr="00340CF6">
                    <w:rPr>
                      <w:rFonts w:ascii="Arial Narrow" w:hAnsi="Arial Narrow"/>
                      <w:sz w:val="16"/>
                      <w:szCs w:val="16"/>
                    </w:rPr>
                    <w:t>este o clădire prevăzută cu sisteme de conversie a surselor regenerabile de energie care permit compensarea emisiilor de gaze cu efect de seră generate în toate etapele de existență ale clădirii (proiectare, realizare, utilizare, demolare).</w:t>
                  </w:r>
                </w:p>
                <w:p w:rsidR="00064502" w:rsidRPr="00340CF6" w:rsidRDefault="00064502" w:rsidP="00EA5F90">
                  <w:pPr>
                    <w:spacing w:after="0" w:line="240" w:lineRule="auto"/>
                    <w:jc w:val="both"/>
                    <w:rPr>
                      <w:rFonts w:ascii="Arial Narrow" w:hAnsi="Arial Narrow"/>
                      <w:sz w:val="16"/>
                      <w:szCs w:val="16"/>
                    </w:rPr>
                  </w:pPr>
                </w:p>
                <w:p w:rsidR="00064502" w:rsidRDefault="00064502" w:rsidP="00EA5F90">
                  <w:pPr>
                    <w:spacing w:after="0" w:line="240" w:lineRule="auto"/>
                    <w:jc w:val="both"/>
                    <w:rPr>
                      <w:rFonts w:ascii="Arial Narrow" w:hAnsi="Arial Narrow"/>
                      <w:b/>
                      <w:sz w:val="16"/>
                      <w:szCs w:val="16"/>
                    </w:rPr>
                  </w:pPr>
                  <w:r w:rsidRPr="00340CF6">
                    <w:rPr>
                      <w:rFonts w:ascii="Arial Narrow" w:hAnsi="Arial Narrow"/>
                      <w:sz w:val="16"/>
                      <w:szCs w:val="16"/>
                    </w:rPr>
                    <w:t xml:space="preserve">Este evident că implementarea acestor tipuri de clădiri se va face diferențiat întrucât modul de a îndeplini cerințele care le definesc este diferit din punct de vedere al complexității. Într-o primă etapă, se află în implementare soluții care sprijină atingerea statutului de Clădire cu consum de energie scăzut (LEB). Acesta reprezintă o cerință obligatorie pentru pasul următor, implementarea sistemelor de energii regenerabile respectând condiția de suportabilitate a costurilor (și de fezabilitate). De aceea, conceptul ales la nivel de UE pentru actuala perioadă este acela de </w:t>
                  </w:r>
                  <w:r w:rsidRPr="00340CF6">
                    <w:rPr>
                      <w:rFonts w:ascii="Arial Narrow" w:hAnsi="Arial Narrow"/>
                      <w:b/>
                      <w:sz w:val="16"/>
                      <w:szCs w:val="16"/>
                    </w:rPr>
                    <w:t>Clădire cu consum de energie (din surse convenționale) aproape zero (nZEB</w:t>
                  </w:r>
                  <w:r w:rsidRPr="007F69B8">
                    <w:rPr>
                      <w:rFonts w:ascii="Arial Narrow" w:hAnsi="Arial Narrow"/>
                      <w:b/>
                      <w:sz w:val="16"/>
                      <w:szCs w:val="16"/>
                    </w:rPr>
                    <w:t xml:space="preserve">). </w:t>
                  </w:r>
                </w:p>
                <w:p w:rsidR="00064502" w:rsidRPr="007F69B8" w:rsidRDefault="00064502" w:rsidP="00EA5F90">
                  <w:pPr>
                    <w:spacing w:after="0" w:line="240" w:lineRule="auto"/>
                    <w:jc w:val="both"/>
                    <w:rPr>
                      <w:rFonts w:ascii="Arial Narrow" w:hAnsi="Arial Narrow"/>
                      <w:b/>
                      <w:sz w:val="16"/>
                      <w:szCs w:val="16"/>
                    </w:rPr>
                  </w:pPr>
                </w:p>
                <w:p w:rsidR="00064502" w:rsidRDefault="00064502" w:rsidP="00EA5F90">
                  <w:pPr>
                    <w:spacing w:after="0" w:line="240" w:lineRule="auto"/>
                    <w:jc w:val="both"/>
                    <w:rPr>
                      <w:rFonts w:ascii="Arial Narrow" w:hAnsi="Arial Narrow"/>
                      <w:sz w:val="16"/>
                      <w:szCs w:val="16"/>
                    </w:rPr>
                  </w:pPr>
                  <w:r w:rsidRPr="007F69B8">
                    <w:rPr>
                      <w:rFonts w:ascii="Arial Narrow" w:hAnsi="Arial Narrow"/>
                      <w:sz w:val="16"/>
                      <w:szCs w:val="16"/>
                    </w:rPr>
                    <w:t>Cadrul legislativ de implementare a acestei strategii este alcătuit din:</w:t>
                  </w:r>
                </w:p>
                <w:p w:rsidR="00064502" w:rsidRPr="007F69B8" w:rsidRDefault="00064502" w:rsidP="00EA5F90">
                  <w:pPr>
                    <w:spacing w:after="0" w:line="240" w:lineRule="auto"/>
                    <w:jc w:val="both"/>
                    <w:rPr>
                      <w:rFonts w:ascii="Arial Narrow" w:hAnsi="Arial Narrow"/>
                      <w:sz w:val="16"/>
                      <w:szCs w:val="16"/>
                    </w:rPr>
                  </w:pPr>
                </w:p>
                <w:p w:rsidR="00064502" w:rsidRPr="007F69B8" w:rsidRDefault="00064502" w:rsidP="00EA5F90">
                  <w:pPr>
                    <w:spacing w:after="0" w:line="240" w:lineRule="auto"/>
                    <w:jc w:val="both"/>
                    <w:rPr>
                      <w:rFonts w:ascii="Arial Narrow" w:hAnsi="Arial Narrow"/>
                      <w:sz w:val="16"/>
                      <w:szCs w:val="16"/>
                    </w:rPr>
                  </w:pPr>
                  <w:r w:rsidRPr="007F69B8">
                    <w:rPr>
                      <w:rFonts w:ascii="Arial Narrow" w:hAnsi="Arial Narrow"/>
                      <w:sz w:val="16"/>
                      <w:szCs w:val="16"/>
                    </w:rPr>
                    <w:t>Directiva 2012/27/UE pentru Eficienta Energetică – modifică directivele anterioare 2009/125/EC, 2010/30/EU și abrogă directivele 2004/8/EC 2006/32/EC. Direcțiile de acțiune ale directivei au în vedere:</w:t>
                  </w:r>
                  <w:r w:rsidRPr="007F69B8">
                    <w:rPr>
                      <w:sz w:val="16"/>
                      <w:szCs w:val="16"/>
                    </w:rPr>
                    <w:t xml:space="preserve"> </w:t>
                  </w:r>
                </w:p>
                <w:p w:rsidR="00064502" w:rsidRPr="007F69B8" w:rsidRDefault="00064502" w:rsidP="00981E9F">
                  <w:pPr>
                    <w:pStyle w:val="Listparagraf"/>
                    <w:numPr>
                      <w:ilvl w:val="0"/>
                      <w:numId w:val="42"/>
                    </w:numPr>
                    <w:spacing w:after="0" w:line="240" w:lineRule="auto"/>
                    <w:jc w:val="both"/>
                    <w:rPr>
                      <w:rFonts w:ascii="Arial Narrow" w:hAnsi="Arial Narrow"/>
                      <w:sz w:val="16"/>
                      <w:szCs w:val="16"/>
                    </w:rPr>
                  </w:pPr>
                  <w:r w:rsidRPr="007F69B8">
                    <w:rPr>
                      <w:rFonts w:ascii="Arial Narrow" w:hAnsi="Arial Narrow"/>
                      <w:b/>
                      <w:bCs/>
                      <w:sz w:val="16"/>
                      <w:szCs w:val="16"/>
                    </w:rPr>
                    <w:t xml:space="preserve">Instituțiile publice, </w:t>
                  </w:r>
                  <w:r w:rsidRPr="007F69B8">
                    <w:rPr>
                      <w:rFonts w:ascii="Arial Narrow" w:hAnsi="Arial Narrow"/>
                      <w:bCs/>
                      <w:sz w:val="16"/>
                      <w:szCs w:val="16"/>
                    </w:rPr>
                    <w:t xml:space="preserve">care </w:t>
                  </w:r>
                  <w:r w:rsidRPr="007F69B8">
                    <w:rPr>
                      <w:rFonts w:ascii="Arial Narrow" w:hAnsi="Arial Narrow"/>
                      <w:sz w:val="16"/>
                      <w:szCs w:val="16"/>
                    </w:rPr>
                    <w:t xml:space="preserve">vor trebui sa achiziționeze clădiri, produse si servicii eficiente energetic si </w:t>
                  </w:r>
                  <w:r w:rsidRPr="007F69B8">
                    <w:rPr>
                      <w:rFonts w:ascii="Arial Narrow" w:hAnsi="Arial Narrow"/>
                      <w:b/>
                      <w:bCs/>
                      <w:sz w:val="16"/>
                      <w:szCs w:val="16"/>
                    </w:rPr>
                    <w:t xml:space="preserve">sa renoveze anual 3% din clădirile </w:t>
                  </w:r>
                  <w:r w:rsidRPr="007F69B8">
                    <w:rPr>
                      <w:rFonts w:ascii="Arial Narrow" w:hAnsi="Arial Narrow"/>
                      <w:sz w:val="16"/>
                      <w:szCs w:val="16"/>
                    </w:rPr>
                    <w:t xml:space="preserve">pe care acum le ocupa/gestionează, pentru reducerea consumurilor de energie; </w:t>
                  </w:r>
                </w:p>
                <w:p w:rsidR="00064502" w:rsidRPr="007F69B8" w:rsidRDefault="00064502" w:rsidP="00981E9F">
                  <w:pPr>
                    <w:pStyle w:val="Listparagraf"/>
                    <w:numPr>
                      <w:ilvl w:val="0"/>
                      <w:numId w:val="42"/>
                    </w:numPr>
                    <w:spacing w:after="0" w:line="240" w:lineRule="auto"/>
                    <w:jc w:val="both"/>
                    <w:rPr>
                      <w:rFonts w:ascii="Arial Narrow" w:hAnsi="Arial Narrow"/>
                      <w:sz w:val="16"/>
                      <w:szCs w:val="16"/>
                    </w:rPr>
                  </w:pPr>
                  <w:r w:rsidRPr="007F69B8">
                    <w:rPr>
                      <w:rFonts w:ascii="Arial Narrow" w:hAnsi="Arial Narrow"/>
                      <w:b/>
                      <w:bCs/>
                      <w:sz w:val="16"/>
                      <w:szCs w:val="16"/>
                    </w:rPr>
                    <w:t xml:space="preserve">Producătorii de energie, </w:t>
                  </w:r>
                  <w:r w:rsidRPr="007F69B8">
                    <w:rPr>
                      <w:rFonts w:ascii="Arial Narrow" w:hAnsi="Arial Narrow"/>
                      <w:bCs/>
                      <w:sz w:val="16"/>
                      <w:szCs w:val="16"/>
                    </w:rPr>
                    <w:t xml:space="preserve">care </w:t>
                  </w:r>
                  <w:r w:rsidRPr="007F69B8">
                    <w:rPr>
                      <w:rFonts w:ascii="Arial Narrow" w:hAnsi="Arial Narrow"/>
                      <w:sz w:val="16"/>
                      <w:szCs w:val="16"/>
                    </w:rPr>
                    <w:t xml:space="preserve">vor trebui sa încurajeze utilizatorii sa reducă consumurile de energie prin </w:t>
                  </w:r>
                  <w:r w:rsidRPr="007F69B8">
                    <w:rPr>
                      <w:rFonts w:ascii="Arial Narrow" w:hAnsi="Arial Narrow"/>
                      <w:b/>
                      <w:bCs/>
                      <w:sz w:val="16"/>
                      <w:szCs w:val="16"/>
                    </w:rPr>
                    <w:t xml:space="preserve">înlocuirea vechilor instalații </w:t>
                  </w:r>
                  <w:r w:rsidRPr="007F69B8">
                    <w:rPr>
                      <w:rFonts w:ascii="Arial Narrow" w:hAnsi="Arial Narrow"/>
                      <w:sz w:val="16"/>
                      <w:szCs w:val="16"/>
                    </w:rPr>
                    <w:t xml:space="preserve">cu unele noi si performante; </w:t>
                  </w:r>
                </w:p>
                <w:p w:rsidR="00064502" w:rsidRPr="007F69B8" w:rsidRDefault="00064502" w:rsidP="00981E9F">
                  <w:pPr>
                    <w:pStyle w:val="Listparagraf"/>
                    <w:numPr>
                      <w:ilvl w:val="0"/>
                      <w:numId w:val="42"/>
                    </w:numPr>
                    <w:spacing w:after="0" w:line="240" w:lineRule="auto"/>
                    <w:jc w:val="both"/>
                    <w:rPr>
                      <w:rFonts w:ascii="Arial Narrow" w:hAnsi="Arial Narrow"/>
                      <w:sz w:val="16"/>
                      <w:szCs w:val="16"/>
                    </w:rPr>
                  </w:pPr>
                  <w:r w:rsidRPr="007F69B8">
                    <w:rPr>
                      <w:rFonts w:ascii="Arial Narrow" w:hAnsi="Arial Narrow"/>
                      <w:b/>
                      <w:bCs/>
                      <w:sz w:val="16"/>
                      <w:szCs w:val="16"/>
                    </w:rPr>
                    <w:t xml:space="preserve">Companiile industriale, </w:t>
                  </w:r>
                  <w:r w:rsidRPr="007F69B8">
                    <w:rPr>
                      <w:rFonts w:ascii="Arial Narrow" w:hAnsi="Arial Narrow"/>
                      <w:bCs/>
                      <w:sz w:val="16"/>
                      <w:szCs w:val="16"/>
                    </w:rPr>
                    <w:t xml:space="preserve">care </w:t>
                  </w:r>
                  <w:r w:rsidRPr="007F69B8">
                    <w:rPr>
                      <w:rFonts w:ascii="Arial Narrow" w:hAnsi="Arial Narrow"/>
                      <w:sz w:val="16"/>
                      <w:szCs w:val="16"/>
                    </w:rPr>
                    <w:t>vor trebui sa își reducă consumurile de energie si vor fi supuse auditurilor energetice, la fiecare 3 ani.</w:t>
                  </w:r>
                </w:p>
                <w:p w:rsidR="00064502" w:rsidRDefault="00064502" w:rsidP="00981E9F">
                  <w:pPr>
                    <w:pStyle w:val="Listparagraf"/>
                    <w:numPr>
                      <w:ilvl w:val="0"/>
                      <w:numId w:val="42"/>
                    </w:numPr>
                    <w:spacing w:after="0" w:line="240" w:lineRule="auto"/>
                    <w:jc w:val="both"/>
                    <w:rPr>
                      <w:rFonts w:ascii="Arial Narrow" w:hAnsi="Arial Narrow"/>
                      <w:sz w:val="16"/>
                      <w:szCs w:val="16"/>
                    </w:rPr>
                  </w:pPr>
                  <w:r w:rsidRPr="007F69B8">
                    <w:rPr>
                      <w:rFonts w:ascii="Arial Narrow" w:hAnsi="Arial Narrow"/>
                      <w:b/>
                      <w:bCs/>
                      <w:sz w:val="16"/>
                      <w:szCs w:val="16"/>
                    </w:rPr>
                    <w:t xml:space="preserve">Organismele naționale de reglementare </w:t>
                  </w:r>
                  <w:r w:rsidRPr="007F69B8">
                    <w:rPr>
                      <w:rFonts w:ascii="Arial Narrow" w:hAnsi="Arial Narrow"/>
                      <w:bCs/>
                      <w:sz w:val="16"/>
                      <w:szCs w:val="16"/>
                    </w:rPr>
                    <w:t xml:space="preserve">care </w:t>
                  </w:r>
                  <w:r w:rsidRPr="007F69B8">
                    <w:rPr>
                      <w:rFonts w:ascii="Arial Narrow" w:hAnsi="Arial Narrow"/>
                      <w:sz w:val="16"/>
                      <w:szCs w:val="16"/>
                    </w:rPr>
                    <w:t xml:space="preserve">vor lua în considerare eficienta energetica la stabilirea costurilor energiei la utilizatorii finali. Se vor introduce </w:t>
                  </w:r>
                  <w:r w:rsidRPr="007F69B8">
                    <w:rPr>
                      <w:rFonts w:ascii="Arial Narrow" w:hAnsi="Arial Narrow"/>
                      <w:b/>
                      <w:bCs/>
                      <w:sz w:val="16"/>
                      <w:szCs w:val="16"/>
                    </w:rPr>
                    <w:t xml:space="preserve">scheme de certificare </w:t>
                  </w:r>
                  <w:r w:rsidRPr="007F69B8">
                    <w:rPr>
                      <w:rFonts w:ascii="Arial Narrow" w:hAnsi="Arial Narrow"/>
                      <w:sz w:val="16"/>
                      <w:szCs w:val="16"/>
                    </w:rPr>
                    <w:t>pentru furnizorii de energie pentru a asigura competența și performanta tehnic</w:t>
                  </w:r>
                  <w:r>
                    <w:rPr>
                      <w:rFonts w:ascii="Arial Narrow" w:hAnsi="Arial Narrow"/>
                      <w:sz w:val="16"/>
                      <w:szCs w:val="16"/>
                    </w:rPr>
                    <w:t>ă.</w:t>
                  </w:r>
                </w:p>
                <w:p w:rsidR="00064502" w:rsidRPr="007F69B8" w:rsidRDefault="00064502" w:rsidP="00EA5F90">
                  <w:pPr>
                    <w:pStyle w:val="Listparagraf"/>
                    <w:spacing w:after="0" w:line="240" w:lineRule="auto"/>
                    <w:jc w:val="both"/>
                    <w:rPr>
                      <w:rFonts w:ascii="Arial Narrow" w:hAnsi="Arial Narrow"/>
                      <w:sz w:val="16"/>
                      <w:szCs w:val="16"/>
                    </w:rPr>
                  </w:pPr>
                </w:p>
                <w:p w:rsidR="00064502" w:rsidRPr="007F69B8" w:rsidRDefault="00064502" w:rsidP="00EA5F90">
                  <w:pPr>
                    <w:spacing w:after="0" w:line="240" w:lineRule="auto"/>
                    <w:jc w:val="both"/>
                    <w:rPr>
                      <w:rFonts w:ascii="Arial Narrow" w:hAnsi="Arial Narrow"/>
                      <w:sz w:val="16"/>
                      <w:szCs w:val="16"/>
                    </w:rPr>
                  </w:pPr>
                  <w:r w:rsidRPr="007F69B8">
                    <w:rPr>
                      <w:rFonts w:ascii="Arial Narrow" w:hAnsi="Arial Narrow"/>
                      <w:sz w:val="16"/>
                      <w:szCs w:val="16"/>
                    </w:rPr>
                    <w:t>Directiva va intra în vigoare la 1 ianuarie 2018. Implementarea directivei este reglementată prin [COM(2007) 723 final], Strategic Energy Technology Plan (SET PLAN) "</w:t>
                  </w:r>
                  <w:r w:rsidRPr="007F69B8">
                    <w:rPr>
                      <w:rFonts w:ascii="Arial Narrow" w:hAnsi="Arial Narrow"/>
                      <w:i/>
                      <w:sz w:val="16"/>
                      <w:szCs w:val="16"/>
                    </w:rPr>
                    <w:t>A European strategic energy technology plan (SET Plan) - Towards a lo</w:t>
                  </w:r>
                  <w:r>
                    <w:rPr>
                      <w:rFonts w:ascii="Arial Narrow" w:hAnsi="Arial Narrow"/>
                      <w:i/>
                      <w:sz w:val="16"/>
                      <w:szCs w:val="16"/>
                    </w:rPr>
                    <w:t>w carbon</w:t>
                  </w:r>
                  <w:r w:rsidRPr="007F69B8">
                    <w:rPr>
                      <w:rFonts w:ascii="Arial Narrow" w:hAnsi="Arial Narrow"/>
                      <w:i/>
                      <w:sz w:val="16"/>
                      <w:szCs w:val="16"/>
                    </w:rPr>
                    <w:t xml:space="preserve"> future</w:t>
                  </w:r>
                  <w:r w:rsidRPr="007F69B8">
                    <w:rPr>
                      <w:rFonts w:ascii="Arial Narrow" w:hAnsi="Arial Narrow"/>
                      <w:sz w:val="16"/>
                      <w:szCs w:val="16"/>
                    </w:rPr>
                    <w:t>"</w:t>
                  </w:r>
                  <w:r>
                    <w:rPr>
                      <w:rFonts w:ascii="Arial Narrow" w:hAnsi="Arial Narrow"/>
                      <w:sz w:val="16"/>
                      <w:szCs w:val="16"/>
                    </w:rPr>
                    <w:t>.</w:t>
                  </w:r>
                </w:p>
                <w:p w:rsidR="00064502" w:rsidRPr="007F69B8" w:rsidRDefault="00064502" w:rsidP="00EA5F90">
                  <w:pPr>
                    <w:spacing w:after="0" w:line="240" w:lineRule="auto"/>
                    <w:jc w:val="both"/>
                    <w:rPr>
                      <w:sz w:val="16"/>
                      <w:szCs w:val="16"/>
                    </w:rPr>
                  </w:pPr>
                  <w:r w:rsidRPr="007F69B8">
                    <w:rPr>
                      <w:rFonts w:ascii="Arial Narrow" w:hAnsi="Arial Narrow"/>
                      <w:sz w:val="16"/>
                      <w:szCs w:val="16"/>
                    </w:rPr>
                    <w:t>Ținând seama de cadrul legislativ european, România a dezvoltat instrument</w:t>
                  </w:r>
                  <w:r>
                    <w:rPr>
                      <w:rFonts w:ascii="Arial Narrow" w:hAnsi="Arial Narrow"/>
                      <w:sz w:val="16"/>
                      <w:szCs w:val="16"/>
                    </w:rPr>
                    <w:t>ele legislative corespunzătoare.</w:t>
                  </w:r>
                </w:p>
              </w:txbxContent>
            </v:textbox>
            <w10:wrap anchorx="margin"/>
          </v:shape>
        </w:pict>
      </w: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Default="00EA5F90"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0865B4" w:rsidRDefault="000865B4" w:rsidP="00EA5F90">
      <w:pPr>
        <w:tabs>
          <w:tab w:val="center" w:pos="567"/>
          <w:tab w:val="left" w:pos="851"/>
        </w:tabs>
        <w:spacing w:after="0" w:line="240" w:lineRule="auto"/>
        <w:contextualSpacing/>
        <w:jc w:val="both"/>
        <w:rPr>
          <w:rFonts w:ascii="Arial Narrow" w:hAnsi="Arial Narrow" w:cs="Calibri"/>
          <w:color w:val="000000"/>
          <w:sz w:val="24"/>
          <w:szCs w:val="24"/>
        </w:rPr>
      </w:pPr>
    </w:p>
    <w:p w:rsidR="00EA5F90" w:rsidRPr="003064E5" w:rsidRDefault="000865B4" w:rsidP="00981E9F">
      <w:pPr>
        <w:pStyle w:val="Listparagraf"/>
        <w:numPr>
          <w:ilvl w:val="0"/>
          <w:numId w:val="44"/>
        </w:numPr>
        <w:tabs>
          <w:tab w:val="left" w:pos="284"/>
        </w:tabs>
        <w:spacing w:after="0" w:line="240" w:lineRule="auto"/>
        <w:jc w:val="both"/>
        <w:rPr>
          <w:rFonts w:ascii="Arial Narrow" w:hAnsi="Arial Narrow"/>
          <w:b/>
          <w:color w:val="70AD47"/>
          <w:sz w:val="24"/>
          <w:szCs w:val="24"/>
        </w:rPr>
      </w:pPr>
      <w:r>
        <w:rPr>
          <w:rFonts w:ascii="Arial Narrow" w:hAnsi="Arial Narrow"/>
          <w:b/>
          <w:color w:val="70AD47"/>
          <w:sz w:val="24"/>
          <w:szCs w:val="24"/>
        </w:rPr>
        <w:t>I</w:t>
      </w:r>
      <w:r w:rsidR="00EA5F90" w:rsidRPr="003064E5">
        <w:rPr>
          <w:rFonts w:ascii="Arial Narrow" w:hAnsi="Arial Narrow"/>
          <w:b/>
          <w:color w:val="70AD47"/>
          <w:sz w:val="24"/>
          <w:szCs w:val="24"/>
        </w:rPr>
        <w:t xml:space="preserve">nfrastructură și sisteme suport eficiente  </w:t>
      </w:r>
    </w:p>
    <w:p w:rsidR="00EA5F90" w:rsidRDefault="00EA5F90" w:rsidP="00EA5F90">
      <w:pPr>
        <w:pStyle w:val="Listparagraf"/>
        <w:tabs>
          <w:tab w:val="left" w:pos="284"/>
        </w:tabs>
        <w:spacing w:after="0" w:line="240" w:lineRule="auto"/>
        <w:ind w:left="0"/>
        <w:jc w:val="both"/>
        <w:rPr>
          <w:rFonts w:ascii="Arial Narrow" w:hAnsi="Arial Narrow"/>
          <w:sz w:val="24"/>
          <w:szCs w:val="24"/>
        </w:rPr>
      </w:pPr>
      <w:r w:rsidRPr="004B5EB0">
        <w:rPr>
          <w:rFonts w:ascii="Arial Narrow" w:hAnsi="Arial Narrow"/>
          <w:sz w:val="24"/>
          <w:szCs w:val="24"/>
        </w:rPr>
        <w:t xml:space="preserve">Asigurarea unei infrastructuri eficiente, care să ofere siguranță, durabilitate și un impact redus asupra mediului este un punct important în mediul construit. Infrastructura este esențială pentru creșterea progresului economic, iar soluțiile adoptate cu privire la tipul și scara investițiilor au implicații majore asupra sustenabilității mediului construit. </w:t>
      </w:r>
      <w:r w:rsidRPr="004B5EB0">
        <w:rPr>
          <w:rFonts w:ascii="Arial Narrow" w:hAnsi="Arial Narrow" w:cs="Calibri"/>
          <w:color w:val="000000"/>
          <w:sz w:val="24"/>
          <w:szCs w:val="24"/>
        </w:rPr>
        <w:t xml:space="preserve">Analizând perioada 2007- 2014, </w:t>
      </w:r>
      <w:r w:rsidRPr="003064E5">
        <w:rPr>
          <w:rFonts w:ascii="Arial Narrow" w:hAnsi="Arial Narrow" w:cs="Calibri"/>
          <w:b/>
          <w:color w:val="70AD47"/>
          <w:sz w:val="24"/>
          <w:szCs w:val="24"/>
        </w:rPr>
        <w:t>infrastructura</w:t>
      </w:r>
      <w:r w:rsidRPr="003064E5">
        <w:rPr>
          <w:rFonts w:ascii="Arial Narrow" w:hAnsi="Arial Narrow" w:cs="Calibri"/>
          <w:color w:val="70AD47"/>
          <w:sz w:val="24"/>
          <w:szCs w:val="24"/>
        </w:rPr>
        <w:t xml:space="preserve"> </w:t>
      </w:r>
      <w:r w:rsidRPr="003064E5">
        <w:rPr>
          <w:rFonts w:ascii="Arial Narrow" w:hAnsi="Arial Narrow" w:cs="Calibri"/>
          <w:b/>
          <w:color w:val="70AD47"/>
          <w:sz w:val="24"/>
          <w:szCs w:val="24"/>
        </w:rPr>
        <w:t>rutieră</w:t>
      </w:r>
      <w:r w:rsidRPr="003064E5">
        <w:rPr>
          <w:rFonts w:ascii="Arial Narrow" w:hAnsi="Arial Narrow" w:cs="Calibri"/>
          <w:color w:val="70AD47"/>
          <w:sz w:val="24"/>
          <w:szCs w:val="24"/>
        </w:rPr>
        <w:t xml:space="preserve"> </w:t>
      </w:r>
      <w:r w:rsidRPr="004B5EB0">
        <w:rPr>
          <w:rFonts w:ascii="Arial Narrow" w:hAnsi="Arial Narrow" w:cs="Calibri"/>
          <w:color w:val="000000"/>
          <w:sz w:val="24"/>
          <w:szCs w:val="24"/>
        </w:rPr>
        <w:t xml:space="preserve">de la nivelul regiunii se prezintă astfel: </w:t>
      </w:r>
      <w:r w:rsidRPr="00DC454B">
        <w:rPr>
          <w:rFonts w:ascii="Arial Narrow" w:hAnsi="Arial Narrow" w:cs="Calibri"/>
          <w:b/>
          <w:i/>
          <w:color w:val="000000"/>
          <w:sz w:val="24"/>
          <w:szCs w:val="24"/>
        </w:rPr>
        <w:t>rețeaua totală de drumuri a crescut cu 809 km sau 7,2 %</w:t>
      </w:r>
      <w:r w:rsidRPr="00DC454B">
        <w:rPr>
          <w:rFonts w:ascii="Arial Narrow" w:hAnsi="Arial Narrow" w:cs="Calibri"/>
          <w:b/>
          <w:color w:val="000000"/>
          <w:sz w:val="24"/>
          <w:szCs w:val="24"/>
        </w:rPr>
        <w:t>.</w:t>
      </w:r>
      <w:r w:rsidRPr="004B5EB0">
        <w:rPr>
          <w:rFonts w:ascii="Arial Narrow" w:hAnsi="Arial Narrow" w:cs="Calibri"/>
          <w:color w:val="000000"/>
          <w:sz w:val="24"/>
          <w:szCs w:val="24"/>
        </w:rPr>
        <w:t xml:space="preserve"> Comparativ, la nivel național</w:t>
      </w:r>
      <w:r>
        <w:rPr>
          <w:rFonts w:ascii="Arial Narrow" w:hAnsi="Arial Narrow" w:cs="Calibri"/>
          <w:color w:val="000000"/>
          <w:sz w:val="24"/>
          <w:szCs w:val="24"/>
        </w:rPr>
        <w:t>,</w:t>
      </w:r>
      <w:r w:rsidRPr="004B5EB0">
        <w:rPr>
          <w:rFonts w:ascii="Arial Narrow" w:hAnsi="Arial Narrow" w:cs="Calibri"/>
          <w:color w:val="000000"/>
          <w:sz w:val="24"/>
          <w:szCs w:val="24"/>
        </w:rPr>
        <w:t xml:space="preserve"> </w:t>
      </w:r>
      <w:r w:rsidRPr="003064E5">
        <w:rPr>
          <w:rFonts w:ascii="Arial Narrow" w:hAnsi="Arial Narrow"/>
          <w:noProof/>
          <w:color w:val="70AD47"/>
          <w:sz w:val="24"/>
          <w:szCs w:val="24"/>
        </w:rPr>
        <w:t>r</w:t>
      </w:r>
      <w:r w:rsidRPr="004B5EB0">
        <w:rPr>
          <w:rFonts w:ascii="Arial Narrow" w:hAnsi="Arial Narrow" w:cs="Calibri"/>
          <w:color w:val="000000"/>
          <w:sz w:val="24"/>
          <w:szCs w:val="24"/>
        </w:rPr>
        <w:t xml:space="preserve">ețeaua totală de drumuri a crescut cu 4.469 km între 2007 și 2014 sau 5,5%. </w:t>
      </w:r>
      <w:r>
        <w:rPr>
          <w:rFonts w:ascii="Arial Narrow" w:hAnsi="Arial Narrow" w:cs="Calibri"/>
          <w:color w:val="000000"/>
          <w:sz w:val="24"/>
          <w:szCs w:val="24"/>
        </w:rPr>
        <w:t>Poziția strategică a regiunii, face ca în perioada</w:t>
      </w:r>
      <w:r>
        <w:rPr>
          <w:rFonts w:ascii="Arial Narrow" w:hAnsi="Arial Narrow"/>
          <w:sz w:val="24"/>
          <w:szCs w:val="24"/>
        </w:rPr>
        <w:t xml:space="preserve"> </w:t>
      </w:r>
      <w:r w:rsidRPr="004B5EB0">
        <w:rPr>
          <w:rFonts w:ascii="Arial Narrow" w:hAnsi="Arial Narrow"/>
          <w:sz w:val="24"/>
          <w:szCs w:val="24"/>
        </w:rPr>
        <w:t xml:space="preserve">următoare </w:t>
      </w:r>
      <w:r>
        <w:rPr>
          <w:rFonts w:ascii="Arial Narrow" w:hAnsi="Arial Narrow"/>
          <w:sz w:val="24"/>
          <w:szCs w:val="24"/>
        </w:rPr>
        <w:t xml:space="preserve">să se implementeze noi </w:t>
      </w:r>
      <w:r w:rsidRPr="004B5EB0">
        <w:rPr>
          <w:rFonts w:ascii="Arial Narrow" w:hAnsi="Arial Narrow"/>
          <w:sz w:val="24"/>
          <w:szCs w:val="24"/>
        </w:rPr>
        <w:t xml:space="preserve"> proiecte de </w:t>
      </w:r>
      <w:r w:rsidRPr="004B5EB0">
        <w:rPr>
          <w:rFonts w:ascii="Arial Narrow" w:hAnsi="Arial Narrow"/>
          <w:sz w:val="24"/>
          <w:szCs w:val="24"/>
        </w:rPr>
        <w:lastRenderedPageBreak/>
        <w:t>anvergură</w:t>
      </w:r>
      <w:r>
        <w:rPr>
          <w:rStyle w:val="Referinnotdesubsol"/>
          <w:rFonts w:ascii="Arial Narrow" w:hAnsi="Arial Narrow"/>
          <w:sz w:val="24"/>
          <w:szCs w:val="24"/>
        </w:rPr>
        <w:footnoteReference w:id="66"/>
      </w:r>
      <w:r w:rsidRPr="004B5EB0">
        <w:rPr>
          <w:rFonts w:ascii="Arial Narrow" w:hAnsi="Arial Narrow"/>
          <w:sz w:val="24"/>
          <w:szCs w:val="24"/>
        </w:rPr>
        <w:t xml:space="preserve"> în regiune respectiv: 1. construire autostrăzi: Brașov Tîrgu Mureș Cluj Oradea, Tîrgu Mureș-Iași –Ungheni; 2.construire drumuri expres: Sebeş – Turda, Sibiu – Făgăraş; 3. modernizare drumuri naționale: reabilitare DN1, km 261+130 - km </w:t>
      </w:r>
      <w:r w:rsidR="00BD7229" w:rsidRPr="00BD7229">
        <w:rPr>
          <w:noProof/>
        </w:rPr>
        <w:pict>
          <v:shape id="Text Box 12" o:spid="_x0000_s1036" type="#_x0000_t202" style="position:absolute;left:0;text-align:left;margin-left:243.25pt;margin-top:17.65pt;width:248.8pt;height:237.75pt;z-index:25167155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" fillcolor="#ededed" strokecolor="#5b9bd5" strokeweight="1pt">
            <v:textbox style="mso-next-textbox:#Text Box 12">
              <w:txbxContent>
                <w:p w:rsidR="00064502" w:rsidRPr="00AC78C4" w:rsidRDefault="00064502" w:rsidP="00EA5F90">
                  <w:pPr>
                    <w:jc w:val="center"/>
                    <w:rPr>
                      <w:rFonts w:ascii="Arial Narrow" w:hAnsi="Arial Narrow"/>
                      <w:b/>
                    </w:rPr>
                  </w:pPr>
                  <w:r w:rsidRPr="00AC78C4">
                    <w:rPr>
                      <w:rFonts w:ascii="Arial Narrow" w:hAnsi="Arial Narrow"/>
                      <w:b/>
                    </w:rPr>
                    <w:t>Avantaje cheie ale regiunii Centru</w:t>
                  </w:r>
                </w:p>
                <w:p w:rsidR="00064502" w:rsidRPr="00AC78C4" w:rsidRDefault="00064502" w:rsidP="00981E9F">
                  <w:pPr>
                    <w:pStyle w:val="Listparagraf"/>
                    <w:numPr>
                      <w:ilvl w:val="0"/>
                      <w:numId w:val="37"/>
                    </w:numPr>
                    <w:tabs>
                      <w:tab w:val="left" w:pos="284"/>
                      <w:tab w:val="left" w:pos="709"/>
                      <w:tab w:val="left" w:pos="2268"/>
                    </w:tabs>
                    <w:spacing w:after="0" w:line="240" w:lineRule="auto"/>
                    <w:ind w:left="0" w:firstLine="0"/>
                    <w:jc w:val="both"/>
                    <w:rPr>
                      <w:rFonts w:ascii="Arial Narrow" w:hAnsi="Arial Narrow"/>
                    </w:rPr>
                  </w:pPr>
                  <w:r w:rsidRPr="00AC78C4">
                    <w:rPr>
                      <w:rFonts w:ascii="Arial Narrow" w:hAnsi="Arial Narrow"/>
                    </w:rPr>
                    <w:t xml:space="preserve">accesibilitate ridicată către și dinspre regiune, datorită infrastructurii modernizate și poziționării în centrul țării </w:t>
                  </w:r>
                </w:p>
                <w:p w:rsidR="00064502" w:rsidRPr="00AC78C4" w:rsidRDefault="00064502" w:rsidP="00981E9F">
                  <w:pPr>
                    <w:pStyle w:val="Listparagraf"/>
                    <w:numPr>
                      <w:ilvl w:val="0"/>
                      <w:numId w:val="37"/>
                    </w:numPr>
                    <w:tabs>
                      <w:tab w:val="left" w:pos="284"/>
                      <w:tab w:val="left" w:pos="426"/>
                      <w:tab w:val="left" w:pos="2268"/>
                    </w:tabs>
                    <w:spacing w:after="0" w:line="240" w:lineRule="auto"/>
                    <w:ind w:left="0" w:firstLine="0"/>
                    <w:jc w:val="both"/>
                    <w:rPr>
                      <w:rFonts w:ascii="Arial Narrow" w:hAnsi="Arial Narrow"/>
                    </w:rPr>
                  </w:pPr>
                  <w:r w:rsidRPr="00AC78C4">
                    <w:rPr>
                      <w:rFonts w:ascii="Arial Narrow" w:hAnsi="Arial Narrow"/>
                    </w:rPr>
                    <w:t>creșterea lungimii rețelei de drumuri cu peste  800 km între 2007-2014;</w:t>
                  </w:r>
                </w:p>
                <w:p w:rsidR="00064502" w:rsidRPr="00AC78C4" w:rsidRDefault="00064502" w:rsidP="00981E9F">
                  <w:pPr>
                    <w:pStyle w:val="Listparagraf"/>
                    <w:numPr>
                      <w:ilvl w:val="0"/>
                      <w:numId w:val="38"/>
                    </w:numPr>
                    <w:tabs>
                      <w:tab w:val="left" w:pos="284"/>
                      <w:tab w:val="left" w:pos="426"/>
                      <w:tab w:val="left" w:pos="2268"/>
                    </w:tabs>
                    <w:spacing w:after="0" w:line="240" w:lineRule="auto"/>
                    <w:ind w:left="0" w:firstLine="0"/>
                    <w:jc w:val="both"/>
                    <w:rPr>
                      <w:rFonts w:ascii="Arial Narrow" w:hAnsi="Arial Narrow"/>
                    </w:rPr>
                  </w:pPr>
                  <w:r w:rsidRPr="00AC78C4">
                    <w:rPr>
                      <w:rFonts w:ascii="Arial Narrow" w:hAnsi="Arial Narrow"/>
                    </w:rPr>
                    <w:t>locul 1 în ceea ce privește suprafața acoperită cu situri Natura 2000 - 36,72% din suprafața teritoriului regiunii este acoperit de arii protejate</w:t>
                  </w:r>
                </w:p>
                <w:p w:rsidR="00064502" w:rsidRPr="00AC78C4" w:rsidRDefault="00064502" w:rsidP="00981E9F">
                  <w:pPr>
                    <w:pStyle w:val="Listparagraf"/>
                    <w:numPr>
                      <w:ilvl w:val="0"/>
                      <w:numId w:val="38"/>
                    </w:numPr>
                    <w:tabs>
                      <w:tab w:val="left" w:pos="284"/>
                      <w:tab w:val="left" w:pos="426"/>
                      <w:tab w:val="left" w:pos="2268"/>
                    </w:tabs>
                    <w:spacing w:after="0" w:line="240" w:lineRule="auto"/>
                    <w:ind w:left="0" w:firstLine="0"/>
                    <w:jc w:val="both"/>
                    <w:rPr>
                      <w:rFonts w:ascii="Arial Narrow" w:hAnsi="Arial Narrow"/>
                    </w:rPr>
                  </w:pPr>
                  <w:r w:rsidRPr="00AC78C4">
                    <w:rPr>
                      <w:rFonts w:ascii="Arial Narrow" w:hAnsi="Arial Narrow"/>
                    </w:rPr>
                    <w:t>infrastructură urbană spațială echilibrată și structură teritorială coerentă, cu inter-relaţionări reale în domeniul social, economic şi administrativ;</w:t>
                  </w:r>
                </w:p>
                <w:p w:rsidR="00064502" w:rsidRPr="00AC78C4" w:rsidRDefault="00064502" w:rsidP="00981E9F">
                  <w:pPr>
                    <w:pStyle w:val="Listparagraf"/>
                    <w:numPr>
                      <w:ilvl w:val="0"/>
                      <w:numId w:val="38"/>
                    </w:numPr>
                    <w:tabs>
                      <w:tab w:val="left" w:pos="284"/>
                      <w:tab w:val="left" w:pos="709"/>
                      <w:tab w:val="left" w:pos="2268"/>
                    </w:tabs>
                    <w:spacing w:after="0" w:line="240" w:lineRule="auto"/>
                    <w:ind w:left="0" w:firstLine="0"/>
                    <w:jc w:val="both"/>
                    <w:rPr>
                      <w:rFonts w:ascii="Arial Narrow" w:hAnsi="Arial Narrow"/>
                      <w:szCs w:val="24"/>
                    </w:rPr>
                  </w:pPr>
                  <w:r w:rsidRPr="00AC78C4">
                    <w:rPr>
                      <w:rFonts w:ascii="Arial Narrow" w:hAnsi="Arial Narrow"/>
                    </w:rPr>
                    <w:t>importante investiții în dezvoltarea, modernizarea și rebilitarea infrastructurii de apă și apă uzată, gestiunii deșeurilor</w:t>
                  </w:r>
                  <w:r w:rsidRPr="00AC78C4">
                    <w:rPr>
                      <w:rFonts w:ascii="Arial Narrow" w:hAnsi="Arial Narrow"/>
                      <w:szCs w:val="24"/>
                    </w:rPr>
                    <w:t>.</w:t>
                  </w:r>
                </w:p>
                <w:p w:rsidR="00064502" w:rsidRPr="00AC78C4" w:rsidRDefault="00064502" w:rsidP="00981E9F">
                  <w:pPr>
                    <w:pStyle w:val="Listparagraf"/>
                    <w:numPr>
                      <w:ilvl w:val="0"/>
                      <w:numId w:val="38"/>
                    </w:numPr>
                    <w:tabs>
                      <w:tab w:val="left" w:pos="284"/>
                      <w:tab w:val="left" w:pos="360"/>
                      <w:tab w:val="left" w:pos="2268"/>
                    </w:tabs>
                    <w:spacing w:after="0" w:line="240" w:lineRule="auto"/>
                    <w:ind w:left="0" w:firstLine="0"/>
                    <w:jc w:val="both"/>
                    <w:rPr>
                      <w:rFonts w:ascii="Arial Narrow" w:hAnsi="Arial Narrow"/>
                      <w:szCs w:val="24"/>
                    </w:rPr>
                  </w:pPr>
                  <w:r w:rsidRPr="00AC78C4">
                    <w:rPr>
                      <w:rFonts w:ascii="Arial Narrow" w:hAnsi="Arial Narrow"/>
                      <w:szCs w:val="24"/>
                    </w:rPr>
                    <w:t>existența unor companii cu exeperiență relevantă în domeniu (ex. Flasnet Brașov dezvoltă sisteme inteligente pentru iluminatul public)</w:t>
                  </w:r>
                </w:p>
                <w:p w:rsidR="00064502" w:rsidRPr="00100A07" w:rsidRDefault="00064502" w:rsidP="00EA5F90">
                  <w:pPr>
                    <w:pStyle w:val="Listparagraf"/>
                    <w:tabs>
                      <w:tab w:val="left" w:pos="142"/>
                      <w:tab w:val="left" w:pos="284"/>
                      <w:tab w:val="left" w:pos="567"/>
                    </w:tabs>
                    <w:ind w:left="0"/>
                    <w:jc w:val="both"/>
                    <w:rPr>
                      <w:rFonts w:ascii="Arial Narrow" w:hAnsi="Arial Narrow"/>
                      <w:b/>
                    </w:rPr>
                  </w:pPr>
                </w:p>
              </w:txbxContent>
            </v:textbox>
            <w10:wrap type="square" anchorx="margin"/>
          </v:shape>
        </w:pict>
      </w:r>
      <w:r w:rsidRPr="004B5EB0">
        <w:rPr>
          <w:rFonts w:ascii="Arial Narrow" w:hAnsi="Arial Narrow"/>
          <w:sz w:val="24"/>
          <w:szCs w:val="24"/>
        </w:rPr>
        <w:t>296+29; km 173+800 - km 220+000; km 220+000 - km 261+130 (proiecte în curs de execuție); reabilitare DN12 Chichis - Toplita km 0 + 000 - km 166+625 si DN15 Reghin - Toplița km 109+940 - km 170 + 780, reabilitarea DN15A Reghin - Saratel și DN15 Tîrgu Mureș - Reghin, DN 15A km 0+000 - km 46+597 si DN 15 km 78+800 - 103+700, reabilitarea DN14 Sibiu - Medias - Sighisoara, km 3+500 - 51+100 si km 57+500 - 89+400 (proiecte demarate). Prin crearea unei infrastructuri rutiere moderne, se vor crea conexiuni cu alte zone/regiuni și vor putea fi dezvoltate noi proiecte și/sau parteneriate noi.</w:t>
      </w:r>
      <w:r>
        <w:rPr>
          <w:rFonts w:ascii="Arial Narrow" w:hAnsi="Arial Narrow"/>
          <w:sz w:val="24"/>
          <w:szCs w:val="24"/>
        </w:rPr>
        <w:t xml:space="preserve"> </w:t>
      </w:r>
      <w:r w:rsidRPr="004B5EB0">
        <w:rPr>
          <w:rFonts w:ascii="Arial Narrow" w:hAnsi="Arial Narrow"/>
          <w:sz w:val="24"/>
          <w:szCs w:val="24"/>
        </w:rPr>
        <w:t>Lungimea străzilor orășenești a crescut în 2014 cu cca 11,6 % față de 2005, un nivel ușor sub media țării unde s-a semnalat creșterea acestui indicator cu cca 15,3% (cel mai mare procent a fost semnalat în regiunea București Ilfov unde în perioada analizată, lungimea străzilor orășenești a crescut cu peste 44%).</w:t>
      </w:r>
      <w:r>
        <w:rPr>
          <w:rFonts w:ascii="Arial Narrow" w:hAnsi="Arial Narrow"/>
          <w:sz w:val="24"/>
          <w:szCs w:val="24"/>
        </w:rPr>
        <w:t xml:space="preserve"> </w:t>
      </w:r>
      <w:r w:rsidRPr="004B5EB0">
        <w:rPr>
          <w:rFonts w:ascii="Arial Narrow" w:hAnsi="Arial Narrow" w:cs="Calibri"/>
          <w:color w:val="000000"/>
          <w:sz w:val="24"/>
          <w:szCs w:val="24"/>
        </w:rPr>
        <w:t xml:space="preserve">În ceea ce privește  </w:t>
      </w:r>
      <w:r w:rsidRPr="004B5EB0">
        <w:rPr>
          <w:rFonts w:ascii="Arial Narrow" w:hAnsi="Arial Narrow"/>
          <w:sz w:val="24"/>
          <w:szCs w:val="24"/>
        </w:rPr>
        <w:t>modernizarea străzilor orășenești, în perioda analizată s-a observat o creștere cu cca. 19% a lungimii de străzi orășenești modernizate, respectiv în 2014 au fost modernizați 2816 km de străzi orășenești, regiunea Centru ocupând poziția a doua după București - Ilfov. Creșterea numărului de km modernizați în regiune, evidențiază preocuparea ridicată în ceea ce privește asigurarea unei infrastructuri care să asigure conexiuni intra- și inter– regionale.</w:t>
      </w:r>
      <w:r>
        <w:rPr>
          <w:rFonts w:ascii="Arial Narrow" w:hAnsi="Arial Narrow"/>
          <w:sz w:val="24"/>
          <w:szCs w:val="24"/>
        </w:rPr>
        <w:t xml:space="preserve"> </w:t>
      </w:r>
      <w:r w:rsidRPr="004B5EB0">
        <w:rPr>
          <w:rFonts w:ascii="Arial Narrow" w:hAnsi="Arial Narrow"/>
          <w:sz w:val="24"/>
          <w:szCs w:val="24"/>
        </w:rPr>
        <w:t>La nivel regional</w:t>
      </w:r>
      <w:r w:rsidRPr="004B5EB0">
        <w:rPr>
          <w:rFonts w:ascii="Arial Narrow" w:hAnsi="Arial Narrow"/>
          <w:i/>
          <w:sz w:val="24"/>
          <w:szCs w:val="24"/>
        </w:rPr>
        <w:t xml:space="preserve">, </w:t>
      </w:r>
      <w:r w:rsidRPr="004B5EB0">
        <w:rPr>
          <w:rFonts w:ascii="Arial Narrow" w:hAnsi="Arial Narrow"/>
          <w:sz w:val="24"/>
          <w:szCs w:val="24"/>
        </w:rPr>
        <w:t xml:space="preserve">în perioada 2008-2014,  s-a avut în vedere îmbunătăţirea calităţii şi a accesului la </w:t>
      </w:r>
      <w:r w:rsidRPr="003064E5">
        <w:rPr>
          <w:rFonts w:ascii="Arial Narrow" w:hAnsi="Arial Narrow"/>
          <w:b/>
          <w:color w:val="70AD47"/>
          <w:sz w:val="24"/>
          <w:szCs w:val="24"/>
        </w:rPr>
        <w:t>infrastructura de apă şi apă uzată</w:t>
      </w:r>
      <w:r w:rsidRPr="004B5EB0">
        <w:rPr>
          <w:rFonts w:ascii="Arial Narrow" w:hAnsi="Arial Narrow"/>
          <w:sz w:val="24"/>
          <w:szCs w:val="24"/>
        </w:rPr>
        <w:t xml:space="preserve">, investindu-se în sisteme integrate de alimentare cu apă și canalizare, inclusiv epurare. </w:t>
      </w:r>
    </w:p>
    <w:p w:rsidR="00EA5F90" w:rsidRDefault="00EA5F90" w:rsidP="00EA5F90">
      <w:pPr>
        <w:pStyle w:val="Listparagraf"/>
        <w:tabs>
          <w:tab w:val="left" w:pos="284"/>
        </w:tabs>
        <w:spacing w:after="0" w:line="240" w:lineRule="auto"/>
        <w:ind w:left="0"/>
        <w:jc w:val="both"/>
        <w:rPr>
          <w:rFonts w:ascii="Arial Narrow" w:hAnsi="Arial Narrow"/>
          <w:b/>
          <w:sz w:val="14"/>
          <w:szCs w:val="14"/>
        </w:rPr>
      </w:pPr>
    </w:p>
    <w:p w:rsidR="00EA5F90" w:rsidRPr="00263395" w:rsidRDefault="00EA5F90" w:rsidP="00EA5F90">
      <w:pPr>
        <w:pStyle w:val="Legend"/>
        <w:keepNext/>
        <w:spacing w:after="0"/>
        <w:jc w:val="center"/>
        <w:rPr>
          <w:rFonts w:ascii="Arial Narrow" w:hAnsi="Arial Narrow"/>
          <w:b w:val="0"/>
          <w:szCs w:val="24"/>
        </w:rPr>
      </w:pPr>
      <w:r w:rsidRPr="00263395">
        <w:rPr>
          <w:rFonts w:ascii="Arial Narrow" w:hAnsi="Arial Narrow"/>
        </w:rPr>
        <w:t xml:space="preserve">Tabel </w:t>
      </w:r>
      <w:r w:rsidR="00BD7229" w:rsidRPr="00263395">
        <w:rPr>
          <w:rFonts w:ascii="Arial Narrow" w:hAnsi="Arial Narrow"/>
        </w:rPr>
        <w:fldChar w:fldCharType="begin"/>
      </w:r>
      <w:r w:rsidRPr="00263395">
        <w:rPr>
          <w:rFonts w:ascii="Arial Narrow" w:hAnsi="Arial Narrow"/>
        </w:rPr>
        <w:instrText xml:space="preserve"> SEQ Tabel \* ARABIC </w:instrText>
      </w:r>
      <w:r w:rsidR="00BD7229" w:rsidRPr="00263395">
        <w:rPr>
          <w:rFonts w:ascii="Arial Narrow" w:hAnsi="Arial Narrow"/>
        </w:rPr>
        <w:fldChar w:fldCharType="separate"/>
      </w:r>
      <w:r>
        <w:rPr>
          <w:rFonts w:ascii="Arial Narrow" w:hAnsi="Arial Narrow"/>
          <w:noProof/>
        </w:rPr>
        <w:t>4</w:t>
      </w:r>
      <w:r w:rsidR="00BD7229" w:rsidRPr="00263395">
        <w:rPr>
          <w:rFonts w:ascii="Arial Narrow" w:hAnsi="Arial Narrow"/>
        </w:rPr>
        <w:fldChar w:fldCharType="end"/>
      </w:r>
      <w:r w:rsidRPr="00263395">
        <w:rPr>
          <w:rFonts w:ascii="Arial Narrow" w:hAnsi="Arial Narrow"/>
        </w:rPr>
        <w:t>.</w:t>
      </w:r>
      <w:r w:rsidRPr="00263395">
        <w:rPr>
          <w:rFonts w:ascii="Arial Narrow" w:hAnsi="Arial Narrow"/>
          <w:b w:val="0"/>
          <w:szCs w:val="24"/>
        </w:rPr>
        <w:t>Populatia deservită de sistemul public de alimentare cu apa la nivelul regiunii Centru în raport cu celelalte regiuni</w:t>
      </w: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1979"/>
        <w:gridCol w:w="1170"/>
        <w:gridCol w:w="1290"/>
        <w:gridCol w:w="1241"/>
        <w:gridCol w:w="1126"/>
        <w:gridCol w:w="1241"/>
        <w:gridCol w:w="1241"/>
      </w:tblGrid>
      <w:tr w:rsidR="00EA5F90" w:rsidRPr="003064E5" w:rsidTr="00EA5F90">
        <w:trPr>
          <w:trHeight w:hRule="exact" w:val="227"/>
        </w:trPr>
        <w:tc>
          <w:tcPr>
            <w:tcW w:w="1980" w:type="dxa"/>
            <w:vMerge w:val="restart"/>
            <w:tcBorders>
              <w:bottom w:val="single" w:sz="12" w:space="0" w:color="9CC2E5"/>
            </w:tcBorders>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 de dezvoltare</w:t>
            </w:r>
          </w:p>
        </w:tc>
        <w:tc>
          <w:tcPr>
            <w:tcW w:w="7507" w:type="dxa"/>
            <w:gridSpan w:val="6"/>
            <w:tcBorders>
              <w:bottom w:val="single" w:sz="12" w:space="0" w:color="9CC2E5"/>
            </w:tcBorders>
            <w:shd w:val="clear" w:color="auto" w:fill="BDD6EE"/>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Ani</w:t>
            </w:r>
          </w:p>
        </w:tc>
      </w:tr>
      <w:tr w:rsidR="00EA5F90" w:rsidRPr="003064E5" w:rsidTr="00EA5F90">
        <w:trPr>
          <w:trHeight w:hRule="exact" w:val="227"/>
        </w:trPr>
        <w:tc>
          <w:tcPr>
            <w:tcW w:w="1980" w:type="dxa"/>
            <w:vMerge/>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p>
        </w:tc>
        <w:tc>
          <w:tcPr>
            <w:tcW w:w="1170" w:type="dxa"/>
            <w:shd w:val="clear" w:color="auto" w:fill="BDD6EE"/>
            <w:hideMark/>
          </w:tcPr>
          <w:p w:rsidR="00EA5F90" w:rsidRPr="003064E5" w:rsidRDefault="00EA5F90" w:rsidP="00EA5F90">
            <w:pPr>
              <w:spacing w:after="0" w:line="240" w:lineRule="auto"/>
              <w:jc w:val="center"/>
              <w:rPr>
                <w:rFonts w:ascii="Arial Narrow" w:eastAsia="Times New Roman" w:hAnsi="Arial Narrow"/>
                <w:b/>
                <w:color w:val="000000"/>
                <w:sz w:val="16"/>
                <w:szCs w:val="16"/>
                <w:lang w:eastAsia="ro-RO"/>
              </w:rPr>
            </w:pPr>
            <w:r w:rsidRPr="003064E5">
              <w:rPr>
                <w:rFonts w:ascii="Arial Narrow" w:eastAsia="Times New Roman" w:hAnsi="Arial Narrow"/>
                <w:b/>
                <w:color w:val="000000"/>
                <w:sz w:val="16"/>
                <w:szCs w:val="16"/>
                <w:lang w:eastAsia="ro-RO"/>
              </w:rPr>
              <w:t>2008</w:t>
            </w:r>
          </w:p>
        </w:tc>
        <w:tc>
          <w:tcPr>
            <w:tcW w:w="0" w:type="auto"/>
            <w:gridSpan w:val="2"/>
            <w:shd w:val="clear" w:color="auto" w:fill="BDD6EE"/>
            <w:hideMark/>
          </w:tcPr>
          <w:p w:rsidR="00EA5F90" w:rsidRPr="003064E5" w:rsidRDefault="00EA5F90" w:rsidP="00EA5F90">
            <w:pPr>
              <w:spacing w:after="0" w:line="240" w:lineRule="auto"/>
              <w:jc w:val="center"/>
              <w:rPr>
                <w:rFonts w:ascii="Arial Narrow" w:eastAsia="Times New Roman" w:hAnsi="Arial Narrow"/>
                <w:b/>
                <w:color w:val="000000"/>
                <w:sz w:val="16"/>
                <w:szCs w:val="16"/>
                <w:lang w:eastAsia="ro-RO"/>
              </w:rPr>
            </w:pPr>
            <w:r w:rsidRPr="003064E5">
              <w:rPr>
                <w:rFonts w:ascii="Arial Narrow" w:eastAsia="Times New Roman" w:hAnsi="Arial Narrow"/>
                <w:b/>
                <w:color w:val="000000"/>
                <w:sz w:val="16"/>
                <w:szCs w:val="16"/>
                <w:lang w:eastAsia="ro-RO"/>
              </w:rPr>
              <w:t>2013</w:t>
            </w:r>
          </w:p>
        </w:tc>
        <w:tc>
          <w:tcPr>
            <w:tcW w:w="0" w:type="auto"/>
            <w:gridSpan w:val="3"/>
            <w:shd w:val="clear" w:color="auto" w:fill="BDD6EE"/>
          </w:tcPr>
          <w:p w:rsidR="00EA5F90" w:rsidRPr="003064E5" w:rsidRDefault="00EA5F90" w:rsidP="00EA5F90">
            <w:pPr>
              <w:spacing w:after="0" w:line="240" w:lineRule="auto"/>
              <w:jc w:val="center"/>
              <w:rPr>
                <w:rFonts w:ascii="Arial Narrow" w:eastAsia="Times New Roman" w:hAnsi="Arial Narrow"/>
                <w:b/>
                <w:color w:val="000000"/>
                <w:sz w:val="16"/>
                <w:szCs w:val="16"/>
                <w:lang w:eastAsia="ro-RO"/>
              </w:rPr>
            </w:pPr>
            <w:r w:rsidRPr="003064E5">
              <w:rPr>
                <w:rFonts w:ascii="Arial Narrow" w:eastAsia="Times New Roman" w:hAnsi="Arial Narrow"/>
                <w:b/>
                <w:color w:val="000000"/>
                <w:sz w:val="16"/>
                <w:szCs w:val="16"/>
                <w:lang w:eastAsia="ro-RO"/>
              </w:rPr>
              <w:t>2014</w:t>
            </w:r>
          </w:p>
        </w:tc>
      </w:tr>
      <w:tr w:rsidR="00EA5F90" w:rsidRPr="003064E5" w:rsidTr="00EA5F90">
        <w:trPr>
          <w:trHeight w:hRule="exact" w:val="392"/>
        </w:trPr>
        <w:tc>
          <w:tcPr>
            <w:tcW w:w="1980" w:type="dxa"/>
            <w:vMerge/>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p>
        </w:tc>
        <w:tc>
          <w:tcPr>
            <w:tcW w:w="1170" w:type="dxa"/>
            <w:shd w:val="clear" w:color="auto" w:fill="BDD6EE"/>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UM:Numar persoane</w:t>
            </w:r>
          </w:p>
        </w:tc>
        <w:tc>
          <w:tcPr>
            <w:tcW w:w="0" w:type="auto"/>
            <w:shd w:val="clear" w:color="auto" w:fill="BDD6EE"/>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UM:Numar persoane</w:t>
            </w:r>
          </w:p>
        </w:tc>
        <w:tc>
          <w:tcPr>
            <w:tcW w:w="0" w:type="auto"/>
            <w:shd w:val="clear" w:color="auto" w:fill="BDD6EE"/>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Creștere față de 2008</w:t>
            </w:r>
          </w:p>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p>
        </w:tc>
        <w:tc>
          <w:tcPr>
            <w:tcW w:w="0" w:type="auto"/>
            <w:shd w:val="clear" w:color="auto" w:fill="BDD6EE"/>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Numar persoane</w:t>
            </w:r>
          </w:p>
        </w:tc>
        <w:tc>
          <w:tcPr>
            <w:tcW w:w="0" w:type="auto"/>
            <w:shd w:val="clear" w:color="auto" w:fill="BDD6EE"/>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Creștere față de 2008</w:t>
            </w:r>
          </w:p>
        </w:tc>
        <w:tc>
          <w:tcPr>
            <w:tcW w:w="0" w:type="auto"/>
            <w:shd w:val="clear" w:color="auto" w:fill="BDD6EE"/>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Creștere față de 2013</w:t>
            </w:r>
          </w:p>
        </w:tc>
      </w:tr>
      <w:tr w:rsidR="00EA5F90" w:rsidRPr="003064E5" w:rsidTr="00EA5F90">
        <w:trPr>
          <w:trHeight w:hRule="exact" w:val="285"/>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NORD-VEST</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1.434.038,00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1.602.050,00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10,49%</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1.634.948,00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12,29%</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2,01</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70AD47"/>
                <w:sz w:val="16"/>
                <w:szCs w:val="16"/>
                <w:lang w:eastAsia="ro-RO"/>
              </w:rPr>
              <w:t>Regiunea CENTRU</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1.450.470,00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1.524.948,00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4,88%</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1.629.593,00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10,99%</w:t>
            </w:r>
          </w:p>
        </w:tc>
        <w:tc>
          <w:tcPr>
            <w:tcW w:w="0" w:type="auto"/>
            <w:shd w:val="clear" w:color="auto" w:fill="auto"/>
          </w:tcPr>
          <w:p w:rsidR="00EA5F90" w:rsidRPr="003064E5" w:rsidRDefault="00BD7229" w:rsidP="00EA5F90">
            <w:pPr>
              <w:spacing w:after="0" w:line="240" w:lineRule="auto"/>
              <w:jc w:val="center"/>
              <w:rPr>
                <w:rFonts w:ascii="Arial Narrow" w:eastAsia="Times New Roman" w:hAnsi="Arial Narrow"/>
                <w:color w:val="000000"/>
                <w:sz w:val="16"/>
                <w:szCs w:val="16"/>
                <w:lang w:eastAsia="ro-RO"/>
              </w:rPr>
            </w:pPr>
            <w:r w:rsidRPr="00BD7229">
              <w:rPr>
                <w:noProof/>
              </w:rPr>
              <w:pict>
                <v:oval id="Oval 9" o:spid="_x0000_s1053" style="position:absolute;left:0;text-align:left;margin-left:8.7pt;margin-top:-1.3pt;width:30pt;height:13.5pt;z-index:-251627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" fillcolor="yellow" stroked="f" strokeweight="1pt">
                  <v:stroke joinstyle="miter"/>
                </v:oval>
              </w:pict>
            </w:r>
            <w:r w:rsidR="00EA5F90" w:rsidRPr="003064E5">
              <w:rPr>
                <w:rFonts w:ascii="Arial Narrow" w:hAnsi="Arial Narrow"/>
                <w:sz w:val="16"/>
                <w:szCs w:val="16"/>
              </w:rPr>
              <w:t>6,42</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NORD-EST</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1.341.998,00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1.608.025,00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16,54%</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1.612.880,00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16,79%</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0,30</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SUD-EST</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1.713.807,00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1.707.904,00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-0,35%</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1.764.447,00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2,87%</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3,20</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SUD-MUNTENIA</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1.594.334,00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1.722.343,00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7,43%</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1.718.797,00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7,24%</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-0,21</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BUCURESTI - ILFOV</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1.727.078,00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1.849.899,00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6,64%</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1.862.414,00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7,27%</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0,67</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SUD-VEST OLTENIA</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924.059,00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1.027.364,00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10,06%</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1.005.990,00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8,14%</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-2,12</w:t>
            </w:r>
          </w:p>
        </w:tc>
      </w:tr>
      <w:tr w:rsidR="00EA5F90" w:rsidRPr="003064E5" w:rsidTr="00EA5F90">
        <w:trPr>
          <w:trHeight w:hRule="exact" w:val="227"/>
        </w:trPr>
        <w:tc>
          <w:tcPr>
            <w:tcW w:w="1980"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Regiunea VEST</w:t>
            </w:r>
          </w:p>
        </w:tc>
        <w:tc>
          <w:tcPr>
            <w:tcW w:w="1170"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1.150.892,00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1.225.910,00</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6,12%</w:t>
            </w:r>
          </w:p>
        </w:tc>
        <w:tc>
          <w:tcPr>
            <w:tcW w:w="0" w:type="auto"/>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1.225.840,00</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6,11%</w:t>
            </w:r>
          </w:p>
        </w:tc>
        <w:tc>
          <w:tcPr>
            <w:tcW w:w="0" w:type="auto"/>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16"/>
                <w:lang w:eastAsia="ro-RO"/>
              </w:rPr>
            </w:pPr>
            <w:r w:rsidRPr="003064E5">
              <w:rPr>
                <w:rFonts w:ascii="Arial Narrow" w:hAnsi="Arial Narrow"/>
                <w:sz w:val="16"/>
                <w:szCs w:val="16"/>
              </w:rPr>
              <w:t xml:space="preserve">-0,01 </w:t>
            </w:r>
          </w:p>
        </w:tc>
      </w:tr>
    </w:tbl>
    <w:p w:rsidR="00EA5F90" w:rsidRPr="00DE7B4F" w:rsidRDefault="00EA5F90" w:rsidP="00EA5F90">
      <w:pPr>
        <w:pStyle w:val="Listparagraf"/>
        <w:spacing w:after="0" w:line="240" w:lineRule="auto"/>
        <w:ind w:left="0"/>
        <w:jc w:val="right"/>
        <w:rPr>
          <w:rFonts w:ascii="Arial Narrow" w:hAnsi="Arial Narrow"/>
          <w:b/>
          <w:sz w:val="12"/>
          <w:szCs w:val="24"/>
        </w:rPr>
      </w:pPr>
      <w:r w:rsidRPr="00DE7B4F">
        <w:rPr>
          <w:rFonts w:ascii="Arial Narrow" w:hAnsi="Arial Narrow"/>
          <w:b/>
          <w:sz w:val="12"/>
          <w:szCs w:val="24"/>
        </w:rPr>
        <w:t>Sursa INS</w:t>
      </w:r>
    </w:p>
    <w:p w:rsidR="00EA5F90" w:rsidRPr="00263395"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sz w:val="24"/>
          <w:szCs w:val="24"/>
        </w:rPr>
        <w:t>Din tabelul de mai sus, se observă că</w:t>
      </w:r>
      <w:r>
        <w:rPr>
          <w:rFonts w:ascii="Arial Narrow" w:hAnsi="Arial Narrow"/>
          <w:sz w:val="24"/>
          <w:szCs w:val="24"/>
        </w:rPr>
        <w:t xml:space="preserve">, </w:t>
      </w:r>
      <w:r w:rsidRPr="00263395">
        <w:rPr>
          <w:rFonts w:ascii="Arial Narrow" w:hAnsi="Arial Narrow"/>
          <w:sz w:val="24"/>
          <w:szCs w:val="24"/>
        </w:rPr>
        <w:t xml:space="preserve">cea mai mare creștere a numărului de locuințe branșate la sistemul de alimentare cu apă </w:t>
      </w:r>
      <w:r>
        <w:rPr>
          <w:rFonts w:ascii="Arial Narrow" w:hAnsi="Arial Narrow"/>
          <w:sz w:val="24"/>
          <w:szCs w:val="24"/>
        </w:rPr>
        <w:t xml:space="preserve">în 2014 față de anul precedent, </w:t>
      </w:r>
      <w:r w:rsidRPr="00263395">
        <w:rPr>
          <w:rFonts w:ascii="Arial Narrow" w:hAnsi="Arial Narrow"/>
          <w:sz w:val="24"/>
          <w:szCs w:val="24"/>
        </w:rPr>
        <w:t>a fost semnalat</w:t>
      </w:r>
      <w:r>
        <w:rPr>
          <w:rFonts w:ascii="Arial Narrow" w:hAnsi="Arial Narrow"/>
          <w:sz w:val="24"/>
          <w:szCs w:val="24"/>
        </w:rPr>
        <w:t>ă</w:t>
      </w:r>
      <w:r w:rsidRPr="00263395">
        <w:rPr>
          <w:rFonts w:ascii="Arial Narrow" w:hAnsi="Arial Narrow"/>
          <w:sz w:val="24"/>
          <w:szCs w:val="24"/>
        </w:rPr>
        <w:t xml:space="preserve"> în regiunea Centru.  În ceea ce privește </w:t>
      </w:r>
      <w:r w:rsidRPr="00263395">
        <w:rPr>
          <w:rFonts w:ascii="Arial Narrow" w:hAnsi="Arial Narrow"/>
          <w:b/>
          <w:i/>
          <w:sz w:val="24"/>
          <w:szCs w:val="24"/>
        </w:rPr>
        <w:t>lungimea totală a rețelei de distribuție la apă potabilă, în 2014 s-a observat o creștere cu 29,14% față de 2006.</w:t>
      </w:r>
      <w:r w:rsidRPr="00263395">
        <w:rPr>
          <w:rFonts w:ascii="Arial Narrow" w:hAnsi="Arial Narrow"/>
          <w:sz w:val="24"/>
          <w:szCs w:val="24"/>
        </w:rPr>
        <w:t xml:space="preserve"> Această creștere este justificată de absorbția fondurilor europene și de proiectele realizate de autoritățile județene și locale. Dacă avem în vedere indicatorul „locuitorii cu locuințele conectate la sistemele de canalizare și epurare a apelor uzate” pe regiuni și județe, potrivit datelor statistice, </w:t>
      </w:r>
      <w:r w:rsidRPr="00263395">
        <w:rPr>
          <w:rFonts w:ascii="Arial Narrow" w:hAnsi="Arial Narrow"/>
          <w:b/>
          <w:i/>
          <w:sz w:val="24"/>
          <w:szCs w:val="24"/>
        </w:rPr>
        <w:t>regiunea Centru are cei mai mulți locuitori conectați la sistemul orășenesc de epurare</w:t>
      </w:r>
      <w:r w:rsidRPr="00263395">
        <w:rPr>
          <w:rFonts w:ascii="Arial Narrow" w:hAnsi="Arial Narrow"/>
          <w:sz w:val="24"/>
          <w:szCs w:val="24"/>
        </w:rPr>
        <w:t xml:space="preserve"> (după București</w:t>
      </w:r>
      <w:r>
        <w:rPr>
          <w:rFonts w:ascii="Arial Narrow" w:hAnsi="Arial Narrow"/>
          <w:sz w:val="24"/>
          <w:szCs w:val="24"/>
        </w:rPr>
        <w:t>-</w:t>
      </w:r>
      <w:r w:rsidRPr="00263395">
        <w:rPr>
          <w:rFonts w:ascii="Arial Narrow" w:hAnsi="Arial Narrow"/>
          <w:sz w:val="24"/>
          <w:szCs w:val="24"/>
        </w:rPr>
        <w:t xml:space="preserve">Ilfov), precum și </w:t>
      </w:r>
      <w:r w:rsidRPr="00263395">
        <w:rPr>
          <w:rFonts w:ascii="Arial Narrow" w:hAnsi="Arial Narrow"/>
          <w:b/>
          <w:i/>
          <w:sz w:val="24"/>
          <w:szCs w:val="24"/>
        </w:rPr>
        <w:t>cel mai mare număr de locuitori conectați la sistem de epurare orașenesc cu treaptă secundară de epurare</w:t>
      </w:r>
      <w:r w:rsidRPr="00263395">
        <w:rPr>
          <w:rFonts w:ascii="Arial Narrow" w:hAnsi="Arial Narrow"/>
          <w:sz w:val="24"/>
          <w:szCs w:val="24"/>
        </w:rPr>
        <w:t xml:space="preserve">. Pe de altă parte, la nivelul regiunii trebuie </w:t>
      </w:r>
      <w:r w:rsidRPr="00263395">
        <w:rPr>
          <w:rFonts w:ascii="Arial Narrow" w:hAnsi="Arial Narrow"/>
          <w:sz w:val="24"/>
          <w:szCs w:val="24"/>
        </w:rPr>
        <w:lastRenderedPageBreak/>
        <w:t>avute în vedere investiții în domeniu, ținând cont că aici se găsește cel mai mare număr de sisteme de canalizare fără stații de epurare</w:t>
      </w:r>
      <w:r w:rsidRPr="00263395">
        <w:rPr>
          <w:rStyle w:val="Referinnotdesubsol"/>
          <w:rFonts w:ascii="Arial Narrow" w:hAnsi="Arial Narrow"/>
          <w:sz w:val="24"/>
          <w:szCs w:val="24"/>
        </w:rPr>
        <w:footnoteReference w:id="67"/>
      </w:r>
      <w:r w:rsidRPr="00263395">
        <w:rPr>
          <w:rFonts w:ascii="Arial Narrow" w:hAnsi="Arial Narrow"/>
          <w:sz w:val="24"/>
          <w:szCs w:val="24"/>
        </w:rPr>
        <w:t xml:space="preserve">. </w:t>
      </w:r>
      <w:r w:rsidRPr="00263395">
        <w:rPr>
          <w:rFonts w:ascii="Arial Narrow" w:hAnsi="Arial Narrow"/>
          <w:b/>
          <w:sz w:val="24"/>
          <w:szCs w:val="24"/>
        </w:rPr>
        <w:t>Gradul de racordare la sistemul de canalizare este ridicat</w:t>
      </w:r>
      <w:r w:rsidRPr="00263395">
        <w:rPr>
          <w:rFonts w:ascii="Arial Narrow" w:hAnsi="Arial Narrow"/>
          <w:sz w:val="24"/>
          <w:szCs w:val="24"/>
        </w:rPr>
        <w:t xml:space="preserve">, respectiv </w:t>
      </w:r>
      <w:r w:rsidRPr="00263395">
        <w:rPr>
          <w:rFonts w:ascii="Arial Narrow" w:hAnsi="Arial Narrow"/>
          <w:b/>
          <w:sz w:val="24"/>
          <w:szCs w:val="24"/>
        </w:rPr>
        <w:t>în trei județe (Braşov, Harghita, Sibiu)</w:t>
      </w:r>
      <w:r w:rsidRPr="00263395">
        <w:rPr>
          <w:rFonts w:ascii="Arial Narrow" w:hAnsi="Arial Narrow"/>
          <w:sz w:val="24"/>
          <w:szCs w:val="24"/>
        </w:rPr>
        <w:t xml:space="preserve"> </w:t>
      </w:r>
      <w:r w:rsidRPr="00263395">
        <w:rPr>
          <w:rFonts w:ascii="Arial Narrow" w:hAnsi="Arial Narrow"/>
          <w:b/>
          <w:sz w:val="24"/>
          <w:szCs w:val="24"/>
        </w:rPr>
        <w:t>depășește 70%</w:t>
      </w:r>
      <w:r w:rsidRPr="00263395">
        <w:rPr>
          <w:rStyle w:val="Referinnotdesubsol"/>
          <w:rFonts w:ascii="Arial Narrow" w:hAnsi="Arial Narrow"/>
          <w:sz w:val="24"/>
          <w:szCs w:val="24"/>
        </w:rPr>
        <w:footnoteReference w:id="68"/>
      </w:r>
      <w:r w:rsidRPr="00263395">
        <w:rPr>
          <w:rFonts w:ascii="Arial Narrow" w:hAnsi="Arial Narrow"/>
          <w:sz w:val="24"/>
          <w:szCs w:val="24"/>
        </w:rPr>
        <w:t xml:space="preserve">, ceea </w:t>
      </w:r>
      <w:r>
        <w:rPr>
          <w:rFonts w:ascii="Arial Narrow" w:hAnsi="Arial Narrow"/>
          <w:sz w:val="24"/>
          <w:szCs w:val="24"/>
        </w:rPr>
        <w:t xml:space="preserve">ce </w:t>
      </w:r>
      <w:r w:rsidRPr="00EB54A5">
        <w:rPr>
          <w:rFonts w:ascii="Arial Narrow" w:hAnsi="Arial Narrow"/>
          <w:sz w:val="24"/>
          <w:szCs w:val="24"/>
        </w:rPr>
        <w:t>demonstrează interes ridicat în dezvoltarea</w:t>
      </w:r>
      <w:r w:rsidRPr="00263395">
        <w:rPr>
          <w:rFonts w:ascii="Arial Narrow" w:hAnsi="Arial Narrow"/>
          <w:sz w:val="24"/>
          <w:szCs w:val="24"/>
        </w:rPr>
        <w:t xml:space="preserve"> mediului construit. La nivelul regiunii există</w:t>
      </w:r>
      <w:r w:rsidRPr="00263395">
        <w:rPr>
          <w:rFonts w:ascii="Arial Narrow" w:hAnsi="Arial Narrow"/>
          <w:b/>
          <w:sz w:val="24"/>
          <w:szCs w:val="24"/>
        </w:rPr>
        <w:t xml:space="preserve"> sisteme de epurare eficiente energetic, unice în România</w:t>
      </w:r>
      <w:r w:rsidRPr="00263395">
        <w:rPr>
          <w:rFonts w:ascii="Arial Narrow" w:hAnsi="Arial Narrow"/>
          <w:sz w:val="24"/>
          <w:szCs w:val="24"/>
        </w:rPr>
        <w:t xml:space="preserve">. Un exemplu în acest sens, este </w:t>
      </w:r>
      <w:r w:rsidRPr="00263395">
        <w:rPr>
          <w:rFonts w:ascii="Arial Narrow" w:hAnsi="Arial Narrow"/>
          <w:b/>
          <w:sz w:val="24"/>
          <w:szCs w:val="24"/>
        </w:rPr>
        <w:t>statia de epurare ecologica de la Viscri</w:t>
      </w:r>
      <w:r>
        <w:rPr>
          <w:rFonts w:ascii="Arial Narrow" w:hAnsi="Arial Narrow"/>
          <w:b/>
          <w:sz w:val="24"/>
          <w:szCs w:val="24"/>
        </w:rPr>
        <w:t>,</w:t>
      </w:r>
      <w:r w:rsidRPr="00263395">
        <w:rPr>
          <w:rFonts w:ascii="Arial Narrow" w:hAnsi="Arial Narrow"/>
          <w:b/>
          <w:sz w:val="24"/>
          <w:szCs w:val="24"/>
        </w:rPr>
        <w:t xml:space="preserve"> </w:t>
      </w:r>
      <w:r w:rsidRPr="00263395">
        <w:rPr>
          <w:rFonts w:ascii="Arial Narrow" w:hAnsi="Arial Narrow"/>
          <w:sz w:val="24"/>
          <w:szCs w:val="24"/>
        </w:rPr>
        <w:t xml:space="preserve">o statie în trei trepte, cu lagune, in care procesul de tratare a apelor uzate este realizat cu ajutorul bacteriilor, iar colectarea se face gravitational, fara sa fie nevoie de pompe si consum electric. </w:t>
      </w:r>
    </w:p>
    <w:p w:rsidR="00EA5F90" w:rsidRPr="00263395" w:rsidRDefault="00EA5F90" w:rsidP="00EA5F90">
      <w:pPr>
        <w:pStyle w:val="Listparagraf"/>
        <w:spacing w:after="0" w:line="240" w:lineRule="auto"/>
        <w:ind w:left="0"/>
        <w:jc w:val="both"/>
        <w:rPr>
          <w:rFonts w:ascii="Arial Narrow" w:hAnsi="Arial Narrow"/>
          <w:sz w:val="24"/>
          <w:szCs w:val="24"/>
        </w:rPr>
      </w:pPr>
      <w:r w:rsidRPr="003064E5">
        <w:rPr>
          <w:rFonts w:ascii="Arial Narrow" w:hAnsi="Arial Narrow"/>
          <w:b/>
          <w:color w:val="70AD47"/>
          <w:sz w:val="24"/>
          <w:szCs w:val="24"/>
        </w:rPr>
        <w:t>Termoficarea centralizată</w:t>
      </w:r>
      <w:r w:rsidRPr="00263395">
        <w:rPr>
          <w:rFonts w:ascii="Arial Narrow" w:hAnsi="Arial Narrow"/>
          <w:sz w:val="24"/>
          <w:szCs w:val="24"/>
        </w:rPr>
        <w:t xml:space="preserve"> a locuințelor este practicată cu succes în multe țări europene. Cu toate acestea, în </w:t>
      </w:r>
      <w:r w:rsidRPr="00EB54A5">
        <w:rPr>
          <w:rFonts w:ascii="Arial Narrow" w:hAnsi="Arial Narrow"/>
          <w:sz w:val="24"/>
          <w:szCs w:val="24"/>
        </w:rPr>
        <w:t xml:space="preserve">România și cu precădere în regiunea Centru, aceasta se confruntă cu o puternică criză tehnică, respectiv peste 75% din localitățile urbane ale regiunii s-au debranșat de la sistemul centralizat de încălzire (respectiv în 37 din cele 53 de orașe ale regiunii). </w:t>
      </w:r>
      <w:r w:rsidRPr="00263395">
        <w:rPr>
          <w:rFonts w:ascii="Arial Narrow" w:hAnsi="Arial Narrow"/>
          <w:sz w:val="24"/>
          <w:szCs w:val="24"/>
        </w:rPr>
        <w:t xml:space="preserve">Conform </w:t>
      </w:r>
      <w:r>
        <w:rPr>
          <w:rFonts w:ascii="Arial Narrow" w:hAnsi="Arial Narrow"/>
          <w:sz w:val="24"/>
          <w:szCs w:val="24"/>
        </w:rPr>
        <w:t>datelor</w:t>
      </w:r>
      <w:r w:rsidRPr="00263395">
        <w:rPr>
          <w:rStyle w:val="Referinnotdesubsol"/>
          <w:rFonts w:ascii="Arial Narrow" w:hAnsi="Arial Narrow"/>
          <w:sz w:val="24"/>
          <w:szCs w:val="24"/>
        </w:rPr>
        <w:footnoteReference w:id="69"/>
      </w:r>
      <w:r w:rsidRPr="00263395">
        <w:rPr>
          <w:rFonts w:ascii="Arial Narrow" w:hAnsi="Arial Narrow"/>
          <w:sz w:val="24"/>
          <w:szCs w:val="24"/>
        </w:rPr>
        <w:t xml:space="preserve"> </w:t>
      </w:r>
      <w:r>
        <w:rPr>
          <w:rFonts w:ascii="Arial Narrow" w:hAnsi="Arial Narrow"/>
          <w:sz w:val="24"/>
          <w:szCs w:val="24"/>
        </w:rPr>
        <w:t>publicate</w:t>
      </w:r>
      <w:r w:rsidRPr="00263395">
        <w:rPr>
          <w:rFonts w:ascii="Arial Narrow" w:hAnsi="Arial Narrow"/>
          <w:sz w:val="24"/>
          <w:szCs w:val="24"/>
        </w:rPr>
        <w:t xml:space="preserve"> de Autoritatea Națională de Reglementare pentru Serviciile Comunitare de Utilități Publice (A.N.R.S.C)</w:t>
      </w:r>
      <w:r>
        <w:rPr>
          <w:rFonts w:ascii="Arial Narrow" w:hAnsi="Arial Narrow"/>
          <w:sz w:val="24"/>
          <w:szCs w:val="24"/>
        </w:rPr>
        <w:t>,</w:t>
      </w:r>
      <w:r w:rsidRPr="00263395">
        <w:rPr>
          <w:rFonts w:ascii="Arial Narrow" w:hAnsi="Arial Narrow"/>
          <w:sz w:val="24"/>
          <w:szCs w:val="24"/>
        </w:rPr>
        <w:t xml:space="preserve"> în iunie 2016</w:t>
      </w:r>
      <w:r>
        <w:rPr>
          <w:rFonts w:ascii="Arial Narrow" w:hAnsi="Arial Narrow"/>
          <w:sz w:val="24"/>
          <w:szCs w:val="24"/>
        </w:rPr>
        <w:t xml:space="preserve">, </w:t>
      </w:r>
      <w:r w:rsidRPr="00263395">
        <w:rPr>
          <w:rFonts w:ascii="Arial Narrow" w:hAnsi="Arial Narrow"/>
          <w:sz w:val="24"/>
          <w:szCs w:val="24"/>
        </w:rPr>
        <w:t>la nivelul regiunii existau 2.701 branșamente funcționale cu un grad de contorizare de 98% pentru încălzire și 97,9% pentru apă caldă de consum. Din cele 1.270.537 apartamente</w:t>
      </w:r>
      <w:r>
        <w:rPr>
          <w:rFonts w:ascii="Arial Narrow" w:hAnsi="Arial Narrow"/>
          <w:sz w:val="24"/>
          <w:szCs w:val="24"/>
        </w:rPr>
        <w:t xml:space="preserve">, </w:t>
      </w:r>
      <w:r w:rsidRPr="00263395">
        <w:rPr>
          <w:rFonts w:ascii="Arial Narrow" w:hAnsi="Arial Narrow"/>
          <w:sz w:val="24"/>
          <w:szCs w:val="24"/>
        </w:rPr>
        <w:t xml:space="preserve">racordate la SACET la nivel național, în regiunea Centru erau conectate numai  </w:t>
      </w:r>
      <w:r w:rsidRPr="00263395">
        <w:rPr>
          <w:rFonts w:ascii="Arial Narrow" w:hAnsi="Arial Narrow" w:cs="Calibri"/>
          <w:color w:val="000000"/>
          <w:sz w:val="24"/>
          <w:szCs w:val="24"/>
        </w:rPr>
        <w:t>19.900 apartamente (2% din totalul de la nivel național),</w:t>
      </w:r>
      <w:r w:rsidRPr="00263395">
        <w:rPr>
          <w:rFonts w:ascii="Arial Narrow" w:hAnsi="Arial Narrow"/>
          <w:sz w:val="24"/>
          <w:szCs w:val="24"/>
        </w:rPr>
        <w:t xml:space="preserve"> raportându-se totodată și debranșarea de la sistem a 15 de apartamente în iunie 2016. Cu toate acestea, potrivit specialiştilor, </w:t>
      </w:r>
      <w:r w:rsidRPr="00EB54A5">
        <w:rPr>
          <w:rFonts w:ascii="Arial Narrow" w:hAnsi="Arial Narrow"/>
          <w:sz w:val="24"/>
          <w:szCs w:val="24"/>
        </w:rPr>
        <w:t xml:space="preserve">sistemul </w:t>
      </w:r>
      <w:r>
        <w:rPr>
          <w:noProof/>
          <w:lang w:val="en-US" w:eastAsia="en-US"/>
        </w:rPr>
        <w:drawing>
          <wp:anchor distT="0" distB="0" distL="114300" distR="114300" simplePos="0" relativeHeight="251672576" behindDoc="0" locked="0" layoutInCell="1" allowOverlap="1">
            <wp:simplePos x="0" y="0"/>
            <wp:positionH relativeFrom="margin">
              <wp:align>right</wp:align>
            </wp:positionH>
            <wp:positionV relativeFrom="paragraph">
              <wp:posOffset>533400</wp:posOffset>
            </wp:positionV>
            <wp:extent cx="2414270" cy="2066290"/>
            <wp:effectExtent l="0" t="0" r="0" b="0"/>
            <wp:wrapSquare wrapText="bothSides"/>
            <wp:docPr id="25"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EB54A5">
        <w:rPr>
          <w:rFonts w:ascii="Arial Narrow" w:hAnsi="Arial Narrow"/>
          <w:sz w:val="24"/>
          <w:szCs w:val="24"/>
        </w:rPr>
        <w:t>centralizat de termoficare este cel mai eficient sistem de asigurare a apei calde şi a căldurii pentru locuitorii oraşelor</w:t>
      </w:r>
      <w:r w:rsidRPr="00263395">
        <w:rPr>
          <w:rFonts w:ascii="Arial Narrow" w:hAnsi="Arial Narrow"/>
          <w:sz w:val="24"/>
          <w:szCs w:val="24"/>
        </w:rPr>
        <w:t xml:space="preserve">. Față de o soluţie individuală de încălzire, sistemul centralizat are avantajul de a produce eficient energie termică (şi de multe ori și energie electrică, prin cogenerare) la un preţ mult mai mic. În momentul de față la nivelul regiunii, </w:t>
      </w:r>
      <w:r>
        <w:rPr>
          <w:rFonts w:ascii="Arial Narrow" w:hAnsi="Arial Narrow"/>
          <w:sz w:val="24"/>
          <w:szCs w:val="24"/>
        </w:rPr>
        <w:t xml:space="preserve">există și localități unde în ultima perioadă s-au făcut investiții susbstanțiale în </w:t>
      </w:r>
      <w:r w:rsidRPr="00263395">
        <w:rPr>
          <w:rFonts w:ascii="Arial Narrow" w:hAnsi="Arial Narrow"/>
          <w:sz w:val="24"/>
          <w:szCs w:val="24"/>
        </w:rPr>
        <w:t>reabilitare</w:t>
      </w:r>
      <w:r>
        <w:rPr>
          <w:rFonts w:ascii="Arial Narrow" w:hAnsi="Arial Narrow"/>
          <w:sz w:val="24"/>
          <w:szCs w:val="24"/>
        </w:rPr>
        <w:t>a</w:t>
      </w:r>
      <w:r w:rsidRPr="00263395">
        <w:rPr>
          <w:rFonts w:ascii="Arial Narrow" w:hAnsi="Arial Narrow"/>
          <w:sz w:val="24"/>
          <w:szCs w:val="24"/>
        </w:rPr>
        <w:t xml:space="preserve"> şi modernizare</w:t>
      </w:r>
      <w:r>
        <w:rPr>
          <w:rFonts w:ascii="Arial Narrow" w:hAnsi="Arial Narrow"/>
          <w:sz w:val="24"/>
          <w:szCs w:val="24"/>
        </w:rPr>
        <w:t>a</w:t>
      </w:r>
      <w:r w:rsidRPr="00263395">
        <w:rPr>
          <w:rFonts w:ascii="Arial Narrow" w:hAnsi="Arial Narrow"/>
          <w:sz w:val="24"/>
          <w:szCs w:val="24"/>
        </w:rPr>
        <w:t xml:space="preserve"> puncte</w:t>
      </w:r>
      <w:r>
        <w:rPr>
          <w:rFonts w:ascii="Arial Narrow" w:hAnsi="Arial Narrow"/>
          <w:sz w:val="24"/>
          <w:szCs w:val="24"/>
        </w:rPr>
        <w:t>lor</w:t>
      </w:r>
      <w:r w:rsidRPr="00263395">
        <w:rPr>
          <w:rFonts w:ascii="Arial Narrow" w:hAnsi="Arial Narrow"/>
          <w:sz w:val="24"/>
          <w:szCs w:val="24"/>
        </w:rPr>
        <w:t xml:space="preserve"> termice şi </w:t>
      </w:r>
      <w:r>
        <w:rPr>
          <w:rFonts w:ascii="Arial Narrow" w:hAnsi="Arial Narrow"/>
          <w:sz w:val="24"/>
          <w:szCs w:val="24"/>
        </w:rPr>
        <w:t xml:space="preserve">a </w:t>
      </w:r>
      <w:r w:rsidRPr="00263395">
        <w:rPr>
          <w:rFonts w:ascii="Arial Narrow" w:hAnsi="Arial Narrow"/>
          <w:sz w:val="24"/>
          <w:szCs w:val="24"/>
        </w:rPr>
        <w:t>reţele</w:t>
      </w:r>
      <w:r>
        <w:rPr>
          <w:rFonts w:ascii="Arial Narrow" w:hAnsi="Arial Narrow"/>
          <w:sz w:val="24"/>
          <w:szCs w:val="24"/>
        </w:rPr>
        <w:t>lor</w:t>
      </w:r>
      <w:r w:rsidRPr="00263395">
        <w:rPr>
          <w:rFonts w:ascii="Arial Narrow" w:hAnsi="Arial Narrow"/>
          <w:sz w:val="24"/>
          <w:szCs w:val="24"/>
        </w:rPr>
        <w:t xml:space="preserve"> termice</w:t>
      </w:r>
      <w:r w:rsidRPr="00263395">
        <w:rPr>
          <w:rStyle w:val="Referinnotdesubsol"/>
          <w:rFonts w:ascii="Arial Narrow" w:hAnsi="Arial Narrow"/>
          <w:sz w:val="24"/>
          <w:szCs w:val="24"/>
        </w:rPr>
        <w:footnoteReference w:id="70"/>
      </w:r>
      <w:r>
        <w:rPr>
          <w:rFonts w:ascii="Arial Narrow" w:hAnsi="Arial Narrow"/>
          <w:sz w:val="24"/>
          <w:szCs w:val="24"/>
        </w:rPr>
        <w:t xml:space="preserve">. De asemenea, există localități unde, deși termoficarea centralizată este pretabilă, </w:t>
      </w:r>
      <w:r w:rsidRPr="00263395">
        <w:rPr>
          <w:rFonts w:ascii="Arial Narrow" w:hAnsi="Arial Narrow"/>
          <w:sz w:val="24"/>
          <w:szCs w:val="24"/>
        </w:rPr>
        <w:t xml:space="preserve">starea </w:t>
      </w:r>
      <w:r>
        <w:rPr>
          <w:rFonts w:ascii="Arial Narrow" w:hAnsi="Arial Narrow"/>
          <w:sz w:val="24"/>
          <w:szCs w:val="24"/>
        </w:rPr>
        <w:t xml:space="preserve">actuală a </w:t>
      </w:r>
      <w:r w:rsidRPr="00263395">
        <w:rPr>
          <w:rFonts w:ascii="Arial Narrow" w:hAnsi="Arial Narrow"/>
          <w:sz w:val="24"/>
          <w:szCs w:val="24"/>
        </w:rPr>
        <w:t>reţelel</w:t>
      </w:r>
      <w:r>
        <w:rPr>
          <w:rFonts w:ascii="Arial Narrow" w:hAnsi="Arial Narrow"/>
          <w:sz w:val="24"/>
          <w:szCs w:val="24"/>
        </w:rPr>
        <w:t>or</w:t>
      </w:r>
      <w:r w:rsidRPr="00263395">
        <w:rPr>
          <w:rFonts w:ascii="Arial Narrow" w:hAnsi="Arial Narrow"/>
          <w:sz w:val="24"/>
          <w:szCs w:val="24"/>
        </w:rPr>
        <w:t xml:space="preserve"> de transport şi alimentare </w:t>
      </w:r>
      <w:r>
        <w:rPr>
          <w:rFonts w:ascii="Arial Narrow" w:hAnsi="Arial Narrow"/>
          <w:sz w:val="24"/>
          <w:szCs w:val="24"/>
        </w:rPr>
        <w:t>face</w:t>
      </w:r>
      <w:r w:rsidRPr="00263395">
        <w:rPr>
          <w:rFonts w:ascii="Arial Narrow" w:hAnsi="Arial Narrow"/>
          <w:sz w:val="24"/>
          <w:szCs w:val="24"/>
        </w:rPr>
        <w:t xml:space="preserve"> imposibilă reluarea</w:t>
      </w:r>
      <w:r>
        <w:rPr>
          <w:rFonts w:ascii="Arial Narrow" w:hAnsi="Arial Narrow"/>
          <w:sz w:val="24"/>
          <w:szCs w:val="24"/>
        </w:rPr>
        <w:t xml:space="preserve"> alimentării cu energie termică, </w:t>
      </w:r>
      <w:r w:rsidRPr="00263395">
        <w:rPr>
          <w:rFonts w:ascii="Arial Narrow" w:hAnsi="Arial Narrow"/>
          <w:sz w:val="24"/>
          <w:szCs w:val="24"/>
        </w:rPr>
        <w:t xml:space="preserve">chiar dacă </w:t>
      </w:r>
      <w:r>
        <w:rPr>
          <w:rFonts w:ascii="Arial Narrow" w:hAnsi="Arial Narrow"/>
          <w:sz w:val="24"/>
          <w:szCs w:val="24"/>
        </w:rPr>
        <w:t>s-ar realiza</w:t>
      </w:r>
      <w:r w:rsidRPr="00263395">
        <w:rPr>
          <w:rFonts w:ascii="Arial Narrow" w:hAnsi="Arial Narrow"/>
          <w:sz w:val="24"/>
          <w:szCs w:val="24"/>
        </w:rPr>
        <w:t xml:space="preserve"> surse de alimentare centralizate competitive.</w:t>
      </w:r>
      <w:r>
        <w:rPr>
          <w:rFonts w:ascii="Arial Narrow" w:hAnsi="Arial Narrow"/>
          <w:sz w:val="24"/>
          <w:szCs w:val="24"/>
        </w:rPr>
        <w:t xml:space="preserve"> S</w:t>
      </w:r>
      <w:r w:rsidRPr="00263395">
        <w:rPr>
          <w:rFonts w:ascii="Arial Narrow" w:hAnsi="Arial Narrow"/>
          <w:sz w:val="24"/>
          <w:szCs w:val="24"/>
        </w:rPr>
        <w:t>istemele centralizate de încălzire din localitățile regiunii Centru utilizează preponderent gaze naturale și câteva biomasa lemnoasă, rumeguș/peleți (Miercurea Ciuc, Gheorgheni, Vlăhita etc). În câteva din localitățile regiunii (Municipiul Brașov, Târgu Mureș, Făgăraș), pentru cartiere sau zone punctuale, energia termică pentru sistemele centralizate de încălzire este produsă în centrale de cogenerare cu funcţionare pe bază de gaze naturale şi cazan de apă fierbinte (CAF)/ gaze naturale și biomasă etc. La nivel regional, cel mai mare preț de facturare la populație</w:t>
      </w:r>
      <w:r w:rsidRPr="00263395">
        <w:rPr>
          <w:rStyle w:val="Referinnotdesubsol"/>
          <w:rFonts w:ascii="Arial Narrow" w:hAnsi="Arial Narrow"/>
          <w:sz w:val="24"/>
          <w:szCs w:val="24"/>
        </w:rPr>
        <w:footnoteReference w:id="71"/>
      </w:r>
      <w:r w:rsidRPr="00263395">
        <w:rPr>
          <w:rFonts w:ascii="Arial Narrow" w:hAnsi="Arial Narrow"/>
          <w:sz w:val="24"/>
          <w:szCs w:val="24"/>
        </w:rPr>
        <w:t xml:space="preserve">, de 379,11 lei/Gcal, s-a observat în Mureș, pentru energia termică furnizată de A.T.T. SA Sighisoara. Deși la nivel regional există orașe/comune care utilizează biomasă (rumeguș/peleți) pentru alimentarea centralizată cu energie termică a localității, datorită funcționării necorespunzătoare a </w:t>
      </w:r>
      <w:r>
        <w:rPr>
          <w:rFonts w:ascii="Arial Narrow" w:hAnsi="Arial Narrow"/>
          <w:sz w:val="24"/>
          <w:szCs w:val="24"/>
        </w:rPr>
        <w:t>sistemului</w:t>
      </w:r>
      <w:r w:rsidRPr="00263395">
        <w:rPr>
          <w:rFonts w:ascii="Arial Narrow" w:hAnsi="Arial Narrow"/>
          <w:sz w:val="24"/>
          <w:szCs w:val="24"/>
        </w:rPr>
        <w:t>, prețurile de factuare a populației sunt ridicate (de exemplu, în Gheorgheni, deși energia termică se produce din rumerguș și gaze naturale,  prețul de facturare la populație este de 305,28 lei/Gcal</w:t>
      </w:r>
      <w:r w:rsidRPr="00263395">
        <w:rPr>
          <w:rStyle w:val="Referinnotdesubsol"/>
          <w:rFonts w:ascii="Arial Narrow" w:hAnsi="Arial Narrow"/>
          <w:sz w:val="24"/>
          <w:szCs w:val="24"/>
        </w:rPr>
        <w:footnoteReference w:id="72"/>
      </w:r>
      <w:r w:rsidRPr="00263395">
        <w:rPr>
          <w:rFonts w:ascii="Arial Narrow" w:hAnsi="Arial Narrow"/>
          <w:sz w:val="24"/>
          <w:szCs w:val="24"/>
        </w:rPr>
        <w:t xml:space="preserve">) sau sistemele sunt </w:t>
      </w:r>
      <w:r>
        <w:rPr>
          <w:rFonts w:ascii="Arial Narrow" w:hAnsi="Arial Narrow"/>
          <w:sz w:val="24"/>
          <w:szCs w:val="24"/>
        </w:rPr>
        <w:t>in</w:t>
      </w:r>
      <w:r w:rsidRPr="00263395">
        <w:rPr>
          <w:rFonts w:ascii="Arial Narrow" w:hAnsi="Arial Narrow"/>
          <w:sz w:val="24"/>
          <w:szCs w:val="24"/>
        </w:rPr>
        <w:t>eficiente (Vlăhița).</w:t>
      </w:r>
      <w:r w:rsidRPr="00263395">
        <w:t xml:space="preserve"> </w:t>
      </w:r>
    </w:p>
    <w:p w:rsidR="00EA5F90" w:rsidRPr="003064E5" w:rsidRDefault="00EA5F90" w:rsidP="00EA5F90">
      <w:pPr>
        <w:spacing w:after="0" w:line="240" w:lineRule="auto"/>
        <w:jc w:val="both"/>
        <w:rPr>
          <w:rFonts w:ascii="Arial Narrow" w:hAnsi="Arial Narrow" w:cs="Arial"/>
          <w:color w:val="000000"/>
          <w:sz w:val="24"/>
          <w:szCs w:val="24"/>
        </w:rPr>
      </w:pPr>
      <w:r w:rsidRPr="00A97022">
        <w:rPr>
          <w:rFonts w:ascii="Arial Narrow" w:hAnsi="Arial Narrow"/>
          <w:sz w:val="24"/>
          <w:szCs w:val="24"/>
        </w:rPr>
        <w:t xml:space="preserve">În ceea ce privește </w:t>
      </w:r>
      <w:r w:rsidRPr="003064E5">
        <w:rPr>
          <w:rFonts w:ascii="Arial Narrow" w:hAnsi="Arial Narrow"/>
          <w:b/>
          <w:i/>
          <w:color w:val="70AD47"/>
          <w:sz w:val="24"/>
          <w:szCs w:val="24"/>
        </w:rPr>
        <w:t>gestiunea deșeurilor</w:t>
      </w:r>
      <w:r w:rsidRPr="00A97022">
        <w:rPr>
          <w:rFonts w:ascii="Arial Narrow" w:hAnsi="Arial Narrow"/>
          <w:b/>
          <w:i/>
          <w:sz w:val="24"/>
          <w:szCs w:val="24"/>
        </w:rPr>
        <w:t xml:space="preserve">, </w:t>
      </w:r>
      <w:r w:rsidRPr="00A97022">
        <w:rPr>
          <w:rFonts w:ascii="Arial Narrow" w:hAnsi="Arial Narrow"/>
          <w:sz w:val="24"/>
          <w:szCs w:val="24"/>
        </w:rPr>
        <w:t xml:space="preserve">la nivelul localităților și județelor din regiune s-au avut în vedere implementarea unor măsuri specifice care să contribuie la reducerea cantității de deșeuri, reducerea efectelor generale ale acestora, valorificarea și eliminarea corespunzătoare a acestora.  </w:t>
      </w:r>
      <w:r w:rsidRPr="00A97022">
        <w:rPr>
          <w:rFonts w:ascii="Arial Narrow" w:hAnsi="Arial Narrow"/>
          <w:sz w:val="24"/>
          <w:szCs w:val="24"/>
        </w:rPr>
        <w:lastRenderedPageBreak/>
        <w:t>Astfel, au fost implementate proiecte</w:t>
      </w:r>
      <w:r>
        <w:rPr>
          <w:rStyle w:val="Referinnotdesubsol"/>
          <w:rFonts w:ascii="Arial Narrow" w:hAnsi="Arial Narrow"/>
          <w:sz w:val="24"/>
          <w:szCs w:val="24"/>
        </w:rPr>
        <w:footnoteReference w:id="73"/>
      </w:r>
      <w:r w:rsidRPr="00A97022">
        <w:rPr>
          <w:rFonts w:ascii="Arial Narrow" w:hAnsi="Arial Narrow"/>
          <w:sz w:val="24"/>
          <w:szCs w:val="24"/>
        </w:rPr>
        <w:t xml:space="preserve"> privind sisteme integrate de </w:t>
      </w:r>
      <w:r>
        <w:rPr>
          <w:rFonts w:ascii="Arial Narrow" w:hAnsi="Arial Narrow"/>
          <w:sz w:val="24"/>
          <w:szCs w:val="24"/>
        </w:rPr>
        <w:t xml:space="preserve">management </w:t>
      </w:r>
      <w:r w:rsidRPr="00A97022">
        <w:rPr>
          <w:rFonts w:ascii="Arial Narrow" w:hAnsi="Arial Narrow"/>
          <w:sz w:val="24"/>
          <w:szCs w:val="24"/>
        </w:rPr>
        <w:t xml:space="preserve">a deşeurilor </w:t>
      </w:r>
      <w:r>
        <w:rPr>
          <w:rFonts w:ascii="Arial Narrow" w:hAnsi="Arial Narrow"/>
          <w:sz w:val="24"/>
          <w:szCs w:val="24"/>
        </w:rPr>
        <w:t xml:space="preserve"> (SMID) </w:t>
      </w:r>
      <w:r w:rsidRPr="00A97022">
        <w:rPr>
          <w:rFonts w:ascii="Arial Narrow" w:hAnsi="Arial Narrow"/>
          <w:sz w:val="24"/>
          <w:szCs w:val="24"/>
        </w:rPr>
        <w:t>la nivel județean</w:t>
      </w:r>
      <w:r>
        <w:rPr>
          <w:rFonts w:ascii="Arial Narrow" w:hAnsi="Arial Narrow"/>
          <w:sz w:val="24"/>
          <w:szCs w:val="24"/>
        </w:rPr>
        <w:t xml:space="preserve">, </w:t>
      </w:r>
      <w:r w:rsidRPr="00A97022">
        <w:rPr>
          <w:rFonts w:ascii="Arial Narrow" w:hAnsi="Arial Narrow"/>
          <w:sz w:val="24"/>
          <w:szCs w:val="24"/>
        </w:rPr>
        <w:t xml:space="preserve">în paralel </w:t>
      </w:r>
      <w:r>
        <w:rPr>
          <w:rFonts w:ascii="Arial Narrow" w:hAnsi="Arial Narrow"/>
          <w:sz w:val="24"/>
          <w:szCs w:val="24"/>
        </w:rPr>
        <w:t>s-au</w:t>
      </w:r>
      <w:r w:rsidRPr="00A97022">
        <w:rPr>
          <w:rFonts w:ascii="Arial Narrow" w:hAnsi="Arial Narrow"/>
          <w:sz w:val="24"/>
          <w:szCs w:val="24"/>
        </w:rPr>
        <w:t xml:space="preserve"> închi</w:t>
      </w:r>
      <w:r>
        <w:rPr>
          <w:rFonts w:ascii="Arial Narrow" w:hAnsi="Arial Narrow"/>
          <w:sz w:val="24"/>
          <w:szCs w:val="24"/>
        </w:rPr>
        <w:t xml:space="preserve">s </w:t>
      </w:r>
      <w:r w:rsidRPr="00A97022">
        <w:rPr>
          <w:rFonts w:ascii="Arial Narrow" w:hAnsi="Arial Narrow"/>
          <w:sz w:val="24"/>
          <w:szCs w:val="24"/>
        </w:rPr>
        <w:t>depozite</w:t>
      </w:r>
      <w:r>
        <w:rPr>
          <w:rFonts w:ascii="Arial Narrow" w:hAnsi="Arial Narrow"/>
          <w:sz w:val="24"/>
          <w:szCs w:val="24"/>
        </w:rPr>
        <w:t xml:space="preserve"> </w:t>
      </w:r>
      <w:r w:rsidRPr="00A97022">
        <w:rPr>
          <w:rFonts w:ascii="Arial Narrow" w:hAnsi="Arial Narrow"/>
          <w:sz w:val="24"/>
          <w:szCs w:val="24"/>
        </w:rPr>
        <w:t xml:space="preserve">de deşeuri neconforme, </w:t>
      </w:r>
      <w:r>
        <w:rPr>
          <w:rFonts w:ascii="Arial Narrow" w:hAnsi="Arial Narrow"/>
          <w:sz w:val="24"/>
          <w:szCs w:val="24"/>
        </w:rPr>
        <w:t xml:space="preserve">au fost realizate investiții în </w:t>
      </w:r>
      <w:r w:rsidRPr="00A97022">
        <w:rPr>
          <w:rFonts w:ascii="Arial Narrow" w:hAnsi="Arial Narrow"/>
          <w:sz w:val="24"/>
          <w:szCs w:val="24"/>
        </w:rPr>
        <w:t>colectare</w:t>
      </w:r>
      <w:r>
        <w:rPr>
          <w:rFonts w:ascii="Arial Narrow" w:hAnsi="Arial Narrow"/>
          <w:sz w:val="24"/>
          <w:szCs w:val="24"/>
        </w:rPr>
        <w:t>a</w:t>
      </w:r>
      <w:r w:rsidRPr="00A97022">
        <w:rPr>
          <w:rFonts w:ascii="Arial Narrow" w:hAnsi="Arial Narrow"/>
          <w:sz w:val="24"/>
          <w:szCs w:val="24"/>
        </w:rPr>
        <w:t>, sortare</w:t>
      </w:r>
      <w:r>
        <w:rPr>
          <w:rFonts w:ascii="Arial Narrow" w:hAnsi="Arial Narrow"/>
          <w:sz w:val="24"/>
          <w:szCs w:val="24"/>
        </w:rPr>
        <w:t>a</w:t>
      </w:r>
      <w:r w:rsidRPr="00A97022">
        <w:rPr>
          <w:rFonts w:ascii="Arial Narrow" w:hAnsi="Arial Narrow"/>
          <w:sz w:val="24"/>
          <w:szCs w:val="24"/>
        </w:rPr>
        <w:t>, transport</w:t>
      </w:r>
      <w:r>
        <w:rPr>
          <w:rFonts w:ascii="Arial Narrow" w:hAnsi="Arial Narrow"/>
          <w:sz w:val="24"/>
          <w:szCs w:val="24"/>
        </w:rPr>
        <w:t>ul</w:t>
      </w:r>
      <w:r w:rsidRPr="00A97022">
        <w:rPr>
          <w:rFonts w:ascii="Arial Narrow" w:hAnsi="Arial Narrow"/>
          <w:sz w:val="24"/>
          <w:szCs w:val="24"/>
        </w:rPr>
        <w:t>, tratare</w:t>
      </w:r>
      <w:r>
        <w:rPr>
          <w:rFonts w:ascii="Arial Narrow" w:hAnsi="Arial Narrow"/>
          <w:sz w:val="24"/>
          <w:szCs w:val="24"/>
        </w:rPr>
        <w:t>a</w:t>
      </w:r>
      <w:r w:rsidRPr="00A97022">
        <w:rPr>
          <w:rFonts w:ascii="Arial Narrow" w:hAnsi="Arial Narrow"/>
          <w:sz w:val="24"/>
          <w:szCs w:val="24"/>
        </w:rPr>
        <w:t xml:space="preserve"> şi </w:t>
      </w:r>
      <w:r w:rsidRPr="001E6E7E">
        <w:rPr>
          <w:rFonts w:ascii="Arial Narrow" w:hAnsi="Arial Narrow"/>
          <w:sz w:val="24"/>
          <w:szCs w:val="24"/>
        </w:rPr>
        <w:t>depozitarea deşeurilor menajere</w:t>
      </w:r>
      <w:r>
        <w:rPr>
          <w:rFonts w:ascii="Arial Narrow" w:hAnsi="Arial Narrow"/>
          <w:sz w:val="24"/>
          <w:szCs w:val="24"/>
        </w:rPr>
        <w:t xml:space="preserve"> etc.</w:t>
      </w:r>
      <w:r w:rsidRPr="00263395">
        <w:rPr>
          <w:rFonts w:ascii="Arial Narrow" w:hAnsi="Arial Narrow"/>
          <w:sz w:val="24"/>
          <w:szCs w:val="24"/>
        </w:rPr>
        <w:t xml:space="preserve"> Una din cele mai mari investiții de la nivel național a fost realizată la Mureș. Cu o valoare totală de 45.200.612 Euro fără TVA, SMID Mureș a inculs un sistem de colectare separată a deşeurilor reciclabile la nivel judeţean şi a unor metode noi de tratare a deşeurilor municipale biodegradabile. Printre obiectivele proiectului s-au numărat și închiderea depozitelor de deşeuri urbane neconforme (5 depozite) şi construirea unui depozit ecologic de deşeuri, întărirea capacităţii tehnice şi manageriale a autorităţilor din judeţul Mureş</w:t>
      </w:r>
      <w:r>
        <w:rPr>
          <w:rFonts w:ascii="Arial Narrow" w:hAnsi="Arial Narrow"/>
          <w:sz w:val="24"/>
          <w:szCs w:val="24"/>
        </w:rPr>
        <w:t>,</w:t>
      </w:r>
      <w:r w:rsidRPr="00263395">
        <w:rPr>
          <w:rFonts w:ascii="Arial Narrow" w:hAnsi="Arial Narrow"/>
          <w:sz w:val="24"/>
          <w:szCs w:val="24"/>
        </w:rPr>
        <w:t xml:space="preserve"> dar şi creşterea gradului de informare a populaţiei cu privire la beneficiile rezultate din proiect, colectarea separată a deşeurilor şi reciclarea acestora. La nivel regional au fost implementate și proiecte pilot de reabilitare a terenurilor </w:t>
      </w:r>
      <w:r>
        <w:rPr>
          <w:rFonts w:ascii="Arial Narrow" w:hAnsi="Arial Narrow"/>
          <w:sz w:val="24"/>
          <w:szCs w:val="24"/>
        </w:rPr>
        <w:t>poluate istoric</w:t>
      </w:r>
      <w:r w:rsidRPr="00263395">
        <w:rPr>
          <w:rFonts w:ascii="Arial Narrow" w:hAnsi="Arial Narrow"/>
          <w:sz w:val="24"/>
          <w:szCs w:val="24"/>
        </w:rPr>
        <w:t xml:space="preserve"> şi care afectează negativ mediul şi sănătatea umană (Iaz Batal Tîrgu Mureș).  </w:t>
      </w:r>
      <w:r w:rsidRPr="003064E5">
        <w:rPr>
          <w:rFonts w:ascii="Arial Narrow" w:hAnsi="Arial Narrow"/>
          <w:color w:val="000000"/>
          <w:sz w:val="24"/>
          <w:szCs w:val="24"/>
        </w:rPr>
        <w:t>La nivel regional au fost implementate și proiecte de conștientizare și promovare a managementului riguros al deșeurilor prin realizarea campaniilor de informare și educare a populației deservite</w:t>
      </w:r>
      <w:r w:rsidRPr="003064E5">
        <w:rPr>
          <w:rFonts w:ascii="Arial Narrow" w:hAnsi="Arial Narrow"/>
          <w:i/>
          <w:color w:val="000000"/>
          <w:sz w:val="24"/>
          <w:szCs w:val="24"/>
        </w:rPr>
        <w:t xml:space="preserve">. </w:t>
      </w:r>
      <w:r w:rsidRPr="003064E5">
        <w:rPr>
          <w:rFonts w:ascii="Arial Narrow" w:hAnsi="Arial Narrow"/>
          <w:color w:val="000000"/>
          <w:sz w:val="24"/>
          <w:szCs w:val="24"/>
        </w:rPr>
        <w:t>Un exemplu în acest sens este proiectul „</w:t>
      </w:r>
      <w:r w:rsidRPr="003064E5">
        <w:rPr>
          <w:rFonts w:ascii="Arial Narrow" w:hAnsi="Arial Narrow"/>
          <w:i/>
          <w:color w:val="000000"/>
          <w:sz w:val="24"/>
          <w:szCs w:val="24"/>
        </w:rPr>
        <w:t>Parteneriat pentru un mediu curat, reducerea deşeurilor şi dezvoltare durabilă în REGIUNEA 7 CENTRU</w:t>
      </w:r>
      <w:r w:rsidRPr="003064E5">
        <w:rPr>
          <w:rFonts w:ascii="Arial Narrow" w:hAnsi="Arial Narrow"/>
          <w:color w:val="000000"/>
          <w:sz w:val="24"/>
          <w:szCs w:val="24"/>
        </w:rPr>
        <w:t>”</w:t>
      </w:r>
      <w:r w:rsidRPr="003064E5">
        <w:rPr>
          <w:rStyle w:val="Referinnotdesubsol"/>
          <w:rFonts w:ascii="Arial Narrow" w:hAnsi="Arial Narrow"/>
          <w:color w:val="000000"/>
          <w:sz w:val="24"/>
          <w:szCs w:val="24"/>
        </w:rPr>
        <w:footnoteReference w:id="74"/>
      </w:r>
      <w:r w:rsidRPr="003064E5">
        <w:rPr>
          <w:rFonts w:ascii="Arial Narrow" w:hAnsi="Arial Narrow"/>
          <w:color w:val="000000"/>
          <w:sz w:val="24"/>
          <w:szCs w:val="24"/>
        </w:rPr>
        <w:t xml:space="preserve"> derulat de un consorțiu format din 12 parteneri din România și Norvegia.  Acest proiect a avut în vedere î</w:t>
      </w:r>
      <w:r w:rsidRPr="003064E5">
        <w:rPr>
          <w:rFonts w:ascii="Arial Narrow" w:hAnsi="Arial Narrow" w:cs="Arial"/>
          <w:color w:val="000000"/>
          <w:sz w:val="24"/>
          <w:szCs w:val="24"/>
        </w:rPr>
        <w:t>mbunătăţirea sistemului de management al deşeurilor la nivelul regiunii 7 Centru, cu accent pe deşeurile din construcţii şi demolări, deșeurile biodegradabile și deșeurile periculoase. În acest sens, în cadrul proiectului au fost implicați atât parteneri autorități publice cât și reprezentanți ai mediului privat – filiale regionale ale producătorilor de materiale de construcții (ex. Lafarge Ciment Romania S.A.). Rezultatele proiectului au inclus: acțiuni specifice de conștientizare a populaței (12</w:t>
      </w:r>
      <w:r w:rsidRPr="003064E5">
        <w:rPr>
          <w:rFonts w:ascii="Arial Narrow" w:hAnsi="Arial Narrow"/>
          <w:color w:val="000000"/>
          <w:sz w:val="24"/>
          <w:szCs w:val="24"/>
        </w:rPr>
        <w:t xml:space="preserve"> </w:t>
      </w:r>
      <w:r w:rsidRPr="003064E5">
        <w:rPr>
          <w:rFonts w:ascii="Arial Narrow" w:hAnsi="Arial Narrow" w:cs="Arial"/>
          <w:color w:val="000000"/>
          <w:sz w:val="24"/>
          <w:szCs w:val="24"/>
        </w:rPr>
        <w:t xml:space="preserve">sesiuni de creştere a conştientizării în managementul deşeurilor în special a colectării selective), măsuri specifice de întărire a capacității instituționale și câteva proiecte-pilot privind managmentul deșeurilor, realizate la Săliște (deșeuri biodegradabile) și Mediaș (o instalație mobilă pentru tratarea deșeurilor din construcții și demolări și un sistem de colectare a deşeurilor periculoase din deşeuri menajere). </w:t>
      </w:r>
    </w:p>
    <w:p w:rsidR="00EA5F90" w:rsidRPr="00263395" w:rsidRDefault="00EA5F90" w:rsidP="00EA5F90">
      <w:pPr>
        <w:spacing w:after="0" w:line="240" w:lineRule="auto"/>
        <w:jc w:val="both"/>
        <w:rPr>
          <w:rFonts w:ascii="Arial Narrow" w:hAnsi="Arial Narrow"/>
          <w:sz w:val="24"/>
          <w:szCs w:val="24"/>
        </w:rPr>
      </w:pPr>
      <w:r w:rsidRPr="00263395">
        <w:rPr>
          <w:rFonts w:ascii="Arial Narrow" w:hAnsi="Arial Narrow"/>
          <w:sz w:val="24"/>
          <w:szCs w:val="24"/>
        </w:rPr>
        <w:t xml:space="preserve">Investițiile </w:t>
      </w:r>
      <w:r>
        <w:rPr>
          <w:rFonts w:ascii="Arial Narrow" w:hAnsi="Arial Narrow"/>
          <w:sz w:val="24"/>
          <w:szCs w:val="24"/>
        </w:rPr>
        <w:t xml:space="preserve">realizate </w:t>
      </w:r>
      <w:r w:rsidRPr="00263395">
        <w:rPr>
          <w:rFonts w:ascii="Arial Narrow" w:hAnsi="Arial Narrow"/>
          <w:sz w:val="24"/>
          <w:szCs w:val="24"/>
        </w:rPr>
        <w:t>și acțiunile implementate în domeniul gestionării deșeurilor, au condus la</w:t>
      </w:r>
      <w:r w:rsidRPr="00263395">
        <w:rPr>
          <w:rFonts w:ascii="Arial Narrow" w:hAnsi="Arial Narrow"/>
          <w:b/>
          <w:sz w:val="24"/>
          <w:szCs w:val="24"/>
        </w:rPr>
        <w:t xml:space="preserve"> creșterea cantității de deşeuri menajere şi asimilabile colectate</w:t>
      </w:r>
      <w:r w:rsidRPr="00263395">
        <w:rPr>
          <w:rStyle w:val="Referinnotdesubsol"/>
          <w:rFonts w:ascii="Arial Narrow" w:hAnsi="Arial Narrow"/>
          <w:b/>
          <w:sz w:val="24"/>
          <w:szCs w:val="24"/>
        </w:rPr>
        <w:footnoteReference w:id="75"/>
      </w:r>
      <w:r w:rsidRPr="00263395">
        <w:rPr>
          <w:rFonts w:ascii="Arial Narrow" w:hAnsi="Arial Narrow"/>
          <w:b/>
          <w:sz w:val="24"/>
          <w:szCs w:val="24"/>
        </w:rPr>
        <w:t xml:space="preserve"> la nivel regional, respectiv de la  215.023.699 kg în 2013 la 561.212.255 kg  în 2014.</w:t>
      </w:r>
      <w:r w:rsidRPr="00263395">
        <w:rPr>
          <w:rFonts w:ascii="Arial Narrow" w:hAnsi="Arial Narrow"/>
          <w:sz w:val="24"/>
          <w:szCs w:val="24"/>
        </w:rPr>
        <w:t xml:space="preserve"> </w:t>
      </w:r>
    </w:p>
    <w:p w:rsidR="00EA5F90" w:rsidRDefault="00EA5F90" w:rsidP="00EA5F90">
      <w:pPr>
        <w:pStyle w:val="Listparagraf"/>
        <w:spacing w:after="0" w:line="240" w:lineRule="auto"/>
        <w:ind w:left="0"/>
        <w:jc w:val="both"/>
        <w:rPr>
          <w:rFonts w:ascii="Arial Narrow" w:hAnsi="Arial Narrow"/>
          <w:sz w:val="24"/>
          <w:szCs w:val="24"/>
        </w:rPr>
      </w:pPr>
      <w:r>
        <w:rPr>
          <w:rFonts w:ascii="Arial Narrow" w:hAnsi="Arial Narrow"/>
          <w:sz w:val="24"/>
          <w:szCs w:val="24"/>
        </w:rPr>
        <w:t xml:space="preserve">În </w:t>
      </w:r>
      <w:r w:rsidRPr="004B5EB0">
        <w:rPr>
          <w:rFonts w:ascii="Arial Narrow" w:hAnsi="Arial Narrow"/>
          <w:sz w:val="24"/>
          <w:szCs w:val="24"/>
        </w:rPr>
        <w:t xml:space="preserve">perioada 2010-2014 </w:t>
      </w:r>
      <w:r w:rsidRPr="009D06C1">
        <w:rPr>
          <w:rFonts w:ascii="Arial Narrow" w:hAnsi="Arial Narrow"/>
          <w:sz w:val="24"/>
          <w:szCs w:val="24"/>
        </w:rPr>
        <w:t>s-a observat și o</w:t>
      </w:r>
      <w:r w:rsidRPr="004B5EB0">
        <w:rPr>
          <w:rFonts w:ascii="Arial Narrow" w:hAnsi="Arial Narrow"/>
          <w:b/>
          <w:i/>
          <w:sz w:val="24"/>
          <w:szCs w:val="24"/>
        </w:rPr>
        <w:t xml:space="preserve"> </w:t>
      </w:r>
      <w:r w:rsidRPr="003064E5">
        <w:rPr>
          <w:rFonts w:ascii="Arial Narrow" w:hAnsi="Arial Narrow"/>
          <w:b/>
          <w:i/>
          <w:color w:val="70AD47"/>
          <w:sz w:val="24"/>
          <w:szCs w:val="24"/>
        </w:rPr>
        <w:t>creștere a suprafeței de spații verzi din mediul urban</w:t>
      </w:r>
      <w:r w:rsidRPr="003064E5">
        <w:rPr>
          <w:rFonts w:ascii="Arial Narrow" w:hAnsi="Arial Narrow"/>
          <w:color w:val="70AD47"/>
          <w:sz w:val="24"/>
          <w:szCs w:val="24"/>
        </w:rPr>
        <w:t xml:space="preserve"> </w:t>
      </w:r>
      <w:r>
        <w:rPr>
          <w:rFonts w:ascii="Arial Narrow" w:hAnsi="Arial Narrow"/>
          <w:sz w:val="24"/>
          <w:szCs w:val="24"/>
        </w:rPr>
        <w:t>de la nivelul</w:t>
      </w:r>
      <w:r w:rsidRPr="004B5EB0">
        <w:rPr>
          <w:rFonts w:ascii="Arial Narrow" w:hAnsi="Arial Narrow"/>
          <w:sz w:val="24"/>
          <w:szCs w:val="24"/>
        </w:rPr>
        <w:t xml:space="preserve"> regiunii Centru respectiv de la 2,26 ha în 2010 la 2,61 ha în 2014, cele mai multe parcuri și spații verzi fiind în județul Mureș; la nivel de localitate, Miercurea Ciuc asigură 42,7 mp pentru fiecare locuitor al municipiului, fiind situat pe </w:t>
      </w:r>
      <w:r w:rsidRPr="001E6E7E">
        <w:rPr>
          <w:rFonts w:ascii="Arial Narrow" w:hAnsi="Arial Narrow"/>
          <w:b/>
          <w:i/>
          <w:sz w:val="24"/>
          <w:szCs w:val="24"/>
        </w:rPr>
        <w:t xml:space="preserve">locul doi la nivel național </w:t>
      </w:r>
      <w:r w:rsidRPr="009D06C1">
        <w:rPr>
          <w:rFonts w:ascii="Arial Narrow" w:hAnsi="Arial Narrow"/>
          <w:sz w:val="24"/>
          <w:szCs w:val="24"/>
        </w:rPr>
        <w:t>după Slobozia</w:t>
      </w:r>
      <w:r w:rsidRPr="004B5EB0">
        <w:rPr>
          <w:rFonts w:ascii="Arial Narrow" w:hAnsi="Arial Narrow"/>
          <w:sz w:val="24"/>
          <w:szCs w:val="24"/>
        </w:rPr>
        <w:t xml:space="preserve"> (46,3 mp/loc.). Creșterea suprafeței spațiilor verzi se datorează și proiectelor realizate de autoritățile locale precum și fodurilor europene și naționale atrase (ex. Programul Spații Verzi AFM prin intermediul căruia s-au implementat la nivelul regiunii peste 20 proiecte cu o valoare de cca. 3 milioane de euro).</w:t>
      </w:r>
    </w:p>
    <w:p w:rsidR="00EA5F90" w:rsidRDefault="00EA5F90" w:rsidP="00EA5F90">
      <w:pPr>
        <w:pStyle w:val="Listparagraf"/>
        <w:spacing w:after="0" w:line="240" w:lineRule="auto"/>
        <w:ind w:left="0"/>
        <w:jc w:val="both"/>
        <w:rPr>
          <w:rFonts w:ascii="Arial Narrow" w:hAnsi="Arial Narrow"/>
          <w:sz w:val="24"/>
          <w:szCs w:val="24"/>
        </w:rPr>
      </w:pPr>
    </w:p>
    <w:p w:rsidR="00EA5F90" w:rsidRPr="003064E5" w:rsidRDefault="00EA5F90" w:rsidP="00981E9F">
      <w:pPr>
        <w:pStyle w:val="Listparagraf"/>
        <w:numPr>
          <w:ilvl w:val="0"/>
          <w:numId w:val="44"/>
        </w:numPr>
        <w:tabs>
          <w:tab w:val="left" w:pos="284"/>
        </w:tabs>
        <w:spacing w:after="0" w:line="240" w:lineRule="auto"/>
        <w:jc w:val="both"/>
        <w:rPr>
          <w:rFonts w:ascii="Arial Narrow" w:hAnsi="Arial Narrow" w:cs="Arial"/>
          <w:color w:val="538135"/>
          <w:sz w:val="24"/>
          <w:szCs w:val="24"/>
        </w:rPr>
      </w:pPr>
      <w:r w:rsidRPr="003064E5">
        <w:rPr>
          <w:rFonts w:ascii="Arial Narrow" w:hAnsi="Arial Narrow"/>
          <w:b/>
          <w:color w:val="538135"/>
          <w:sz w:val="24"/>
          <w:szCs w:val="24"/>
        </w:rPr>
        <w:t>Așezări durabile</w:t>
      </w:r>
    </w:p>
    <w:p w:rsidR="00EA5F90" w:rsidRPr="00263395" w:rsidRDefault="00EA5F90" w:rsidP="00EA5F90">
      <w:pPr>
        <w:pStyle w:val="Listparagraf"/>
        <w:tabs>
          <w:tab w:val="left" w:pos="284"/>
        </w:tabs>
        <w:spacing w:after="0" w:line="240" w:lineRule="auto"/>
        <w:ind w:left="0"/>
        <w:jc w:val="both"/>
        <w:rPr>
          <w:rFonts w:ascii="Arial Narrow" w:hAnsi="Arial Narrow" w:cs="Arial"/>
          <w:color w:val="000000"/>
          <w:sz w:val="24"/>
          <w:szCs w:val="24"/>
        </w:rPr>
      </w:pPr>
      <w:r w:rsidRPr="00F25290">
        <w:rPr>
          <w:rFonts w:ascii="Arial Narrow" w:hAnsi="Arial Narrow" w:cs="Arial"/>
          <w:b/>
          <w:i/>
          <w:color w:val="000000"/>
          <w:sz w:val="24"/>
          <w:szCs w:val="24"/>
        </w:rPr>
        <w:t>Cultura spațiului construit. Urbanizarea regiunii CENTRU.</w:t>
      </w:r>
      <w:r>
        <w:rPr>
          <w:rFonts w:ascii="Arial Narrow" w:hAnsi="Arial Narrow" w:cs="Arial"/>
          <w:i/>
          <w:color w:val="000000"/>
          <w:sz w:val="24"/>
          <w:szCs w:val="24"/>
        </w:rPr>
        <w:t xml:space="preserve"> </w:t>
      </w:r>
      <w:r w:rsidRPr="00263395">
        <w:rPr>
          <w:rFonts w:ascii="Arial Narrow" w:hAnsi="Arial Narrow" w:cs="Arial"/>
          <w:color w:val="000000"/>
          <w:sz w:val="24"/>
          <w:szCs w:val="24"/>
        </w:rPr>
        <w:t>În perioada 1993-2010 suprafaţa totală a intravilanului localităţilor urbane din regiune a înregistrat o creştere de 102%. Această creştere s-a datorat</w:t>
      </w:r>
      <w:r>
        <w:rPr>
          <w:rFonts w:ascii="Arial Narrow" w:hAnsi="Arial Narrow" w:cs="Arial"/>
          <w:color w:val="000000"/>
          <w:sz w:val="24"/>
          <w:szCs w:val="24"/>
        </w:rPr>
        <w:t xml:space="preserve"> </w:t>
      </w:r>
      <w:r w:rsidRPr="00263395">
        <w:rPr>
          <w:rFonts w:ascii="Arial Narrow" w:hAnsi="Arial Narrow" w:cs="Arial"/>
          <w:color w:val="000000"/>
          <w:sz w:val="24"/>
          <w:szCs w:val="24"/>
        </w:rPr>
        <w:t xml:space="preserve"> extinderii suprafeţei intravilanului pentru unele</w:t>
      </w:r>
      <w:r>
        <w:rPr>
          <w:rFonts w:ascii="Arial Narrow" w:hAnsi="Arial Narrow" w:cs="Arial"/>
          <w:color w:val="000000"/>
          <w:sz w:val="24"/>
          <w:szCs w:val="24"/>
        </w:rPr>
        <w:t xml:space="preserve"> </w:t>
      </w:r>
      <w:r w:rsidRPr="00263395">
        <w:rPr>
          <w:rFonts w:ascii="Arial Narrow" w:hAnsi="Arial Narrow" w:cs="Arial"/>
          <w:color w:val="000000"/>
          <w:sz w:val="24"/>
          <w:szCs w:val="24"/>
        </w:rPr>
        <w:t>oraşe existente</w:t>
      </w:r>
      <w:r>
        <w:rPr>
          <w:rFonts w:ascii="Arial Narrow" w:hAnsi="Arial Narrow" w:cs="Arial"/>
          <w:color w:val="000000"/>
          <w:sz w:val="24"/>
          <w:szCs w:val="24"/>
        </w:rPr>
        <w:t xml:space="preserve"> și</w:t>
      </w:r>
      <w:r w:rsidRPr="00263395">
        <w:rPr>
          <w:rFonts w:ascii="Arial Narrow" w:hAnsi="Arial Narrow" w:cs="Arial"/>
          <w:color w:val="000000"/>
          <w:sz w:val="24"/>
          <w:szCs w:val="24"/>
        </w:rPr>
        <w:t xml:space="preserve"> declarării de noi oraşe. Din anul 1990 până în 2008, se constată o creştere constantă a suprafeței intravilanului la nivel regional, însă se remarcă și localități unde creșterea a depășit 400%</w:t>
      </w:r>
      <w:r w:rsidRPr="00263395">
        <w:rPr>
          <w:rStyle w:val="Referinnotdesubsol"/>
          <w:rFonts w:ascii="Arial Narrow" w:hAnsi="Arial Narrow" w:cs="Arial"/>
          <w:color w:val="000000"/>
          <w:sz w:val="24"/>
          <w:szCs w:val="24"/>
        </w:rPr>
        <w:footnoteReference w:id="76"/>
      </w:r>
      <w:r>
        <w:rPr>
          <w:rFonts w:ascii="Arial Narrow" w:hAnsi="Arial Narrow" w:cs="Arial"/>
          <w:color w:val="000000"/>
          <w:sz w:val="24"/>
          <w:szCs w:val="24"/>
        </w:rPr>
        <w:t xml:space="preserve"> (</w:t>
      </w:r>
      <w:r w:rsidRPr="00263395">
        <w:rPr>
          <w:rFonts w:ascii="Arial Narrow" w:hAnsi="Arial Narrow" w:cs="Arial"/>
          <w:color w:val="000000"/>
          <w:sz w:val="24"/>
          <w:szCs w:val="24"/>
        </w:rPr>
        <w:t>de exemplu, în Miercurea Nirajului din judeţul Mureş, o localitate devenită urbană în 2002</w:t>
      </w:r>
      <w:r>
        <w:rPr>
          <w:rFonts w:ascii="Arial Narrow" w:hAnsi="Arial Narrow" w:cs="Arial"/>
          <w:color w:val="000000"/>
          <w:sz w:val="24"/>
          <w:szCs w:val="24"/>
        </w:rPr>
        <w:t>)</w:t>
      </w:r>
      <w:r w:rsidRPr="00263395">
        <w:rPr>
          <w:rFonts w:ascii="Arial Narrow" w:hAnsi="Arial Narrow" w:cs="Arial"/>
          <w:color w:val="000000"/>
          <w:sz w:val="24"/>
          <w:szCs w:val="24"/>
        </w:rPr>
        <w:t>.  Există şi situaţii în care suprafaţa intravilanului unor oraşe s-a diminuat</w:t>
      </w:r>
      <w:r>
        <w:rPr>
          <w:rFonts w:ascii="Arial Narrow" w:hAnsi="Arial Narrow" w:cs="Arial"/>
          <w:color w:val="000000"/>
          <w:sz w:val="24"/>
          <w:szCs w:val="24"/>
        </w:rPr>
        <w:t xml:space="preserve">; </w:t>
      </w:r>
      <w:r w:rsidRPr="00263395">
        <w:rPr>
          <w:rFonts w:ascii="Arial Narrow" w:hAnsi="Arial Narrow" w:cs="Arial"/>
          <w:color w:val="000000"/>
          <w:sz w:val="24"/>
          <w:szCs w:val="24"/>
        </w:rPr>
        <w:t xml:space="preserve">cum este cazul orașului Zlatna (Alba) sau a </w:t>
      </w:r>
      <w:r>
        <w:rPr>
          <w:rFonts w:ascii="Arial Narrow" w:hAnsi="Arial Narrow" w:cs="Arial"/>
          <w:color w:val="000000"/>
          <w:sz w:val="24"/>
          <w:szCs w:val="24"/>
        </w:rPr>
        <w:t>m</w:t>
      </w:r>
      <w:r w:rsidRPr="00263395">
        <w:rPr>
          <w:rFonts w:ascii="Arial Narrow" w:hAnsi="Arial Narrow" w:cs="Arial"/>
          <w:color w:val="000000"/>
          <w:sz w:val="24"/>
          <w:szCs w:val="24"/>
        </w:rPr>
        <w:t>unicipiului</w:t>
      </w:r>
      <w:r>
        <w:rPr>
          <w:rFonts w:ascii="Arial Narrow" w:hAnsi="Arial Narrow" w:cs="Arial"/>
          <w:color w:val="000000"/>
          <w:sz w:val="24"/>
          <w:szCs w:val="24"/>
        </w:rPr>
        <w:t xml:space="preserve"> Miercurea Ciuc </w:t>
      </w:r>
      <w:r>
        <w:rPr>
          <w:rFonts w:ascii="Arial Narrow" w:hAnsi="Arial Narrow" w:cs="Arial"/>
          <w:color w:val="000000"/>
          <w:sz w:val="24"/>
          <w:szCs w:val="24"/>
        </w:rPr>
        <w:lastRenderedPageBreak/>
        <w:t>(Harghita); î</w:t>
      </w:r>
      <w:r w:rsidRPr="00263395">
        <w:rPr>
          <w:rFonts w:ascii="Arial Narrow" w:hAnsi="Arial Narrow" w:cs="Arial"/>
          <w:color w:val="000000"/>
          <w:sz w:val="24"/>
          <w:szCs w:val="24"/>
        </w:rPr>
        <w:t>n aceste situaţii, reducerea suprafeţei intravilanului s-a datorat în principal faptului că, în urma scăderii sau lichidării activităţilor industriale, autorităţile locale au decis scoaterea acestora din suprafaţa intravilanului localităţii</w:t>
      </w:r>
      <w:r>
        <w:rPr>
          <w:rFonts w:ascii="Arial Narrow" w:hAnsi="Arial Narrow" w:cs="Arial"/>
          <w:color w:val="000000"/>
          <w:sz w:val="24"/>
          <w:szCs w:val="24"/>
        </w:rPr>
        <w:t>.</w:t>
      </w:r>
    </w:p>
    <w:p w:rsidR="00EA5F90" w:rsidRDefault="00EA5F90" w:rsidP="00EA5F90">
      <w:pPr>
        <w:pStyle w:val="Listparagraf"/>
        <w:tabs>
          <w:tab w:val="left" w:pos="284"/>
        </w:tabs>
        <w:spacing w:after="0" w:line="240" w:lineRule="auto"/>
        <w:ind w:left="0"/>
        <w:jc w:val="both"/>
        <w:rPr>
          <w:rFonts w:ascii="Arial Narrow" w:hAnsi="Arial Narrow" w:cs="Arial"/>
          <w:color w:val="000000"/>
          <w:sz w:val="24"/>
          <w:szCs w:val="24"/>
        </w:rPr>
      </w:pPr>
      <w:r w:rsidRPr="00F25290">
        <w:rPr>
          <w:rFonts w:ascii="Arial Narrow" w:hAnsi="Arial Narrow" w:cs="Arial"/>
          <w:b/>
          <w:i/>
          <w:sz w:val="24"/>
          <w:szCs w:val="24"/>
        </w:rPr>
        <w:t>Dezvoltarea sustenabilă a localităților urbane din regiunea Centru</w:t>
      </w:r>
      <w:r>
        <w:rPr>
          <w:rFonts w:ascii="Arial Narrow" w:hAnsi="Arial Narrow" w:cs="Arial"/>
          <w:b/>
          <w:i/>
          <w:sz w:val="24"/>
          <w:szCs w:val="24"/>
        </w:rPr>
        <w:t xml:space="preserve">: </w:t>
      </w:r>
      <w:r w:rsidRPr="0097367F">
        <w:rPr>
          <w:rFonts w:ascii="Arial Narrow" w:hAnsi="Arial Narrow" w:cs="Arial"/>
          <w:i/>
          <w:sz w:val="24"/>
          <w:szCs w:val="24"/>
        </w:rPr>
        <w:t>z</w:t>
      </w:r>
      <w:r w:rsidRPr="0097367F">
        <w:rPr>
          <w:rFonts w:ascii="Arial Narrow" w:hAnsi="Arial Narrow" w:cs="Arial"/>
          <w:color w:val="000000"/>
          <w:sz w:val="24"/>
          <w:szCs w:val="24"/>
        </w:rPr>
        <w:t xml:space="preserve">onele urbane din regiunea Centru adăpostesc peste jumătate din populația regiunii, ceea ce determină un consum crescut de energie, resurse, transporturi şi terenuri, crescând astfel emisiile de gaze cu efect de seră şi poluarea atmosferică şi fonică </w:t>
      </w:r>
      <w:r w:rsidRPr="00263395">
        <w:rPr>
          <w:rFonts w:ascii="Arial Narrow" w:hAnsi="Arial Narrow" w:cs="Arial"/>
          <w:color w:val="000000"/>
          <w:sz w:val="24"/>
          <w:szCs w:val="24"/>
        </w:rPr>
        <w:t xml:space="preserve">la niveluri care deseori depăşesc limitele de siguranţă umană recomandate. Aceste zone urbane sunt motoarele economiei regionale, contribuind substanțial la </w:t>
      </w:r>
      <w:r w:rsidRPr="0097367F">
        <w:rPr>
          <w:rFonts w:ascii="Arial Narrow" w:hAnsi="Arial Narrow" w:cs="Arial"/>
          <w:b/>
          <w:color w:val="000000"/>
          <w:sz w:val="24"/>
          <w:szCs w:val="24"/>
        </w:rPr>
        <w:t>PIB-ul regional (11,09 % din PIB-ul României</w:t>
      </w:r>
      <w:r w:rsidRPr="00263395">
        <w:rPr>
          <w:rFonts w:ascii="Arial Narrow" w:hAnsi="Arial Narrow" w:cs="Arial"/>
          <w:color w:val="000000"/>
          <w:sz w:val="24"/>
          <w:szCs w:val="24"/>
        </w:rPr>
        <w:t xml:space="preserve"> ). Pentru a asigura dezvoltarea sustenabilă a mediului urban,</w:t>
      </w:r>
      <w:r>
        <w:rPr>
          <w:rFonts w:ascii="Arial Narrow" w:hAnsi="Arial Narrow" w:cs="Arial"/>
          <w:color w:val="000000"/>
          <w:sz w:val="24"/>
          <w:szCs w:val="24"/>
        </w:rPr>
        <w:t xml:space="preserve"> la nivel național și european au fost prevăzute măsuri de sprijin specifice</w:t>
      </w:r>
      <w:r>
        <w:rPr>
          <w:rStyle w:val="Referinnotdesubsol"/>
          <w:rFonts w:ascii="Arial Narrow" w:hAnsi="Arial Narrow" w:cs="Arial"/>
          <w:color w:val="000000"/>
          <w:sz w:val="24"/>
          <w:szCs w:val="24"/>
        </w:rPr>
        <w:footnoteReference w:id="77"/>
      </w:r>
      <w:r>
        <w:rPr>
          <w:rFonts w:ascii="Arial Narrow" w:hAnsi="Arial Narrow" w:cs="Arial"/>
          <w:color w:val="000000"/>
          <w:sz w:val="24"/>
          <w:szCs w:val="24"/>
        </w:rPr>
        <w:t xml:space="preserve"> și instrumente politice clar definite.</w:t>
      </w:r>
    </w:p>
    <w:p w:rsidR="00EA5F90" w:rsidRDefault="00EA5F90" w:rsidP="00EA5F90">
      <w:pPr>
        <w:pStyle w:val="Listparagraf"/>
        <w:tabs>
          <w:tab w:val="left" w:pos="284"/>
        </w:tabs>
        <w:spacing w:after="0" w:line="240" w:lineRule="auto"/>
        <w:ind w:left="0"/>
        <w:jc w:val="both"/>
        <w:rPr>
          <w:rFonts w:ascii="Arial Narrow" w:hAnsi="Arial Narrow" w:cs="Arial"/>
          <w:color w:val="000000"/>
          <w:sz w:val="24"/>
          <w:szCs w:val="24"/>
        </w:rPr>
      </w:pPr>
      <w:r w:rsidRPr="00263395">
        <w:rPr>
          <w:rFonts w:ascii="Arial Narrow" w:hAnsi="Arial Narrow" w:cs="Arial"/>
          <w:color w:val="000000"/>
          <w:sz w:val="24"/>
          <w:szCs w:val="24"/>
        </w:rPr>
        <w:t>Potrivit Politicii pentru arhitectură „</w:t>
      </w:r>
      <w:r w:rsidRPr="00263395">
        <w:rPr>
          <w:rFonts w:ascii="Arial Narrow" w:hAnsi="Arial Narrow" w:cs="Arial"/>
          <w:i/>
          <w:color w:val="000000"/>
          <w:sz w:val="24"/>
          <w:szCs w:val="24"/>
        </w:rPr>
        <w:t>Crearea de comunităţi durabile implică o viziune integratoare a proiectării urbane și peisagere, a conservării urbane și a construcţiilor precum și aplicarea criteriilor de calitate arhitecturală, la toate nivelurile</w:t>
      </w:r>
      <w:r w:rsidRPr="00263395">
        <w:rPr>
          <w:rFonts w:ascii="Arial Narrow" w:hAnsi="Arial Narrow" w:cs="Arial"/>
          <w:color w:val="000000"/>
          <w:sz w:val="24"/>
          <w:szCs w:val="24"/>
        </w:rPr>
        <w:t xml:space="preserve">”. </w:t>
      </w:r>
      <w:r>
        <w:rPr>
          <w:rFonts w:ascii="Arial Narrow" w:hAnsi="Arial Narrow" w:cs="Arial"/>
          <w:color w:val="000000"/>
          <w:sz w:val="24"/>
          <w:szCs w:val="24"/>
        </w:rPr>
        <w:t>Astfel, î</w:t>
      </w:r>
      <w:r w:rsidRPr="00263395">
        <w:rPr>
          <w:rFonts w:ascii="Arial Narrow" w:hAnsi="Arial Narrow" w:cs="Arial"/>
          <w:color w:val="000000"/>
          <w:sz w:val="24"/>
          <w:szCs w:val="24"/>
        </w:rPr>
        <w:t xml:space="preserve">n contextul </w:t>
      </w:r>
      <w:r w:rsidRPr="00C22DB4">
        <w:rPr>
          <w:rFonts w:ascii="Arial Narrow" w:hAnsi="Arial Narrow" w:cs="Arial"/>
          <w:color w:val="000000"/>
          <w:sz w:val="24"/>
          <w:szCs w:val="24"/>
        </w:rPr>
        <w:t xml:space="preserve">dezvoltării </w:t>
      </w:r>
      <w:r>
        <w:rPr>
          <w:rFonts w:ascii="Arial Narrow" w:hAnsi="Arial Narrow" w:cs="Arial"/>
          <w:color w:val="000000"/>
          <w:sz w:val="24"/>
          <w:szCs w:val="24"/>
        </w:rPr>
        <w:t>mediului construit sustenabil</w:t>
      </w:r>
      <w:r w:rsidRPr="00C22DB4">
        <w:rPr>
          <w:rFonts w:ascii="Arial Narrow" w:hAnsi="Arial Narrow" w:cs="Arial"/>
          <w:color w:val="000000"/>
          <w:sz w:val="24"/>
          <w:szCs w:val="24"/>
        </w:rPr>
        <w:t>, proiectarea şi realizarea unor comunităţi durabile de înaltă calitate este un instrument-cheie</w:t>
      </w:r>
      <w:r w:rsidRPr="00263395">
        <w:rPr>
          <w:rFonts w:ascii="Arial Narrow" w:hAnsi="Arial Narrow" w:cs="Arial"/>
          <w:color w:val="000000"/>
          <w:sz w:val="24"/>
          <w:szCs w:val="24"/>
        </w:rPr>
        <w:t xml:space="preserve">, destinat să atragă investiţii şi oportunităţi economice cu valoare adăugată importantă. </w:t>
      </w:r>
    </w:p>
    <w:p w:rsidR="00EA5F90" w:rsidRPr="00263395" w:rsidRDefault="00EA5F90" w:rsidP="00EA5F90">
      <w:pPr>
        <w:pStyle w:val="Listparagraf"/>
        <w:tabs>
          <w:tab w:val="left" w:pos="284"/>
        </w:tabs>
        <w:spacing w:after="0" w:line="240" w:lineRule="auto"/>
        <w:ind w:left="0"/>
        <w:jc w:val="both"/>
        <w:rPr>
          <w:rFonts w:ascii="Arial Narrow" w:hAnsi="Arial Narrow" w:cs="Arial"/>
          <w:color w:val="000000"/>
          <w:sz w:val="24"/>
          <w:szCs w:val="24"/>
        </w:rPr>
      </w:pPr>
      <w:r w:rsidRPr="00263395">
        <w:rPr>
          <w:rFonts w:ascii="Arial Narrow" w:hAnsi="Arial Narrow" w:cs="Arial"/>
          <w:color w:val="000000"/>
          <w:sz w:val="24"/>
          <w:szCs w:val="24"/>
        </w:rPr>
        <w:t>Pentru dezvoltarea infrastructurii integrate care să răspundă nevoilor populaţiei</w:t>
      </w:r>
      <w:r w:rsidRPr="00263395">
        <w:rPr>
          <w:rFonts w:ascii="Arial Narrow" w:hAnsi="Arial Narrow" w:cs="Arial"/>
          <w:b/>
          <w:color w:val="000000"/>
          <w:sz w:val="24"/>
          <w:szCs w:val="24"/>
        </w:rPr>
        <w:t>, în principalele orașe de la nivelul regiunii Centru s-au demarat proiecte privind implementarea conceptului de Smart City</w:t>
      </w:r>
      <w:r w:rsidRPr="00263395">
        <w:rPr>
          <w:rFonts w:ascii="Arial Narrow" w:hAnsi="Arial Narrow" w:cs="Arial"/>
          <w:color w:val="000000"/>
          <w:sz w:val="24"/>
          <w:szCs w:val="24"/>
        </w:rPr>
        <w:t>: în Municipiul Brașov, spre exemplu, s-a investit într-un sistem de telegestiune a iluminatului public</w:t>
      </w:r>
      <w:r w:rsidRPr="00263395">
        <w:rPr>
          <w:rStyle w:val="Referinnotdesubsol"/>
          <w:rFonts w:ascii="Arial Narrow" w:hAnsi="Arial Narrow" w:cs="Arial"/>
          <w:color w:val="000000"/>
          <w:sz w:val="24"/>
          <w:szCs w:val="24"/>
        </w:rPr>
        <w:footnoteReference w:id="78"/>
      </w:r>
      <w:r w:rsidRPr="00263395">
        <w:rPr>
          <w:rFonts w:ascii="Arial Narrow" w:hAnsi="Arial Narrow" w:cs="Arial"/>
          <w:color w:val="000000"/>
          <w:sz w:val="24"/>
          <w:szCs w:val="24"/>
        </w:rPr>
        <w:t>, iar în Alba Iulia se are în vedere implementarea unor măsuri specifce</w:t>
      </w:r>
      <w:r w:rsidRPr="00263395">
        <w:rPr>
          <w:rStyle w:val="Referinnotdesubsol"/>
          <w:rFonts w:ascii="Arial Narrow" w:hAnsi="Arial Narrow" w:cs="Arial"/>
          <w:color w:val="000000"/>
          <w:sz w:val="24"/>
          <w:szCs w:val="24"/>
        </w:rPr>
        <w:footnoteReference w:id="79"/>
      </w:r>
      <w:r w:rsidRPr="00263395">
        <w:rPr>
          <w:rFonts w:ascii="Arial Narrow" w:hAnsi="Arial Narrow" w:cs="Arial"/>
          <w:color w:val="000000"/>
          <w:sz w:val="24"/>
          <w:szCs w:val="24"/>
        </w:rPr>
        <w:t xml:space="preserve"> pentru dezvoltarea conceptului, care se vor baza pe dezvoltarea de parteneriate public-private care vor conduce la integrarea lanţurilor valorice din diverse sectoare de activitate la nivel local și regional: industria de IT&amp;C, asociații, institute de cercetare-dezvoltare, universităţi și societatea civilă, care vor contribui la unui oraș inteligent. </w:t>
      </w:r>
    </w:p>
    <w:p w:rsidR="00EA5F90" w:rsidRPr="00263395" w:rsidRDefault="00EA5F90" w:rsidP="00EA5F90">
      <w:pPr>
        <w:pStyle w:val="Listparagraf"/>
        <w:tabs>
          <w:tab w:val="left" w:pos="284"/>
        </w:tabs>
        <w:spacing w:after="0" w:line="240" w:lineRule="auto"/>
        <w:ind w:left="0"/>
        <w:jc w:val="both"/>
        <w:rPr>
          <w:rFonts w:ascii="Arial Narrow" w:hAnsi="Arial Narrow" w:cs="Arial"/>
          <w:color w:val="000000"/>
          <w:sz w:val="24"/>
          <w:szCs w:val="24"/>
        </w:rPr>
      </w:pPr>
      <w:r w:rsidRPr="00263395">
        <w:rPr>
          <w:rFonts w:ascii="Arial Narrow" w:hAnsi="Arial Narrow" w:cs="Arial"/>
          <w:color w:val="000000"/>
          <w:sz w:val="24"/>
          <w:szCs w:val="24"/>
        </w:rPr>
        <w:t>În localitățile urbane din regiunea Centru își</w:t>
      </w:r>
      <w:r w:rsidRPr="00263395">
        <w:rPr>
          <w:rFonts w:ascii="Arial Narrow" w:hAnsi="Arial Narrow" w:cs="Arial"/>
          <w:b/>
          <w:color w:val="000000"/>
          <w:sz w:val="24"/>
          <w:szCs w:val="24"/>
        </w:rPr>
        <w:t xml:space="preserve"> </w:t>
      </w:r>
      <w:r w:rsidRPr="00C22DB4">
        <w:rPr>
          <w:rFonts w:ascii="Arial Narrow" w:hAnsi="Arial Narrow" w:cs="Arial"/>
          <w:color w:val="000000"/>
          <w:sz w:val="24"/>
          <w:szCs w:val="24"/>
        </w:rPr>
        <w:t>desfășoară activitatea specialişti, experţi şi reprezentanţi ai autorităţilor în domeniu, care lucrează împreună pentru dezvoltarea sustenabilă a mediului în care trăiesc.</w:t>
      </w:r>
      <w:r>
        <w:rPr>
          <w:rFonts w:ascii="Arial Narrow" w:hAnsi="Arial Narrow" w:cs="Arial"/>
          <w:color w:val="000000"/>
          <w:sz w:val="24"/>
          <w:szCs w:val="24"/>
        </w:rPr>
        <w:t xml:space="preserve"> </w:t>
      </w:r>
      <w:r w:rsidRPr="00263395">
        <w:rPr>
          <w:rFonts w:ascii="Arial Narrow" w:hAnsi="Arial Narrow" w:cs="Arial"/>
          <w:color w:val="000000"/>
          <w:sz w:val="24"/>
          <w:szCs w:val="24"/>
        </w:rPr>
        <w:t>Spre exemplu, asociația „Oraşe Energie România” (OER) este o organizaţie neguvernamentală, cu sediul la Brașov, reunind în anul 2015, un număr de 34 membri (din care 14 sunt din regiunea Centru), interesate de îmbunătăţirea eficienţei energetice în serviciile publice urbane (încălzire, iluminat public, alimentare cu apă şi gaz, colectarea, depozitarea şi transportul deşeurilor menajere etc.) şi de promovarea surselor de energie regenerabile şi a protecţiei mediului</w:t>
      </w:r>
      <w:r>
        <w:rPr>
          <w:rStyle w:val="Referinnotdesubsol"/>
          <w:rFonts w:ascii="Arial Narrow" w:hAnsi="Arial Narrow" w:cs="Arial"/>
          <w:color w:val="000000"/>
          <w:sz w:val="24"/>
          <w:szCs w:val="24"/>
        </w:rPr>
        <w:footnoteReference w:id="80"/>
      </w:r>
      <w:r w:rsidRPr="00263395">
        <w:rPr>
          <w:rFonts w:ascii="Arial Narrow" w:hAnsi="Arial Narrow" w:cs="Arial"/>
          <w:color w:val="000000"/>
          <w:sz w:val="24"/>
          <w:szCs w:val="24"/>
        </w:rPr>
        <w:t xml:space="preserve">. </w:t>
      </w:r>
    </w:p>
    <w:p w:rsidR="00EA5F90" w:rsidRDefault="00EA5F90" w:rsidP="00EA5F90">
      <w:pPr>
        <w:pStyle w:val="Listparagraf"/>
        <w:tabs>
          <w:tab w:val="left" w:pos="284"/>
        </w:tabs>
        <w:spacing w:after="0" w:line="240" w:lineRule="auto"/>
        <w:ind w:left="0"/>
        <w:jc w:val="both"/>
        <w:rPr>
          <w:rFonts w:ascii="Arial Narrow" w:hAnsi="Arial Narrow" w:cs="Arial"/>
          <w:color w:val="000000"/>
          <w:sz w:val="24"/>
          <w:szCs w:val="24"/>
        </w:rPr>
      </w:pPr>
    </w:p>
    <w:p w:rsidR="00EA5F90"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b/>
          <w:sz w:val="24"/>
          <w:szCs w:val="24"/>
        </w:rPr>
        <w:t>La nivelul regiunii Centru</w:t>
      </w:r>
      <w:r w:rsidRPr="00263395">
        <w:rPr>
          <w:rFonts w:ascii="Arial Narrow" w:hAnsi="Arial Narrow"/>
          <w:sz w:val="24"/>
          <w:szCs w:val="24"/>
        </w:rPr>
        <w:t xml:space="preserve"> există localități rurale și urbane unde</w:t>
      </w:r>
      <w:r w:rsidRPr="00263395">
        <w:rPr>
          <w:rFonts w:ascii="Arial Narrow" w:hAnsi="Arial Narrow"/>
          <w:b/>
          <w:sz w:val="24"/>
          <w:szCs w:val="24"/>
        </w:rPr>
        <w:t xml:space="preserve"> există potențial de </w:t>
      </w:r>
      <w:r w:rsidRPr="003064E5">
        <w:rPr>
          <w:rFonts w:ascii="Arial Narrow" w:hAnsi="Arial Narrow"/>
          <w:b/>
          <w:color w:val="538135"/>
          <w:sz w:val="24"/>
          <w:szCs w:val="24"/>
        </w:rPr>
        <w:t>revitalizare a  mediului construit existent</w:t>
      </w:r>
      <w:r w:rsidRPr="003064E5">
        <w:rPr>
          <w:rFonts w:ascii="Arial Narrow" w:hAnsi="Arial Narrow"/>
          <w:b/>
          <w:color w:val="5B9BD5"/>
          <w:sz w:val="24"/>
          <w:szCs w:val="24"/>
        </w:rPr>
        <w:t xml:space="preserve">.  </w:t>
      </w:r>
      <w:r w:rsidRPr="00263395">
        <w:rPr>
          <w:rFonts w:ascii="Arial Narrow" w:hAnsi="Arial Narrow"/>
          <w:sz w:val="24"/>
          <w:szCs w:val="24"/>
        </w:rPr>
        <w:t>Aici sunt incluse pot fi localitățile monoindustriale și zonele poluate istoric.</w:t>
      </w:r>
    </w:p>
    <w:p w:rsidR="00EA5F90" w:rsidRDefault="00EA5F90" w:rsidP="00EA5F90">
      <w:pPr>
        <w:pStyle w:val="Listparagraf"/>
        <w:spacing w:after="0" w:line="240" w:lineRule="auto"/>
        <w:ind w:left="0"/>
        <w:jc w:val="both"/>
        <w:rPr>
          <w:rFonts w:ascii="Arial Narrow" w:hAnsi="Arial Narrow"/>
          <w:sz w:val="24"/>
          <w:szCs w:val="24"/>
        </w:rPr>
      </w:pPr>
      <w:r>
        <w:rPr>
          <w:rFonts w:ascii="Arial Narrow" w:hAnsi="Arial Narrow"/>
          <w:sz w:val="24"/>
          <w:szCs w:val="24"/>
        </w:rPr>
        <w:t xml:space="preserve">În ceea ce privește </w:t>
      </w:r>
      <w:r w:rsidRPr="00263395">
        <w:rPr>
          <w:rFonts w:ascii="Arial Narrow" w:hAnsi="Arial Narrow"/>
          <w:i/>
          <w:sz w:val="24"/>
          <w:szCs w:val="24"/>
        </w:rPr>
        <w:t>revitalizarea localităților monoindustriale din regiunea Centru</w:t>
      </w:r>
      <w:r>
        <w:rPr>
          <w:rStyle w:val="Referinnotdesubsol"/>
          <w:rFonts w:ascii="Arial Narrow" w:hAnsi="Arial Narrow"/>
          <w:i/>
          <w:sz w:val="24"/>
          <w:szCs w:val="24"/>
        </w:rPr>
        <w:footnoteReference w:id="81"/>
      </w:r>
      <w:r w:rsidRPr="00FC61E7">
        <w:rPr>
          <w:rFonts w:ascii="Arial Narrow" w:hAnsi="Arial Narrow"/>
          <w:sz w:val="24"/>
          <w:szCs w:val="24"/>
        </w:rPr>
        <w:t xml:space="preserve"> (de exemplu:  </w:t>
      </w:r>
      <w:r w:rsidRPr="00FC61E7">
        <w:rPr>
          <w:rFonts w:ascii="Arial Narrow" w:hAnsi="Arial Narrow" w:cs="TT16Ft00"/>
          <w:sz w:val="24"/>
          <w:szCs w:val="24"/>
        </w:rPr>
        <w:t>Bălan, Zlatna, Baraolt, Copșa Mică, Victoria, localități din zona Munților Apuseni etc.</w:t>
      </w:r>
      <w:r>
        <w:rPr>
          <w:rFonts w:ascii="Arial Narrow" w:hAnsi="Arial Narrow" w:cs="TT16Ft00"/>
          <w:sz w:val="24"/>
          <w:szCs w:val="24"/>
        </w:rPr>
        <w:t>) p</w:t>
      </w:r>
      <w:r w:rsidRPr="00263395">
        <w:rPr>
          <w:rFonts w:ascii="Arial Narrow" w:hAnsi="Arial Narrow" w:cs="TT16Ft00"/>
          <w:sz w:val="24"/>
          <w:szCs w:val="24"/>
        </w:rPr>
        <w:t xml:space="preserve">ână la acest moment, pentru stimularea regenerării socio-economice a acestor zone, </w:t>
      </w:r>
      <w:r>
        <w:rPr>
          <w:rFonts w:ascii="Arial Narrow" w:hAnsi="Arial Narrow" w:cs="TT16Ft00"/>
          <w:sz w:val="24"/>
          <w:szCs w:val="24"/>
        </w:rPr>
        <w:t>guvernul</w:t>
      </w:r>
      <w:r w:rsidRPr="00263395">
        <w:rPr>
          <w:rFonts w:ascii="Arial Narrow" w:hAnsi="Arial Narrow" w:cs="TT16Ft00"/>
          <w:sz w:val="24"/>
          <w:szCs w:val="24"/>
        </w:rPr>
        <w:t xml:space="preserve"> a acordat facilități fiscale investitorilor și a făcut demersurile necesare pentru atragerea de fonduri externe</w:t>
      </w:r>
      <w:r w:rsidRPr="00263395">
        <w:rPr>
          <w:rStyle w:val="Referinnotdesubsol"/>
          <w:rFonts w:ascii="Arial Narrow" w:hAnsi="Arial Narrow" w:cs="TT16Ft00"/>
          <w:sz w:val="24"/>
          <w:szCs w:val="24"/>
        </w:rPr>
        <w:footnoteReference w:id="82"/>
      </w:r>
      <w:r w:rsidRPr="00263395">
        <w:rPr>
          <w:rFonts w:ascii="Arial Narrow" w:hAnsi="Arial Narrow" w:cs="TT16Ft00"/>
          <w:sz w:val="24"/>
          <w:szCs w:val="24"/>
        </w:rPr>
        <w:t>.</w:t>
      </w:r>
      <w:r w:rsidRPr="00263395">
        <w:rPr>
          <w:rFonts w:ascii="Arial Narrow" w:hAnsi="Arial Narrow"/>
          <w:sz w:val="24"/>
          <w:szCs w:val="24"/>
        </w:rPr>
        <w:t xml:space="preserve"> Revitalizarea  </w:t>
      </w:r>
      <w:r w:rsidRPr="00263395">
        <w:rPr>
          <w:rFonts w:ascii="Arial Narrow" w:hAnsi="Arial Narrow"/>
          <w:sz w:val="24"/>
          <w:szCs w:val="24"/>
        </w:rPr>
        <w:lastRenderedPageBreak/>
        <w:t xml:space="preserve">acestor zone se poate face </w:t>
      </w:r>
      <w:r>
        <w:rPr>
          <w:rFonts w:ascii="Arial Narrow" w:hAnsi="Arial Narrow"/>
          <w:sz w:val="24"/>
          <w:szCs w:val="24"/>
        </w:rPr>
        <w:t>prin asiguarea unor i</w:t>
      </w:r>
      <w:r w:rsidRPr="00B339F6">
        <w:rPr>
          <w:rFonts w:ascii="Arial Narrow" w:hAnsi="Arial Narrow" w:cs="TT16Ft00"/>
          <w:sz w:val="24"/>
          <w:szCs w:val="24"/>
        </w:rPr>
        <w:t xml:space="preserve">nstrumente și măsuri specifice </w:t>
      </w:r>
      <w:r>
        <w:rPr>
          <w:rFonts w:ascii="Arial Narrow" w:hAnsi="Arial Narrow" w:cs="TT16Ft00"/>
          <w:sz w:val="24"/>
          <w:szCs w:val="24"/>
        </w:rPr>
        <w:t>care au în vedere</w:t>
      </w:r>
      <w:r w:rsidRPr="00B339F6">
        <w:rPr>
          <w:rFonts w:ascii="Arial Narrow" w:hAnsi="Arial Narrow" w:cs="TT16Ft00"/>
          <w:sz w:val="24"/>
          <w:szCs w:val="24"/>
        </w:rPr>
        <w:t xml:space="preserve"> î</w:t>
      </w:r>
      <w:r>
        <w:rPr>
          <w:rFonts w:ascii="Arial Narrow" w:hAnsi="Arial Narrow" w:cs="TT16Ft00"/>
          <w:sz w:val="24"/>
          <w:szCs w:val="24"/>
        </w:rPr>
        <w:t xml:space="preserve">mbunătățirea vieții locuitorilor (de exemplu, </w:t>
      </w:r>
      <w:r>
        <w:rPr>
          <w:rFonts w:ascii="Arial Narrow" w:hAnsi="Arial Narrow"/>
          <w:sz w:val="24"/>
          <w:szCs w:val="24"/>
        </w:rPr>
        <w:t>dezvoltarea turismului</w:t>
      </w:r>
      <w:r w:rsidRPr="00263395">
        <w:rPr>
          <w:rFonts w:ascii="Arial Narrow" w:hAnsi="Arial Narrow"/>
          <w:sz w:val="24"/>
          <w:szCs w:val="24"/>
        </w:rPr>
        <w:t xml:space="preserve">, reabilitarea patrimoniului </w:t>
      </w:r>
      <w:r>
        <w:rPr>
          <w:rFonts w:ascii="Arial Narrow" w:hAnsi="Arial Narrow"/>
          <w:sz w:val="24"/>
          <w:szCs w:val="24"/>
        </w:rPr>
        <w:t xml:space="preserve">arhitectonic, </w:t>
      </w:r>
      <w:r w:rsidRPr="00263395">
        <w:rPr>
          <w:rFonts w:ascii="Arial Narrow" w:hAnsi="Arial Narrow"/>
          <w:sz w:val="24"/>
          <w:szCs w:val="24"/>
        </w:rPr>
        <w:t xml:space="preserve">amenajarea şi </w:t>
      </w:r>
      <w:r>
        <w:rPr>
          <w:rFonts w:ascii="Arial Narrow" w:hAnsi="Arial Narrow"/>
          <w:sz w:val="24"/>
          <w:szCs w:val="24"/>
        </w:rPr>
        <w:t>înfrumuseţarea spaţiului public,</w:t>
      </w:r>
      <w:r w:rsidRPr="00263395">
        <w:rPr>
          <w:rFonts w:ascii="Arial Narrow" w:hAnsi="Arial Narrow"/>
          <w:sz w:val="24"/>
          <w:szCs w:val="24"/>
        </w:rPr>
        <w:t xml:space="preserve"> modernizarea infrastructurii urbane - reţele de apă, gaz şi electricitate, drumuri şi reţele de transport în comun, îmbunătăţirea condiţiilor de locuire în cartierele de blocuri</w:t>
      </w:r>
      <w:r>
        <w:rPr>
          <w:rFonts w:ascii="Arial Narrow" w:hAnsi="Arial Narrow"/>
          <w:sz w:val="24"/>
          <w:szCs w:val="24"/>
        </w:rPr>
        <w:t xml:space="preserve"> etc). </w:t>
      </w:r>
      <w:r w:rsidRPr="00B339F6">
        <w:rPr>
          <w:rFonts w:ascii="Arial Narrow" w:hAnsi="Arial Narrow"/>
          <w:i/>
          <w:sz w:val="24"/>
          <w:szCs w:val="24"/>
        </w:rPr>
        <w:t>Reabilitarea siturilor industriale poluate și crearea unor condiții atractive pentru investitori</w:t>
      </w:r>
      <w:r w:rsidRPr="00263395">
        <w:rPr>
          <w:rFonts w:ascii="Arial Narrow" w:hAnsi="Arial Narrow"/>
          <w:sz w:val="24"/>
          <w:szCs w:val="24"/>
        </w:rPr>
        <w:t xml:space="preserve"> </w:t>
      </w:r>
      <w:r w:rsidRPr="002C4D7F">
        <w:rPr>
          <w:rFonts w:ascii="Arial Narrow" w:hAnsi="Arial Narrow"/>
          <w:i/>
          <w:sz w:val="24"/>
          <w:szCs w:val="24"/>
        </w:rPr>
        <w:t>și pentru companiile interesate</w:t>
      </w:r>
      <w:r w:rsidRPr="00263395">
        <w:rPr>
          <w:rFonts w:ascii="Arial Narrow" w:hAnsi="Arial Narrow"/>
          <w:sz w:val="24"/>
          <w:szCs w:val="24"/>
        </w:rPr>
        <w:t xml:space="preserve"> este </w:t>
      </w:r>
      <w:r>
        <w:rPr>
          <w:rFonts w:ascii="Arial Narrow" w:hAnsi="Arial Narrow"/>
          <w:sz w:val="24"/>
          <w:szCs w:val="24"/>
        </w:rPr>
        <w:t>prioritară</w:t>
      </w:r>
      <w:r w:rsidRPr="00263395">
        <w:rPr>
          <w:rFonts w:ascii="Arial Narrow" w:hAnsi="Arial Narrow"/>
          <w:sz w:val="24"/>
          <w:szCs w:val="24"/>
        </w:rPr>
        <w:t xml:space="preserve"> la niveul regiunii. Ace</w:t>
      </w:r>
      <w:r>
        <w:rPr>
          <w:rFonts w:ascii="Arial Narrow" w:hAnsi="Arial Narrow"/>
          <w:sz w:val="24"/>
          <w:szCs w:val="24"/>
        </w:rPr>
        <w:t>a</w:t>
      </w:r>
      <w:r w:rsidRPr="00263395">
        <w:rPr>
          <w:rFonts w:ascii="Arial Narrow" w:hAnsi="Arial Narrow"/>
          <w:sz w:val="24"/>
          <w:szCs w:val="24"/>
        </w:rPr>
        <w:t>sta se datorează în principal, impactului pozitiv al siturilor industriale reabilitate asupra ecologiei, economiei, prin promovarea de noi investiții, și asupra contextului social, prin revitalizarea zonelor poluate și promovarea angajării forței de muncă</w:t>
      </w:r>
      <w:r w:rsidRPr="00B339F6">
        <w:rPr>
          <w:rFonts w:ascii="Arial Narrow" w:hAnsi="Arial Narrow"/>
          <w:sz w:val="24"/>
          <w:szCs w:val="24"/>
        </w:rPr>
        <w:t xml:space="preserve">. Interesul de la nivelul regiunii, este dovedit și de faptul că </w:t>
      </w:r>
      <w:r w:rsidRPr="00B339F6">
        <w:rPr>
          <w:rFonts w:ascii="Arial Narrow" w:hAnsi="Arial Narrow"/>
          <w:i/>
          <w:sz w:val="24"/>
          <w:szCs w:val="24"/>
        </w:rPr>
        <w:t>aici au fost contractate cele mai multe proiecte pentru finanțare nerambursabilă</w:t>
      </w:r>
      <w:r w:rsidRPr="00B339F6">
        <w:rPr>
          <w:rFonts w:ascii="Arial Narrow" w:hAnsi="Arial Narrow"/>
          <w:sz w:val="24"/>
          <w:szCs w:val="24"/>
        </w:rPr>
        <w:t xml:space="preserve"> </w:t>
      </w:r>
      <w:r w:rsidRPr="00D62ACE">
        <w:rPr>
          <w:rFonts w:ascii="Arial Narrow" w:hAnsi="Arial Narrow"/>
          <w:i/>
          <w:sz w:val="24"/>
          <w:szCs w:val="24"/>
        </w:rPr>
        <w:t>din POR 2007-2013, DMI 4.2</w:t>
      </w:r>
      <w:r w:rsidRPr="00B339F6">
        <w:rPr>
          <w:rFonts w:ascii="Arial Narrow" w:hAnsi="Arial Narrow"/>
          <w:sz w:val="24"/>
          <w:szCs w:val="24"/>
        </w:rPr>
        <w:t>, respectiv din cele șapte proiecte, patru au fost contractate în regiunea Centru (județele Covasna și Harghita).</w:t>
      </w:r>
      <w:r w:rsidRPr="00263395">
        <w:rPr>
          <w:rFonts w:ascii="Arial Narrow" w:hAnsi="Arial Narrow"/>
          <w:sz w:val="24"/>
          <w:szCs w:val="24"/>
        </w:rPr>
        <w:t xml:space="preserve"> Aceste proiecte au fost împărți</w:t>
      </w:r>
      <w:r>
        <w:rPr>
          <w:rFonts w:ascii="Arial Narrow" w:hAnsi="Arial Narrow"/>
          <w:sz w:val="24"/>
          <w:szCs w:val="24"/>
        </w:rPr>
        <w:t>te în două faze: prima fază vizâ</w:t>
      </w:r>
      <w:r w:rsidRPr="00263395">
        <w:rPr>
          <w:rFonts w:ascii="Arial Narrow" w:hAnsi="Arial Narrow"/>
          <w:sz w:val="24"/>
          <w:szCs w:val="24"/>
        </w:rPr>
        <w:t>nd decontaminarea sitului (</w:t>
      </w:r>
      <w:r w:rsidRPr="00263395">
        <w:rPr>
          <w:rFonts w:ascii="Arial Narrow" w:hAnsi="Arial Narrow"/>
          <w:b/>
          <w:sz w:val="24"/>
          <w:szCs w:val="24"/>
        </w:rPr>
        <w:t>prin proiectele implementate prin POR 2007 -2013 s-au decontaminat cca 30 ha</w:t>
      </w:r>
      <w:r w:rsidRPr="00263395">
        <w:rPr>
          <w:rStyle w:val="Referinnotdesubsol"/>
          <w:rFonts w:ascii="Arial Narrow" w:hAnsi="Arial Narrow"/>
          <w:sz w:val="24"/>
          <w:szCs w:val="24"/>
        </w:rPr>
        <w:footnoteReference w:id="83"/>
      </w:r>
      <w:r w:rsidRPr="00263395">
        <w:rPr>
          <w:rFonts w:ascii="Arial Narrow" w:hAnsi="Arial Narrow"/>
          <w:sz w:val="24"/>
          <w:szCs w:val="24"/>
        </w:rPr>
        <w:t xml:space="preserve"> </w:t>
      </w:r>
      <w:r>
        <w:rPr>
          <w:rFonts w:ascii="Arial Narrow" w:hAnsi="Arial Narrow"/>
          <w:b/>
          <w:sz w:val="24"/>
          <w:szCs w:val="24"/>
        </w:rPr>
        <w:t>de teren</w:t>
      </w:r>
      <w:r w:rsidRPr="00263395">
        <w:rPr>
          <w:rFonts w:ascii="Arial Narrow" w:hAnsi="Arial Narrow"/>
          <w:b/>
          <w:sz w:val="24"/>
          <w:szCs w:val="24"/>
        </w:rPr>
        <w:t>)</w:t>
      </w:r>
      <w:r w:rsidRPr="00263395">
        <w:rPr>
          <w:rFonts w:ascii="Arial Narrow" w:hAnsi="Arial Narrow"/>
          <w:sz w:val="24"/>
          <w:szCs w:val="24"/>
        </w:rPr>
        <w:t xml:space="preserve"> și cea de-a doua</w:t>
      </w:r>
      <w:r>
        <w:rPr>
          <w:rFonts w:ascii="Arial Narrow" w:hAnsi="Arial Narrow"/>
          <w:sz w:val="24"/>
          <w:szCs w:val="24"/>
        </w:rPr>
        <w:t>,</w:t>
      </w:r>
      <w:r w:rsidRPr="00263395">
        <w:rPr>
          <w:rFonts w:ascii="Arial Narrow" w:hAnsi="Arial Narrow"/>
          <w:sz w:val="24"/>
          <w:szCs w:val="24"/>
        </w:rPr>
        <w:t xml:space="preserve"> dezvoltarea un</w:t>
      </w:r>
      <w:r>
        <w:rPr>
          <w:rFonts w:ascii="Arial Narrow" w:hAnsi="Arial Narrow"/>
          <w:sz w:val="24"/>
          <w:szCs w:val="24"/>
        </w:rPr>
        <w:t xml:space="preserve">or </w:t>
      </w:r>
      <w:r w:rsidRPr="00263395">
        <w:rPr>
          <w:rFonts w:ascii="Arial Narrow" w:hAnsi="Arial Narrow"/>
          <w:sz w:val="24"/>
          <w:szCs w:val="24"/>
        </w:rPr>
        <w:t>cent</w:t>
      </w:r>
      <w:r>
        <w:rPr>
          <w:rFonts w:ascii="Arial Narrow" w:hAnsi="Arial Narrow"/>
          <w:sz w:val="24"/>
          <w:szCs w:val="24"/>
        </w:rPr>
        <w:t>re de afaceri pe terenurile</w:t>
      </w:r>
      <w:r w:rsidRPr="00263395">
        <w:rPr>
          <w:rFonts w:ascii="Arial Narrow" w:hAnsi="Arial Narrow"/>
          <w:sz w:val="24"/>
          <w:szCs w:val="24"/>
        </w:rPr>
        <w:t xml:space="preserve"> reabilitat</w:t>
      </w:r>
      <w:r>
        <w:rPr>
          <w:rFonts w:ascii="Arial Narrow" w:hAnsi="Arial Narrow"/>
          <w:sz w:val="24"/>
          <w:szCs w:val="24"/>
        </w:rPr>
        <w:t>e</w:t>
      </w:r>
      <w:r w:rsidRPr="00263395">
        <w:rPr>
          <w:rFonts w:ascii="Arial Narrow" w:hAnsi="Arial Narrow"/>
          <w:sz w:val="24"/>
          <w:szCs w:val="24"/>
        </w:rPr>
        <w:t xml:space="preserve">.  După finalizarea ambelor faze, proiectele implementate cu finanțare nerambursabilă vor avea efecte majore la nivelul regiunii și sunt considerate o șansă de a revitaliza sistemele economice ale zonei.  În același context, respectiv în vederea </w:t>
      </w:r>
      <w:r w:rsidRPr="00263395">
        <w:rPr>
          <w:rFonts w:ascii="Arial Narrow" w:hAnsi="Arial Narrow"/>
          <w:b/>
          <w:sz w:val="24"/>
          <w:szCs w:val="24"/>
        </w:rPr>
        <w:t>decontaminării unui teren de 30 ha, Muncipiului Tîrgu Mureș  a accesat surse nerambursabile (POS Mediu DMI 2.2)  pentru reabilitarea sitului poluat istoric – Iaz Batal 30 ha - Tîrgu Mureş</w:t>
      </w:r>
      <w:r w:rsidRPr="00263395">
        <w:rPr>
          <w:rStyle w:val="Referinnotdesubsol"/>
          <w:rFonts w:ascii="Arial Narrow" w:hAnsi="Arial Narrow"/>
          <w:sz w:val="24"/>
          <w:szCs w:val="24"/>
        </w:rPr>
        <w:footnoteReference w:id="84"/>
      </w:r>
      <w:r w:rsidRPr="00263395">
        <w:rPr>
          <w:rFonts w:ascii="Arial Narrow" w:hAnsi="Arial Narrow"/>
          <w:sz w:val="24"/>
          <w:szCs w:val="24"/>
        </w:rPr>
        <w:t xml:space="preserve">, aferent platformei de producere a îngrăşămintelor chimice (Azomureş). </w:t>
      </w:r>
    </w:p>
    <w:p w:rsidR="00EA5F90" w:rsidRDefault="00EA5F90" w:rsidP="00EA5F90">
      <w:pPr>
        <w:pStyle w:val="Listparagraf"/>
        <w:spacing w:after="0" w:line="240" w:lineRule="auto"/>
        <w:ind w:left="0"/>
        <w:jc w:val="both"/>
        <w:rPr>
          <w:rFonts w:ascii="Arial Narrow" w:hAnsi="Arial Narrow"/>
          <w:noProof/>
          <w:sz w:val="24"/>
          <w:szCs w:val="24"/>
        </w:rPr>
      </w:pPr>
      <w:r w:rsidRPr="00263395">
        <w:rPr>
          <w:rFonts w:ascii="Arial Narrow" w:hAnsi="Arial Narrow"/>
          <w:sz w:val="24"/>
          <w:szCs w:val="24"/>
        </w:rPr>
        <w:t>Dezvoltarea sustenabilă a patrimoniului construit are un efect pozitiv asupra relansării economice a regiunii şi nu este neglijabil nici efectul acestuia asupra îmbunătăţirii calităţii vieţii. În acest context, în ultimii ani, la nivelul regiunii s-au derulat proiecte și programe de punere în valoare şi de revitalizare a monumentelor, ansamblurilor şi siturilor istorice și de patrimoniu. La nivel regional, programele de reabilitare a patrimoniului cultural construit din Sibiu și Alba Iulia sunt un exemplu de regen</w:t>
      </w:r>
      <w:r>
        <w:rPr>
          <w:rFonts w:ascii="Arial Narrow" w:hAnsi="Arial Narrow"/>
          <w:sz w:val="24"/>
          <w:szCs w:val="24"/>
        </w:rPr>
        <w:t>e</w:t>
      </w:r>
      <w:r w:rsidRPr="00263395">
        <w:rPr>
          <w:rFonts w:ascii="Arial Narrow" w:hAnsi="Arial Narrow"/>
          <w:sz w:val="24"/>
          <w:szCs w:val="24"/>
        </w:rPr>
        <w:t xml:space="preserve">rare urbană la nivel național, iar modul de implementare a acestora și lecțiile învățate pot fi utilizate în dezvoltarea unor programe similare în alte localități din regiune. Spre exemplu, Sibiul, desemnat </w:t>
      </w:r>
      <w:r w:rsidRPr="00263395">
        <w:rPr>
          <w:rFonts w:ascii="Arial Narrow" w:hAnsi="Arial Narrow"/>
          <w:noProof/>
          <w:sz w:val="24"/>
          <w:szCs w:val="24"/>
        </w:rPr>
        <w:t>Capitală Culturală Europeană în 2007, a beneficiat de ample programe de reabilitare a infrastructurii urbane a centrului istoric şi restaurare a patrimoniului arhitectural al ansamblului urbanistic central (zidurile, bastioanele şi turnurile cetăţii, Piaţa Mare, Piaţa Mică, Pi</w:t>
      </w:r>
      <w:r>
        <w:rPr>
          <w:rFonts w:ascii="Arial Narrow" w:hAnsi="Arial Narrow"/>
          <w:noProof/>
          <w:sz w:val="24"/>
          <w:szCs w:val="24"/>
        </w:rPr>
        <w:t xml:space="preserve">aţa Huet şi str. N. Bălcescu). </w:t>
      </w:r>
      <w:r w:rsidRPr="00263395">
        <w:rPr>
          <w:rFonts w:ascii="Arial Narrow" w:hAnsi="Arial Narrow"/>
          <w:noProof/>
          <w:sz w:val="24"/>
          <w:szCs w:val="24"/>
        </w:rPr>
        <w:t xml:space="preserve">Pentru reabilitarea </w:t>
      </w:r>
      <w:r>
        <w:rPr>
          <w:rFonts w:ascii="Arial Narrow" w:hAnsi="Arial Narrow"/>
          <w:noProof/>
          <w:sz w:val="24"/>
          <w:szCs w:val="24"/>
        </w:rPr>
        <w:t xml:space="preserve">municipiului </w:t>
      </w:r>
      <w:r w:rsidRPr="00263395">
        <w:rPr>
          <w:rFonts w:ascii="Arial Narrow" w:hAnsi="Arial Narrow"/>
          <w:noProof/>
          <w:sz w:val="24"/>
          <w:szCs w:val="24"/>
        </w:rPr>
        <w:t>Sibiu au fost organizate mai multe seminarii internaţionale şi o universitate de vară</w:t>
      </w:r>
      <w:r>
        <w:rPr>
          <w:rFonts w:ascii="Arial Narrow" w:hAnsi="Arial Narrow"/>
          <w:noProof/>
          <w:sz w:val="24"/>
          <w:szCs w:val="24"/>
        </w:rPr>
        <w:t>,</w:t>
      </w:r>
      <w:r w:rsidRPr="00263395">
        <w:rPr>
          <w:rFonts w:ascii="Arial Narrow" w:hAnsi="Arial Narrow"/>
          <w:noProof/>
          <w:sz w:val="24"/>
          <w:szCs w:val="24"/>
        </w:rPr>
        <w:t xml:space="preserve"> </w:t>
      </w:r>
      <w:r>
        <w:rPr>
          <w:rFonts w:ascii="Arial Narrow" w:hAnsi="Arial Narrow"/>
          <w:noProof/>
          <w:sz w:val="24"/>
          <w:szCs w:val="24"/>
        </w:rPr>
        <w:t>un c</w:t>
      </w:r>
      <w:r w:rsidRPr="00263395">
        <w:rPr>
          <w:rFonts w:ascii="Arial Narrow" w:hAnsi="Arial Narrow"/>
          <w:noProof/>
          <w:sz w:val="24"/>
          <w:szCs w:val="24"/>
        </w:rPr>
        <w:t xml:space="preserve">olegiului de restaurare, </w:t>
      </w:r>
      <w:r>
        <w:rPr>
          <w:rFonts w:ascii="Arial Narrow" w:hAnsi="Arial Narrow"/>
          <w:noProof/>
          <w:sz w:val="24"/>
          <w:szCs w:val="24"/>
        </w:rPr>
        <w:t xml:space="preserve">au fost organizate </w:t>
      </w:r>
      <w:r w:rsidRPr="00263395">
        <w:rPr>
          <w:rFonts w:ascii="Arial Narrow" w:hAnsi="Arial Narrow"/>
          <w:noProof/>
          <w:sz w:val="24"/>
          <w:szCs w:val="24"/>
        </w:rPr>
        <w:t>consultări cu specialiști și societatea civilă</w:t>
      </w:r>
      <w:r w:rsidRPr="00263395">
        <w:rPr>
          <w:rFonts w:ascii="Arial Narrow" w:hAnsi="Arial Narrow"/>
          <w:sz w:val="24"/>
          <w:szCs w:val="24"/>
        </w:rPr>
        <w:t xml:space="preserve">. Pe lângă fondurile principale de restarurare, în proiectul de reabilitare din Sibiu </w:t>
      </w:r>
      <w:r>
        <w:rPr>
          <w:rFonts w:ascii="Arial Narrow" w:hAnsi="Arial Narrow"/>
          <w:sz w:val="24"/>
          <w:szCs w:val="24"/>
        </w:rPr>
        <w:t>a</w:t>
      </w:r>
      <w:r w:rsidRPr="00263395">
        <w:rPr>
          <w:rFonts w:ascii="Arial Narrow" w:hAnsi="Arial Narrow"/>
          <w:sz w:val="24"/>
          <w:szCs w:val="24"/>
        </w:rPr>
        <w:t>u fost alocate fonduri pentru instr</w:t>
      </w:r>
      <w:r>
        <w:rPr>
          <w:rFonts w:ascii="Arial Narrow" w:hAnsi="Arial Narrow"/>
          <w:sz w:val="24"/>
          <w:szCs w:val="24"/>
        </w:rPr>
        <w:t>u</w:t>
      </w:r>
      <w:r w:rsidRPr="00263395">
        <w:rPr>
          <w:rFonts w:ascii="Arial Narrow" w:hAnsi="Arial Narrow"/>
          <w:sz w:val="24"/>
          <w:szCs w:val="24"/>
        </w:rPr>
        <w:t>iri, studii, seminarii</w:t>
      </w:r>
      <w:r>
        <w:rPr>
          <w:rFonts w:ascii="Arial Narrow" w:hAnsi="Arial Narrow"/>
          <w:sz w:val="24"/>
          <w:szCs w:val="24"/>
        </w:rPr>
        <w:t xml:space="preserve">, redactarea proiectului privind </w:t>
      </w:r>
      <w:r w:rsidRPr="00263395">
        <w:rPr>
          <w:rFonts w:ascii="Arial Narrow" w:hAnsi="Arial Narrow"/>
          <w:sz w:val="24"/>
          <w:szCs w:val="24"/>
        </w:rPr>
        <w:t>introducere</w:t>
      </w:r>
      <w:r>
        <w:rPr>
          <w:rFonts w:ascii="Arial Narrow" w:hAnsi="Arial Narrow"/>
          <w:sz w:val="24"/>
          <w:szCs w:val="24"/>
        </w:rPr>
        <w:t>a</w:t>
      </w:r>
      <w:r w:rsidRPr="00263395">
        <w:rPr>
          <w:rFonts w:ascii="Arial Narrow" w:hAnsi="Arial Narrow"/>
          <w:sz w:val="24"/>
          <w:szCs w:val="24"/>
        </w:rPr>
        <w:t xml:space="preserve"> pe lista monumentelor protejate UNESCO a pieţelor isto</w:t>
      </w:r>
      <w:r>
        <w:rPr>
          <w:rFonts w:ascii="Arial Narrow" w:hAnsi="Arial Narrow"/>
          <w:sz w:val="24"/>
          <w:szCs w:val="24"/>
        </w:rPr>
        <w:t xml:space="preserve">rice din zona medievală </w:t>
      </w:r>
      <w:r w:rsidRPr="00263395">
        <w:rPr>
          <w:rFonts w:ascii="Arial Narrow" w:hAnsi="Arial Narrow"/>
          <w:sz w:val="24"/>
          <w:szCs w:val="24"/>
        </w:rPr>
        <w:t xml:space="preserve">etc. </w:t>
      </w:r>
      <w:r>
        <w:rPr>
          <w:rFonts w:ascii="Arial Narrow" w:hAnsi="Arial Narrow"/>
          <w:sz w:val="24"/>
          <w:szCs w:val="24"/>
        </w:rPr>
        <w:t xml:space="preserve">În plus </w:t>
      </w:r>
      <w:r w:rsidRPr="00263395">
        <w:rPr>
          <w:rFonts w:ascii="Arial Narrow" w:hAnsi="Arial Narrow"/>
          <w:noProof/>
          <w:sz w:val="24"/>
          <w:szCs w:val="24"/>
        </w:rPr>
        <w:t>programele de reabilita</w:t>
      </w:r>
      <w:r>
        <w:rPr>
          <w:rFonts w:ascii="Arial Narrow" w:hAnsi="Arial Narrow"/>
          <w:noProof/>
          <w:sz w:val="24"/>
          <w:szCs w:val="24"/>
        </w:rPr>
        <w:t>r</w:t>
      </w:r>
      <w:r w:rsidRPr="00263395">
        <w:rPr>
          <w:rFonts w:ascii="Arial Narrow" w:hAnsi="Arial Narrow"/>
          <w:noProof/>
          <w:sz w:val="24"/>
          <w:szCs w:val="24"/>
        </w:rPr>
        <w:t>e din Sibiu au condus la modernizarea infrastructurii s</w:t>
      </w:r>
      <w:r>
        <w:rPr>
          <w:rFonts w:ascii="Arial Narrow" w:hAnsi="Arial Narrow"/>
          <w:noProof/>
          <w:sz w:val="24"/>
          <w:szCs w:val="24"/>
        </w:rPr>
        <w:t xml:space="preserve">uport, dezvoltarea serviciilor conexe etc. </w:t>
      </w:r>
    </w:p>
    <w:p w:rsidR="00EA5F90" w:rsidRDefault="00EA5F90" w:rsidP="00EA5F90">
      <w:pPr>
        <w:pStyle w:val="Listparagraf"/>
        <w:spacing w:after="0" w:line="240" w:lineRule="auto"/>
        <w:ind w:left="0"/>
        <w:jc w:val="both"/>
        <w:rPr>
          <w:rFonts w:ascii="Arial Narrow" w:hAnsi="Arial Narrow"/>
          <w:noProof/>
          <w:sz w:val="24"/>
          <w:szCs w:val="24"/>
        </w:rPr>
      </w:pPr>
      <w:r>
        <w:rPr>
          <w:rFonts w:ascii="Arial Narrow" w:hAnsi="Arial Narrow"/>
          <w:noProof/>
          <w:sz w:val="24"/>
          <w:szCs w:val="24"/>
        </w:rPr>
        <w:t xml:space="preserve"> </w:t>
      </w:r>
      <w:r w:rsidRPr="00263395">
        <w:rPr>
          <w:rFonts w:ascii="Arial Narrow" w:hAnsi="Arial Narrow"/>
          <w:noProof/>
          <w:sz w:val="24"/>
          <w:szCs w:val="24"/>
        </w:rPr>
        <w:t>În 2012, Cetatea Alba Iulia a fost premiată cu titlul Destinație Europeană de Excelență (EDEN) pentru proi</w:t>
      </w:r>
      <w:r>
        <w:rPr>
          <w:rFonts w:ascii="Arial Narrow" w:hAnsi="Arial Narrow"/>
          <w:noProof/>
          <w:sz w:val="24"/>
          <w:szCs w:val="24"/>
        </w:rPr>
        <w:t>ectele de conservare.</w:t>
      </w:r>
    </w:p>
    <w:p w:rsidR="00EA5F90" w:rsidRDefault="00EA5F90" w:rsidP="00EA5F90">
      <w:pPr>
        <w:pStyle w:val="Listparagraf"/>
        <w:spacing w:after="0" w:line="240" w:lineRule="auto"/>
        <w:ind w:left="0"/>
        <w:jc w:val="both"/>
        <w:rPr>
          <w:rFonts w:ascii="Arial Narrow" w:hAnsi="Arial Narrow"/>
          <w:noProof/>
          <w:sz w:val="24"/>
          <w:szCs w:val="24"/>
        </w:rPr>
      </w:pPr>
      <w:r w:rsidRPr="00263395">
        <w:rPr>
          <w:rFonts w:ascii="Arial Narrow" w:hAnsi="Arial Narrow"/>
          <w:noProof/>
          <w:sz w:val="24"/>
          <w:szCs w:val="24"/>
        </w:rPr>
        <w:t xml:space="preserve">Colaborările dintre autoritățile locale, sectorul privat și mediul academic au condus la parteneriate puternice, permițând </w:t>
      </w:r>
      <w:r>
        <w:rPr>
          <w:rFonts w:ascii="Arial Narrow" w:hAnsi="Arial Narrow"/>
          <w:noProof/>
          <w:sz w:val="24"/>
          <w:szCs w:val="24"/>
        </w:rPr>
        <w:t xml:space="preserve">revitalizarea sustenabilă a localităților din regiune. Acest lucru s-a observat și </w:t>
      </w:r>
      <w:r w:rsidRPr="00263395">
        <w:rPr>
          <w:rFonts w:ascii="Arial Narrow" w:hAnsi="Arial Narrow"/>
          <w:noProof/>
          <w:sz w:val="24"/>
          <w:szCs w:val="24"/>
        </w:rPr>
        <w:t xml:space="preserve"> în mediul rural, unde prin proiecte și programe specifice</w:t>
      </w:r>
      <w:r>
        <w:rPr>
          <w:rStyle w:val="Referinnotdesubsol"/>
          <w:rFonts w:ascii="Arial Narrow" w:hAnsi="Arial Narrow"/>
          <w:noProof/>
          <w:sz w:val="24"/>
          <w:szCs w:val="24"/>
        </w:rPr>
        <w:footnoteReference w:id="85"/>
      </w:r>
      <w:r w:rsidRPr="00263395">
        <w:rPr>
          <w:rFonts w:ascii="Arial Narrow" w:hAnsi="Arial Narrow"/>
          <w:noProof/>
          <w:sz w:val="24"/>
          <w:szCs w:val="24"/>
        </w:rPr>
        <w:t xml:space="preserve"> </w:t>
      </w:r>
      <w:r>
        <w:rPr>
          <w:rFonts w:ascii="Arial Narrow" w:hAnsi="Arial Narrow"/>
          <w:noProof/>
          <w:sz w:val="24"/>
          <w:szCs w:val="24"/>
        </w:rPr>
        <w:t xml:space="preserve">s-a avut </w:t>
      </w:r>
      <w:r w:rsidRPr="00263395">
        <w:rPr>
          <w:rFonts w:ascii="Arial Narrow" w:hAnsi="Arial Narrow"/>
          <w:noProof/>
          <w:sz w:val="24"/>
          <w:szCs w:val="24"/>
        </w:rPr>
        <w:t>în vedere păstrarea arhitecturii și specificul</w:t>
      </w:r>
      <w:r>
        <w:rPr>
          <w:rFonts w:ascii="Arial Narrow" w:hAnsi="Arial Narrow"/>
          <w:noProof/>
          <w:sz w:val="24"/>
          <w:szCs w:val="24"/>
        </w:rPr>
        <w:t>ui</w:t>
      </w:r>
      <w:r w:rsidRPr="00263395">
        <w:rPr>
          <w:rFonts w:ascii="Arial Narrow" w:hAnsi="Arial Narrow"/>
          <w:noProof/>
          <w:sz w:val="24"/>
          <w:szCs w:val="24"/>
        </w:rPr>
        <w:t xml:space="preserve"> local. </w:t>
      </w:r>
    </w:p>
    <w:p w:rsidR="00EA5F90" w:rsidRPr="003064E5" w:rsidRDefault="00EA5F90" w:rsidP="00EA5F90">
      <w:pPr>
        <w:pStyle w:val="Listparagraf"/>
        <w:spacing w:after="0" w:line="240" w:lineRule="auto"/>
        <w:ind w:left="0"/>
        <w:jc w:val="both"/>
        <w:rPr>
          <w:rFonts w:ascii="Arial Narrow" w:hAnsi="Arial Narrow"/>
          <w:b/>
          <w:i/>
          <w:color w:val="538135"/>
          <w:sz w:val="24"/>
          <w:szCs w:val="24"/>
        </w:rPr>
      </w:pPr>
      <w:r w:rsidRPr="003064E5">
        <w:rPr>
          <w:rFonts w:ascii="Arial Narrow" w:hAnsi="Arial Narrow"/>
          <w:b/>
          <w:i/>
          <w:color w:val="538135"/>
          <w:sz w:val="24"/>
          <w:szCs w:val="24"/>
        </w:rPr>
        <w:lastRenderedPageBreak/>
        <w:t>Parcurile industriale -  parte integrantă a mediului construit sustenabil</w:t>
      </w:r>
    </w:p>
    <w:p w:rsidR="00EA5F90" w:rsidRPr="00263395" w:rsidRDefault="00EA5F90" w:rsidP="00EA5F90">
      <w:pPr>
        <w:spacing w:after="0" w:line="240" w:lineRule="auto"/>
        <w:jc w:val="both"/>
        <w:rPr>
          <w:rFonts w:ascii="Arial Narrow" w:hAnsi="Arial Narrow"/>
          <w:sz w:val="24"/>
          <w:szCs w:val="24"/>
        </w:r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3810</wp:posOffset>
            </wp:positionV>
            <wp:extent cx="3175635" cy="2285365"/>
            <wp:effectExtent l="19050" t="0" r="5715"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l="23003" t="18277" r="25008" b="15166"/>
                    <a:stretch>
                      <a:fillRect/>
                    </a:stretch>
                  </pic:blipFill>
                  <pic:spPr bwMode="auto">
                    <a:xfrm>
                      <a:off x="0" y="0"/>
                      <a:ext cx="3175635" cy="2285365"/>
                    </a:xfrm>
                    <a:prstGeom prst="rect">
                      <a:avLst/>
                    </a:prstGeom>
                    <a:noFill/>
                    <a:ln w="9525">
                      <a:noFill/>
                      <a:miter lim="800000"/>
                      <a:headEnd/>
                      <a:tailEnd/>
                    </a:ln>
                  </pic:spPr>
                </pic:pic>
              </a:graphicData>
            </a:graphic>
          </wp:anchor>
        </w:drawing>
      </w:r>
      <w:r w:rsidRPr="00263395">
        <w:rPr>
          <w:rFonts w:ascii="Arial Narrow" w:hAnsi="Arial Narrow"/>
          <w:sz w:val="24"/>
          <w:szCs w:val="24"/>
        </w:rPr>
        <w:t>Parcurile industriale sunt</w:t>
      </w:r>
      <w:r>
        <w:rPr>
          <w:rFonts w:ascii="Arial Narrow" w:hAnsi="Arial Narrow"/>
          <w:sz w:val="24"/>
          <w:szCs w:val="24"/>
        </w:rPr>
        <w:t xml:space="preserve"> parte</w:t>
      </w:r>
      <w:r w:rsidRPr="00263395">
        <w:rPr>
          <w:rFonts w:ascii="Arial Narrow" w:hAnsi="Arial Narrow"/>
          <w:sz w:val="24"/>
          <w:szCs w:val="24"/>
        </w:rPr>
        <w:t xml:space="preserve"> integrantă din mediul construit și îl pot influența în mod pozitiv, prin faptul că în cadrul acestora se poate asigura o gestionare eficientă a resurselor (energie, apă, materie primă și materiale) și se pot lua măsurile necesare pentru reducerea impactului asupra mediului a activiății industriale din zonă. </w:t>
      </w:r>
    </w:p>
    <w:p w:rsidR="00EA5F90" w:rsidRPr="00263395"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sz w:val="24"/>
          <w:szCs w:val="24"/>
        </w:rPr>
        <w:t xml:space="preserve">Din cele 70 de parcuri industriale existente la nivel național, </w:t>
      </w:r>
      <w:r w:rsidRPr="00E25CDB">
        <w:rPr>
          <w:rFonts w:ascii="Arial Narrow" w:hAnsi="Arial Narrow"/>
          <w:b/>
          <w:sz w:val="24"/>
          <w:szCs w:val="24"/>
        </w:rPr>
        <w:t>în regiunea Centru se găsesc 15 parcuri industriale, aceasta fiind situată pe locul doi după Sud Muntenia + București Ilfov (24 parcuri).</w:t>
      </w:r>
      <w:r w:rsidRPr="00263395">
        <w:rPr>
          <w:rFonts w:ascii="Arial Narrow" w:hAnsi="Arial Narrow"/>
          <w:sz w:val="24"/>
          <w:szCs w:val="24"/>
        </w:rPr>
        <w:t xml:space="preserve"> În plus, prin proiectele implementate</w:t>
      </w:r>
      <w:r>
        <w:rPr>
          <w:rFonts w:ascii="Arial Narrow" w:hAnsi="Arial Narrow"/>
          <w:sz w:val="24"/>
          <w:szCs w:val="24"/>
        </w:rPr>
        <w:t xml:space="preserve"> în perioada 2012-2015</w:t>
      </w:r>
      <w:r w:rsidRPr="00263395">
        <w:rPr>
          <w:rFonts w:ascii="Arial Narrow" w:hAnsi="Arial Narrow"/>
          <w:sz w:val="24"/>
          <w:szCs w:val="24"/>
        </w:rPr>
        <w:t xml:space="preserve">, s-au dezvoltat încă trei parcuri în Covasna și unul în Harghita. </w:t>
      </w:r>
    </w:p>
    <w:p w:rsidR="00EA5F90" w:rsidRPr="00263395" w:rsidRDefault="00EA5F90" w:rsidP="00EA5F90">
      <w:pPr>
        <w:pStyle w:val="Listparagraf"/>
        <w:spacing w:after="0" w:line="240" w:lineRule="auto"/>
        <w:ind w:left="5040"/>
        <w:rPr>
          <w:rFonts w:ascii="Arial Narrow" w:hAnsi="Arial Narrow"/>
          <w:b/>
          <w:sz w:val="18"/>
          <w:szCs w:val="24"/>
        </w:rPr>
      </w:pPr>
      <w:r w:rsidRPr="00263395">
        <w:rPr>
          <w:rFonts w:ascii="Arial Narrow" w:hAnsi="Arial Narrow"/>
          <w:b/>
          <w:sz w:val="18"/>
          <w:szCs w:val="24"/>
        </w:rPr>
        <w:t>Repartizarea parcurilor industriale la nivel național</w:t>
      </w:r>
    </w:p>
    <w:p w:rsidR="00EA5F90" w:rsidRPr="00263395" w:rsidRDefault="00EA5F90" w:rsidP="00EA5F90">
      <w:pPr>
        <w:pStyle w:val="Listparagraf"/>
        <w:spacing w:after="0" w:line="240" w:lineRule="auto"/>
        <w:ind w:left="5040" w:firstLine="720"/>
        <w:rPr>
          <w:rFonts w:ascii="Arial Narrow" w:hAnsi="Arial Narrow"/>
          <w:sz w:val="18"/>
          <w:szCs w:val="24"/>
        </w:rPr>
      </w:pPr>
      <w:r w:rsidRPr="00263395">
        <w:rPr>
          <w:rFonts w:ascii="Arial Narrow" w:hAnsi="Arial Narrow"/>
          <w:sz w:val="18"/>
          <w:szCs w:val="24"/>
        </w:rPr>
        <w:t xml:space="preserve">(sursa: </w:t>
      </w:r>
      <w:hyperlink r:id="rId55" w:history="1">
        <w:r w:rsidRPr="00263395">
          <w:rPr>
            <w:rStyle w:val="Hyperlink"/>
            <w:rFonts w:ascii="Arial Narrow" w:hAnsi="Arial Narrow"/>
            <w:sz w:val="18"/>
            <w:szCs w:val="24"/>
          </w:rPr>
          <w:t>www.investromania.gov.ro</w:t>
        </w:r>
      </w:hyperlink>
      <w:r w:rsidRPr="00263395">
        <w:rPr>
          <w:rFonts w:ascii="Arial Narrow" w:hAnsi="Arial Narrow"/>
          <w:sz w:val="18"/>
          <w:szCs w:val="24"/>
        </w:rPr>
        <w:t>)</w:t>
      </w:r>
    </w:p>
    <w:p w:rsidR="00EA5F90" w:rsidRPr="002B4515" w:rsidRDefault="00EA5F90" w:rsidP="00EA5F90">
      <w:pPr>
        <w:pStyle w:val="Listparagraf"/>
        <w:spacing w:after="0" w:line="240" w:lineRule="auto"/>
        <w:ind w:left="0"/>
        <w:rPr>
          <w:rFonts w:ascii="Arial Narrow" w:hAnsi="Arial Narrow"/>
          <w:sz w:val="16"/>
          <w:szCs w:val="16"/>
        </w:rPr>
      </w:pPr>
      <w:r w:rsidRPr="00263395">
        <w:rPr>
          <w:rFonts w:ascii="Arial Narrow" w:hAnsi="Arial Narrow"/>
          <w:sz w:val="24"/>
          <w:szCs w:val="24"/>
        </w:rPr>
        <w:tab/>
      </w:r>
      <w:r w:rsidRPr="00263395">
        <w:rPr>
          <w:rFonts w:ascii="Arial Narrow" w:hAnsi="Arial Narrow"/>
          <w:sz w:val="24"/>
          <w:szCs w:val="24"/>
        </w:rPr>
        <w:tab/>
      </w:r>
      <w:r w:rsidRPr="00263395">
        <w:rPr>
          <w:rFonts w:ascii="Arial Narrow" w:hAnsi="Arial Narrow"/>
          <w:sz w:val="24"/>
          <w:szCs w:val="24"/>
        </w:rPr>
        <w:tab/>
      </w:r>
      <w:r w:rsidRPr="002B4515">
        <w:rPr>
          <w:rFonts w:ascii="Arial Narrow" w:hAnsi="Arial Narrow"/>
          <w:b/>
          <w:sz w:val="16"/>
          <w:szCs w:val="16"/>
        </w:rPr>
        <w:t xml:space="preserve">                           </w:t>
      </w:r>
      <w:r w:rsidRPr="002B4515">
        <w:rPr>
          <w:rFonts w:ascii="Arial Narrow" w:hAnsi="Arial Narrow"/>
          <w:b/>
          <w:sz w:val="16"/>
          <w:szCs w:val="16"/>
        </w:rPr>
        <w:tab/>
      </w:r>
      <w:r w:rsidRPr="002B4515">
        <w:rPr>
          <w:rFonts w:ascii="Arial Narrow" w:hAnsi="Arial Narrow"/>
          <w:b/>
          <w:sz w:val="16"/>
          <w:szCs w:val="16"/>
        </w:rPr>
        <w:tab/>
      </w:r>
      <w:r w:rsidRPr="002B4515">
        <w:rPr>
          <w:rFonts w:ascii="Arial Narrow" w:hAnsi="Arial Narrow"/>
          <w:b/>
          <w:sz w:val="16"/>
          <w:szCs w:val="16"/>
        </w:rPr>
        <w:tab/>
      </w:r>
    </w:p>
    <w:p w:rsidR="00EA5F90" w:rsidRPr="00E25CDB" w:rsidRDefault="00EA5F90" w:rsidP="00EA5F90">
      <w:pPr>
        <w:pStyle w:val="Legend"/>
        <w:spacing w:after="0"/>
        <w:jc w:val="center"/>
        <w:rPr>
          <w:rFonts w:ascii="Arial Narrow" w:hAnsi="Arial Narrow"/>
          <w:b w:val="0"/>
          <w:szCs w:val="16"/>
        </w:rPr>
      </w:pPr>
      <w:r w:rsidRPr="00E25CDB">
        <w:rPr>
          <w:rFonts w:ascii="Arial Narrow" w:hAnsi="Arial Narrow"/>
          <w:szCs w:val="16"/>
        </w:rPr>
        <w:t xml:space="preserve">Tabel </w:t>
      </w:r>
      <w:r w:rsidR="00BD7229" w:rsidRPr="00E25CDB">
        <w:rPr>
          <w:rFonts w:ascii="Arial Narrow" w:hAnsi="Arial Narrow"/>
          <w:szCs w:val="16"/>
        </w:rPr>
        <w:fldChar w:fldCharType="begin"/>
      </w:r>
      <w:r w:rsidRPr="00E25CDB">
        <w:rPr>
          <w:rFonts w:ascii="Arial Narrow" w:hAnsi="Arial Narrow"/>
          <w:szCs w:val="16"/>
        </w:rPr>
        <w:instrText xml:space="preserve"> SEQ Tabel \* ARABIC </w:instrText>
      </w:r>
      <w:r w:rsidR="00BD7229" w:rsidRPr="00E25CDB">
        <w:rPr>
          <w:rFonts w:ascii="Arial Narrow" w:hAnsi="Arial Narrow"/>
          <w:szCs w:val="16"/>
        </w:rPr>
        <w:fldChar w:fldCharType="separate"/>
      </w:r>
      <w:r>
        <w:rPr>
          <w:rFonts w:ascii="Arial Narrow" w:hAnsi="Arial Narrow"/>
          <w:noProof/>
          <w:szCs w:val="16"/>
        </w:rPr>
        <w:t>5</w:t>
      </w:r>
      <w:r w:rsidR="00BD7229" w:rsidRPr="00E25CDB">
        <w:rPr>
          <w:rFonts w:ascii="Arial Narrow" w:hAnsi="Arial Narrow"/>
          <w:szCs w:val="16"/>
        </w:rPr>
        <w:fldChar w:fldCharType="end"/>
      </w:r>
      <w:r w:rsidRPr="00E25CDB">
        <w:rPr>
          <w:rFonts w:ascii="Arial Narrow" w:hAnsi="Arial Narrow"/>
          <w:szCs w:val="16"/>
        </w:rPr>
        <w:t>.</w:t>
      </w:r>
      <w:r w:rsidRPr="00E25CDB">
        <w:rPr>
          <w:rFonts w:ascii="Arial Narrow" w:hAnsi="Arial Narrow"/>
          <w:b w:val="0"/>
          <w:szCs w:val="16"/>
        </w:rPr>
        <w:t>Parcurile industriale funcționale din regiunea Centru</w:t>
      </w:r>
    </w:p>
    <w:tbl>
      <w:tblPr>
        <w:tblW w:w="4901"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tblPr>
      <w:tblGrid>
        <w:gridCol w:w="7147"/>
        <w:gridCol w:w="1957"/>
      </w:tblGrid>
      <w:tr w:rsidR="00EA5F90" w:rsidRPr="003064E5" w:rsidTr="00EA5F90">
        <w:trPr>
          <w:trHeight w:val="193"/>
        </w:trPr>
        <w:tc>
          <w:tcPr>
            <w:tcW w:w="3925" w:type="pct"/>
            <w:shd w:val="clear" w:color="auto" w:fill="BDD6EE"/>
          </w:tcPr>
          <w:p w:rsidR="00EA5F90" w:rsidRPr="003064E5" w:rsidRDefault="00EA5F90" w:rsidP="00EA5F90">
            <w:pPr>
              <w:pStyle w:val="Antet"/>
              <w:contextualSpacing/>
              <w:jc w:val="center"/>
              <w:rPr>
                <w:rFonts w:ascii="Arial Narrow" w:hAnsi="Arial Narrow" w:cs="Arial"/>
                <w:b/>
                <w:sz w:val="16"/>
                <w:szCs w:val="16"/>
              </w:rPr>
            </w:pPr>
            <w:r w:rsidRPr="003064E5">
              <w:rPr>
                <w:rFonts w:ascii="Arial Narrow" w:hAnsi="Arial Narrow" w:cs="Arial"/>
                <w:b/>
                <w:sz w:val="16"/>
                <w:szCs w:val="16"/>
              </w:rPr>
              <w:t>DENUMIRE PARC / SUPRAFAŢA / LOCALIZARE</w:t>
            </w:r>
          </w:p>
        </w:tc>
        <w:tc>
          <w:tcPr>
            <w:tcW w:w="1075" w:type="pct"/>
            <w:shd w:val="clear" w:color="auto" w:fill="BDD6EE"/>
          </w:tcPr>
          <w:p w:rsidR="00EA5F90" w:rsidRPr="003064E5" w:rsidRDefault="00EA5F90" w:rsidP="00EA5F90">
            <w:pPr>
              <w:spacing w:after="0" w:line="240" w:lineRule="auto"/>
              <w:contextualSpacing/>
              <w:jc w:val="center"/>
              <w:rPr>
                <w:rFonts w:ascii="Arial Narrow" w:hAnsi="Arial Narrow"/>
                <w:sz w:val="16"/>
                <w:szCs w:val="16"/>
                <w:lang w:eastAsia="ro-RO"/>
              </w:rPr>
            </w:pPr>
            <w:r w:rsidRPr="003064E5">
              <w:rPr>
                <w:rFonts w:ascii="Arial Narrow" w:hAnsi="Arial Narrow"/>
                <w:sz w:val="16"/>
                <w:szCs w:val="16"/>
                <w:lang w:eastAsia="ro-RO"/>
              </w:rPr>
              <w:t>Tip structura/platformă</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iCs/>
                <w:sz w:val="16"/>
                <w:szCs w:val="16"/>
              </w:rPr>
            </w:pPr>
            <w:r w:rsidRPr="003064E5">
              <w:rPr>
                <w:rFonts w:ascii="Arial Narrow" w:hAnsi="Arial Narrow" w:cs="Arial"/>
                <w:b/>
                <w:bCs/>
                <w:iCs/>
                <w:sz w:val="16"/>
                <w:szCs w:val="16"/>
              </w:rPr>
              <w:t xml:space="preserve">Parcul Industrial Sibiu - Şura Mică </w:t>
            </w:r>
            <w:r w:rsidRPr="003064E5">
              <w:rPr>
                <w:rFonts w:ascii="Arial Narrow" w:hAnsi="Arial Narrow" w:cs="Arial"/>
                <w:iCs/>
                <w:sz w:val="16"/>
                <w:szCs w:val="16"/>
              </w:rPr>
              <w:t>(98,045 ha, loc. Şura Mică, jud. Sibiu)</w:t>
            </w:r>
          </w:p>
        </w:tc>
        <w:tc>
          <w:tcPr>
            <w:tcW w:w="1075" w:type="pct"/>
            <w:shd w:val="clear" w:color="auto" w:fill="auto"/>
          </w:tcPr>
          <w:p w:rsidR="00EA5F90" w:rsidRPr="003064E5" w:rsidRDefault="00EA5F90" w:rsidP="00EA5F90">
            <w:pPr>
              <w:pStyle w:val="Antet"/>
              <w:contextualSpacing/>
              <w:jc w:val="center"/>
              <w:rPr>
                <w:rFonts w:ascii="Arial Narrow" w:hAnsi="Arial Narrow" w:cs="Arial"/>
                <w:b/>
                <w:iCs/>
                <w:sz w:val="16"/>
                <w:szCs w:val="16"/>
              </w:rPr>
            </w:pPr>
            <w:r w:rsidRPr="003064E5">
              <w:rPr>
                <w:rFonts w:ascii="Arial Narrow" w:hAnsi="Arial Narrow" w:cs="Arial"/>
                <w:b/>
                <w:iCs/>
                <w:sz w:val="16"/>
                <w:szCs w:val="16"/>
              </w:rPr>
              <w:t>Nouă</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
                <w:bCs/>
                <w:iCs/>
                <w:sz w:val="16"/>
                <w:szCs w:val="16"/>
              </w:rPr>
            </w:pPr>
            <w:r w:rsidRPr="003064E5">
              <w:rPr>
                <w:rFonts w:ascii="Arial Narrow" w:hAnsi="Arial Narrow" w:cs="Arial"/>
                <w:b/>
                <w:bCs/>
                <w:iCs/>
                <w:sz w:val="16"/>
                <w:szCs w:val="16"/>
              </w:rPr>
              <w:t>Parcul Industrial Sibiu</w:t>
            </w:r>
            <w:r w:rsidRPr="003064E5">
              <w:rPr>
                <w:rFonts w:ascii="Arial Narrow" w:hAnsi="Arial Narrow" w:cs="Arial"/>
                <w:bCs/>
                <w:iCs/>
                <w:sz w:val="16"/>
                <w:szCs w:val="16"/>
              </w:rPr>
              <w:t xml:space="preserve"> (95,4 ha</w:t>
            </w:r>
            <w:r w:rsidRPr="003064E5">
              <w:rPr>
                <w:rFonts w:ascii="Arial Narrow" w:hAnsi="Arial Narrow" w:cs="Arial"/>
                <w:iCs/>
                <w:sz w:val="16"/>
                <w:szCs w:val="16"/>
              </w:rPr>
              <w:t>, loc. Şelimbăr, jud. Sibiu)</w:t>
            </w:r>
          </w:p>
        </w:tc>
        <w:tc>
          <w:tcPr>
            <w:tcW w:w="1075" w:type="pct"/>
            <w:shd w:val="clear" w:color="auto" w:fill="auto"/>
          </w:tcPr>
          <w:p w:rsidR="00EA5F90" w:rsidRPr="003064E5" w:rsidRDefault="00EA5F90" w:rsidP="00EA5F90">
            <w:pPr>
              <w:pStyle w:val="Antet"/>
              <w:contextualSpacing/>
              <w:jc w:val="center"/>
              <w:rPr>
                <w:rFonts w:ascii="Arial Narrow" w:hAnsi="Arial Narrow" w:cs="Arial"/>
                <w:b/>
                <w:iCs/>
                <w:sz w:val="16"/>
                <w:szCs w:val="16"/>
              </w:rPr>
            </w:pPr>
            <w:r w:rsidRPr="003064E5">
              <w:rPr>
                <w:rFonts w:ascii="Arial Narrow" w:hAnsi="Arial Narrow" w:cs="Arial"/>
                <w:b/>
                <w:iCs/>
                <w:sz w:val="16"/>
                <w:szCs w:val="16"/>
              </w:rPr>
              <w:t>Veche + Nouă</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Cs/>
                <w:iCs/>
                <w:sz w:val="16"/>
                <w:szCs w:val="16"/>
              </w:rPr>
            </w:pPr>
            <w:r w:rsidRPr="003064E5">
              <w:rPr>
                <w:rFonts w:ascii="Arial Narrow" w:hAnsi="Arial Narrow" w:cs="Arial"/>
                <w:b/>
                <w:iCs/>
                <w:sz w:val="16"/>
                <w:szCs w:val="16"/>
              </w:rPr>
              <w:t xml:space="preserve">Parcul Industrial Mureş </w:t>
            </w:r>
            <w:r w:rsidRPr="003064E5">
              <w:rPr>
                <w:rFonts w:ascii="Arial Narrow" w:hAnsi="Arial Narrow" w:cs="Arial"/>
                <w:bCs/>
                <w:iCs/>
                <w:sz w:val="16"/>
                <w:szCs w:val="16"/>
              </w:rPr>
              <w:t>(40,9 ha astfel: loc. Ungheni 25,3 ha, loc. Sînpaul 15,6 ha, jud. Mureş, loc. Vidrasau-Ungheni)</w:t>
            </w:r>
          </w:p>
        </w:tc>
        <w:tc>
          <w:tcPr>
            <w:tcW w:w="1075" w:type="pct"/>
            <w:shd w:val="clear" w:color="auto" w:fill="auto"/>
          </w:tcPr>
          <w:p w:rsidR="00EA5F90" w:rsidRPr="003064E5" w:rsidRDefault="00EA5F90" w:rsidP="00EA5F90">
            <w:pPr>
              <w:pStyle w:val="Antet"/>
              <w:contextualSpacing/>
              <w:jc w:val="center"/>
              <w:rPr>
                <w:rFonts w:ascii="Arial Narrow" w:hAnsi="Arial Narrow" w:cs="Arial"/>
                <w:b/>
                <w:bCs/>
                <w:iCs/>
                <w:sz w:val="16"/>
                <w:szCs w:val="16"/>
              </w:rPr>
            </w:pPr>
            <w:r w:rsidRPr="003064E5">
              <w:rPr>
                <w:rFonts w:ascii="Arial Narrow" w:hAnsi="Arial Narrow" w:cs="Arial"/>
                <w:b/>
                <w:bCs/>
                <w:iCs/>
                <w:sz w:val="16"/>
                <w:szCs w:val="16"/>
              </w:rPr>
              <w:t>Nouă</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Cs/>
                <w:iCs/>
                <w:sz w:val="16"/>
                <w:szCs w:val="16"/>
              </w:rPr>
            </w:pPr>
            <w:r w:rsidRPr="003064E5">
              <w:rPr>
                <w:rFonts w:ascii="Arial Narrow" w:hAnsi="Arial Narrow" w:cs="Arial"/>
                <w:b/>
                <w:iCs/>
                <w:sz w:val="16"/>
                <w:szCs w:val="16"/>
              </w:rPr>
              <w:t xml:space="preserve">Parcul Industrial Zărneşti </w:t>
            </w:r>
            <w:r w:rsidRPr="003064E5">
              <w:rPr>
                <w:rFonts w:ascii="Arial Narrow" w:hAnsi="Arial Narrow" w:cs="Arial"/>
                <w:bCs/>
                <w:iCs/>
                <w:sz w:val="16"/>
                <w:szCs w:val="16"/>
              </w:rPr>
              <w:t>(46,156 ha, loc. Zărneşti, jud. Braşov, str. Aleea Uzinei nr. 1 A)</w:t>
            </w:r>
          </w:p>
        </w:tc>
        <w:tc>
          <w:tcPr>
            <w:tcW w:w="1075" w:type="pct"/>
            <w:shd w:val="clear" w:color="auto" w:fill="auto"/>
          </w:tcPr>
          <w:p w:rsidR="00EA5F90" w:rsidRPr="003064E5" w:rsidRDefault="00EA5F90" w:rsidP="00EA5F90">
            <w:pPr>
              <w:pStyle w:val="Antet"/>
              <w:contextualSpacing/>
              <w:jc w:val="center"/>
              <w:rPr>
                <w:rFonts w:ascii="Arial Narrow" w:hAnsi="Arial Narrow" w:cs="Arial"/>
                <w:b/>
                <w:bCs/>
                <w:iCs/>
                <w:sz w:val="16"/>
                <w:szCs w:val="16"/>
              </w:rPr>
            </w:pPr>
            <w:r w:rsidRPr="003064E5">
              <w:rPr>
                <w:rFonts w:ascii="Arial Narrow" w:hAnsi="Arial Narrow" w:cs="Arial"/>
                <w:b/>
                <w:bCs/>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Cs/>
                <w:iCs/>
                <w:sz w:val="16"/>
                <w:szCs w:val="16"/>
              </w:rPr>
            </w:pPr>
            <w:r w:rsidRPr="003064E5">
              <w:rPr>
                <w:rFonts w:ascii="Arial Narrow" w:hAnsi="Arial Narrow" w:cs="Arial"/>
                <w:b/>
                <w:iCs/>
                <w:sz w:val="16"/>
                <w:szCs w:val="16"/>
              </w:rPr>
              <w:t xml:space="preserve">Parcul Industrial Cugir </w:t>
            </w:r>
            <w:r w:rsidRPr="003064E5">
              <w:rPr>
                <w:rFonts w:ascii="Arial Narrow" w:hAnsi="Arial Narrow" w:cs="Arial"/>
                <w:bCs/>
                <w:iCs/>
                <w:sz w:val="16"/>
                <w:szCs w:val="16"/>
              </w:rPr>
              <w:t>(11,17 ha, loc. Cugir, jud. Alba)</w:t>
            </w:r>
          </w:p>
        </w:tc>
        <w:tc>
          <w:tcPr>
            <w:tcW w:w="1075" w:type="pct"/>
            <w:shd w:val="clear" w:color="auto" w:fill="auto"/>
          </w:tcPr>
          <w:p w:rsidR="00EA5F90" w:rsidRPr="003064E5" w:rsidRDefault="00EA5F90" w:rsidP="00EA5F90">
            <w:pPr>
              <w:pStyle w:val="Antet"/>
              <w:contextualSpacing/>
              <w:jc w:val="center"/>
              <w:rPr>
                <w:rFonts w:ascii="Arial Narrow" w:hAnsi="Arial Narrow" w:cs="Arial"/>
                <w:b/>
                <w:bCs/>
                <w:iCs/>
                <w:sz w:val="16"/>
                <w:szCs w:val="16"/>
              </w:rPr>
            </w:pPr>
            <w:r w:rsidRPr="003064E5">
              <w:rPr>
                <w:rFonts w:ascii="Arial Narrow" w:hAnsi="Arial Narrow" w:cs="Arial"/>
                <w:b/>
                <w:bCs/>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Cs/>
                <w:iCs/>
                <w:sz w:val="16"/>
                <w:szCs w:val="16"/>
              </w:rPr>
            </w:pPr>
            <w:r w:rsidRPr="003064E5">
              <w:rPr>
                <w:rFonts w:ascii="Arial Narrow" w:hAnsi="Arial Narrow" w:cs="Arial"/>
                <w:b/>
                <w:iCs/>
                <w:sz w:val="16"/>
                <w:szCs w:val="16"/>
              </w:rPr>
              <w:t xml:space="preserve">Parcul Industrial Prejmer </w:t>
            </w:r>
            <w:r w:rsidRPr="003064E5">
              <w:rPr>
                <w:rFonts w:ascii="Arial Narrow" w:hAnsi="Arial Narrow" w:cs="Arial"/>
                <w:bCs/>
                <w:iCs/>
                <w:sz w:val="16"/>
                <w:szCs w:val="16"/>
              </w:rPr>
              <w:t>(82,36 ha, DN 10, km 140, loc. Prejmer, jud. Braşov)</w:t>
            </w:r>
          </w:p>
        </w:tc>
        <w:tc>
          <w:tcPr>
            <w:tcW w:w="1075" w:type="pct"/>
            <w:shd w:val="clear" w:color="auto" w:fill="auto"/>
          </w:tcPr>
          <w:p w:rsidR="00EA5F90" w:rsidRPr="003064E5" w:rsidRDefault="00EA5F90" w:rsidP="00EA5F90">
            <w:pPr>
              <w:pStyle w:val="Antet"/>
              <w:contextualSpacing/>
              <w:jc w:val="center"/>
              <w:rPr>
                <w:rFonts w:ascii="Arial Narrow" w:hAnsi="Arial Narrow" w:cs="Arial"/>
                <w:b/>
                <w:bCs/>
                <w:iCs/>
                <w:sz w:val="16"/>
                <w:szCs w:val="16"/>
              </w:rPr>
            </w:pPr>
            <w:r w:rsidRPr="003064E5">
              <w:rPr>
                <w:rFonts w:ascii="Arial Narrow" w:hAnsi="Arial Narrow" w:cs="Arial"/>
                <w:b/>
                <w:bCs/>
                <w:iCs/>
                <w:sz w:val="16"/>
                <w:szCs w:val="16"/>
              </w:rPr>
              <w:t>Nouă</w:t>
            </w:r>
          </w:p>
        </w:tc>
      </w:tr>
      <w:tr w:rsidR="00EA5F90" w:rsidRPr="003064E5" w:rsidTr="00EA5F90">
        <w:trPr>
          <w:trHeight w:val="284"/>
        </w:trPr>
        <w:tc>
          <w:tcPr>
            <w:tcW w:w="3925" w:type="pct"/>
            <w:shd w:val="clear" w:color="auto" w:fill="auto"/>
          </w:tcPr>
          <w:p w:rsidR="00EA5F90" w:rsidRPr="003064E5" w:rsidRDefault="00EA5F90" w:rsidP="00EA5F90">
            <w:pPr>
              <w:spacing w:after="0" w:line="240" w:lineRule="auto"/>
              <w:contextualSpacing/>
              <w:jc w:val="both"/>
              <w:rPr>
                <w:rFonts w:ascii="Arial Narrow" w:hAnsi="Arial Narrow" w:cs="Arial"/>
                <w:sz w:val="16"/>
                <w:szCs w:val="16"/>
              </w:rPr>
            </w:pPr>
            <w:r w:rsidRPr="003064E5">
              <w:rPr>
                <w:rFonts w:ascii="Arial Narrow" w:hAnsi="Arial Narrow" w:cs="Arial"/>
                <w:b/>
                <w:sz w:val="16"/>
                <w:szCs w:val="16"/>
              </w:rPr>
              <w:t>Parcul Industrial Braşov</w:t>
            </w:r>
            <w:r w:rsidRPr="003064E5">
              <w:rPr>
                <w:rFonts w:ascii="Arial Narrow" w:hAnsi="Arial Narrow" w:cs="Arial"/>
                <w:sz w:val="16"/>
                <w:szCs w:val="16"/>
              </w:rPr>
              <w:t xml:space="preserve"> (29 ha, str. Aeroportului nr. 6, loc. Ghimbav, jud. Braşov)</w:t>
            </w:r>
          </w:p>
        </w:tc>
        <w:tc>
          <w:tcPr>
            <w:tcW w:w="1075" w:type="pct"/>
            <w:shd w:val="clear" w:color="auto" w:fill="auto"/>
          </w:tcPr>
          <w:p w:rsidR="00EA5F90" w:rsidRPr="003064E5" w:rsidRDefault="00EA5F90" w:rsidP="00EA5F90">
            <w:pPr>
              <w:spacing w:after="0" w:line="240" w:lineRule="auto"/>
              <w:contextualSpacing/>
              <w:jc w:val="center"/>
              <w:rPr>
                <w:rFonts w:ascii="Arial Narrow" w:hAnsi="Arial Narrow" w:cs="Arial"/>
                <w:b/>
                <w:sz w:val="16"/>
                <w:szCs w:val="16"/>
              </w:rPr>
            </w:pPr>
            <w:r w:rsidRPr="003064E5">
              <w:rPr>
                <w:rFonts w:ascii="Arial Narrow" w:hAnsi="Arial Narrow" w:cs="Arial"/>
                <w:b/>
                <w:sz w:val="16"/>
                <w:szCs w:val="16"/>
              </w:rPr>
              <w:t>Nouă</w:t>
            </w:r>
          </w:p>
        </w:tc>
      </w:tr>
      <w:tr w:rsidR="00EA5F90" w:rsidRPr="003064E5" w:rsidTr="00EA5F90">
        <w:trPr>
          <w:trHeight w:val="284"/>
        </w:trPr>
        <w:tc>
          <w:tcPr>
            <w:tcW w:w="3925" w:type="pct"/>
            <w:shd w:val="clear" w:color="auto" w:fill="auto"/>
          </w:tcPr>
          <w:p w:rsidR="00EA5F90" w:rsidRPr="003064E5" w:rsidRDefault="00EA5F90" w:rsidP="00EA5F90">
            <w:pPr>
              <w:spacing w:after="0" w:line="240" w:lineRule="auto"/>
              <w:contextualSpacing/>
              <w:jc w:val="both"/>
              <w:rPr>
                <w:rFonts w:ascii="Arial Narrow" w:hAnsi="Arial Narrow" w:cs="Arial"/>
                <w:sz w:val="16"/>
                <w:szCs w:val="16"/>
              </w:rPr>
            </w:pPr>
            <w:r w:rsidRPr="003064E5">
              <w:rPr>
                <w:rFonts w:ascii="Arial Narrow" w:hAnsi="Arial Narrow" w:cs="Arial"/>
                <w:b/>
                <w:sz w:val="16"/>
                <w:szCs w:val="16"/>
              </w:rPr>
              <w:t xml:space="preserve">Parcul Industrial Mediaş </w:t>
            </w:r>
            <w:r w:rsidRPr="003064E5">
              <w:rPr>
                <w:rFonts w:ascii="Arial Narrow" w:hAnsi="Arial Narrow" w:cs="Arial"/>
                <w:sz w:val="16"/>
                <w:szCs w:val="16"/>
              </w:rPr>
              <w:t>(14,356 ha, loc. Mediaş, jud. Sibiu)</w:t>
            </w:r>
          </w:p>
        </w:tc>
        <w:tc>
          <w:tcPr>
            <w:tcW w:w="1075" w:type="pct"/>
            <w:shd w:val="clear" w:color="auto" w:fill="auto"/>
          </w:tcPr>
          <w:p w:rsidR="00EA5F90" w:rsidRPr="003064E5" w:rsidRDefault="00EA5F90" w:rsidP="00EA5F90">
            <w:pPr>
              <w:spacing w:after="0" w:line="240" w:lineRule="auto"/>
              <w:contextualSpacing/>
              <w:jc w:val="center"/>
              <w:rPr>
                <w:rFonts w:ascii="Arial Narrow" w:hAnsi="Arial Narrow" w:cs="Arial"/>
                <w:b/>
                <w:sz w:val="16"/>
                <w:szCs w:val="16"/>
              </w:rPr>
            </w:pPr>
            <w:r w:rsidRPr="003064E5">
              <w:rPr>
                <w:rFonts w:ascii="Arial Narrow" w:hAnsi="Arial Narrow" w:cs="Arial"/>
                <w:b/>
                <w:sz w:val="16"/>
                <w:szCs w:val="16"/>
              </w:rPr>
              <w:t>Nouă</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Cs/>
                <w:iCs/>
                <w:sz w:val="16"/>
                <w:szCs w:val="16"/>
              </w:rPr>
            </w:pPr>
            <w:r w:rsidRPr="003064E5">
              <w:rPr>
                <w:rFonts w:ascii="Arial Narrow" w:hAnsi="Arial Narrow" w:cs="Arial"/>
                <w:b/>
                <w:iCs/>
                <w:sz w:val="16"/>
                <w:szCs w:val="16"/>
              </w:rPr>
              <w:t xml:space="preserve">Parcul industrial WDP Codlea </w:t>
            </w:r>
            <w:r w:rsidRPr="003064E5">
              <w:rPr>
                <w:rFonts w:ascii="Arial Narrow" w:hAnsi="Arial Narrow" w:cs="Arial"/>
                <w:iCs/>
                <w:sz w:val="16"/>
                <w:szCs w:val="16"/>
              </w:rPr>
              <w:t>(13 ha, loc.</w:t>
            </w:r>
            <w:r w:rsidRPr="003064E5">
              <w:rPr>
                <w:rFonts w:ascii="Arial Narrow" w:hAnsi="Arial Narrow" w:cs="Arial"/>
                <w:b/>
                <w:iCs/>
                <w:sz w:val="16"/>
                <w:szCs w:val="16"/>
              </w:rPr>
              <w:t xml:space="preserve"> </w:t>
            </w:r>
            <w:r w:rsidRPr="003064E5">
              <w:rPr>
                <w:rFonts w:ascii="Arial Narrow" w:hAnsi="Arial Narrow" w:cs="Arial"/>
                <w:iCs/>
                <w:sz w:val="16"/>
                <w:szCs w:val="16"/>
              </w:rPr>
              <w:t>Codlea,</w:t>
            </w:r>
            <w:r w:rsidRPr="003064E5">
              <w:rPr>
                <w:rFonts w:ascii="Arial Narrow" w:hAnsi="Arial Narrow" w:cs="Arial"/>
                <w:b/>
                <w:iCs/>
                <w:sz w:val="16"/>
                <w:szCs w:val="16"/>
              </w:rPr>
              <w:t xml:space="preserve"> </w:t>
            </w:r>
            <w:r w:rsidRPr="003064E5">
              <w:rPr>
                <w:rFonts w:ascii="Arial Narrow" w:hAnsi="Arial Narrow" w:cs="Arial"/>
                <w:bCs/>
                <w:iCs/>
                <w:sz w:val="16"/>
                <w:szCs w:val="16"/>
              </w:rPr>
              <w:t>jud. Brașov)</w:t>
            </w:r>
          </w:p>
        </w:tc>
        <w:tc>
          <w:tcPr>
            <w:tcW w:w="1075" w:type="pct"/>
            <w:shd w:val="clear" w:color="auto" w:fill="auto"/>
          </w:tcPr>
          <w:p w:rsidR="00EA5F90" w:rsidRPr="003064E5" w:rsidRDefault="00EA5F90" w:rsidP="00EA5F90">
            <w:pPr>
              <w:pStyle w:val="Antet"/>
              <w:contextualSpacing/>
              <w:jc w:val="center"/>
              <w:rPr>
                <w:rFonts w:ascii="Arial Narrow" w:hAnsi="Arial Narrow" w:cs="Arial"/>
                <w:b/>
                <w:bCs/>
                <w:iCs/>
                <w:sz w:val="16"/>
                <w:szCs w:val="16"/>
              </w:rPr>
            </w:pPr>
            <w:r w:rsidRPr="003064E5">
              <w:rPr>
                <w:rFonts w:ascii="Arial Narrow" w:hAnsi="Arial Narrow" w:cs="Arial"/>
                <w:b/>
                <w:bCs/>
                <w:iCs/>
                <w:sz w:val="16"/>
                <w:szCs w:val="16"/>
              </w:rPr>
              <w:t>Nouă</w:t>
            </w:r>
          </w:p>
        </w:tc>
      </w:tr>
      <w:tr w:rsidR="00EA5F90" w:rsidRPr="003064E5" w:rsidTr="00EA5F90">
        <w:trPr>
          <w:trHeight w:val="284"/>
        </w:trPr>
        <w:tc>
          <w:tcPr>
            <w:tcW w:w="3925" w:type="pct"/>
            <w:shd w:val="clear" w:color="auto" w:fill="auto"/>
          </w:tcPr>
          <w:p w:rsidR="00EA5F90" w:rsidRPr="003064E5" w:rsidRDefault="00EA5F90" w:rsidP="00EA5F90">
            <w:pPr>
              <w:pStyle w:val="Antet"/>
              <w:contextualSpacing/>
              <w:jc w:val="both"/>
              <w:rPr>
                <w:rFonts w:ascii="Arial Narrow" w:hAnsi="Arial Narrow" w:cs="Arial"/>
                <w:b/>
                <w:iCs/>
                <w:sz w:val="16"/>
                <w:szCs w:val="16"/>
              </w:rPr>
            </w:pPr>
            <w:r w:rsidRPr="003064E5">
              <w:rPr>
                <w:rFonts w:ascii="Arial Narrow" w:hAnsi="Arial Narrow" w:cs="Arial"/>
                <w:b/>
                <w:iCs/>
                <w:sz w:val="16"/>
                <w:szCs w:val="16"/>
              </w:rPr>
              <w:t xml:space="preserve">Parcul Industrial Ocna Mureş </w:t>
            </w:r>
            <w:r w:rsidRPr="003064E5">
              <w:rPr>
                <w:rFonts w:ascii="Arial Narrow" w:hAnsi="Arial Narrow" w:cs="Arial"/>
                <w:iCs/>
                <w:sz w:val="16"/>
                <w:szCs w:val="16"/>
              </w:rPr>
              <w:t>(25,67 ha, oraş Ocna Mureş, jud. Alba)</w:t>
            </w:r>
          </w:p>
        </w:tc>
        <w:tc>
          <w:tcPr>
            <w:tcW w:w="1075" w:type="pct"/>
            <w:shd w:val="clear" w:color="auto" w:fill="auto"/>
          </w:tcPr>
          <w:p w:rsidR="00EA5F90" w:rsidRPr="003064E5" w:rsidRDefault="00EA5F90" w:rsidP="00EA5F90">
            <w:pPr>
              <w:pStyle w:val="Antet"/>
              <w:contextualSpacing/>
              <w:jc w:val="center"/>
              <w:rPr>
                <w:rFonts w:ascii="Arial Narrow" w:hAnsi="Arial Narrow" w:cs="Arial"/>
                <w:b/>
                <w:iCs/>
                <w:sz w:val="16"/>
                <w:szCs w:val="16"/>
              </w:rPr>
            </w:pPr>
            <w:r w:rsidRPr="003064E5">
              <w:rPr>
                <w:rFonts w:ascii="Arial Narrow" w:hAnsi="Arial Narrow" w:cs="Arial"/>
                <w:b/>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jc w:val="both"/>
              <w:rPr>
                <w:rFonts w:ascii="Arial Narrow" w:hAnsi="Arial Narrow" w:cs="Arial"/>
                <w:bCs/>
                <w:iCs/>
                <w:sz w:val="16"/>
                <w:szCs w:val="16"/>
              </w:rPr>
            </w:pPr>
            <w:r w:rsidRPr="003064E5">
              <w:rPr>
                <w:rFonts w:ascii="Arial Narrow" w:hAnsi="Arial Narrow" w:cs="Arial"/>
                <w:b/>
                <w:iCs/>
                <w:sz w:val="16"/>
                <w:szCs w:val="16"/>
              </w:rPr>
              <w:t xml:space="preserve">Parcul Industrial Metrom Braşov </w:t>
            </w:r>
            <w:r w:rsidRPr="003064E5">
              <w:rPr>
                <w:rFonts w:ascii="Arial Narrow" w:hAnsi="Arial Narrow" w:cs="Arial"/>
                <w:bCs/>
                <w:iCs/>
                <w:sz w:val="16"/>
                <w:szCs w:val="16"/>
              </w:rPr>
              <w:t>(6,37 ha, str. Carpatilor nr. 60, loc. Braşov, jud. Braşov)</w:t>
            </w:r>
          </w:p>
        </w:tc>
        <w:tc>
          <w:tcPr>
            <w:tcW w:w="1075" w:type="pct"/>
            <w:shd w:val="clear" w:color="auto" w:fill="auto"/>
          </w:tcPr>
          <w:p w:rsidR="00EA5F90" w:rsidRPr="003064E5" w:rsidRDefault="00EA5F90" w:rsidP="00EA5F90">
            <w:pPr>
              <w:pStyle w:val="Antet"/>
              <w:jc w:val="center"/>
              <w:rPr>
                <w:rFonts w:ascii="Arial Narrow" w:hAnsi="Arial Narrow" w:cs="Arial"/>
                <w:b/>
                <w:bCs/>
                <w:iCs/>
                <w:sz w:val="16"/>
                <w:szCs w:val="16"/>
              </w:rPr>
            </w:pPr>
            <w:r w:rsidRPr="003064E5">
              <w:rPr>
                <w:rFonts w:ascii="Arial Narrow" w:hAnsi="Arial Narrow" w:cs="Arial"/>
                <w:b/>
                <w:bCs/>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jc w:val="both"/>
              <w:rPr>
                <w:rFonts w:ascii="Arial Narrow" w:hAnsi="Arial Narrow" w:cs="Arial"/>
                <w:bCs/>
                <w:iCs/>
                <w:sz w:val="16"/>
                <w:szCs w:val="16"/>
              </w:rPr>
            </w:pPr>
            <w:r w:rsidRPr="003064E5">
              <w:rPr>
                <w:rFonts w:ascii="Arial Narrow" w:hAnsi="Arial Narrow" w:cs="Arial"/>
                <w:b/>
                <w:iCs/>
                <w:sz w:val="16"/>
                <w:szCs w:val="16"/>
              </w:rPr>
              <w:t xml:space="preserve">Parcul Industrial Carfil Braşov </w:t>
            </w:r>
            <w:r w:rsidRPr="003064E5">
              <w:rPr>
                <w:rFonts w:ascii="Arial Narrow" w:hAnsi="Arial Narrow" w:cs="Arial"/>
                <w:bCs/>
                <w:iCs/>
                <w:sz w:val="16"/>
                <w:szCs w:val="16"/>
              </w:rPr>
              <w:t>(1,87 ha, loc. Braşov, jud. Braşov)</w:t>
            </w:r>
          </w:p>
        </w:tc>
        <w:tc>
          <w:tcPr>
            <w:tcW w:w="1075" w:type="pct"/>
            <w:shd w:val="clear" w:color="auto" w:fill="auto"/>
          </w:tcPr>
          <w:p w:rsidR="00EA5F90" w:rsidRPr="003064E5" w:rsidRDefault="00EA5F90" w:rsidP="00EA5F90">
            <w:pPr>
              <w:pStyle w:val="Antet"/>
              <w:jc w:val="center"/>
              <w:rPr>
                <w:rFonts w:ascii="Arial Narrow" w:hAnsi="Arial Narrow" w:cs="Arial"/>
                <w:b/>
                <w:bCs/>
                <w:iCs/>
                <w:sz w:val="16"/>
                <w:szCs w:val="16"/>
              </w:rPr>
            </w:pPr>
            <w:r w:rsidRPr="003064E5">
              <w:rPr>
                <w:rFonts w:ascii="Arial Narrow" w:hAnsi="Arial Narrow" w:cs="Arial"/>
                <w:b/>
                <w:bCs/>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jc w:val="both"/>
              <w:rPr>
                <w:rFonts w:ascii="Arial Narrow" w:hAnsi="Arial Narrow" w:cs="Arial"/>
                <w:bCs/>
                <w:iCs/>
                <w:sz w:val="16"/>
                <w:szCs w:val="16"/>
              </w:rPr>
            </w:pPr>
            <w:r w:rsidRPr="003064E5">
              <w:rPr>
                <w:rFonts w:ascii="Arial Narrow" w:hAnsi="Arial Narrow" w:cs="Arial"/>
                <w:b/>
                <w:iCs/>
                <w:sz w:val="16"/>
                <w:szCs w:val="16"/>
              </w:rPr>
              <w:t xml:space="preserve">Parcul Industrial Făgăraş </w:t>
            </w:r>
            <w:r w:rsidRPr="003064E5">
              <w:rPr>
                <w:rFonts w:ascii="Arial Narrow" w:hAnsi="Arial Narrow" w:cs="Arial"/>
                <w:bCs/>
                <w:iCs/>
                <w:sz w:val="16"/>
                <w:szCs w:val="16"/>
              </w:rPr>
              <w:t>(10,017 ha, loc. Făgăraş, jud. Braşov)</w:t>
            </w:r>
          </w:p>
        </w:tc>
        <w:tc>
          <w:tcPr>
            <w:tcW w:w="1075" w:type="pct"/>
            <w:shd w:val="clear" w:color="auto" w:fill="auto"/>
          </w:tcPr>
          <w:p w:rsidR="00EA5F90" w:rsidRPr="003064E5" w:rsidRDefault="00EA5F90" w:rsidP="00EA5F90">
            <w:pPr>
              <w:pStyle w:val="Antet"/>
              <w:jc w:val="center"/>
              <w:rPr>
                <w:rFonts w:ascii="Arial Narrow" w:hAnsi="Arial Narrow" w:cs="Arial"/>
                <w:b/>
                <w:bCs/>
                <w:iCs/>
                <w:sz w:val="16"/>
                <w:szCs w:val="16"/>
              </w:rPr>
            </w:pPr>
            <w:r w:rsidRPr="003064E5">
              <w:rPr>
                <w:rFonts w:ascii="Arial Narrow" w:hAnsi="Arial Narrow" w:cs="Arial"/>
                <w:b/>
                <w:bCs/>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jc w:val="both"/>
              <w:rPr>
                <w:rFonts w:ascii="Arial Narrow" w:hAnsi="Arial Narrow" w:cs="Arial"/>
                <w:iCs/>
                <w:sz w:val="16"/>
                <w:szCs w:val="16"/>
              </w:rPr>
            </w:pPr>
            <w:r w:rsidRPr="003064E5">
              <w:rPr>
                <w:rFonts w:ascii="Arial Narrow" w:hAnsi="Arial Narrow" w:cs="Arial"/>
                <w:b/>
                <w:iCs/>
                <w:sz w:val="16"/>
                <w:szCs w:val="16"/>
              </w:rPr>
              <w:t xml:space="preserve">Parcul Industrial Victoria </w:t>
            </w:r>
            <w:r w:rsidRPr="003064E5">
              <w:rPr>
                <w:rFonts w:ascii="Arial Narrow" w:hAnsi="Arial Narrow" w:cs="Arial"/>
                <w:iCs/>
                <w:sz w:val="16"/>
                <w:szCs w:val="16"/>
              </w:rPr>
              <w:t>(5,50 ha</w:t>
            </w:r>
            <w:r w:rsidRPr="003064E5">
              <w:rPr>
                <w:rFonts w:ascii="Arial Narrow" w:hAnsi="Arial Narrow" w:cs="Arial"/>
                <w:bCs/>
                <w:iCs/>
                <w:sz w:val="16"/>
                <w:szCs w:val="16"/>
              </w:rPr>
              <w:t xml:space="preserve">, </w:t>
            </w:r>
            <w:r w:rsidRPr="003064E5">
              <w:rPr>
                <w:rFonts w:ascii="Arial Narrow" w:hAnsi="Arial Narrow" w:cs="Arial"/>
                <w:iCs/>
                <w:sz w:val="16"/>
                <w:szCs w:val="16"/>
              </w:rPr>
              <w:t>loc. Victoria, jud. Braşov)</w:t>
            </w:r>
          </w:p>
        </w:tc>
        <w:tc>
          <w:tcPr>
            <w:tcW w:w="1075" w:type="pct"/>
            <w:shd w:val="clear" w:color="auto" w:fill="auto"/>
          </w:tcPr>
          <w:p w:rsidR="00EA5F90" w:rsidRPr="003064E5" w:rsidRDefault="00EA5F90" w:rsidP="00EA5F90">
            <w:pPr>
              <w:pStyle w:val="Antet"/>
              <w:jc w:val="center"/>
              <w:rPr>
                <w:rFonts w:ascii="Arial Narrow" w:hAnsi="Arial Narrow" w:cs="Arial"/>
                <w:b/>
                <w:bCs/>
                <w:iCs/>
                <w:sz w:val="16"/>
                <w:szCs w:val="16"/>
              </w:rPr>
            </w:pPr>
            <w:r w:rsidRPr="003064E5">
              <w:rPr>
                <w:rFonts w:ascii="Arial Narrow" w:hAnsi="Arial Narrow" w:cs="Arial"/>
                <w:b/>
                <w:bCs/>
                <w:iCs/>
                <w:sz w:val="16"/>
                <w:szCs w:val="16"/>
              </w:rPr>
              <w:t>Veche</w:t>
            </w:r>
          </w:p>
        </w:tc>
      </w:tr>
      <w:tr w:rsidR="00EA5F90" w:rsidRPr="003064E5" w:rsidTr="00EA5F90">
        <w:trPr>
          <w:trHeight w:val="284"/>
        </w:trPr>
        <w:tc>
          <w:tcPr>
            <w:tcW w:w="3925" w:type="pct"/>
            <w:shd w:val="clear" w:color="auto" w:fill="auto"/>
          </w:tcPr>
          <w:p w:rsidR="00EA5F90" w:rsidRPr="003064E5" w:rsidRDefault="00EA5F90" w:rsidP="00EA5F90">
            <w:pPr>
              <w:pStyle w:val="Antet"/>
              <w:jc w:val="both"/>
              <w:rPr>
                <w:rFonts w:ascii="Arial Narrow" w:hAnsi="Arial Narrow" w:cs="Arial"/>
                <w:b/>
                <w:iCs/>
                <w:sz w:val="16"/>
                <w:szCs w:val="16"/>
              </w:rPr>
            </w:pPr>
            <w:r w:rsidRPr="003064E5">
              <w:rPr>
                <w:rFonts w:ascii="Arial Narrow" w:hAnsi="Arial Narrow" w:cs="Arial"/>
                <w:b/>
                <w:iCs/>
                <w:sz w:val="16"/>
                <w:szCs w:val="16"/>
              </w:rPr>
              <w:t>Parcul Industrial Electroprecizia – autorizat in 2016  (</w:t>
            </w:r>
            <w:r w:rsidRPr="003064E5">
              <w:rPr>
                <w:rFonts w:ascii="Arial Narrow" w:hAnsi="Arial Narrow" w:cs="Arial"/>
                <w:iCs/>
                <w:sz w:val="16"/>
                <w:szCs w:val="16"/>
              </w:rPr>
              <w:t>18,95 ha, Săcele. Jud. Brașov)</w:t>
            </w:r>
          </w:p>
        </w:tc>
        <w:tc>
          <w:tcPr>
            <w:tcW w:w="1075" w:type="pct"/>
            <w:shd w:val="clear" w:color="auto" w:fill="auto"/>
          </w:tcPr>
          <w:p w:rsidR="00EA5F90" w:rsidRPr="003064E5" w:rsidRDefault="00EA5F90" w:rsidP="00EA5F90">
            <w:pPr>
              <w:pStyle w:val="Antet"/>
              <w:jc w:val="center"/>
              <w:rPr>
                <w:rFonts w:ascii="Arial Narrow" w:hAnsi="Arial Narrow" w:cs="Arial"/>
                <w:b/>
                <w:bCs/>
                <w:iCs/>
                <w:sz w:val="16"/>
                <w:szCs w:val="16"/>
              </w:rPr>
            </w:pPr>
            <w:r w:rsidRPr="003064E5">
              <w:rPr>
                <w:rFonts w:ascii="Arial Narrow" w:hAnsi="Arial Narrow" w:cs="Arial"/>
                <w:b/>
                <w:bCs/>
                <w:iCs/>
                <w:sz w:val="16"/>
                <w:szCs w:val="16"/>
              </w:rPr>
              <w:t>Veche</w:t>
            </w:r>
          </w:p>
        </w:tc>
      </w:tr>
    </w:tbl>
    <w:p w:rsidR="00EA5F90" w:rsidRPr="002B4515" w:rsidRDefault="00EA5F90" w:rsidP="00EA5F90">
      <w:pPr>
        <w:spacing w:after="0" w:line="240" w:lineRule="auto"/>
        <w:jc w:val="both"/>
        <w:rPr>
          <w:rFonts w:ascii="Arial Narrow" w:hAnsi="Arial Narrow"/>
          <w:sz w:val="16"/>
          <w:szCs w:val="16"/>
        </w:rPr>
      </w:pPr>
    </w:p>
    <w:p w:rsidR="00EA5F90" w:rsidRDefault="00EA5F90" w:rsidP="00EA5F90">
      <w:pPr>
        <w:spacing w:after="0" w:line="240" w:lineRule="auto"/>
        <w:jc w:val="both"/>
        <w:rPr>
          <w:rFonts w:ascii="Arial Narrow" w:hAnsi="Arial Narrow"/>
          <w:sz w:val="24"/>
          <w:szCs w:val="24"/>
        </w:rPr>
      </w:pPr>
      <w:r w:rsidRPr="00263395">
        <w:rPr>
          <w:rFonts w:ascii="Arial Narrow" w:hAnsi="Arial Narrow"/>
          <w:sz w:val="24"/>
          <w:szCs w:val="24"/>
        </w:rPr>
        <w:t>Din tabelul de mai sus reiese faptul că</w:t>
      </w:r>
      <w:r>
        <w:rPr>
          <w:rFonts w:ascii="Arial Narrow" w:hAnsi="Arial Narrow"/>
          <w:sz w:val="24"/>
          <w:szCs w:val="24"/>
        </w:rPr>
        <w:t>,</w:t>
      </w:r>
      <w:r w:rsidRPr="00263395">
        <w:rPr>
          <w:rFonts w:ascii="Arial Narrow" w:hAnsi="Arial Narrow"/>
          <w:sz w:val="24"/>
          <w:szCs w:val="24"/>
        </w:rPr>
        <w:t xml:space="preserve"> ponderea cea mai mare o au parcurile industriale amenajate pe structuri vechi</w:t>
      </w:r>
      <w:r>
        <w:rPr>
          <w:rFonts w:ascii="Arial Narrow" w:hAnsi="Arial Narrow"/>
          <w:sz w:val="24"/>
          <w:szCs w:val="24"/>
        </w:rPr>
        <w:t>, deși l</w:t>
      </w:r>
      <w:r w:rsidRPr="0009594F">
        <w:rPr>
          <w:rFonts w:ascii="Arial Narrow" w:hAnsi="Arial Narrow"/>
          <w:sz w:val="24"/>
          <w:szCs w:val="24"/>
        </w:rPr>
        <w:t xml:space="preserve">a nivel național, dezvoltarea proprietăţilor de tip „Brownfield“ nu atinge proporţii mari, din cauza cadrului legislativ ambiguu şi incomplet, prezentând interes mai mare investițiile de tip greenfield. Acestea din urmă sunt situate în apropierea centrelor urbane mari și oferă o infrastructură mai bună, servicii suport de calitate și forța de muncă calificată și mai diversă. </w:t>
      </w:r>
    </w:p>
    <w:p w:rsidR="00EA5F90" w:rsidRDefault="00EA5F90" w:rsidP="00EA5F90">
      <w:pPr>
        <w:spacing w:after="0" w:line="240" w:lineRule="auto"/>
        <w:jc w:val="both"/>
        <w:rPr>
          <w:rFonts w:ascii="Arial Narrow" w:eastAsia="TimesNewRoman" w:hAnsi="Arial Narrow" w:cs="TimesNewRoman"/>
          <w:sz w:val="24"/>
          <w:szCs w:val="24"/>
        </w:rPr>
      </w:pPr>
      <w:r>
        <w:rPr>
          <w:rFonts w:ascii="Arial Narrow" w:hAnsi="Arial Narrow"/>
          <w:sz w:val="24"/>
          <w:szCs w:val="24"/>
        </w:rPr>
        <w:t xml:space="preserve">Pe de altă parte, la nivelul regiunii, în anumite zone </w:t>
      </w:r>
      <w:r w:rsidRPr="00263395">
        <w:rPr>
          <w:rFonts w:ascii="Arial Narrow" w:hAnsi="Arial Narrow"/>
          <w:sz w:val="24"/>
          <w:szCs w:val="24"/>
        </w:rPr>
        <w:t>unde unitățile de industrie și-au redus activitate</w:t>
      </w:r>
      <w:r>
        <w:rPr>
          <w:rFonts w:ascii="Arial Narrow" w:hAnsi="Arial Narrow"/>
          <w:sz w:val="24"/>
          <w:szCs w:val="24"/>
        </w:rPr>
        <w:t xml:space="preserve">a, terenul industrial existent </w:t>
      </w:r>
      <w:r w:rsidRPr="00263395">
        <w:rPr>
          <w:rFonts w:ascii="Arial Narrow" w:hAnsi="Arial Narrow"/>
          <w:sz w:val="24"/>
          <w:szCs w:val="24"/>
        </w:rPr>
        <w:t>a fost reamenajat conform standardelor actuale</w:t>
      </w:r>
      <w:r>
        <w:rPr>
          <w:rFonts w:ascii="Arial Narrow" w:hAnsi="Arial Narrow"/>
          <w:sz w:val="24"/>
          <w:szCs w:val="24"/>
        </w:rPr>
        <w:t>.</w:t>
      </w:r>
      <w:r w:rsidRPr="00263395">
        <w:rPr>
          <w:rFonts w:ascii="Arial Narrow" w:hAnsi="Arial Narrow"/>
          <w:sz w:val="24"/>
          <w:szCs w:val="24"/>
        </w:rPr>
        <w:t xml:space="preserve"> Un exemplu pozitiv în acest sens de la nivelul regiunii Centru este proiectulul privind </w:t>
      </w:r>
      <w:r w:rsidRPr="00263395">
        <w:rPr>
          <w:rFonts w:ascii="Arial Narrow" w:eastAsia="TimesNewRoman" w:hAnsi="Arial Narrow" w:cs="TimesNewRoman"/>
          <w:sz w:val="24"/>
          <w:szCs w:val="24"/>
        </w:rPr>
        <w:t>regenerarea zonei industriale Tractorul, Brașov</w:t>
      </w:r>
      <w:r>
        <w:rPr>
          <w:rStyle w:val="Referinnotdesubsol"/>
          <w:rFonts w:ascii="Arial Narrow" w:eastAsia="TimesNewRoman" w:hAnsi="Arial Narrow" w:cs="TimesNewRoman"/>
          <w:sz w:val="24"/>
          <w:szCs w:val="24"/>
        </w:rPr>
        <w:footnoteReference w:id="86"/>
      </w:r>
      <w:r w:rsidRPr="00263395">
        <w:rPr>
          <w:rFonts w:ascii="Arial Narrow" w:eastAsia="TimesNewRoman" w:hAnsi="Arial Narrow" w:cs="TimesNewRoman"/>
          <w:sz w:val="24"/>
          <w:szCs w:val="24"/>
        </w:rPr>
        <w:t xml:space="preserve">. </w:t>
      </w:r>
    </w:p>
    <w:p w:rsidR="00852F75" w:rsidRDefault="00852F75" w:rsidP="00EA5F90">
      <w:pPr>
        <w:spacing w:after="0" w:line="240" w:lineRule="auto"/>
        <w:jc w:val="both"/>
        <w:rPr>
          <w:rFonts w:ascii="Arial Narrow" w:eastAsia="TimesNewRoman" w:hAnsi="Arial Narrow" w:cs="TimesNewRoman"/>
          <w:sz w:val="24"/>
          <w:szCs w:val="24"/>
        </w:rPr>
      </w:pPr>
    </w:p>
    <w:p w:rsidR="00852F75" w:rsidRDefault="00852F75" w:rsidP="00EA5F90">
      <w:pPr>
        <w:spacing w:after="0" w:line="240" w:lineRule="auto"/>
        <w:jc w:val="both"/>
        <w:rPr>
          <w:rFonts w:ascii="Arial Narrow" w:eastAsia="TimesNewRoman" w:hAnsi="Arial Narrow" w:cs="TimesNewRoman"/>
          <w:sz w:val="24"/>
          <w:szCs w:val="24"/>
        </w:rPr>
      </w:pPr>
    </w:p>
    <w:p w:rsidR="00EA5F90" w:rsidRPr="003064E5" w:rsidRDefault="00EA5F90" w:rsidP="00EA5F90">
      <w:pPr>
        <w:pStyle w:val="Listparagraf"/>
        <w:spacing w:after="0" w:line="240" w:lineRule="auto"/>
        <w:ind w:left="0"/>
        <w:jc w:val="both"/>
        <w:rPr>
          <w:rFonts w:ascii="Arial Narrow" w:hAnsi="Arial Narrow" w:cs="Calibri"/>
          <w:b/>
          <w:i/>
          <w:color w:val="70AD47"/>
          <w:sz w:val="24"/>
          <w:szCs w:val="24"/>
        </w:rPr>
      </w:pPr>
      <w:r w:rsidRPr="003064E5">
        <w:rPr>
          <w:rFonts w:ascii="Arial Narrow" w:hAnsi="Arial Narrow" w:cs="Calibri"/>
          <w:b/>
          <w:i/>
          <w:color w:val="70AD47"/>
          <w:sz w:val="24"/>
          <w:szCs w:val="24"/>
        </w:rPr>
        <w:lastRenderedPageBreak/>
        <w:t>Asociere  pentru dezvoltarea domeniului mediul construit sustenabil la nivel regional</w:t>
      </w:r>
    </w:p>
    <w:p w:rsidR="00EA5F90"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cs="Calibri"/>
          <w:sz w:val="24"/>
          <w:szCs w:val="24"/>
        </w:rPr>
        <w:t xml:space="preserve">Dezvoltarea eficientă a mediului construit se face prin implicarea tuturor factorilor relevanți: institute de cercetare, clustere, întreprinderi, inclusiv a asociațiilor profesionale. La nivel regional există </w:t>
      </w:r>
      <w:r w:rsidRPr="00263395">
        <w:rPr>
          <w:rFonts w:ascii="Arial Narrow" w:hAnsi="Arial Narrow"/>
          <w:sz w:val="24"/>
          <w:szCs w:val="24"/>
        </w:rPr>
        <w:t xml:space="preserve">furnizori de cunoaștere activi și cu experiență in domeniu, capabili să contribuie la </w:t>
      </w:r>
      <w:r>
        <w:rPr>
          <w:rFonts w:ascii="Arial Narrow" w:hAnsi="Arial Narrow"/>
          <w:sz w:val="24"/>
          <w:szCs w:val="24"/>
        </w:rPr>
        <w:t xml:space="preserve">dezvoltarea </w:t>
      </w:r>
      <w:r w:rsidRPr="00263395">
        <w:rPr>
          <w:rFonts w:ascii="Arial Narrow" w:hAnsi="Arial Narrow"/>
          <w:sz w:val="24"/>
          <w:szCs w:val="24"/>
        </w:rPr>
        <w:t>mediul construit</w:t>
      </w:r>
      <w:r>
        <w:rPr>
          <w:rFonts w:ascii="Arial Narrow" w:hAnsi="Arial Narrow"/>
          <w:sz w:val="24"/>
          <w:szCs w:val="24"/>
        </w:rPr>
        <w:t xml:space="preserve"> sustenabil</w:t>
      </w:r>
      <w:r>
        <w:rPr>
          <w:rStyle w:val="Referinnotdesubsol"/>
          <w:rFonts w:ascii="Arial Narrow" w:hAnsi="Arial Narrow"/>
          <w:sz w:val="24"/>
          <w:szCs w:val="24"/>
        </w:rPr>
        <w:footnoteReference w:id="87"/>
      </w:r>
      <w:r>
        <w:rPr>
          <w:rFonts w:ascii="Arial Narrow" w:hAnsi="Arial Narrow"/>
          <w:sz w:val="24"/>
          <w:szCs w:val="24"/>
        </w:rPr>
        <w:t xml:space="preserve"> </w:t>
      </w:r>
      <w:r w:rsidRPr="00263395">
        <w:rPr>
          <w:rFonts w:ascii="Arial Narrow" w:hAnsi="Arial Narrow"/>
          <w:sz w:val="24"/>
          <w:szCs w:val="24"/>
        </w:rPr>
        <w:t>(</w:t>
      </w:r>
      <w:r>
        <w:rPr>
          <w:rFonts w:ascii="Arial Narrow" w:hAnsi="Arial Narrow"/>
          <w:sz w:val="24"/>
          <w:szCs w:val="24"/>
        </w:rPr>
        <w:t xml:space="preserve">a se vedea </w:t>
      </w:r>
      <w:fldSimple w:instr=" REF _Ref459714742 \h  \* MERGEFORMAT ">
        <w:r w:rsidRPr="00084897">
          <w:rPr>
            <w:rFonts w:ascii="Arial Narrow" w:hAnsi="Arial Narrow"/>
            <w:b/>
            <w:sz w:val="24"/>
          </w:rPr>
          <w:t>Tabel</w:t>
        </w:r>
        <w:r w:rsidRPr="009B4FBA">
          <w:rPr>
            <w:rFonts w:ascii="Arial Narrow" w:hAnsi="Arial Narrow"/>
            <w:b/>
          </w:rPr>
          <w:t xml:space="preserve"> </w:t>
        </w:r>
        <w:r>
          <w:rPr>
            <w:rFonts w:ascii="Arial Narrow" w:hAnsi="Arial Narrow"/>
            <w:b/>
            <w:noProof/>
          </w:rPr>
          <w:t>6</w:t>
        </w:r>
      </w:fldSimple>
      <w:r w:rsidRPr="00263395">
        <w:rPr>
          <w:rFonts w:ascii="Arial Narrow" w:hAnsi="Arial Narrow"/>
          <w:sz w:val="24"/>
          <w:szCs w:val="24"/>
        </w:rPr>
        <w:t>).</w:t>
      </w:r>
    </w:p>
    <w:p w:rsidR="00EA5F90" w:rsidRPr="009B4FBA" w:rsidRDefault="00EA5F90" w:rsidP="00EA5F90">
      <w:pPr>
        <w:pStyle w:val="Legend"/>
        <w:spacing w:after="0"/>
        <w:jc w:val="center"/>
        <w:rPr>
          <w:rFonts w:ascii="Arial Narrow" w:hAnsi="Arial Narrow"/>
          <w:b w:val="0"/>
          <w:sz w:val="20"/>
          <w:szCs w:val="20"/>
        </w:rPr>
      </w:pPr>
      <w:bookmarkStart w:id="4" w:name="_Ref459714742"/>
      <w:bookmarkStart w:id="5" w:name="_Ref459714736"/>
      <w:r w:rsidRPr="009B4FBA">
        <w:rPr>
          <w:rFonts w:ascii="Arial Narrow" w:hAnsi="Arial Narrow"/>
          <w:b w:val="0"/>
        </w:rPr>
        <w:t xml:space="preserve">Tabel </w:t>
      </w:r>
      <w:r w:rsidR="00BD7229" w:rsidRPr="009B4FBA">
        <w:rPr>
          <w:rFonts w:ascii="Arial Narrow" w:hAnsi="Arial Narrow"/>
          <w:b w:val="0"/>
        </w:rPr>
        <w:fldChar w:fldCharType="begin"/>
      </w:r>
      <w:r w:rsidRPr="009B4FBA">
        <w:rPr>
          <w:rFonts w:ascii="Arial Narrow" w:hAnsi="Arial Narrow"/>
          <w:b w:val="0"/>
        </w:rPr>
        <w:instrText xml:space="preserve"> SEQ Tabel \* ARABIC </w:instrText>
      </w:r>
      <w:r w:rsidR="00BD7229" w:rsidRPr="009B4FBA">
        <w:rPr>
          <w:rFonts w:ascii="Arial Narrow" w:hAnsi="Arial Narrow"/>
          <w:b w:val="0"/>
        </w:rPr>
        <w:fldChar w:fldCharType="separate"/>
      </w:r>
      <w:r>
        <w:rPr>
          <w:rFonts w:ascii="Arial Narrow" w:hAnsi="Arial Narrow"/>
          <w:b w:val="0"/>
          <w:noProof/>
        </w:rPr>
        <w:t>6</w:t>
      </w:r>
      <w:r w:rsidR="00BD7229" w:rsidRPr="009B4FBA">
        <w:rPr>
          <w:rFonts w:ascii="Arial Narrow" w:hAnsi="Arial Narrow"/>
          <w:b w:val="0"/>
        </w:rPr>
        <w:fldChar w:fldCharType="end"/>
      </w:r>
      <w:bookmarkEnd w:id="4"/>
      <w:r w:rsidRPr="009B4FBA">
        <w:rPr>
          <w:rFonts w:ascii="Arial Narrow" w:hAnsi="Arial Narrow"/>
          <w:b w:val="0"/>
        </w:rPr>
        <w:t xml:space="preserve">. Principalele organizații de cercetare </w:t>
      </w:r>
      <w:bookmarkEnd w:id="5"/>
    </w:p>
    <w:tbl>
      <w:tblPr>
        <w:tblW w:w="97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tblPr>
      <w:tblGrid>
        <w:gridCol w:w="1345"/>
        <w:gridCol w:w="2143"/>
        <w:gridCol w:w="1019"/>
        <w:gridCol w:w="5241"/>
      </w:tblGrid>
      <w:tr w:rsidR="00EA5F90" w:rsidRPr="003064E5" w:rsidTr="00EA5F90">
        <w:trPr>
          <w:trHeight w:val="401"/>
        </w:trPr>
        <w:tc>
          <w:tcPr>
            <w:tcW w:w="1345" w:type="dxa"/>
            <w:tcBorders>
              <w:bottom w:val="single" w:sz="12" w:space="0" w:color="9CC2E5"/>
            </w:tcBorders>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Organizatie</w:t>
            </w:r>
          </w:p>
        </w:tc>
        <w:tc>
          <w:tcPr>
            <w:tcW w:w="2143" w:type="dxa"/>
            <w:tcBorders>
              <w:bottom w:val="single" w:sz="12" w:space="0" w:color="9CC2E5"/>
            </w:tcBorders>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Centru de cercetare relevant in domeniu</w:t>
            </w:r>
          </w:p>
        </w:tc>
        <w:tc>
          <w:tcPr>
            <w:tcW w:w="1019" w:type="dxa"/>
            <w:tcBorders>
              <w:bottom w:val="single" w:sz="12" w:space="0" w:color="9CC2E5"/>
            </w:tcBorders>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Localizare</w:t>
            </w:r>
          </w:p>
        </w:tc>
        <w:tc>
          <w:tcPr>
            <w:tcW w:w="5241" w:type="dxa"/>
            <w:tcBorders>
              <w:bottom w:val="single" w:sz="12" w:space="0" w:color="9CC2E5"/>
            </w:tcBorders>
            <w:shd w:val="clear" w:color="auto" w:fill="BDD6EE"/>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Domenii principale de activitate &amp; observații</w:t>
            </w:r>
          </w:p>
        </w:tc>
      </w:tr>
      <w:tr w:rsidR="00EA5F90" w:rsidRPr="003064E5" w:rsidTr="00EA5F90">
        <w:trPr>
          <w:trHeight w:val="401"/>
        </w:trPr>
        <w:tc>
          <w:tcPr>
            <w:tcW w:w="1345" w:type="dxa"/>
            <w:shd w:val="clear" w:color="auto" w:fill="auto"/>
            <w:noWrap/>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Universitatea „Transilvania” Braşov</w:t>
            </w:r>
          </w:p>
        </w:tc>
        <w:tc>
          <w:tcPr>
            <w:tcW w:w="2143"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Institut de Cercetare Dezvoltare Inovare - Produse High Tech pentru Dezvoltare Durabila - PRO-DD</w:t>
            </w:r>
          </w:p>
        </w:tc>
        <w:tc>
          <w:tcPr>
            <w:tcW w:w="1019"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Brașov</w:t>
            </w:r>
          </w:p>
        </w:tc>
        <w:tc>
          <w:tcPr>
            <w:tcW w:w="5241" w:type="dxa"/>
            <w:shd w:val="clear" w:color="auto" w:fill="auto"/>
            <w:hideMark/>
          </w:tcPr>
          <w:p w:rsidR="00EA5F90" w:rsidRPr="003064E5" w:rsidRDefault="00EA5F90" w:rsidP="00EA5F90">
            <w:pPr>
              <w:spacing w:after="0" w:line="240" w:lineRule="auto"/>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Green Energy Independent University Campus cuprinde un parc solar, un herbarium, un parc sportiv, dar şi o zonă în care se face transferul produselor şi tehnologiilor high-tech către mediul economic și care integrează cercetarea de excelenţă în domenii specifice ale dezvoltării durabile: energie durabilă, calitate a vieţii, conservarea şi dezvoltarea resurselor naturale</w:t>
            </w:r>
          </w:p>
        </w:tc>
      </w:tr>
      <w:tr w:rsidR="00EA5F90" w:rsidRPr="003064E5" w:rsidTr="00EA5F90">
        <w:trPr>
          <w:trHeight w:val="401"/>
        </w:trPr>
        <w:tc>
          <w:tcPr>
            <w:tcW w:w="1345" w:type="dxa"/>
            <w:shd w:val="clear" w:color="auto" w:fill="auto"/>
            <w:noWrap/>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Universitatea Petru Maior</w:t>
            </w:r>
          </w:p>
        </w:tc>
        <w:tc>
          <w:tcPr>
            <w:tcW w:w="2143"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Centrul de Cercetare Managementul Energiei şi Electrotehnologiilor</w:t>
            </w:r>
          </w:p>
        </w:tc>
        <w:tc>
          <w:tcPr>
            <w:tcW w:w="1019" w:type="dxa"/>
            <w:shd w:val="clear" w:color="auto" w:fill="auto"/>
            <w:noWrap/>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Tîrgu Mureș</w:t>
            </w:r>
          </w:p>
        </w:tc>
        <w:tc>
          <w:tcPr>
            <w:tcW w:w="5241" w:type="dxa"/>
            <w:shd w:val="clear" w:color="auto" w:fill="auto"/>
            <w:hideMark/>
          </w:tcPr>
          <w:p w:rsidR="00EA5F90" w:rsidRPr="003064E5" w:rsidRDefault="00EA5F90" w:rsidP="00EA5F90">
            <w:pPr>
              <w:spacing w:after="0" w:line="240" w:lineRule="auto"/>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Domenii principale ale CC MEE: utilizarea eficientă a energiei (electrice şi termice) în sectoarele industriale şi rezidenţiale, prin noile tehnologii energetice şi informatice; instrumente de politică energetică şi a corelatilor dintre Energie si Mediu; reţele inteligente de energie; resursele regenerabile de energie; calitatea energiei.</w:t>
            </w:r>
          </w:p>
        </w:tc>
      </w:tr>
      <w:tr w:rsidR="00EA5F90" w:rsidRPr="003064E5" w:rsidTr="00EA5F90">
        <w:trPr>
          <w:trHeight w:val="401"/>
        </w:trPr>
        <w:tc>
          <w:tcPr>
            <w:tcW w:w="1345"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Universitatea „1 DECEMBRIE 1918"</w:t>
            </w:r>
          </w:p>
        </w:tc>
        <w:tc>
          <w:tcPr>
            <w:tcW w:w="2143"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Centrul de Cercetări Matematice şi Informatice</w:t>
            </w:r>
          </w:p>
        </w:tc>
        <w:tc>
          <w:tcPr>
            <w:tcW w:w="1019" w:type="dxa"/>
            <w:shd w:val="clear" w:color="auto" w:fill="auto"/>
            <w:noWrap/>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Alba Iulia</w:t>
            </w:r>
          </w:p>
        </w:tc>
        <w:tc>
          <w:tcPr>
            <w:tcW w:w="5241" w:type="dxa"/>
            <w:shd w:val="clear" w:color="auto" w:fill="auto"/>
            <w:hideMark/>
          </w:tcPr>
          <w:p w:rsidR="00EA5F90" w:rsidRPr="003064E5" w:rsidRDefault="00EA5F90" w:rsidP="00EA5F90">
            <w:pPr>
              <w:spacing w:after="0" w:line="240" w:lineRule="auto"/>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științe inginerești, știința materialelor, ingineria mediului</w:t>
            </w:r>
          </w:p>
        </w:tc>
      </w:tr>
      <w:tr w:rsidR="00EA5F90" w:rsidRPr="003064E5" w:rsidTr="00EA5F90">
        <w:trPr>
          <w:trHeight w:val="401"/>
        </w:trPr>
        <w:tc>
          <w:tcPr>
            <w:tcW w:w="1345" w:type="dxa"/>
            <w:shd w:val="clear" w:color="auto" w:fill="auto"/>
            <w:noWrap/>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Universitatea „Lucian Blaga"</w:t>
            </w:r>
          </w:p>
        </w:tc>
        <w:tc>
          <w:tcPr>
            <w:tcW w:w="2143"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Centrul de Cercetare pentru Produse și Procese Sustenabile</w:t>
            </w:r>
          </w:p>
        </w:tc>
        <w:tc>
          <w:tcPr>
            <w:tcW w:w="1019" w:type="dxa"/>
            <w:shd w:val="clear" w:color="auto" w:fill="auto"/>
            <w:noWrap/>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Sibiu</w:t>
            </w:r>
          </w:p>
        </w:tc>
        <w:tc>
          <w:tcPr>
            <w:tcW w:w="5241" w:type="dxa"/>
            <w:shd w:val="clear" w:color="auto" w:fill="auto"/>
            <w:hideMark/>
          </w:tcPr>
          <w:p w:rsidR="00EA5F90" w:rsidRPr="003064E5" w:rsidRDefault="00EA5F90" w:rsidP="00EA5F90">
            <w:pPr>
              <w:spacing w:after="0" w:line="240" w:lineRule="auto"/>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Cuprinde Centrul de Cercetări în Domeniul Calităţii și Centrul Multifuncţional de Competenţe în Bioinginerie</w:t>
            </w:r>
            <w:r w:rsidRPr="003064E5">
              <w:rPr>
                <w:rFonts w:ascii="Arial" w:eastAsia="Times New Roman" w:hAnsi="Arial" w:cs="Arial"/>
                <w:color w:val="000000"/>
                <w:sz w:val="16"/>
                <w:szCs w:val="20"/>
                <w:lang w:eastAsia="ro-RO"/>
              </w:rPr>
              <w:t>​</w:t>
            </w:r>
          </w:p>
        </w:tc>
      </w:tr>
      <w:tr w:rsidR="00EA5F90" w:rsidRPr="003064E5" w:rsidTr="00EA5F90">
        <w:trPr>
          <w:trHeight w:val="401"/>
        </w:trPr>
        <w:tc>
          <w:tcPr>
            <w:tcW w:w="1345" w:type="dxa"/>
            <w:shd w:val="clear" w:color="auto" w:fill="auto"/>
            <w:hideMark/>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Universitatea ”Sapientia”</w:t>
            </w:r>
          </w:p>
        </w:tc>
        <w:tc>
          <w:tcPr>
            <w:tcW w:w="2143"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Centrul de Cercetări de Biochimie și Biotechnologii BIBIRC</w:t>
            </w:r>
          </w:p>
        </w:tc>
        <w:tc>
          <w:tcPr>
            <w:tcW w:w="1019" w:type="dxa"/>
            <w:shd w:val="clear" w:color="auto" w:fill="auto"/>
            <w:hideMark/>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Miercurea Ciuc</w:t>
            </w:r>
          </w:p>
        </w:tc>
        <w:tc>
          <w:tcPr>
            <w:tcW w:w="5241" w:type="dxa"/>
            <w:shd w:val="clear" w:color="auto" w:fill="auto"/>
            <w:hideMark/>
          </w:tcPr>
          <w:p w:rsidR="00EA5F90" w:rsidRPr="003064E5" w:rsidRDefault="00EA5F90" w:rsidP="00EA5F90">
            <w:pPr>
              <w:spacing w:after="0" w:line="240" w:lineRule="auto"/>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Centrul de cercetare are următoarele scopuri:cercetarea științifică în domeniul technologiei biochimice, în științele fizice și naturale; dezezvoltarea resursei umane necesară abordării marilor proiecte de cercetare fundamentală și aplicativă în domeniile menționate, capabilă de utilizarea tehnicilor celor mai avansate; participarea la consorții naționale și internaționale prin care să se asigure valorificarea maximă a rezultatelor cercetărilor proprii și o accesibilitate corespunzătoare ale acestora.</w:t>
            </w:r>
          </w:p>
        </w:tc>
      </w:tr>
      <w:tr w:rsidR="00EA5F90" w:rsidRPr="003064E5" w:rsidTr="00EA5F90">
        <w:trPr>
          <w:trHeight w:val="401"/>
        </w:trPr>
        <w:tc>
          <w:tcPr>
            <w:tcW w:w="1345" w:type="dxa"/>
            <w:shd w:val="clear" w:color="auto" w:fill="auto"/>
          </w:tcPr>
          <w:p w:rsidR="00EA5F90" w:rsidRPr="003064E5" w:rsidRDefault="00EA5F90" w:rsidP="00EA5F90">
            <w:pPr>
              <w:spacing w:after="0" w:line="240" w:lineRule="auto"/>
              <w:jc w:val="center"/>
              <w:rPr>
                <w:rFonts w:ascii="Arial Narrow" w:eastAsia="Times New Roman" w:hAnsi="Arial Narrow"/>
                <w:b/>
                <w:bCs/>
                <w:color w:val="000000"/>
                <w:sz w:val="16"/>
                <w:szCs w:val="20"/>
                <w:lang w:eastAsia="ro-RO"/>
              </w:rPr>
            </w:pPr>
            <w:r w:rsidRPr="003064E5">
              <w:rPr>
                <w:rFonts w:ascii="Arial Narrow" w:eastAsia="Times New Roman" w:hAnsi="Arial Narrow"/>
                <w:b/>
                <w:bCs/>
                <w:color w:val="000000"/>
                <w:sz w:val="16"/>
                <w:szCs w:val="20"/>
                <w:lang w:eastAsia="ro-RO"/>
              </w:rPr>
              <w:t xml:space="preserve">Institutul de Produse Auxiliare Organice S.A </w:t>
            </w:r>
          </w:p>
        </w:tc>
        <w:tc>
          <w:tcPr>
            <w:tcW w:w="2143" w:type="dxa"/>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p>
        </w:tc>
        <w:tc>
          <w:tcPr>
            <w:tcW w:w="1019" w:type="dxa"/>
            <w:shd w:val="clear" w:color="auto" w:fill="auto"/>
          </w:tcPr>
          <w:p w:rsidR="00EA5F90" w:rsidRPr="003064E5" w:rsidRDefault="00EA5F90" w:rsidP="00EA5F90">
            <w:pPr>
              <w:spacing w:after="0" w:line="240" w:lineRule="auto"/>
              <w:jc w:val="center"/>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Mediaș, Sibiu</w:t>
            </w:r>
          </w:p>
        </w:tc>
        <w:tc>
          <w:tcPr>
            <w:tcW w:w="5241" w:type="dxa"/>
            <w:shd w:val="clear" w:color="auto" w:fill="auto"/>
          </w:tcPr>
          <w:p w:rsidR="00EA5F90" w:rsidRPr="003064E5" w:rsidRDefault="00EA5F90" w:rsidP="00EA5F90">
            <w:pPr>
              <w:spacing w:after="0" w:line="240" w:lineRule="auto"/>
              <w:rPr>
                <w:rFonts w:ascii="Arial Narrow" w:eastAsia="Times New Roman" w:hAnsi="Arial Narrow"/>
                <w:color w:val="000000"/>
                <w:sz w:val="16"/>
                <w:szCs w:val="20"/>
                <w:lang w:eastAsia="ro-RO"/>
              </w:rPr>
            </w:pPr>
            <w:r w:rsidRPr="003064E5">
              <w:rPr>
                <w:rFonts w:ascii="Arial Narrow" w:eastAsia="Times New Roman" w:hAnsi="Arial Narrow"/>
                <w:color w:val="000000"/>
                <w:sz w:val="16"/>
                <w:szCs w:val="20"/>
                <w:lang w:eastAsia="ro-RO"/>
              </w:rPr>
              <w:t>Organizație cu activitate în domeniul cercetării ştiinţifice aplicative în domeniul energiei regenerabile (valorificarea resurselor naturale regenerabile pentru obţinerea biocombustibililor) și a materialelor și produselor ecologice.</w:t>
            </w:r>
          </w:p>
        </w:tc>
      </w:tr>
    </w:tbl>
    <w:p w:rsidR="00EA5F90" w:rsidRDefault="00EA5F90" w:rsidP="00EA5F90">
      <w:pPr>
        <w:spacing w:after="0" w:line="240" w:lineRule="auto"/>
        <w:jc w:val="both"/>
        <w:rPr>
          <w:rFonts w:ascii="Arial Narrow" w:hAnsi="Arial Narrow"/>
          <w:b/>
          <w:sz w:val="14"/>
          <w:szCs w:val="24"/>
        </w:rPr>
      </w:pPr>
      <w:r w:rsidRPr="00263395">
        <w:rPr>
          <w:rFonts w:ascii="Arial Narrow" w:hAnsi="Arial Narrow"/>
          <w:b/>
          <w:sz w:val="14"/>
          <w:szCs w:val="24"/>
        </w:rPr>
        <w:t>Notă!</w:t>
      </w:r>
      <w:r w:rsidRPr="0009594F">
        <w:rPr>
          <w:rFonts w:ascii="Arial Narrow" w:hAnsi="Arial Narrow"/>
          <w:b/>
          <w:sz w:val="14"/>
          <w:szCs w:val="24"/>
        </w:rPr>
        <w:t xml:space="preserve"> În Regiunea Centru există cercetători, membri în cadrul </w:t>
      </w:r>
      <w:hyperlink r:id="rId56" w:history="1">
        <w:r w:rsidRPr="0009594F">
          <w:rPr>
            <w:rStyle w:val="Hyperlink"/>
            <w:rFonts w:ascii="Arial Narrow" w:hAnsi="Arial Narrow"/>
            <w:b/>
            <w:sz w:val="14"/>
            <w:szCs w:val="24"/>
          </w:rPr>
          <w:t>Parteneriatelor Europene de Inovare (PEI)</w:t>
        </w:r>
      </w:hyperlink>
      <w:r w:rsidRPr="0009594F">
        <w:rPr>
          <w:rFonts w:ascii="Arial Narrow" w:hAnsi="Arial Narrow"/>
          <w:b/>
          <w:sz w:val="14"/>
          <w:szCs w:val="24"/>
        </w:rPr>
        <w:t xml:space="preserve"> în sectoare precum: </w:t>
      </w:r>
      <w:r>
        <w:rPr>
          <w:rFonts w:ascii="Arial Narrow" w:hAnsi="Arial Narrow"/>
          <w:b/>
          <w:sz w:val="14"/>
          <w:szCs w:val="24"/>
        </w:rPr>
        <w:t xml:space="preserve">materii prime, </w:t>
      </w:r>
      <w:r w:rsidRPr="0009594F">
        <w:rPr>
          <w:rFonts w:ascii="Arial Narrow" w:hAnsi="Arial Narrow"/>
          <w:b/>
          <w:sz w:val="14"/>
          <w:szCs w:val="24"/>
        </w:rPr>
        <w:t xml:space="preserve">bioenergii și </w:t>
      </w:r>
      <w:hyperlink r:id="rId57" w:history="1">
        <w:r w:rsidRPr="0009594F">
          <w:rPr>
            <w:rStyle w:val="Hyperlink"/>
            <w:rFonts w:ascii="Arial Narrow" w:hAnsi="Arial Narrow"/>
            <w:b/>
            <w:sz w:val="14"/>
            <w:szCs w:val="24"/>
          </w:rPr>
          <w:t>agricultură</w:t>
        </w:r>
      </w:hyperlink>
      <w:r w:rsidRPr="0009594F">
        <w:rPr>
          <w:rFonts w:ascii="Arial Narrow" w:hAnsi="Arial Narrow"/>
          <w:b/>
          <w:sz w:val="14"/>
          <w:szCs w:val="24"/>
        </w:rPr>
        <w:t>. Aceste PEI-uri se concentrează asupra beneficiilor societale și modernizării rapide. Prin intermediul PEI este sprijinită cooperarea internațională.</w:t>
      </w:r>
    </w:p>
    <w:p w:rsidR="00EA5F90" w:rsidRDefault="00EA5F90" w:rsidP="00EA5F90">
      <w:pPr>
        <w:spacing w:after="0" w:line="240" w:lineRule="auto"/>
        <w:jc w:val="both"/>
        <w:rPr>
          <w:rFonts w:ascii="Arial Narrow" w:hAnsi="Arial Narrow"/>
          <w:sz w:val="24"/>
          <w:szCs w:val="24"/>
        </w:rPr>
      </w:pPr>
    </w:p>
    <w:p w:rsidR="00EA5F90" w:rsidRPr="00263395" w:rsidRDefault="00EA5F90" w:rsidP="00EA5F90">
      <w:pPr>
        <w:spacing w:after="0" w:line="240" w:lineRule="auto"/>
        <w:jc w:val="both"/>
        <w:rPr>
          <w:rFonts w:ascii="Arial Narrow" w:hAnsi="Arial Narrow"/>
          <w:sz w:val="24"/>
          <w:szCs w:val="24"/>
        </w:rPr>
      </w:pPr>
      <w:r w:rsidRPr="00263395">
        <w:rPr>
          <w:rFonts w:ascii="Arial Narrow" w:hAnsi="Arial Narrow"/>
          <w:sz w:val="24"/>
          <w:szCs w:val="24"/>
        </w:rPr>
        <w:t xml:space="preserve">De asemenea, există structuri concrete și active care vizează </w:t>
      </w:r>
      <w:r>
        <w:rPr>
          <w:rFonts w:ascii="Arial Narrow" w:hAnsi="Arial Narrow"/>
          <w:sz w:val="24"/>
          <w:szCs w:val="24"/>
        </w:rPr>
        <w:t xml:space="preserve">dezvoltarea și </w:t>
      </w:r>
      <w:r w:rsidRPr="00263395">
        <w:rPr>
          <w:rFonts w:ascii="Arial Narrow" w:hAnsi="Arial Narrow"/>
          <w:sz w:val="24"/>
          <w:szCs w:val="24"/>
        </w:rPr>
        <w:t xml:space="preserve">competitivitatea economică </w:t>
      </w:r>
      <w:r>
        <w:rPr>
          <w:rFonts w:ascii="Arial Narrow" w:hAnsi="Arial Narrow"/>
          <w:sz w:val="24"/>
          <w:szCs w:val="24"/>
        </w:rPr>
        <w:t xml:space="preserve">de </w:t>
      </w:r>
      <w:r w:rsidRPr="00263395">
        <w:rPr>
          <w:rFonts w:ascii="Arial Narrow" w:hAnsi="Arial Narrow"/>
          <w:sz w:val="24"/>
          <w:szCs w:val="24"/>
        </w:rPr>
        <w:t xml:space="preserve">la nivelul </w:t>
      </w:r>
      <w:r>
        <w:rPr>
          <w:rFonts w:ascii="Arial Narrow" w:hAnsi="Arial Narrow"/>
          <w:sz w:val="24"/>
          <w:szCs w:val="24"/>
        </w:rPr>
        <w:t>r</w:t>
      </w:r>
      <w:r w:rsidRPr="00263395">
        <w:rPr>
          <w:rFonts w:ascii="Arial Narrow" w:hAnsi="Arial Narrow"/>
          <w:sz w:val="24"/>
          <w:szCs w:val="24"/>
        </w:rPr>
        <w:t xml:space="preserve">egiunii Centru. </w:t>
      </w:r>
      <w:r w:rsidRPr="00263395">
        <w:rPr>
          <w:rFonts w:ascii="Arial Narrow" w:hAnsi="Arial Narrow"/>
          <w:b/>
          <w:sz w:val="24"/>
          <w:szCs w:val="24"/>
        </w:rPr>
        <w:t>Consorțiul de clustere Transylvania</w:t>
      </w:r>
      <w:r w:rsidRPr="00263395">
        <w:rPr>
          <w:rFonts w:ascii="Arial Narrow" w:hAnsi="Arial Narrow"/>
          <w:sz w:val="24"/>
          <w:szCs w:val="24"/>
        </w:rPr>
        <w:t xml:space="preserve"> reprezintă astfel un punct forte in implementarea coerentă a strategiei de dezvoltare a mediului construit sustenabil. În plus, la nivelul regiunii există un interes deosebit pentru promovarea energiei curate. Acest fapt este demonstrat de existența unor clustere active, cum sunt cele enumerate în </w:t>
      </w:r>
      <w:r w:rsidR="00BD7229">
        <w:rPr>
          <w:rFonts w:ascii="Arial Narrow" w:hAnsi="Arial Narrow"/>
          <w:sz w:val="24"/>
          <w:szCs w:val="24"/>
        </w:rPr>
        <w:fldChar w:fldCharType="begin"/>
      </w:r>
      <w:r>
        <w:rPr>
          <w:rFonts w:ascii="Arial Narrow" w:hAnsi="Arial Narrow"/>
          <w:sz w:val="24"/>
          <w:szCs w:val="24"/>
        </w:rPr>
        <w:instrText xml:space="preserve"> REF _Ref459715927 \h </w:instrText>
      </w:r>
      <w:r w:rsidR="00BD7229">
        <w:rPr>
          <w:rFonts w:ascii="Arial Narrow" w:hAnsi="Arial Narrow"/>
          <w:sz w:val="24"/>
          <w:szCs w:val="24"/>
        </w:rPr>
      </w:r>
      <w:r w:rsidR="00BD7229">
        <w:rPr>
          <w:rFonts w:ascii="Arial Narrow" w:hAnsi="Arial Narrow"/>
          <w:sz w:val="24"/>
          <w:szCs w:val="24"/>
        </w:rPr>
        <w:fldChar w:fldCharType="separate"/>
      </w:r>
      <w:r w:rsidRPr="00263395">
        <w:rPr>
          <w:rFonts w:ascii="Arial Narrow" w:hAnsi="Arial Narrow"/>
          <w:b/>
        </w:rPr>
        <w:t>Tabel</w:t>
      </w:r>
      <w:r>
        <w:rPr>
          <w:rFonts w:ascii="Arial Narrow" w:hAnsi="Arial Narrow"/>
          <w:b/>
        </w:rPr>
        <w:t>ul</w:t>
      </w:r>
      <w:r w:rsidRPr="00263395">
        <w:rPr>
          <w:rFonts w:ascii="Arial Narrow" w:hAnsi="Arial Narrow"/>
          <w:b/>
        </w:rPr>
        <w:t xml:space="preserve"> </w:t>
      </w:r>
      <w:r>
        <w:rPr>
          <w:rFonts w:ascii="Arial Narrow" w:hAnsi="Arial Narrow"/>
          <w:b/>
          <w:noProof/>
        </w:rPr>
        <w:t>7</w:t>
      </w:r>
      <w:r w:rsidR="00BD7229">
        <w:rPr>
          <w:rFonts w:ascii="Arial Narrow" w:hAnsi="Arial Narrow"/>
          <w:sz w:val="24"/>
          <w:szCs w:val="24"/>
        </w:rPr>
        <w:fldChar w:fldCharType="end"/>
      </w:r>
      <w:r>
        <w:rPr>
          <w:rFonts w:ascii="Arial Narrow" w:hAnsi="Arial Narrow"/>
          <w:sz w:val="24"/>
          <w:szCs w:val="24"/>
        </w:rPr>
        <w:t xml:space="preserve">. </w:t>
      </w:r>
      <w:r w:rsidRPr="00263395">
        <w:rPr>
          <w:rFonts w:ascii="Arial Narrow" w:hAnsi="Arial Narrow"/>
          <w:sz w:val="24"/>
          <w:szCs w:val="24"/>
        </w:rPr>
        <w:t>Aceste clustere fie activează direct, fie pot fi direct implicate în promovarea soluțiilor specifice, adaptate comunităților care doresc să dezvolte mediul construit sustenabil.</w:t>
      </w:r>
    </w:p>
    <w:p w:rsidR="000865B4" w:rsidRDefault="000865B4" w:rsidP="00EA5F90">
      <w:pPr>
        <w:pStyle w:val="Legend"/>
        <w:spacing w:after="0"/>
        <w:jc w:val="center"/>
        <w:rPr>
          <w:rFonts w:ascii="Arial Narrow" w:hAnsi="Arial Narrow"/>
          <w:b w:val="0"/>
        </w:rPr>
      </w:pPr>
      <w:bookmarkStart w:id="6" w:name="_Ref459715927"/>
      <w:bookmarkStart w:id="7" w:name="_Ref459728315"/>
    </w:p>
    <w:p w:rsidR="00EA5F90" w:rsidRPr="00263395" w:rsidRDefault="00EA5F90" w:rsidP="00EA5F90">
      <w:pPr>
        <w:pStyle w:val="Legend"/>
        <w:spacing w:after="0"/>
        <w:jc w:val="center"/>
        <w:rPr>
          <w:rFonts w:ascii="Arial Narrow" w:hAnsi="Arial Narrow"/>
          <w:b w:val="0"/>
          <w:sz w:val="20"/>
          <w:szCs w:val="20"/>
        </w:rPr>
      </w:pPr>
      <w:r w:rsidRPr="00263395">
        <w:rPr>
          <w:rFonts w:ascii="Arial Narrow" w:hAnsi="Arial Narrow"/>
          <w:b w:val="0"/>
        </w:rPr>
        <w:t xml:space="preserve">Tabel </w:t>
      </w:r>
      <w:r w:rsidR="00BD7229" w:rsidRPr="00263395">
        <w:rPr>
          <w:rFonts w:ascii="Arial Narrow" w:hAnsi="Arial Narrow"/>
          <w:b w:val="0"/>
        </w:rPr>
        <w:fldChar w:fldCharType="begin"/>
      </w:r>
      <w:r w:rsidRPr="00263395">
        <w:rPr>
          <w:rFonts w:ascii="Arial Narrow" w:hAnsi="Arial Narrow"/>
          <w:b w:val="0"/>
        </w:rPr>
        <w:instrText xml:space="preserve"> SEQ Tabel \* ARABIC </w:instrText>
      </w:r>
      <w:r w:rsidR="00BD7229" w:rsidRPr="00263395">
        <w:rPr>
          <w:rFonts w:ascii="Arial Narrow" w:hAnsi="Arial Narrow"/>
          <w:b w:val="0"/>
        </w:rPr>
        <w:fldChar w:fldCharType="separate"/>
      </w:r>
      <w:r>
        <w:rPr>
          <w:rFonts w:ascii="Arial Narrow" w:hAnsi="Arial Narrow"/>
          <w:b w:val="0"/>
          <w:noProof/>
        </w:rPr>
        <w:t>7</w:t>
      </w:r>
      <w:r w:rsidR="00BD7229" w:rsidRPr="00263395">
        <w:rPr>
          <w:rFonts w:ascii="Arial Narrow" w:hAnsi="Arial Narrow"/>
          <w:b w:val="0"/>
        </w:rPr>
        <w:fldChar w:fldCharType="end"/>
      </w:r>
      <w:bookmarkEnd w:id="6"/>
      <w:r w:rsidRPr="00263395">
        <w:rPr>
          <w:rFonts w:ascii="Arial Narrow" w:hAnsi="Arial Narrow"/>
          <w:b w:val="0"/>
        </w:rPr>
        <w:t>. Clustere</w:t>
      </w:r>
      <w:r w:rsidRPr="00263395">
        <w:t xml:space="preserve"> </w:t>
      </w:r>
      <w:r w:rsidRPr="00263395">
        <w:rPr>
          <w:rFonts w:ascii="Arial Narrow" w:hAnsi="Arial Narrow"/>
          <w:b w:val="0"/>
        </w:rPr>
        <w:t>din Regiunea Centru cu relevanță în domeniul MEDIU CONSTRUIT SUSTENABIL.</w:t>
      </w:r>
      <w:bookmarkEnd w:id="7"/>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3870"/>
        <w:gridCol w:w="1258"/>
        <w:gridCol w:w="1120"/>
        <w:gridCol w:w="3040"/>
      </w:tblGrid>
      <w:tr w:rsidR="00EA5F90" w:rsidRPr="003064E5" w:rsidTr="00EA5F90">
        <w:trPr>
          <w:trHeight w:val="600"/>
        </w:trPr>
        <w:tc>
          <w:tcPr>
            <w:tcW w:w="3964" w:type="dxa"/>
            <w:tcBorders>
              <w:bottom w:val="single" w:sz="12" w:space="0" w:color="9CC2E5"/>
            </w:tcBorders>
            <w:shd w:val="clear" w:color="auto" w:fill="BDD6EE"/>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b/>
                <w:bCs/>
                <w:sz w:val="16"/>
                <w:szCs w:val="16"/>
              </w:rPr>
              <w:t>Denumirea clusterului</w:t>
            </w:r>
          </w:p>
        </w:tc>
        <w:tc>
          <w:tcPr>
            <w:tcW w:w="1276" w:type="dxa"/>
            <w:tcBorders>
              <w:bottom w:val="single" w:sz="12" w:space="0" w:color="9CC2E5"/>
            </w:tcBorders>
            <w:shd w:val="clear" w:color="auto" w:fill="BDD6EE"/>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b/>
                <w:bCs/>
                <w:sz w:val="16"/>
                <w:szCs w:val="16"/>
              </w:rPr>
              <w:t>Oraș</w:t>
            </w:r>
          </w:p>
        </w:tc>
        <w:tc>
          <w:tcPr>
            <w:tcW w:w="1134" w:type="dxa"/>
            <w:tcBorders>
              <w:bottom w:val="single" w:sz="12" w:space="0" w:color="9CC2E5"/>
            </w:tcBorders>
            <w:shd w:val="clear" w:color="auto" w:fill="BDD6EE"/>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b/>
                <w:bCs/>
                <w:sz w:val="16"/>
                <w:szCs w:val="16"/>
              </w:rPr>
              <w:t>An înființare</w:t>
            </w:r>
          </w:p>
        </w:tc>
        <w:tc>
          <w:tcPr>
            <w:tcW w:w="3113" w:type="dxa"/>
            <w:tcBorders>
              <w:bottom w:val="single" w:sz="12" w:space="0" w:color="9CC2E5"/>
            </w:tcBorders>
            <w:shd w:val="clear" w:color="auto" w:fill="BDD6EE"/>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b/>
                <w:bCs/>
                <w:sz w:val="16"/>
                <w:szCs w:val="16"/>
              </w:rPr>
              <w:t>Entitatea de management al clusterului</w:t>
            </w:r>
          </w:p>
        </w:tc>
      </w:tr>
      <w:tr w:rsidR="00EA5F90" w:rsidRPr="003064E5" w:rsidTr="00EA5F90">
        <w:trPr>
          <w:trHeight w:val="235"/>
        </w:trPr>
        <w:tc>
          <w:tcPr>
            <w:tcW w:w="3964" w:type="dxa"/>
            <w:shd w:val="clear" w:color="auto" w:fill="auto"/>
            <w:hideMark/>
          </w:tcPr>
          <w:p w:rsidR="00EA5F90" w:rsidRPr="003064E5" w:rsidRDefault="00EA5F90" w:rsidP="00EA5F90">
            <w:pPr>
              <w:spacing w:after="0" w:line="240" w:lineRule="auto"/>
              <w:jc w:val="both"/>
              <w:rPr>
                <w:rFonts w:ascii="Arial Narrow" w:hAnsi="Arial Narrow"/>
                <w:b/>
                <w:bCs/>
                <w:sz w:val="16"/>
                <w:szCs w:val="16"/>
              </w:rPr>
            </w:pPr>
            <w:r w:rsidRPr="003064E5">
              <w:rPr>
                <w:rFonts w:ascii="Arial Narrow" w:hAnsi="Arial Narrow"/>
                <w:b/>
                <w:bCs/>
                <w:sz w:val="16"/>
                <w:szCs w:val="16"/>
              </w:rPr>
              <w:t>GREEN ENERGY InnovativeBiomass Cluster</w:t>
            </w:r>
          </w:p>
        </w:tc>
        <w:tc>
          <w:tcPr>
            <w:tcW w:w="1276"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Sfantu Gheorghe</w:t>
            </w:r>
          </w:p>
        </w:tc>
        <w:tc>
          <w:tcPr>
            <w:tcW w:w="1134"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2011</w:t>
            </w:r>
          </w:p>
        </w:tc>
        <w:tc>
          <w:tcPr>
            <w:tcW w:w="3113"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Asociația Green Energy</w:t>
            </w:r>
          </w:p>
        </w:tc>
      </w:tr>
      <w:tr w:rsidR="00EA5F90" w:rsidRPr="003064E5" w:rsidTr="00EA5F90">
        <w:trPr>
          <w:trHeight w:val="416"/>
        </w:trPr>
        <w:tc>
          <w:tcPr>
            <w:tcW w:w="3964" w:type="dxa"/>
            <w:shd w:val="clear" w:color="auto" w:fill="auto"/>
            <w:hideMark/>
          </w:tcPr>
          <w:p w:rsidR="00EA5F90" w:rsidRPr="003064E5" w:rsidRDefault="00EA5F90" w:rsidP="00EA5F90">
            <w:pPr>
              <w:spacing w:after="0" w:line="240" w:lineRule="auto"/>
              <w:jc w:val="both"/>
              <w:rPr>
                <w:rFonts w:ascii="Arial Narrow" w:hAnsi="Arial Narrow"/>
                <w:b/>
                <w:bCs/>
                <w:sz w:val="16"/>
                <w:szCs w:val="16"/>
              </w:rPr>
            </w:pPr>
            <w:r w:rsidRPr="003064E5">
              <w:rPr>
                <w:rFonts w:ascii="Arial Narrow" w:hAnsi="Arial Narrow"/>
                <w:b/>
                <w:bCs/>
                <w:sz w:val="16"/>
                <w:szCs w:val="16"/>
              </w:rPr>
              <w:t>RENERG EUREG Cluster</w:t>
            </w:r>
          </w:p>
        </w:tc>
        <w:tc>
          <w:tcPr>
            <w:tcW w:w="1276"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Alba Iulia</w:t>
            </w:r>
          </w:p>
        </w:tc>
        <w:tc>
          <w:tcPr>
            <w:tcW w:w="1134"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2010</w:t>
            </w:r>
          </w:p>
        </w:tc>
        <w:tc>
          <w:tcPr>
            <w:tcW w:w="3113"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ADR Centru prin proiectul RenErgEuReg finanțat prin programul FP7</w:t>
            </w:r>
          </w:p>
        </w:tc>
      </w:tr>
      <w:tr w:rsidR="00EA5F90" w:rsidRPr="003064E5" w:rsidTr="00EA5F90">
        <w:trPr>
          <w:trHeight w:val="325"/>
        </w:trPr>
        <w:tc>
          <w:tcPr>
            <w:tcW w:w="3964" w:type="dxa"/>
            <w:shd w:val="clear" w:color="auto" w:fill="auto"/>
            <w:hideMark/>
          </w:tcPr>
          <w:p w:rsidR="00EA5F90" w:rsidRPr="003064E5" w:rsidRDefault="00EA5F90" w:rsidP="00EA5F90">
            <w:pPr>
              <w:spacing w:after="0" w:line="240" w:lineRule="auto"/>
              <w:jc w:val="both"/>
              <w:rPr>
                <w:rFonts w:ascii="Arial Narrow" w:hAnsi="Arial Narrow"/>
                <w:b/>
                <w:bCs/>
                <w:sz w:val="16"/>
                <w:szCs w:val="16"/>
              </w:rPr>
            </w:pPr>
            <w:r w:rsidRPr="003064E5">
              <w:rPr>
                <w:rFonts w:ascii="Arial Narrow" w:hAnsi="Arial Narrow"/>
                <w:b/>
                <w:bCs/>
                <w:sz w:val="16"/>
                <w:szCs w:val="16"/>
              </w:rPr>
              <w:t>Green Building &amp;Development Cluster</w:t>
            </w:r>
          </w:p>
        </w:tc>
        <w:tc>
          <w:tcPr>
            <w:tcW w:w="1276"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Unghenni - Vidrasau</w:t>
            </w:r>
          </w:p>
        </w:tc>
        <w:tc>
          <w:tcPr>
            <w:tcW w:w="1134"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2013</w:t>
            </w:r>
          </w:p>
        </w:tc>
        <w:tc>
          <w:tcPr>
            <w:tcW w:w="3113"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Asociatia Green Building &amp;Development ONG</w:t>
            </w:r>
          </w:p>
        </w:tc>
      </w:tr>
      <w:tr w:rsidR="00EA5F90" w:rsidRPr="003064E5" w:rsidTr="00EA5F90">
        <w:trPr>
          <w:trHeight w:val="89"/>
        </w:trPr>
        <w:tc>
          <w:tcPr>
            <w:tcW w:w="3964" w:type="dxa"/>
            <w:shd w:val="clear" w:color="auto" w:fill="auto"/>
            <w:hideMark/>
          </w:tcPr>
          <w:p w:rsidR="00EA5F90" w:rsidRPr="003064E5" w:rsidRDefault="00EA5F90" w:rsidP="00EA5F90">
            <w:pPr>
              <w:spacing w:after="0" w:line="240" w:lineRule="auto"/>
              <w:jc w:val="both"/>
              <w:rPr>
                <w:rFonts w:ascii="Arial Narrow" w:hAnsi="Arial Narrow"/>
                <w:b/>
                <w:bCs/>
                <w:sz w:val="16"/>
                <w:szCs w:val="16"/>
              </w:rPr>
            </w:pPr>
            <w:r w:rsidRPr="003064E5">
              <w:rPr>
                <w:rFonts w:ascii="Arial Narrow" w:hAnsi="Arial Narrow"/>
                <w:b/>
                <w:bCs/>
                <w:sz w:val="16"/>
                <w:szCs w:val="16"/>
              </w:rPr>
              <w:t xml:space="preserve">PROWOOD Regional Wood Cluster </w:t>
            </w:r>
            <w:r w:rsidRPr="003064E5">
              <w:rPr>
                <w:rFonts w:ascii="Arial Narrow" w:hAnsi="Arial Narrow"/>
                <w:bCs/>
                <w:sz w:val="16"/>
                <w:szCs w:val="16"/>
              </w:rPr>
              <w:t>din Regiunea Centru cu relevanță în domeniul MEDIU CONSTRUIT SUSTENABIL.</w:t>
            </w:r>
          </w:p>
        </w:tc>
        <w:tc>
          <w:tcPr>
            <w:tcW w:w="1276"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Sfantu Gheorghe</w:t>
            </w:r>
          </w:p>
        </w:tc>
        <w:tc>
          <w:tcPr>
            <w:tcW w:w="1134"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2010</w:t>
            </w:r>
          </w:p>
        </w:tc>
        <w:tc>
          <w:tcPr>
            <w:tcW w:w="3113"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Asociația KO-FA</w:t>
            </w:r>
          </w:p>
        </w:tc>
      </w:tr>
      <w:tr w:rsidR="00EA5F90" w:rsidRPr="003064E5" w:rsidTr="00EA5F90">
        <w:trPr>
          <w:trHeight w:val="163"/>
        </w:trPr>
        <w:tc>
          <w:tcPr>
            <w:tcW w:w="3964" w:type="dxa"/>
            <w:shd w:val="clear" w:color="auto" w:fill="auto"/>
            <w:hideMark/>
          </w:tcPr>
          <w:p w:rsidR="00EA5F90" w:rsidRPr="003064E5" w:rsidRDefault="00EA5F90" w:rsidP="00EA5F90">
            <w:pPr>
              <w:spacing w:after="0" w:line="240" w:lineRule="auto"/>
              <w:jc w:val="both"/>
              <w:rPr>
                <w:rFonts w:ascii="Arial Narrow" w:hAnsi="Arial Narrow"/>
                <w:b/>
                <w:bCs/>
                <w:sz w:val="16"/>
                <w:szCs w:val="16"/>
              </w:rPr>
            </w:pPr>
            <w:r w:rsidRPr="003064E5">
              <w:rPr>
                <w:rFonts w:ascii="Arial Narrow" w:hAnsi="Arial Narrow"/>
                <w:b/>
                <w:bCs/>
                <w:sz w:val="16"/>
                <w:szCs w:val="16"/>
              </w:rPr>
              <w:t>Hargita Wood Cluster</w:t>
            </w:r>
          </w:p>
        </w:tc>
        <w:tc>
          <w:tcPr>
            <w:tcW w:w="1276"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Miercurea Ciuc</w:t>
            </w:r>
          </w:p>
        </w:tc>
        <w:tc>
          <w:tcPr>
            <w:tcW w:w="1134"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2014</w:t>
            </w:r>
          </w:p>
        </w:tc>
        <w:tc>
          <w:tcPr>
            <w:tcW w:w="3113" w:type="dxa"/>
            <w:shd w:val="clear" w:color="auto" w:fill="auto"/>
            <w:hideMark/>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Asociația Întreprinzătorilor din Ciuc</w:t>
            </w:r>
          </w:p>
        </w:tc>
      </w:tr>
      <w:tr w:rsidR="00EA5F90" w:rsidRPr="003064E5" w:rsidTr="00EA5F90">
        <w:trPr>
          <w:trHeight w:val="223"/>
        </w:trPr>
        <w:tc>
          <w:tcPr>
            <w:tcW w:w="3964" w:type="dxa"/>
            <w:shd w:val="clear" w:color="auto" w:fill="auto"/>
          </w:tcPr>
          <w:p w:rsidR="00EA5F90" w:rsidRPr="003064E5" w:rsidRDefault="00EA5F90" w:rsidP="00EA5F90">
            <w:pPr>
              <w:spacing w:after="0" w:line="240" w:lineRule="auto"/>
              <w:jc w:val="both"/>
              <w:rPr>
                <w:rFonts w:ascii="Arial Narrow" w:hAnsi="Arial Narrow"/>
                <w:b/>
                <w:bCs/>
                <w:sz w:val="16"/>
                <w:szCs w:val="16"/>
              </w:rPr>
            </w:pPr>
            <w:r w:rsidRPr="003064E5">
              <w:rPr>
                <w:rFonts w:ascii="Arial Narrow" w:hAnsi="Arial Narrow"/>
                <w:b/>
                <w:bCs/>
                <w:sz w:val="16"/>
                <w:szCs w:val="16"/>
              </w:rPr>
              <w:t>IT Plus Cluster</w:t>
            </w:r>
          </w:p>
        </w:tc>
        <w:tc>
          <w:tcPr>
            <w:tcW w:w="1276" w:type="dxa"/>
            <w:shd w:val="clear" w:color="auto" w:fill="auto"/>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Miercurea Ciuc</w:t>
            </w:r>
          </w:p>
        </w:tc>
        <w:tc>
          <w:tcPr>
            <w:tcW w:w="1134" w:type="dxa"/>
            <w:shd w:val="clear" w:color="auto" w:fill="auto"/>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2013</w:t>
            </w:r>
          </w:p>
        </w:tc>
        <w:tc>
          <w:tcPr>
            <w:tcW w:w="3113" w:type="dxa"/>
            <w:shd w:val="clear" w:color="auto" w:fill="auto"/>
          </w:tcPr>
          <w:p w:rsidR="00EA5F90" w:rsidRPr="003064E5" w:rsidRDefault="00EA5F90" w:rsidP="00EA5F90">
            <w:pPr>
              <w:spacing w:after="0" w:line="240" w:lineRule="auto"/>
              <w:jc w:val="both"/>
              <w:rPr>
                <w:rFonts w:ascii="Arial Narrow" w:hAnsi="Arial Narrow"/>
                <w:sz w:val="16"/>
                <w:szCs w:val="16"/>
              </w:rPr>
            </w:pPr>
            <w:r w:rsidRPr="003064E5">
              <w:rPr>
                <w:rFonts w:ascii="Arial Narrow" w:hAnsi="Arial Narrow"/>
                <w:sz w:val="16"/>
                <w:szCs w:val="16"/>
              </w:rPr>
              <w:t>Asociația Întreprinzătorilor din Ciuc</w:t>
            </w:r>
          </w:p>
        </w:tc>
      </w:tr>
    </w:tbl>
    <w:p w:rsidR="00EA5F90" w:rsidRDefault="00EA5F90" w:rsidP="00EA5F90">
      <w:pPr>
        <w:spacing w:after="0" w:line="240" w:lineRule="auto"/>
        <w:jc w:val="both"/>
        <w:rPr>
          <w:rFonts w:ascii="Arial Narrow" w:hAnsi="Arial Narrow"/>
          <w:sz w:val="24"/>
          <w:szCs w:val="24"/>
        </w:rPr>
      </w:pPr>
    </w:p>
    <w:p w:rsidR="00EA5F90" w:rsidRPr="00263395" w:rsidRDefault="00EA5F90" w:rsidP="00EA5F90">
      <w:pPr>
        <w:pStyle w:val="Listparagraf"/>
        <w:spacing w:after="0" w:line="240" w:lineRule="auto"/>
        <w:ind w:left="0"/>
        <w:jc w:val="both"/>
        <w:rPr>
          <w:rFonts w:ascii="Arial Narrow" w:hAnsi="Arial Narrow" w:cs="Calibri"/>
          <w:sz w:val="24"/>
          <w:szCs w:val="24"/>
        </w:rPr>
      </w:pPr>
      <w:r w:rsidRPr="00263395">
        <w:rPr>
          <w:rFonts w:ascii="Arial Narrow" w:hAnsi="Arial Narrow" w:cs="Calibri"/>
          <w:sz w:val="24"/>
          <w:szCs w:val="24"/>
        </w:rPr>
        <w:t>Repezentarea intereselor de afaceri ale organizațiilor din domeniu se face prin asociații</w:t>
      </w:r>
      <w:r>
        <w:rPr>
          <w:rFonts w:ascii="Arial Narrow" w:hAnsi="Arial Narrow" w:cs="Calibri"/>
          <w:sz w:val="24"/>
          <w:szCs w:val="24"/>
        </w:rPr>
        <w:t>le</w:t>
      </w:r>
      <w:r w:rsidRPr="00263395">
        <w:rPr>
          <w:rFonts w:ascii="Arial Narrow" w:hAnsi="Arial Narrow" w:cs="Calibri"/>
          <w:sz w:val="24"/>
          <w:szCs w:val="24"/>
        </w:rPr>
        <w:t xml:space="preserve"> profesionale</w:t>
      </w:r>
      <w:r>
        <w:rPr>
          <w:rFonts w:ascii="Arial Narrow" w:hAnsi="Arial Narrow" w:cs="Calibri"/>
          <w:sz w:val="24"/>
          <w:szCs w:val="24"/>
        </w:rPr>
        <w:t>, active la nivel regional și național</w:t>
      </w:r>
      <w:r w:rsidRPr="00263395">
        <w:rPr>
          <w:rFonts w:ascii="Arial Narrow" w:hAnsi="Arial Narrow" w:cs="Calibri"/>
          <w:sz w:val="24"/>
          <w:szCs w:val="24"/>
        </w:rPr>
        <w:t xml:space="preserve">: Asociația Producătorilor de Materiale de Construcții din România (APMCR), Asociația Română a Antreprenorilor de Construcţii (ARACO), Asociaţia Română de Dreptul </w:t>
      </w:r>
      <w:r w:rsidRPr="00263395">
        <w:rPr>
          <w:rFonts w:ascii="Arial Narrow" w:hAnsi="Arial Narrow" w:cs="Calibri"/>
          <w:sz w:val="24"/>
          <w:szCs w:val="24"/>
        </w:rPr>
        <w:lastRenderedPageBreak/>
        <w:t>Construcţiilor (RSCL), Asociația Profesională de Drumuri și Poduri din România (APDP), Federaţia Patronală din Industria Materialelor de Construcţii (PATROMAT), Patronatul Societăţilor din Construcţii (PSC), Ordinul Arhitectilor din Romania (OAR), Registrului Urbaniştilor din România (RUR) etc. Aceștia colaborează cu autoritățile publice</w:t>
      </w:r>
      <w:r>
        <w:rPr>
          <w:rFonts w:ascii="Arial Narrow" w:hAnsi="Arial Narrow" w:cs="Calibri"/>
          <w:sz w:val="24"/>
          <w:szCs w:val="24"/>
        </w:rPr>
        <w:t>/institute de cercetare și implementează acțiuni care să contribuie la</w:t>
      </w:r>
      <w:r w:rsidRPr="00263395">
        <w:rPr>
          <w:rFonts w:ascii="Arial Narrow" w:hAnsi="Arial Narrow" w:cs="Calibri"/>
          <w:sz w:val="24"/>
          <w:szCs w:val="24"/>
        </w:rPr>
        <w:t xml:space="preserve"> dezvoltarea sectorului și</w:t>
      </w:r>
      <w:r>
        <w:rPr>
          <w:rFonts w:ascii="Arial Narrow" w:hAnsi="Arial Narrow" w:cs="Calibri"/>
          <w:sz w:val="24"/>
          <w:szCs w:val="24"/>
        </w:rPr>
        <w:t xml:space="preserve"> la</w:t>
      </w:r>
      <w:r w:rsidRPr="00263395">
        <w:rPr>
          <w:rFonts w:ascii="Arial Narrow" w:hAnsi="Arial Narrow" w:cs="Calibri"/>
          <w:sz w:val="24"/>
          <w:szCs w:val="24"/>
        </w:rPr>
        <w:t xml:space="preserve"> crearea unui mediu construit sustenabil.</w:t>
      </w:r>
    </w:p>
    <w:p w:rsidR="00EA5F90" w:rsidRDefault="00EA5F90" w:rsidP="00EA5F90">
      <w:pPr>
        <w:pStyle w:val="Listparagraf"/>
        <w:spacing w:after="0" w:line="240" w:lineRule="auto"/>
        <w:ind w:left="0"/>
        <w:jc w:val="both"/>
        <w:rPr>
          <w:rFonts w:ascii="Arial Narrow" w:hAnsi="Arial Narrow"/>
          <w:b/>
          <w:i/>
          <w:sz w:val="24"/>
          <w:szCs w:val="24"/>
        </w:rPr>
      </w:pPr>
      <w:r w:rsidRPr="00AC78C4">
        <w:rPr>
          <w:rFonts w:ascii="Arial Narrow" w:hAnsi="Arial Narrow"/>
          <w:b/>
          <w:i/>
          <w:sz w:val="24"/>
          <w:szCs w:val="24"/>
        </w:rPr>
        <w:t>Cercetarea în domeniul de excelența mediul construit sustenabil</w:t>
      </w:r>
    </w:p>
    <w:p w:rsidR="00EA5F90" w:rsidRDefault="00EA5F90" w:rsidP="00EA5F90">
      <w:pPr>
        <w:pStyle w:val="Listparagraf"/>
        <w:spacing w:after="0" w:line="240" w:lineRule="auto"/>
        <w:ind w:left="0"/>
        <w:jc w:val="both"/>
        <w:rPr>
          <w:rStyle w:val="Accentuat"/>
          <w:rFonts w:ascii="Arial Narrow" w:hAnsi="Arial Narrow"/>
          <w:i w:val="0"/>
          <w:sz w:val="24"/>
          <w:szCs w:val="24"/>
          <w:bdr w:val="none" w:sz="0" w:space="0" w:color="auto" w:frame="1"/>
          <w:shd w:val="clear" w:color="auto" w:fill="FFFFFF"/>
        </w:rPr>
      </w:pPr>
      <w:r>
        <w:rPr>
          <w:rFonts w:ascii="Arial Narrow" w:hAnsi="Arial Narrow"/>
          <w:sz w:val="24"/>
          <w:szCs w:val="24"/>
        </w:rPr>
        <w:t>Cercetarea este</w:t>
      </w:r>
      <w:r w:rsidRPr="008E12AA">
        <w:rPr>
          <w:rFonts w:ascii="Arial Narrow" w:hAnsi="Arial Narrow"/>
          <w:sz w:val="24"/>
          <w:szCs w:val="24"/>
        </w:rPr>
        <w:t xml:space="preserve"> motor</w:t>
      </w:r>
      <w:r>
        <w:rPr>
          <w:rFonts w:ascii="Arial Narrow" w:hAnsi="Arial Narrow"/>
          <w:sz w:val="24"/>
          <w:szCs w:val="24"/>
        </w:rPr>
        <w:t>ul</w:t>
      </w:r>
      <w:r w:rsidRPr="008E12AA">
        <w:rPr>
          <w:rFonts w:ascii="Arial Narrow" w:hAnsi="Arial Narrow"/>
          <w:sz w:val="24"/>
          <w:szCs w:val="24"/>
        </w:rPr>
        <w:t xml:space="preserve"> creşter</w:t>
      </w:r>
      <w:r>
        <w:rPr>
          <w:rFonts w:ascii="Arial Narrow" w:hAnsi="Arial Narrow"/>
          <w:sz w:val="24"/>
          <w:szCs w:val="24"/>
        </w:rPr>
        <w:t>ii</w:t>
      </w:r>
      <w:r w:rsidRPr="008E12AA">
        <w:rPr>
          <w:rFonts w:ascii="Arial Narrow" w:hAnsi="Arial Narrow"/>
          <w:sz w:val="24"/>
          <w:szCs w:val="24"/>
        </w:rPr>
        <w:t xml:space="preserve"> competitivităţii economice şi urmăreşte conectarea la noile priorităţi ale ştiinţei şi tehnologiei din Uniunea Europeană stabilite de strategia Europa 2020.</w:t>
      </w:r>
      <w:r>
        <w:rPr>
          <w:rFonts w:ascii="Arial Narrow" w:hAnsi="Arial Narrow"/>
          <w:sz w:val="24"/>
          <w:szCs w:val="24"/>
        </w:rPr>
        <w:t xml:space="preserve"> Poziția prioritară a cercetării  la nivel național este susținută prin </w:t>
      </w:r>
      <w:r w:rsidRPr="00292B5C">
        <w:rPr>
          <w:rFonts w:ascii="Arial Narrow" w:hAnsi="Arial Narrow"/>
          <w:sz w:val="24"/>
          <w:szCs w:val="24"/>
        </w:rPr>
        <w:t xml:space="preserve">Strategia Natională de Cercetare, Dezvoltare şi Inovare 2014 </w:t>
      </w:r>
      <w:r>
        <w:rPr>
          <w:rFonts w:ascii="Arial Narrow" w:hAnsi="Arial Narrow"/>
          <w:sz w:val="24"/>
          <w:szCs w:val="24"/>
        </w:rPr>
        <w:t>–</w:t>
      </w:r>
      <w:r w:rsidRPr="00292B5C">
        <w:rPr>
          <w:rFonts w:ascii="Arial Narrow" w:hAnsi="Arial Narrow"/>
          <w:sz w:val="24"/>
          <w:szCs w:val="24"/>
        </w:rPr>
        <w:t xml:space="preserve"> 2020</w:t>
      </w:r>
      <w:r>
        <w:rPr>
          <w:rFonts w:ascii="Arial Narrow" w:hAnsi="Arial Narrow"/>
          <w:sz w:val="24"/>
          <w:szCs w:val="24"/>
        </w:rPr>
        <w:t>. Principalele instrumente de implementare ale</w:t>
      </w:r>
      <w:r w:rsidRPr="00A57F64">
        <w:rPr>
          <w:rFonts w:ascii="Arial Narrow" w:hAnsi="Arial Narrow"/>
          <w:sz w:val="24"/>
          <w:szCs w:val="24"/>
        </w:rPr>
        <w:t xml:space="preserve"> </w:t>
      </w:r>
      <w:r>
        <w:rPr>
          <w:rFonts w:ascii="Arial Narrow" w:hAnsi="Arial Narrow"/>
          <w:sz w:val="24"/>
          <w:szCs w:val="24"/>
        </w:rPr>
        <w:t xml:space="preserve">acesteia sunt </w:t>
      </w:r>
      <w:r w:rsidRPr="00A57F64">
        <w:rPr>
          <w:rFonts w:ascii="Arial Narrow" w:hAnsi="Arial Narrow"/>
          <w:sz w:val="24"/>
          <w:szCs w:val="24"/>
        </w:rPr>
        <w:t>Planul National de Cercetare-Dezvoltare</w:t>
      </w:r>
      <w:r>
        <w:rPr>
          <w:rFonts w:ascii="Arial Narrow" w:hAnsi="Arial Narrow"/>
          <w:sz w:val="24"/>
          <w:szCs w:val="24"/>
        </w:rPr>
        <w:t xml:space="preserve"> și</w:t>
      </w:r>
      <w:r w:rsidRPr="00A57F64">
        <w:rPr>
          <w:rFonts w:ascii="Arial Narrow" w:hAnsi="Arial Narrow"/>
          <w:sz w:val="24"/>
          <w:szCs w:val="24"/>
        </w:rPr>
        <w:t xml:space="preserve"> Inovare pe</w:t>
      </w:r>
      <w:r w:rsidRPr="00292B5C">
        <w:rPr>
          <w:rFonts w:ascii="Arial Narrow" w:hAnsi="Arial Narrow"/>
          <w:sz w:val="24"/>
          <w:szCs w:val="24"/>
        </w:rPr>
        <w:t>ntru perioada 2015 - 2020 (PNCDI III) și  Programul Operațional Competitivitate 2014-2020. În ceea ce privește PNCDI III,  implementarea acestuia se realizează prin programele componente, respectiv prin subpro</w:t>
      </w:r>
      <w:r>
        <w:rPr>
          <w:rFonts w:ascii="Arial Narrow" w:hAnsi="Arial Narrow"/>
          <w:sz w:val="24"/>
          <w:szCs w:val="24"/>
        </w:rPr>
        <w:t>g</w:t>
      </w:r>
      <w:r w:rsidRPr="00292B5C">
        <w:rPr>
          <w:rFonts w:ascii="Arial Narrow" w:hAnsi="Arial Narrow"/>
          <w:sz w:val="24"/>
          <w:szCs w:val="24"/>
        </w:rPr>
        <w:t>ramele, instrumentele de finanţare şi tipurile de proiecte asociate acestora. Obiectivele generale ale acestuia sunt: creşterea competitivităţii economiei româneşti prin inovare; creşterea contribuţiei româneşti la progresul cunoaşterii; creşterea rolului ştiinţei în societate. Ca obiective spe</w:t>
      </w:r>
      <w:r>
        <w:rPr>
          <w:rFonts w:ascii="Arial Narrow" w:hAnsi="Arial Narrow"/>
          <w:sz w:val="24"/>
          <w:szCs w:val="24"/>
        </w:rPr>
        <w:t>ci</w:t>
      </w:r>
      <w:r w:rsidRPr="00292B5C">
        <w:rPr>
          <w:rFonts w:ascii="Arial Narrow" w:hAnsi="Arial Narrow"/>
          <w:sz w:val="24"/>
          <w:szCs w:val="24"/>
        </w:rPr>
        <w:t>fice, programul PNCDI III își propune transformarea sistemului naţional de cercetare-dezvoltare şi inovare în subsistem socioeconomic cu performanţe şi impact la nivelul mediei europene, asigurarea masei critice de cercetători din sistem, stimularea activităţilor CDI în sectorul privat şi susţinerea procesului de specializare inteligentă în economie, creşterea nivelului şi a eficienţei finanţării publice,</w:t>
      </w:r>
      <w:r>
        <w:rPr>
          <w:rFonts w:ascii="Arial Narrow" w:hAnsi="Arial Narrow"/>
          <w:sz w:val="24"/>
          <w:szCs w:val="24"/>
        </w:rPr>
        <w:t xml:space="preserve"> </w:t>
      </w:r>
      <w:r w:rsidRPr="00292B5C">
        <w:rPr>
          <w:rFonts w:ascii="Arial Narrow" w:hAnsi="Arial Narrow"/>
          <w:sz w:val="24"/>
          <w:szCs w:val="24"/>
        </w:rPr>
        <w:t>modernizarea administraţiei cercetării și creşterea capacităţii administraţiei centrale din domeniul cercetării, dezvoltării</w:t>
      </w:r>
      <w:r>
        <w:rPr>
          <w:rFonts w:ascii="Arial Narrow" w:hAnsi="Arial Narrow"/>
          <w:sz w:val="24"/>
          <w:szCs w:val="24"/>
        </w:rPr>
        <w:t xml:space="preserve"> şi inovării. </w:t>
      </w:r>
      <w:r w:rsidRPr="009B4FBA">
        <w:rPr>
          <w:rFonts w:ascii="Arial Narrow" w:hAnsi="Arial Narrow"/>
          <w:sz w:val="24"/>
          <w:szCs w:val="24"/>
        </w:rPr>
        <w:t>Spre exemplu,</w:t>
      </w:r>
      <w:r>
        <w:rPr>
          <w:rFonts w:ascii="Arial Narrow" w:hAnsi="Arial Narrow"/>
          <w:sz w:val="24"/>
          <w:szCs w:val="24"/>
        </w:rPr>
        <w:t xml:space="preserve"> în 2016,</w:t>
      </w:r>
      <w:r w:rsidRPr="009B4FBA">
        <w:rPr>
          <w:rFonts w:ascii="Arial Narrow" w:hAnsi="Arial Narrow"/>
          <w:sz w:val="24"/>
          <w:szCs w:val="24"/>
        </w:rPr>
        <w:t xml:space="preserve"> </w:t>
      </w:r>
      <w:r>
        <w:rPr>
          <w:rFonts w:ascii="Arial Narrow" w:hAnsi="Arial Narrow"/>
          <w:sz w:val="24"/>
          <w:szCs w:val="24"/>
        </w:rPr>
        <w:t>f</w:t>
      </w:r>
      <w:r w:rsidRPr="009B4FBA">
        <w:rPr>
          <w:rStyle w:val="Accentuat"/>
          <w:rFonts w:ascii="Arial Narrow" w:hAnsi="Arial Narrow"/>
          <w:i w:val="0"/>
          <w:sz w:val="24"/>
          <w:szCs w:val="24"/>
          <w:bdr w:val="none" w:sz="0" w:space="0" w:color="auto" w:frame="1"/>
          <w:shd w:val="clear" w:color="auto" w:fill="FFFFFF"/>
        </w:rPr>
        <w:t>ondurile acordate în vederea creșteri</w:t>
      </w:r>
      <w:r>
        <w:rPr>
          <w:rStyle w:val="Accentuat"/>
          <w:rFonts w:ascii="Arial Narrow" w:hAnsi="Arial Narrow"/>
          <w:i w:val="0"/>
          <w:sz w:val="24"/>
          <w:szCs w:val="24"/>
          <w:bdr w:val="none" w:sz="0" w:space="0" w:color="auto" w:frame="1"/>
          <w:shd w:val="clear" w:color="auto" w:fill="FFFFFF"/>
        </w:rPr>
        <w:t>i performanței și competitivităț</w:t>
      </w:r>
      <w:r w:rsidRPr="009B4FBA">
        <w:rPr>
          <w:rStyle w:val="Accentuat"/>
          <w:rFonts w:ascii="Arial Narrow" w:hAnsi="Arial Narrow"/>
          <w:i w:val="0"/>
          <w:sz w:val="24"/>
          <w:szCs w:val="24"/>
          <w:bdr w:val="none" w:sz="0" w:space="0" w:color="auto" w:frame="1"/>
          <w:shd w:val="clear" w:color="auto" w:fill="FFFFFF"/>
        </w:rPr>
        <w:t>ii agen</w:t>
      </w:r>
      <w:r>
        <w:rPr>
          <w:rStyle w:val="Accentuat"/>
          <w:rFonts w:ascii="Arial Narrow" w:hAnsi="Arial Narrow"/>
          <w:i w:val="0"/>
          <w:sz w:val="24"/>
          <w:szCs w:val="24"/>
          <w:bdr w:val="none" w:sz="0" w:space="0" w:color="auto" w:frame="1"/>
          <w:shd w:val="clear" w:color="auto" w:fill="FFFFFF"/>
        </w:rPr>
        <w:t>ț</w:t>
      </w:r>
      <w:r w:rsidRPr="009B4FBA">
        <w:rPr>
          <w:rStyle w:val="Accentuat"/>
          <w:rFonts w:ascii="Arial Narrow" w:hAnsi="Arial Narrow"/>
          <w:i w:val="0"/>
          <w:sz w:val="24"/>
          <w:szCs w:val="24"/>
          <w:bdr w:val="none" w:sz="0" w:space="0" w:color="auto" w:frame="1"/>
          <w:shd w:val="clear" w:color="auto" w:fill="FFFFFF"/>
        </w:rPr>
        <w:t>ilor economici prin u</w:t>
      </w:r>
      <w:r>
        <w:rPr>
          <w:rStyle w:val="Accentuat"/>
          <w:rFonts w:ascii="Arial Narrow" w:hAnsi="Arial Narrow"/>
          <w:i w:val="0"/>
          <w:sz w:val="24"/>
          <w:szCs w:val="24"/>
          <w:bdr w:val="none" w:sz="0" w:space="0" w:color="auto" w:frame="1"/>
          <w:shd w:val="clear" w:color="auto" w:fill="FFFFFF"/>
        </w:rPr>
        <w:t>tilizarea expertizei existente î</w:t>
      </w:r>
      <w:r w:rsidRPr="009B4FBA">
        <w:rPr>
          <w:rStyle w:val="Accentuat"/>
          <w:rFonts w:ascii="Arial Narrow" w:hAnsi="Arial Narrow"/>
          <w:i w:val="0"/>
          <w:sz w:val="24"/>
          <w:szCs w:val="24"/>
          <w:bdr w:val="none" w:sz="0" w:space="0" w:color="auto" w:frame="1"/>
          <w:shd w:val="clear" w:color="auto" w:fill="FFFFFF"/>
        </w:rPr>
        <w:t>n universit</w:t>
      </w:r>
      <w:r>
        <w:rPr>
          <w:rStyle w:val="Accentuat"/>
          <w:rFonts w:ascii="Arial Narrow" w:hAnsi="Arial Narrow"/>
          <w:i w:val="0"/>
          <w:sz w:val="24"/>
          <w:szCs w:val="24"/>
          <w:bdr w:val="none" w:sz="0" w:space="0" w:color="auto" w:frame="1"/>
          <w:shd w:val="clear" w:color="auto" w:fill="FFFFFF"/>
        </w:rPr>
        <w:t>ăț</w:t>
      </w:r>
      <w:r w:rsidRPr="009B4FBA">
        <w:rPr>
          <w:rStyle w:val="Accentuat"/>
          <w:rFonts w:ascii="Arial Narrow" w:hAnsi="Arial Narrow"/>
          <w:i w:val="0"/>
          <w:sz w:val="24"/>
          <w:szCs w:val="24"/>
          <w:bdr w:val="none" w:sz="0" w:space="0" w:color="auto" w:frame="1"/>
          <w:shd w:val="clear" w:color="auto" w:fill="FFFFFF"/>
        </w:rPr>
        <w:t>i a prezentat interes ridicat în regiune</w:t>
      </w:r>
      <w:r>
        <w:rPr>
          <w:rStyle w:val="Accentuat"/>
          <w:rFonts w:ascii="Arial Narrow" w:hAnsi="Arial Narrow"/>
          <w:i w:val="0"/>
          <w:sz w:val="24"/>
          <w:szCs w:val="24"/>
          <w:bdr w:val="none" w:sz="0" w:space="0" w:color="auto" w:frame="1"/>
          <w:shd w:val="clear" w:color="auto" w:fill="FFFFFF"/>
        </w:rPr>
        <w:t xml:space="preserve">, </w:t>
      </w:r>
      <w:r w:rsidRPr="009B4FBA">
        <w:rPr>
          <w:rStyle w:val="Accentuat"/>
          <w:rFonts w:ascii="Arial Narrow" w:hAnsi="Arial Narrow"/>
          <w:i w:val="0"/>
          <w:sz w:val="24"/>
          <w:szCs w:val="24"/>
          <w:bdr w:val="none" w:sz="0" w:space="0" w:color="auto" w:frame="1"/>
          <w:shd w:val="clear" w:color="auto" w:fill="FFFFFF"/>
        </w:rPr>
        <w:t xml:space="preserve"> respectiv din totalul de 463 de proiecte depuse pentru obținerea finanțării prin Bridge Grant</w:t>
      </w:r>
      <w:r>
        <w:rPr>
          <w:rStyle w:val="Referinnotdesubsol"/>
          <w:rFonts w:ascii="Arial Narrow" w:hAnsi="Arial Narrow"/>
          <w:iCs/>
          <w:sz w:val="24"/>
          <w:szCs w:val="24"/>
          <w:bdr w:val="none" w:sz="0" w:space="0" w:color="auto" w:frame="1"/>
          <w:shd w:val="clear" w:color="auto" w:fill="FFFFFF"/>
        </w:rPr>
        <w:footnoteReference w:id="88"/>
      </w:r>
      <w:r>
        <w:rPr>
          <w:rStyle w:val="Accentuat"/>
          <w:rFonts w:ascii="Arial Narrow" w:hAnsi="Arial Narrow"/>
          <w:i w:val="0"/>
          <w:sz w:val="24"/>
          <w:szCs w:val="24"/>
          <w:bdr w:val="none" w:sz="0" w:space="0" w:color="auto" w:frame="1"/>
          <w:shd w:val="clear" w:color="auto" w:fill="FFFFFF"/>
        </w:rPr>
        <w:t xml:space="preserve">, </w:t>
      </w:r>
      <w:r w:rsidRPr="009B4FBA">
        <w:rPr>
          <w:rStyle w:val="Accentuat"/>
          <w:rFonts w:ascii="Arial Narrow" w:hAnsi="Arial Narrow"/>
          <w:i w:val="0"/>
          <w:sz w:val="24"/>
          <w:szCs w:val="24"/>
          <w:bdr w:val="none" w:sz="0" w:space="0" w:color="auto" w:frame="1"/>
          <w:shd w:val="clear" w:color="auto" w:fill="FFFFFF"/>
        </w:rPr>
        <w:t>au trecut în faza de eligibilitate 453 proiecte</w:t>
      </w:r>
      <w:r>
        <w:rPr>
          <w:rStyle w:val="Accentuat"/>
          <w:rFonts w:ascii="Arial Narrow" w:hAnsi="Arial Narrow"/>
          <w:i w:val="0"/>
          <w:sz w:val="24"/>
          <w:szCs w:val="24"/>
          <w:bdr w:val="none" w:sz="0" w:space="0" w:color="auto" w:frame="1"/>
          <w:shd w:val="clear" w:color="auto" w:fill="FFFFFF"/>
        </w:rPr>
        <w:t>,</w:t>
      </w:r>
      <w:r w:rsidRPr="009B4FBA">
        <w:rPr>
          <w:rStyle w:val="Accentuat"/>
          <w:rFonts w:ascii="Arial Narrow" w:hAnsi="Arial Narrow"/>
          <w:i w:val="0"/>
          <w:sz w:val="24"/>
          <w:szCs w:val="24"/>
          <w:bdr w:val="none" w:sz="0" w:space="0" w:color="auto" w:frame="1"/>
          <w:shd w:val="clear" w:color="auto" w:fill="FFFFFF"/>
        </w:rPr>
        <w:t xml:space="preserve"> din care 39 de proiecte au fost elaborate de instituții de cercetare în beneficiul operatorilor economici din Regiunea Centru. În ceea ce privește subdomeniile abordate, </w:t>
      </w:r>
      <w:r w:rsidRPr="009B4FBA">
        <w:rPr>
          <w:rStyle w:val="Accentuat"/>
          <w:rFonts w:ascii="Arial Narrow" w:hAnsi="Arial Narrow"/>
          <w:sz w:val="24"/>
          <w:szCs w:val="24"/>
          <w:bdr w:val="none" w:sz="0" w:space="0" w:color="auto" w:frame="1"/>
          <w:shd w:val="clear" w:color="auto" w:fill="FFFFFF"/>
        </w:rPr>
        <w:t>energia și eficiența energetică</w:t>
      </w:r>
      <w:r w:rsidRPr="009B4FBA">
        <w:rPr>
          <w:rStyle w:val="Accentuat"/>
          <w:rFonts w:ascii="Arial Narrow" w:hAnsi="Arial Narrow"/>
          <w:i w:val="0"/>
          <w:sz w:val="24"/>
          <w:szCs w:val="24"/>
          <w:bdr w:val="none" w:sz="0" w:space="0" w:color="auto" w:frame="1"/>
          <w:shd w:val="clear" w:color="auto" w:fill="FFFFFF"/>
        </w:rPr>
        <w:t xml:space="preserve"> a fost unul din subdomeniile cele mai vizate de proeictele din regiunea Centru, fiind propuse proiecte care au în vedere: aplicarea unor tehnologii avanasate </w:t>
      </w:r>
      <w:r>
        <w:rPr>
          <w:rStyle w:val="Accentuat"/>
          <w:rFonts w:ascii="Arial Narrow" w:hAnsi="Arial Narrow"/>
          <w:i w:val="0"/>
          <w:sz w:val="24"/>
          <w:szCs w:val="24"/>
          <w:bdr w:val="none" w:sz="0" w:space="0" w:color="auto" w:frame="1"/>
          <w:shd w:val="clear" w:color="auto" w:fill="FFFFFF"/>
        </w:rPr>
        <w:t>în scopul creșterii</w:t>
      </w:r>
      <w:r w:rsidRPr="009B4FBA">
        <w:rPr>
          <w:rStyle w:val="Accentuat"/>
          <w:rFonts w:ascii="Arial Narrow" w:hAnsi="Arial Narrow"/>
          <w:i w:val="0"/>
          <w:sz w:val="24"/>
          <w:szCs w:val="24"/>
          <w:bdr w:val="none" w:sz="0" w:space="0" w:color="auto" w:frame="1"/>
          <w:shd w:val="clear" w:color="auto" w:fill="FFFFFF"/>
        </w:rPr>
        <w:t xml:space="preserve"> eficien</w:t>
      </w:r>
      <w:r>
        <w:rPr>
          <w:rStyle w:val="Accentuat"/>
          <w:rFonts w:ascii="Arial Narrow" w:hAnsi="Arial Narrow"/>
          <w:i w:val="0"/>
          <w:sz w:val="24"/>
          <w:szCs w:val="24"/>
          <w:bdr w:val="none" w:sz="0" w:space="0" w:color="auto" w:frame="1"/>
          <w:shd w:val="clear" w:color="auto" w:fill="FFFFFF"/>
        </w:rPr>
        <w:t>ț</w:t>
      </w:r>
      <w:r w:rsidRPr="009B4FBA">
        <w:rPr>
          <w:rStyle w:val="Accentuat"/>
          <w:rFonts w:ascii="Arial Narrow" w:hAnsi="Arial Narrow"/>
          <w:i w:val="0"/>
          <w:sz w:val="24"/>
          <w:szCs w:val="24"/>
          <w:bdr w:val="none" w:sz="0" w:space="0" w:color="auto" w:frame="1"/>
          <w:shd w:val="clear" w:color="auto" w:fill="FFFFFF"/>
        </w:rPr>
        <w:t xml:space="preserve">ei energetice pe linia de productie în întreprinderi, optimizări termo-rezistente a </w:t>
      </w:r>
      <w:r>
        <w:rPr>
          <w:rStyle w:val="Accentuat"/>
          <w:rFonts w:ascii="Arial Narrow" w:hAnsi="Arial Narrow"/>
          <w:i w:val="0"/>
          <w:sz w:val="24"/>
          <w:szCs w:val="24"/>
          <w:bdr w:val="none" w:sz="0" w:space="0" w:color="auto" w:frame="1"/>
          <w:shd w:val="clear" w:color="auto" w:fill="FFFFFF"/>
        </w:rPr>
        <w:t xml:space="preserve">materialelor </w:t>
      </w:r>
      <w:r w:rsidRPr="009B4FBA">
        <w:rPr>
          <w:rStyle w:val="Accentuat"/>
          <w:rFonts w:ascii="Arial Narrow" w:hAnsi="Arial Narrow"/>
          <w:i w:val="0"/>
          <w:sz w:val="24"/>
          <w:szCs w:val="24"/>
          <w:bdr w:val="none" w:sz="0" w:space="0" w:color="auto" w:frame="1"/>
          <w:shd w:val="clear" w:color="auto" w:fill="FFFFFF"/>
        </w:rPr>
        <w:t>care să contribuie la dezvoltarea clădirilor sustenabile, creșterea eficienței energetice prin dezvoltarea de instrume</w:t>
      </w:r>
      <w:r>
        <w:rPr>
          <w:rStyle w:val="Accentuat"/>
          <w:rFonts w:ascii="Arial Narrow" w:hAnsi="Arial Narrow"/>
          <w:i w:val="0"/>
          <w:sz w:val="24"/>
          <w:szCs w:val="24"/>
          <w:bdr w:val="none" w:sz="0" w:space="0" w:color="auto" w:frame="1"/>
          <w:shd w:val="clear" w:color="auto" w:fill="FFFFFF"/>
        </w:rPr>
        <w:t>nte de monitorizare, targeting ș</w:t>
      </w:r>
      <w:r w:rsidRPr="009B4FBA">
        <w:rPr>
          <w:rStyle w:val="Accentuat"/>
          <w:rFonts w:ascii="Arial Narrow" w:hAnsi="Arial Narrow"/>
          <w:i w:val="0"/>
          <w:sz w:val="24"/>
          <w:szCs w:val="24"/>
          <w:bdr w:val="none" w:sz="0" w:space="0" w:color="auto" w:frame="1"/>
          <w:shd w:val="clear" w:color="auto" w:fill="FFFFFF"/>
        </w:rPr>
        <w:t>i verificare, reducerea consumului de energie al clădirilor prin adopatarea metodei analizei costului ciclului de viață</w:t>
      </w:r>
      <w:r>
        <w:rPr>
          <w:rStyle w:val="Accentuat"/>
          <w:rFonts w:ascii="Arial Narrow" w:hAnsi="Arial Narrow"/>
          <w:i w:val="0"/>
          <w:sz w:val="24"/>
          <w:szCs w:val="24"/>
          <w:bdr w:val="none" w:sz="0" w:space="0" w:color="auto" w:frame="1"/>
          <w:shd w:val="clear" w:color="auto" w:fill="FFFFFF"/>
        </w:rPr>
        <w:t xml:space="preserve"> </w:t>
      </w:r>
      <w:r w:rsidRPr="009B4FBA">
        <w:rPr>
          <w:rStyle w:val="Accentuat"/>
          <w:rFonts w:ascii="Arial Narrow" w:hAnsi="Arial Narrow"/>
          <w:i w:val="0"/>
          <w:sz w:val="24"/>
          <w:szCs w:val="24"/>
          <w:bdr w:val="none" w:sz="0" w:space="0" w:color="auto" w:frame="1"/>
          <w:shd w:val="clear" w:color="auto" w:fill="FFFFFF"/>
        </w:rPr>
        <w:t>în faza de design</w:t>
      </w:r>
      <w:r>
        <w:rPr>
          <w:rStyle w:val="Accentuat"/>
          <w:rFonts w:ascii="Arial Narrow" w:hAnsi="Arial Narrow"/>
          <w:i w:val="0"/>
          <w:sz w:val="24"/>
          <w:szCs w:val="24"/>
          <w:bdr w:val="none" w:sz="0" w:space="0" w:color="auto" w:frame="1"/>
          <w:shd w:val="clear" w:color="auto" w:fill="FFFFFF"/>
        </w:rPr>
        <w:t>.</w:t>
      </w:r>
      <w:r w:rsidRPr="009B4FBA">
        <w:rPr>
          <w:rStyle w:val="Accentuat"/>
          <w:rFonts w:ascii="Arial Narrow" w:hAnsi="Arial Narrow"/>
          <w:i w:val="0"/>
          <w:sz w:val="24"/>
          <w:szCs w:val="24"/>
          <w:bdr w:val="none" w:sz="0" w:space="0" w:color="auto" w:frame="1"/>
          <w:shd w:val="clear" w:color="auto" w:fill="FFFFFF"/>
        </w:rPr>
        <w:t xml:space="preserve"> De asemenea, un interes ridicat au prezentat și proiectele din domeniul TIC. Conform datelor prezentate de UEFISCDI domeniile bioenergiei și biotehnologiilor prezintă interes pentru firme din Brașov, Sibiu și Mureș fiind depuse patru proiecte. În regiune au fost depuse și două proiecte pentru pentru dezvoltarea unor materiale avansate și un proiect privind optimizarea tehnologiilor de executie privind reabilitarea cladirilor de  patrimoniu afectate de umiditate. Faptul că mediul construit durabil este un punct de interes și pentru societățile din regiune, este sus</w:t>
      </w:r>
      <w:r>
        <w:rPr>
          <w:rStyle w:val="Accentuat"/>
          <w:rFonts w:ascii="Arial Narrow" w:hAnsi="Arial Narrow"/>
          <w:i w:val="0"/>
          <w:sz w:val="24"/>
          <w:szCs w:val="24"/>
          <w:bdr w:val="none" w:sz="0" w:space="0" w:color="auto" w:frame="1"/>
          <w:shd w:val="clear" w:color="auto" w:fill="FFFFFF"/>
        </w:rPr>
        <w:t>ț</w:t>
      </w:r>
      <w:r w:rsidRPr="009B4FBA">
        <w:rPr>
          <w:rStyle w:val="Accentuat"/>
          <w:rFonts w:ascii="Arial Narrow" w:hAnsi="Arial Narrow"/>
          <w:i w:val="0"/>
          <w:sz w:val="24"/>
          <w:szCs w:val="24"/>
          <w:bdr w:val="none" w:sz="0" w:space="0" w:color="auto" w:frame="1"/>
          <w:shd w:val="clear" w:color="auto" w:fill="FFFFFF"/>
        </w:rPr>
        <w:t xml:space="preserve">inut și de proiectul privind dezvoltarea sistemelor de depoluare propus a se realiza în regiunea Centru (Azomureș). Pe de altă parte, din cele trei proiecte privind subdomeniul Smart City, unul este propus în regiunea Centru și vizează identificarea unor solutii eficiente pentru transportul urban. </w:t>
      </w:r>
    </w:p>
    <w:p w:rsidR="00EA5F90" w:rsidRDefault="00EA5F90" w:rsidP="00EA5F90">
      <w:pPr>
        <w:pStyle w:val="Listparagraf"/>
        <w:spacing w:after="0" w:line="240" w:lineRule="auto"/>
        <w:ind w:left="0"/>
        <w:jc w:val="both"/>
        <w:rPr>
          <w:rFonts w:ascii="Arial Narrow" w:hAnsi="Arial Narrow"/>
          <w:sz w:val="24"/>
          <w:szCs w:val="24"/>
        </w:rPr>
      </w:pPr>
      <w:r>
        <w:rPr>
          <w:noProof/>
          <w:lang w:val="en-US" w:eastAsia="en-US"/>
        </w:rPr>
        <w:drawing>
          <wp:anchor distT="0" distB="0" distL="114300" distR="114300" simplePos="0" relativeHeight="251691008" behindDoc="0" locked="0" layoutInCell="1" allowOverlap="1">
            <wp:simplePos x="0" y="0"/>
            <wp:positionH relativeFrom="margin">
              <wp:align>right</wp:align>
            </wp:positionH>
            <wp:positionV relativeFrom="margin">
              <wp:posOffset>1480185</wp:posOffset>
            </wp:positionV>
            <wp:extent cx="2231390" cy="1713230"/>
            <wp:effectExtent l="19050" t="0" r="0" b="0"/>
            <wp:wrapSquare wrapText="bothSides"/>
            <wp:docPr id="3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58"/>
                    <a:srcRect/>
                    <a:stretch>
                      <a:fillRect/>
                    </a:stretch>
                  </pic:blipFill>
                  <pic:spPr bwMode="auto">
                    <a:xfrm>
                      <a:off x="0" y="0"/>
                      <a:ext cx="2231390" cy="1713230"/>
                    </a:xfrm>
                    <a:prstGeom prst="rect">
                      <a:avLst/>
                    </a:prstGeom>
                    <a:noFill/>
                  </pic:spPr>
                </pic:pic>
              </a:graphicData>
            </a:graphic>
          </wp:anchor>
        </w:drawing>
      </w:r>
      <w:r>
        <w:rPr>
          <w:rStyle w:val="Accentuat"/>
          <w:rFonts w:ascii="Arial Narrow" w:hAnsi="Arial Narrow"/>
          <w:i w:val="0"/>
          <w:sz w:val="24"/>
          <w:szCs w:val="24"/>
          <w:bdr w:val="none" w:sz="0" w:space="0" w:color="auto" w:frame="1"/>
          <w:shd w:val="clear" w:color="auto" w:fill="FFFFFF"/>
        </w:rPr>
        <w:t>Interesul crescut din partea companiilor din regiune, pentru optimizarea materialelor și proceselor tehnologice prin activități CDI este dovedit și de proiectele depuse în vederea finanțării nerambursabile.  Spre exemplu, în lista beneficiarilor de finanțare</w:t>
      </w:r>
      <w:r>
        <w:rPr>
          <w:rStyle w:val="Referinnotdesubsol"/>
          <w:rFonts w:ascii="Arial Narrow" w:hAnsi="Arial Narrow"/>
          <w:iCs/>
          <w:sz w:val="24"/>
          <w:szCs w:val="24"/>
          <w:bdr w:val="none" w:sz="0" w:space="0" w:color="auto" w:frame="1"/>
          <w:shd w:val="clear" w:color="auto" w:fill="FFFFFF"/>
        </w:rPr>
        <w:footnoteReference w:id="89"/>
      </w:r>
      <w:r>
        <w:rPr>
          <w:rStyle w:val="Accentuat"/>
          <w:rFonts w:ascii="Arial Narrow" w:hAnsi="Arial Narrow"/>
          <w:i w:val="0"/>
          <w:sz w:val="24"/>
          <w:szCs w:val="24"/>
          <w:bdr w:val="none" w:sz="0" w:space="0" w:color="auto" w:frame="1"/>
          <w:shd w:val="clear" w:color="auto" w:fill="FFFFFF"/>
        </w:rPr>
        <w:t xml:space="preserve"> prin POS CEE, a</w:t>
      </w:r>
      <w:r w:rsidRPr="006B36FA">
        <w:rPr>
          <w:rStyle w:val="Accentuat"/>
          <w:rFonts w:ascii="Arial Narrow" w:hAnsi="Arial Narrow"/>
          <w:i w:val="0"/>
          <w:sz w:val="24"/>
          <w:szCs w:val="24"/>
          <w:bdr w:val="none" w:sz="0" w:space="0" w:color="auto" w:frame="1"/>
          <w:shd w:val="clear" w:color="auto" w:fill="FFFFFF"/>
        </w:rPr>
        <w:t xml:space="preserve">xa </w:t>
      </w:r>
      <w:r>
        <w:rPr>
          <w:rStyle w:val="Accentuat"/>
          <w:rFonts w:ascii="Arial Narrow" w:hAnsi="Arial Narrow"/>
          <w:i w:val="0"/>
          <w:sz w:val="24"/>
          <w:szCs w:val="24"/>
          <w:bdr w:val="none" w:sz="0" w:space="0" w:color="auto" w:frame="1"/>
          <w:shd w:val="clear" w:color="auto" w:fill="FFFFFF"/>
        </w:rPr>
        <w:t>p</w:t>
      </w:r>
      <w:r w:rsidRPr="006B36FA">
        <w:rPr>
          <w:rStyle w:val="Accentuat"/>
          <w:rFonts w:ascii="Arial Narrow" w:hAnsi="Arial Narrow"/>
          <w:i w:val="0"/>
          <w:sz w:val="24"/>
          <w:szCs w:val="24"/>
          <w:bdr w:val="none" w:sz="0" w:space="0" w:color="auto" w:frame="1"/>
          <w:shd w:val="clear" w:color="auto" w:fill="FFFFFF"/>
        </w:rPr>
        <w:t xml:space="preserve">rioritară 2 </w:t>
      </w:r>
      <w:r>
        <w:rPr>
          <w:rStyle w:val="Accentuat"/>
          <w:rFonts w:ascii="Arial Narrow" w:hAnsi="Arial Narrow"/>
          <w:i w:val="0"/>
          <w:sz w:val="24"/>
          <w:szCs w:val="24"/>
          <w:bdr w:val="none" w:sz="0" w:space="0" w:color="auto" w:frame="1"/>
          <w:shd w:val="clear" w:color="auto" w:fill="FFFFFF"/>
        </w:rPr>
        <w:t>–</w:t>
      </w:r>
      <w:r w:rsidRPr="006B36FA">
        <w:rPr>
          <w:rStyle w:val="Accentuat"/>
          <w:rFonts w:ascii="Arial Narrow" w:hAnsi="Arial Narrow"/>
          <w:i w:val="0"/>
          <w:sz w:val="24"/>
          <w:szCs w:val="24"/>
          <w:bdr w:val="none" w:sz="0" w:space="0" w:color="auto" w:frame="1"/>
          <w:shd w:val="clear" w:color="auto" w:fill="FFFFFF"/>
        </w:rPr>
        <w:t xml:space="preserve"> </w:t>
      </w:r>
      <w:r>
        <w:rPr>
          <w:rStyle w:val="Accentuat"/>
          <w:rFonts w:ascii="Arial Narrow" w:hAnsi="Arial Narrow"/>
          <w:i w:val="0"/>
          <w:sz w:val="24"/>
          <w:szCs w:val="24"/>
          <w:bdr w:val="none" w:sz="0" w:space="0" w:color="auto" w:frame="1"/>
          <w:shd w:val="clear" w:color="auto" w:fill="FFFFFF"/>
        </w:rPr>
        <w:t>„</w:t>
      </w:r>
      <w:r w:rsidRPr="006B36FA">
        <w:rPr>
          <w:rStyle w:val="Accentuat"/>
          <w:rFonts w:ascii="Arial Narrow" w:hAnsi="Arial Narrow"/>
          <w:i w:val="0"/>
          <w:sz w:val="24"/>
          <w:szCs w:val="24"/>
          <w:bdr w:val="none" w:sz="0" w:space="0" w:color="auto" w:frame="1"/>
          <w:shd w:val="clear" w:color="auto" w:fill="FFFFFF"/>
        </w:rPr>
        <w:t xml:space="preserve">Competitivitate prin </w:t>
      </w:r>
      <w:r w:rsidRPr="006B36FA">
        <w:rPr>
          <w:rStyle w:val="Accentuat"/>
          <w:rFonts w:ascii="Arial Narrow" w:hAnsi="Arial Narrow"/>
          <w:i w:val="0"/>
          <w:sz w:val="24"/>
          <w:szCs w:val="24"/>
          <w:bdr w:val="none" w:sz="0" w:space="0" w:color="auto" w:frame="1"/>
          <w:shd w:val="clear" w:color="auto" w:fill="FFFFFF"/>
        </w:rPr>
        <w:lastRenderedPageBreak/>
        <w:t>cercetare, dezvoltare tehnologică şi inovare</w:t>
      </w:r>
      <w:r>
        <w:rPr>
          <w:rStyle w:val="Accentuat"/>
          <w:rFonts w:ascii="Arial Narrow" w:hAnsi="Arial Narrow"/>
          <w:i w:val="0"/>
          <w:sz w:val="24"/>
          <w:szCs w:val="24"/>
          <w:bdr w:val="none" w:sz="0" w:space="0" w:color="auto" w:frame="1"/>
          <w:shd w:val="clear" w:color="auto" w:fill="FFFFFF"/>
        </w:rPr>
        <w:t>”, DMI 2.1</w:t>
      </w:r>
      <w:r w:rsidRPr="006B36FA">
        <w:rPr>
          <w:rStyle w:val="Accentuat"/>
          <w:rFonts w:ascii="Arial Narrow" w:hAnsi="Arial Narrow"/>
          <w:i w:val="0"/>
          <w:sz w:val="24"/>
          <w:szCs w:val="24"/>
          <w:bdr w:val="none" w:sz="0" w:space="0" w:color="auto" w:frame="1"/>
          <w:shd w:val="clear" w:color="auto" w:fill="FFFFFF"/>
        </w:rPr>
        <w:t xml:space="preserve"> </w:t>
      </w:r>
      <w:r>
        <w:rPr>
          <w:rStyle w:val="Accentuat"/>
          <w:rFonts w:ascii="Arial Narrow" w:hAnsi="Arial Narrow"/>
          <w:i w:val="0"/>
          <w:sz w:val="24"/>
          <w:szCs w:val="24"/>
          <w:bdr w:val="none" w:sz="0" w:space="0" w:color="auto" w:frame="1"/>
          <w:shd w:val="clear" w:color="auto" w:fill="FFFFFF"/>
        </w:rPr>
        <w:t>–</w:t>
      </w:r>
      <w:r w:rsidRPr="006B36FA">
        <w:rPr>
          <w:rStyle w:val="Accentuat"/>
          <w:rFonts w:ascii="Arial Narrow" w:hAnsi="Arial Narrow"/>
          <w:i w:val="0"/>
          <w:sz w:val="24"/>
          <w:szCs w:val="24"/>
          <w:bdr w:val="none" w:sz="0" w:space="0" w:color="auto" w:frame="1"/>
          <w:shd w:val="clear" w:color="auto" w:fill="FFFFFF"/>
        </w:rPr>
        <w:t xml:space="preserve"> </w:t>
      </w:r>
      <w:r>
        <w:rPr>
          <w:rStyle w:val="Accentuat"/>
          <w:rFonts w:ascii="Arial Narrow" w:hAnsi="Arial Narrow"/>
          <w:i w:val="0"/>
          <w:sz w:val="24"/>
          <w:szCs w:val="24"/>
          <w:bdr w:val="none" w:sz="0" w:space="0" w:color="auto" w:frame="1"/>
          <w:shd w:val="clear" w:color="auto" w:fill="FFFFFF"/>
        </w:rPr>
        <w:t>„</w:t>
      </w:r>
      <w:r w:rsidRPr="006B36FA">
        <w:rPr>
          <w:rStyle w:val="Accentuat"/>
          <w:rFonts w:ascii="Arial Narrow" w:hAnsi="Arial Narrow"/>
          <w:i w:val="0"/>
          <w:sz w:val="24"/>
          <w:szCs w:val="24"/>
          <w:bdr w:val="none" w:sz="0" w:space="0" w:color="auto" w:frame="1"/>
          <w:shd w:val="clear" w:color="auto" w:fill="FFFFFF"/>
        </w:rPr>
        <w:t xml:space="preserve">Cercetare dezvoltare în </w:t>
      </w:r>
      <w:r w:rsidRPr="00D018F1">
        <w:rPr>
          <w:rStyle w:val="Accentuat"/>
          <w:rFonts w:ascii="Arial Narrow" w:hAnsi="Arial Narrow"/>
          <w:i w:val="0"/>
          <w:sz w:val="24"/>
          <w:szCs w:val="24"/>
          <w:bdr w:val="none" w:sz="0" w:space="0" w:color="auto" w:frame="1"/>
          <w:shd w:val="clear" w:color="auto" w:fill="FFFFFF"/>
        </w:rPr>
        <w:t>parteneriat între universităţi / institute de cercetare-dezvoltare şi întreprinderi în vederea obţinerii de rezultate aplicabile în economie”,  au fost incluse opt firme din regiunea Centru, aceasta clasându-se pe locul trei la nivel național după București - Ilfov și Nord - Vest.  Dintre cele opt proiectele finanțate, două sunt în domenii care contribuie la dezvoltarea mediului construit (energie, construcții și eficiență energetică), respectiv: proiectul „Generatoare Energetice Eoliene cu Turbine cu Ax Vertical pentru Aplicații Rezidențiale și Sisteme de Irigații”, unde beneficiar este  Tera Impex  SRL Sibiu și proiectul „</w:t>
      </w:r>
      <w:r w:rsidRPr="00D018F1">
        <w:rPr>
          <w:rFonts w:ascii="Arial Narrow" w:eastAsia="Times New Roman" w:hAnsi="Arial Narrow" w:cs="Arial"/>
          <w:sz w:val="24"/>
          <w:szCs w:val="24"/>
        </w:rPr>
        <w:t>Cercetare-dezvoltare pentru S.C. Habitat Construct S.R.L.”.</w:t>
      </w:r>
      <w:r>
        <w:rPr>
          <w:rFonts w:ascii="Arial Narrow" w:eastAsia="Times New Roman" w:hAnsi="Arial Narrow" w:cs="Arial"/>
          <w:sz w:val="24"/>
          <w:szCs w:val="24"/>
        </w:rPr>
        <w:t xml:space="preserve"> </w:t>
      </w:r>
      <w:r w:rsidRPr="009B4FBA">
        <w:rPr>
          <w:rFonts w:ascii="Arial Narrow" w:hAnsi="Arial Narrow"/>
          <w:sz w:val="24"/>
          <w:szCs w:val="24"/>
        </w:rPr>
        <w:t xml:space="preserve">Intensificarea parteneriatelor </w:t>
      </w:r>
      <w:r>
        <w:rPr>
          <w:rFonts w:ascii="Arial Narrow" w:hAnsi="Arial Narrow"/>
          <w:sz w:val="24"/>
          <w:szCs w:val="24"/>
        </w:rPr>
        <w:t>pentru activități de cercetare ș</w:t>
      </w:r>
      <w:r w:rsidRPr="009B4FBA">
        <w:rPr>
          <w:rFonts w:ascii="Arial Narrow" w:hAnsi="Arial Narrow"/>
          <w:sz w:val="24"/>
          <w:szCs w:val="24"/>
        </w:rPr>
        <w:t>i dezvoltare experimental</w:t>
      </w:r>
      <w:r>
        <w:rPr>
          <w:rFonts w:ascii="Arial Narrow" w:hAnsi="Arial Narrow"/>
          <w:sz w:val="24"/>
          <w:szCs w:val="24"/>
        </w:rPr>
        <w:t xml:space="preserve">ă, transferul de tehnologie și </w:t>
      </w:r>
      <w:r w:rsidRPr="009B4FBA">
        <w:rPr>
          <w:rFonts w:ascii="Arial Narrow" w:hAnsi="Arial Narrow"/>
          <w:sz w:val="24"/>
          <w:szCs w:val="24"/>
        </w:rPr>
        <w:t xml:space="preserve">introducerea </w:t>
      </w:r>
      <w:r>
        <w:rPr>
          <w:rFonts w:ascii="Arial Narrow" w:hAnsi="Arial Narrow"/>
          <w:sz w:val="24"/>
          <w:szCs w:val="24"/>
        </w:rPr>
        <w:t xml:space="preserve">în </w:t>
      </w:r>
      <w:r w:rsidRPr="009B4FBA">
        <w:rPr>
          <w:rFonts w:ascii="Arial Narrow" w:hAnsi="Arial Narrow"/>
          <w:sz w:val="24"/>
          <w:szCs w:val="24"/>
        </w:rPr>
        <w:t>circuitul productiv</w:t>
      </w:r>
      <w:r>
        <w:rPr>
          <w:rFonts w:ascii="Arial Narrow" w:hAnsi="Arial Narrow"/>
          <w:sz w:val="24"/>
          <w:szCs w:val="24"/>
        </w:rPr>
        <w:t xml:space="preserve"> a unor </w:t>
      </w:r>
      <w:r w:rsidRPr="009B4FBA">
        <w:rPr>
          <w:rFonts w:ascii="Arial Narrow" w:hAnsi="Arial Narrow"/>
          <w:sz w:val="24"/>
          <w:szCs w:val="24"/>
        </w:rPr>
        <w:t>produse/tehnologii/metode/servicii noi sau semnificativ îmbunătățite, completarea lan</w:t>
      </w:r>
      <w:r>
        <w:rPr>
          <w:rFonts w:ascii="Arial Narrow" w:hAnsi="Arial Narrow"/>
          <w:sz w:val="24"/>
          <w:szCs w:val="24"/>
        </w:rPr>
        <w:t>ț</w:t>
      </w:r>
      <w:r w:rsidRPr="009B4FBA">
        <w:rPr>
          <w:rFonts w:ascii="Arial Narrow" w:hAnsi="Arial Narrow"/>
          <w:sz w:val="24"/>
          <w:szCs w:val="24"/>
        </w:rPr>
        <w:t xml:space="preserve">urilor de valoare de la furnizori primari până la comercializarea bunului finit, promovarea culturii inovatoare in afaceri, promovarea agendelor </w:t>
      </w:r>
      <w:r>
        <w:rPr>
          <w:rFonts w:ascii="Arial Narrow" w:hAnsi="Arial Narrow"/>
          <w:sz w:val="24"/>
          <w:szCs w:val="24"/>
        </w:rPr>
        <w:t>ș</w:t>
      </w:r>
      <w:r w:rsidRPr="009B4FBA">
        <w:rPr>
          <w:rFonts w:ascii="Arial Narrow" w:hAnsi="Arial Narrow"/>
          <w:sz w:val="24"/>
          <w:szCs w:val="24"/>
        </w:rPr>
        <w:t>i planurilor strategice de dezvoltare comun</w:t>
      </w:r>
      <w:r>
        <w:rPr>
          <w:rFonts w:ascii="Arial Narrow" w:hAnsi="Arial Narrow"/>
          <w:sz w:val="24"/>
          <w:szCs w:val="24"/>
        </w:rPr>
        <w:t>ă</w:t>
      </w:r>
      <w:r w:rsidRPr="009B4FBA">
        <w:rPr>
          <w:rFonts w:ascii="Arial Narrow" w:hAnsi="Arial Narrow"/>
          <w:sz w:val="24"/>
          <w:szCs w:val="24"/>
        </w:rPr>
        <w:t xml:space="preserve">, optimizarea utilizarii resurselor de cercetare (infrastructuri </w:t>
      </w:r>
      <w:r>
        <w:rPr>
          <w:rFonts w:ascii="Arial Narrow" w:hAnsi="Arial Narrow"/>
          <w:sz w:val="24"/>
          <w:szCs w:val="24"/>
        </w:rPr>
        <w:t>ș</w:t>
      </w:r>
      <w:r w:rsidRPr="009B4FBA">
        <w:rPr>
          <w:rFonts w:ascii="Arial Narrow" w:hAnsi="Arial Narrow"/>
          <w:sz w:val="24"/>
          <w:szCs w:val="24"/>
        </w:rPr>
        <w:t>i personal), impulsionarea brevetării la nivel national si international, concentrarea inves</w:t>
      </w:r>
      <w:r>
        <w:rPr>
          <w:rFonts w:ascii="Arial Narrow" w:hAnsi="Arial Narrow"/>
          <w:sz w:val="24"/>
          <w:szCs w:val="24"/>
        </w:rPr>
        <w:t>ț</w:t>
      </w:r>
      <w:r w:rsidRPr="009B4FBA">
        <w:rPr>
          <w:rFonts w:ascii="Arial Narrow" w:hAnsi="Arial Narrow"/>
          <w:sz w:val="24"/>
          <w:szCs w:val="24"/>
        </w:rPr>
        <w:t>itiilor (maxi</w:t>
      </w:r>
      <w:r>
        <w:rPr>
          <w:rFonts w:ascii="Arial Narrow" w:hAnsi="Arial Narrow"/>
          <w:sz w:val="24"/>
          <w:szCs w:val="24"/>
        </w:rPr>
        <w:t>mizarea valorii banilor investiț</w:t>
      </w:r>
      <w:r w:rsidRPr="009B4FBA">
        <w:rPr>
          <w:rFonts w:ascii="Arial Narrow" w:hAnsi="Arial Narrow"/>
          <w:sz w:val="24"/>
          <w:szCs w:val="24"/>
        </w:rPr>
        <w:t xml:space="preserve">i), perfectionarea personalului de cercetare </w:t>
      </w:r>
      <w:r>
        <w:rPr>
          <w:rFonts w:ascii="Arial Narrow" w:hAnsi="Arial Narrow"/>
          <w:sz w:val="24"/>
          <w:szCs w:val="24"/>
        </w:rPr>
        <w:t>din întreprinderi</w:t>
      </w:r>
      <w:r w:rsidRPr="009B4FBA">
        <w:rPr>
          <w:rFonts w:ascii="Arial Narrow" w:hAnsi="Arial Narrow"/>
          <w:sz w:val="24"/>
          <w:szCs w:val="24"/>
        </w:rPr>
        <w:t>, angajarea de personal de cercetare sunt obiective care vor contribui la dezvoltare</w:t>
      </w:r>
      <w:r>
        <w:rPr>
          <w:rFonts w:ascii="Arial Narrow" w:hAnsi="Arial Narrow"/>
          <w:sz w:val="24"/>
          <w:szCs w:val="24"/>
        </w:rPr>
        <w:t>a mediului construit sustenabil al regiunii Centru.</w:t>
      </w:r>
    </w:p>
    <w:p w:rsidR="00EA5F90" w:rsidRDefault="00EA5F90" w:rsidP="00EA5F90">
      <w:pPr>
        <w:pStyle w:val="Listparagraf"/>
        <w:spacing w:after="0" w:line="240" w:lineRule="auto"/>
        <w:ind w:left="0"/>
        <w:jc w:val="both"/>
        <w:rPr>
          <w:rFonts w:ascii="Arial Narrow" w:hAnsi="Arial Narrow"/>
          <w:sz w:val="24"/>
          <w:szCs w:val="24"/>
        </w:rPr>
      </w:pPr>
    </w:p>
    <w:p w:rsidR="00EA5F90" w:rsidRDefault="00EA5F90" w:rsidP="00EA5F90">
      <w:pPr>
        <w:pStyle w:val="Listparagraf"/>
        <w:spacing w:after="0" w:line="240" w:lineRule="auto"/>
        <w:ind w:left="0"/>
        <w:jc w:val="both"/>
        <w:rPr>
          <w:rFonts w:ascii="Arial Narrow" w:hAnsi="Arial Narrow"/>
          <w:sz w:val="24"/>
          <w:szCs w:val="24"/>
        </w:rPr>
      </w:pPr>
      <w:r w:rsidRPr="00263395">
        <w:rPr>
          <w:rFonts w:ascii="Arial Narrow" w:hAnsi="Arial Narrow"/>
          <w:sz w:val="24"/>
          <w:szCs w:val="24"/>
        </w:rPr>
        <w:t>Pentru analiza activ</w:t>
      </w:r>
      <w:r>
        <w:rPr>
          <w:rFonts w:ascii="Arial Narrow" w:hAnsi="Arial Narrow"/>
          <w:sz w:val="24"/>
          <w:szCs w:val="24"/>
        </w:rPr>
        <w:t>i</w:t>
      </w:r>
      <w:r w:rsidRPr="00263395">
        <w:rPr>
          <w:rFonts w:ascii="Arial Narrow" w:hAnsi="Arial Narrow"/>
          <w:sz w:val="24"/>
          <w:szCs w:val="24"/>
        </w:rPr>
        <w:t>ti</w:t>
      </w:r>
      <w:r>
        <w:rPr>
          <w:rFonts w:ascii="Arial Narrow" w:hAnsi="Arial Narrow"/>
          <w:sz w:val="24"/>
          <w:szCs w:val="24"/>
        </w:rPr>
        <w:t>t</w:t>
      </w:r>
      <w:r w:rsidRPr="00263395">
        <w:rPr>
          <w:rFonts w:ascii="Arial Narrow" w:hAnsi="Arial Narrow"/>
          <w:sz w:val="24"/>
          <w:szCs w:val="24"/>
        </w:rPr>
        <w:t>ății de cercetare în domeniul de excelență mediul construit durabil s-au transmis</w:t>
      </w:r>
      <w:r>
        <w:rPr>
          <w:rFonts w:ascii="Arial Narrow" w:hAnsi="Arial Narrow"/>
          <w:sz w:val="24"/>
          <w:szCs w:val="24"/>
        </w:rPr>
        <w:t>,</w:t>
      </w:r>
      <w:r w:rsidRPr="00263395">
        <w:rPr>
          <w:rFonts w:ascii="Arial Narrow" w:hAnsi="Arial Narrow"/>
          <w:sz w:val="24"/>
          <w:szCs w:val="24"/>
        </w:rPr>
        <w:t xml:space="preserve"> </w:t>
      </w:r>
      <w:r>
        <w:rPr>
          <w:rFonts w:ascii="Arial Narrow" w:hAnsi="Arial Narrow"/>
          <w:sz w:val="24"/>
          <w:szCs w:val="24"/>
        </w:rPr>
        <w:t xml:space="preserve">principalelor organizații din regiune, </w:t>
      </w:r>
      <w:r w:rsidRPr="00263395">
        <w:rPr>
          <w:rFonts w:ascii="Arial Narrow" w:hAnsi="Arial Narrow"/>
          <w:sz w:val="24"/>
          <w:szCs w:val="24"/>
        </w:rPr>
        <w:t xml:space="preserve">chestionare cu privire la oferta </w:t>
      </w:r>
      <w:r>
        <w:rPr>
          <w:rFonts w:ascii="Arial Narrow" w:hAnsi="Arial Narrow"/>
          <w:sz w:val="24"/>
          <w:szCs w:val="24"/>
        </w:rPr>
        <w:t xml:space="preserve">de </w:t>
      </w:r>
      <w:r w:rsidRPr="00263395">
        <w:rPr>
          <w:rFonts w:ascii="Arial Narrow" w:hAnsi="Arial Narrow"/>
          <w:sz w:val="24"/>
          <w:szCs w:val="24"/>
        </w:rPr>
        <w:t xml:space="preserve">cercetare dezvoltare inovare și transfer </w:t>
      </w:r>
      <w:r w:rsidRPr="009B4FBA">
        <w:rPr>
          <w:rFonts w:ascii="Arial Narrow" w:hAnsi="Arial Narrow"/>
          <w:sz w:val="24"/>
          <w:szCs w:val="24"/>
        </w:rPr>
        <w:t>tehnologic, precum și un chestionar specific mediului de afaceri.</w:t>
      </w:r>
      <w:r>
        <w:rPr>
          <w:rFonts w:ascii="Arial Narrow" w:hAnsi="Arial Narrow"/>
          <w:sz w:val="24"/>
          <w:szCs w:val="24"/>
        </w:rPr>
        <w:t xml:space="preserve"> Pe baza analizei rezultatelor primite s-au observat următoarele:</w:t>
      </w:r>
      <w:r w:rsidRPr="00BC1A52">
        <w:rPr>
          <w:rFonts w:ascii="Arial Narrow" w:hAnsi="Arial Narrow"/>
          <w:sz w:val="24"/>
          <w:szCs w:val="24"/>
        </w:rPr>
        <w:t xml:space="preserve"> </w:t>
      </w:r>
    </w:p>
    <w:p w:rsidR="00EA5F90" w:rsidRDefault="00EA5F90" w:rsidP="00981E9F">
      <w:pPr>
        <w:pStyle w:val="Listparagraf"/>
        <w:numPr>
          <w:ilvl w:val="0"/>
          <w:numId w:val="50"/>
        </w:numPr>
        <w:spacing w:after="0" w:line="240" w:lineRule="auto"/>
        <w:jc w:val="both"/>
        <w:rPr>
          <w:rFonts w:ascii="Arial Narrow" w:hAnsi="Arial Narrow"/>
          <w:sz w:val="24"/>
          <w:szCs w:val="24"/>
        </w:rPr>
      </w:pPr>
      <w:r>
        <w:rPr>
          <w:rFonts w:ascii="Arial Narrow" w:hAnsi="Arial Narrow"/>
          <w:sz w:val="24"/>
          <w:szCs w:val="24"/>
        </w:rPr>
        <w:t>în ultimii trei ani, la nivel regional există infrastructură specifică și organizații cu activități în domeniul cercetării dezvoltării</w:t>
      </w:r>
      <w:r w:rsidRPr="001712E2">
        <w:t xml:space="preserve"> </w:t>
      </w:r>
      <w:r>
        <w:rPr>
          <w:rFonts w:ascii="Arial Narrow" w:hAnsi="Arial Narrow"/>
          <w:sz w:val="24"/>
          <w:szCs w:val="24"/>
        </w:rPr>
        <w:t>inovării</w:t>
      </w:r>
      <w:r w:rsidRPr="001712E2">
        <w:rPr>
          <w:rFonts w:ascii="Arial Narrow" w:hAnsi="Arial Narrow"/>
          <w:sz w:val="24"/>
          <w:szCs w:val="24"/>
        </w:rPr>
        <w:t xml:space="preserve"> și transfer</w:t>
      </w:r>
      <w:r>
        <w:rPr>
          <w:rFonts w:ascii="Arial Narrow" w:hAnsi="Arial Narrow"/>
          <w:sz w:val="24"/>
          <w:szCs w:val="24"/>
        </w:rPr>
        <w:t>ului</w:t>
      </w:r>
      <w:r w:rsidRPr="001712E2">
        <w:rPr>
          <w:rFonts w:ascii="Arial Narrow" w:hAnsi="Arial Narrow"/>
          <w:sz w:val="24"/>
          <w:szCs w:val="24"/>
        </w:rPr>
        <w:t xml:space="preserve"> tehnologic</w:t>
      </w:r>
      <w:r>
        <w:rPr>
          <w:rFonts w:ascii="Arial Narrow" w:hAnsi="Arial Narrow"/>
          <w:sz w:val="24"/>
          <w:szCs w:val="24"/>
        </w:rPr>
        <w:t>:</w:t>
      </w:r>
    </w:p>
    <w:p w:rsidR="00EA5F90" w:rsidRPr="0066362B" w:rsidRDefault="00EA5F90" w:rsidP="00EA5F90">
      <w:pPr>
        <w:pStyle w:val="Listparagraf"/>
        <w:tabs>
          <w:tab w:val="left" w:pos="6885"/>
        </w:tabs>
        <w:spacing w:after="0" w:line="240" w:lineRule="auto"/>
        <w:ind w:left="0"/>
        <w:jc w:val="both"/>
        <w:rPr>
          <w:rFonts w:ascii="Arial Narrow" w:hAnsi="Arial Narrow"/>
          <w:b/>
          <w:sz w:val="24"/>
          <w:szCs w:val="24"/>
        </w:rPr>
      </w:pPr>
      <w:r w:rsidRPr="0066362B">
        <w:rPr>
          <w:rFonts w:ascii="Arial Narrow" w:hAnsi="Arial Narrow"/>
          <w:b/>
          <w:sz w:val="24"/>
          <w:szCs w:val="24"/>
        </w:rPr>
        <w:t>organizații cu activități în domeniul cercetării fundamentale:</w:t>
      </w:r>
      <w:r>
        <w:rPr>
          <w:rFonts w:ascii="Arial Narrow" w:hAnsi="Arial Narrow"/>
          <w:b/>
          <w:sz w:val="24"/>
          <w:szCs w:val="24"/>
        </w:rPr>
        <w:tab/>
      </w:r>
    </w:p>
    <w:p w:rsidR="00EA5F90" w:rsidRDefault="00EA5F90" w:rsidP="00981E9F">
      <w:pPr>
        <w:pStyle w:val="Listparagraf"/>
        <w:numPr>
          <w:ilvl w:val="0"/>
          <w:numId w:val="45"/>
        </w:numPr>
        <w:spacing w:after="0" w:line="240" w:lineRule="auto"/>
        <w:ind w:left="426" w:hanging="426"/>
        <w:jc w:val="both"/>
        <w:rPr>
          <w:rFonts w:ascii="Arial Narrow" w:hAnsi="Arial Narrow"/>
          <w:sz w:val="24"/>
          <w:szCs w:val="24"/>
        </w:rPr>
      </w:pPr>
      <w:r>
        <w:rPr>
          <w:rFonts w:ascii="Arial Narrow" w:hAnsi="Arial Narrow"/>
          <w:sz w:val="24"/>
          <w:szCs w:val="24"/>
        </w:rPr>
        <w:t xml:space="preserve">Universitatea Transilvania din Brașov a derulat trei proiecte de cercetare privind maximizarea energiei produsă de sistemele fotovoltaice integrate în clădiri în funcție de profilul climatic, tipul de modul și algoritmul de orientare, proiectul </w:t>
      </w:r>
      <w:hyperlink r:id="rId59" w:history="1">
        <w:r w:rsidRPr="0066362B">
          <w:rPr>
            <w:rStyle w:val="Hyperlink"/>
            <w:rFonts w:ascii="Arial Narrow" w:hAnsi="Arial Narrow"/>
            <w:sz w:val="24"/>
            <w:szCs w:val="24"/>
          </w:rPr>
          <w:t>BioEnergyTrain</w:t>
        </w:r>
      </w:hyperlink>
      <w:r>
        <w:rPr>
          <w:rFonts w:ascii="Arial Narrow" w:hAnsi="Arial Narrow"/>
          <w:sz w:val="24"/>
          <w:szCs w:val="24"/>
        </w:rPr>
        <w:t>, cercetări asupra sistemelor solare hibride fotovoltaice/termoelectrice/termice PV/TEG/STC</w:t>
      </w:r>
    </w:p>
    <w:p w:rsidR="00EA5F90" w:rsidRDefault="00EA5F90" w:rsidP="00EA5F90">
      <w:pPr>
        <w:pStyle w:val="Listparagraf"/>
        <w:spacing w:after="0" w:line="240" w:lineRule="auto"/>
        <w:ind w:left="426" w:hanging="426"/>
        <w:jc w:val="both"/>
        <w:rPr>
          <w:rFonts w:ascii="Arial Narrow" w:hAnsi="Arial Narrow"/>
          <w:b/>
          <w:sz w:val="24"/>
          <w:szCs w:val="24"/>
        </w:rPr>
      </w:pPr>
      <w:r w:rsidRPr="00EB5DD5">
        <w:rPr>
          <w:rFonts w:ascii="Arial Narrow" w:hAnsi="Arial Narrow"/>
          <w:b/>
          <w:sz w:val="24"/>
          <w:szCs w:val="24"/>
        </w:rPr>
        <w:t>organizații cu activități în domeniul cercetării aplicate:</w:t>
      </w:r>
      <w:r>
        <w:rPr>
          <w:rFonts w:ascii="Arial Narrow" w:hAnsi="Arial Narrow"/>
          <w:b/>
          <w:sz w:val="24"/>
          <w:szCs w:val="24"/>
        </w:rPr>
        <w:t xml:space="preserve"> </w:t>
      </w:r>
    </w:p>
    <w:p w:rsidR="00EA5F90" w:rsidRPr="007F4A1F" w:rsidRDefault="00EA5F90" w:rsidP="00981E9F">
      <w:pPr>
        <w:pStyle w:val="Listparagraf"/>
        <w:numPr>
          <w:ilvl w:val="0"/>
          <w:numId w:val="46"/>
        </w:numPr>
        <w:spacing w:after="0" w:line="240" w:lineRule="auto"/>
        <w:ind w:left="426" w:hanging="426"/>
        <w:jc w:val="both"/>
        <w:rPr>
          <w:rFonts w:ascii="Arial Narrow" w:hAnsi="Arial Narrow"/>
          <w:sz w:val="24"/>
          <w:szCs w:val="24"/>
        </w:rPr>
      </w:pPr>
      <w:r w:rsidRPr="007F4A1F">
        <w:rPr>
          <w:rFonts w:ascii="Arial Narrow" w:hAnsi="Arial Narrow"/>
          <w:sz w:val="24"/>
          <w:szCs w:val="24"/>
        </w:rPr>
        <w:t>Universitatea „1 Decembrie” din Alba Iulia – audit energetic complex total la SC Continental Automotive Systems SRL Sibiu, măsurări electrice, electronice, fluidice și elaborarea auditului energetic real pentru instalații HVAC, întocmire bilanț energetic complex la instalațiile CAA SA (uzinele din Arad și Ineu)</w:t>
      </w:r>
    </w:p>
    <w:p w:rsidR="00EA5F90" w:rsidRPr="007F4A1F" w:rsidRDefault="00EA5F90" w:rsidP="00981E9F">
      <w:pPr>
        <w:pStyle w:val="Listparagraf"/>
        <w:numPr>
          <w:ilvl w:val="0"/>
          <w:numId w:val="46"/>
        </w:numPr>
        <w:spacing w:after="0" w:line="240" w:lineRule="auto"/>
        <w:ind w:left="426" w:hanging="426"/>
        <w:jc w:val="both"/>
        <w:rPr>
          <w:rFonts w:ascii="Arial Narrow" w:hAnsi="Arial Narrow"/>
          <w:sz w:val="24"/>
          <w:szCs w:val="24"/>
        </w:rPr>
      </w:pPr>
      <w:r w:rsidRPr="007F4A1F">
        <w:rPr>
          <w:rFonts w:ascii="Arial Narrow" w:hAnsi="Arial Narrow"/>
          <w:sz w:val="24"/>
          <w:szCs w:val="24"/>
        </w:rPr>
        <w:t>Universitatea Transilvania din Brașov a derulat trei proiecte de cercetare aplicată privind nano-materiale fotoactive cu suprafețe complexe pentru aplicații în producerea de energie și pentru degradarea poluanților organici (NANOVISMAT), sisteme solare termice eficiente cu acceptanță ridicată pentru implementarea mediului urban (EST IN URBA), sistem inovativ integrat materiale tehologie echipament pentru procese simultane de fotocataliza și adsorbție aplicate în epurarea sustenabilă a apelor uzate SimFotoAd</w:t>
      </w:r>
    </w:p>
    <w:p w:rsidR="00EA5F90" w:rsidRDefault="00EA5F90" w:rsidP="00981E9F">
      <w:pPr>
        <w:pStyle w:val="Listparagraf"/>
        <w:numPr>
          <w:ilvl w:val="0"/>
          <w:numId w:val="46"/>
        </w:numPr>
        <w:spacing w:after="0" w:line="240" w:lineRule="auto"/>
        <w:ind w:left="426" w:hanging="426"/>
        <w:jc w:val="both"/>
        <w:rPr>
          <w:rFonts w:ascii="Arial Narrow" w:hAnsi="Arial Narrow"/>
          <w:sz w:val="24"/>
          <w:szCs w:val="24"/>
        </w:rPr>
      </w:pPr>
      <w:r w:rsidRPr="007F4A1F">
        <w:rPr>
          <w:rFonts w:ascii="Arial Narrow" w:hAnsi="Arial Narrow"/>
          <w:sz w:val="24"/>
          <w:szCs w:val="24"/>
        </w:rPr>
        <w:t>Institutul de Produse Auxiliare Organice Mediaş a implementat, în parteneriat, patru proiecte privind dezvoltarea și standardizarea biocombustibililor avansați folosind glicerolul ca sursă regenerabilă (2G BIOFUELS/Inovare, Eureka), sistem integrat de obținere a combustibilului sintetic pentru aviație din biomasă algală ALGAL SAF/Partneriate PN II, sistem tehnologic ecologic integrat pentru obținerea biocombustibililor avansați  ADBIOFUES/Parteneriate PN II, conversia</w:t>
      </w:r>
      <w:r w:rsidRPr="00F16A99">
        <w:rPr>
          <w:rFonts w:ascii="Arial Narrow" w:hAnsi="Arial Narrow"/>
          <w:sz w:val="24"/>
          <w:szCs w:val="24"/>
        </w:rPr>
        <w:t xml:space="preserve"> deșeurilor de biomasă în derivați ai furanului în scopul utilizării biocarburanți CARFURAL/Parteneriate PN II</w:t>
      </w:r>
      <w:r>
        <w:rPr>
          <w:rFonts w:ascii="Arial Narrow" w:hAnsi="Arial Narrow"/>
          <w:sz w:val="24"/>
          <w:szCs w:val="24"/>
        </w:rPr>
        <w:t>;</w:t>
      </w:r>
    </w:p>
    <w:p w:rsidR="00EA5F90" w:rsidRPr="007F4A1F" w:rsidRDefault="00EA5F90" w:rsidP="00981E9F">
      <w:pPr>
        <w:pStyle w:val="Listparagraf"/>
        <w:numPr>
          <w:ilvl w:val="0"/>
          <w:numId w:val="46"/>
        </w:numPr>
        <w:spacing w:after="0" w:line="240" w:lineRule="auto"/>
        <w:ind w:left="426" w:hanging="426"/>
        <w:jc w:val="both"/>
        <w:rPr>
          <w:rFonts w:ascii="Arial Narrow" w:hAnsi="Arial Narrow"/>
          <w:sz w:val="24"/>
          <w:szCs w:val="24"/>
        </w:rPr>
      </w:pPr>
      <w:r w:rsidRPr="007F4A1F">
        <w:rPr>
          <w:rFonts w:ascii="Arial Narrow" w:hAnsi="Arial Narrow"/>
          <w:sz w:val="24"/>
          <w:szCs w:val="24"/>
        </w:rPr>
        <w:t>Grand Europa Center SRL a dezvoltat un proiect din surse proprii în vederea realizării biocombustibililor și produsșilor bio.</w:t>
      </w:r>
    </w:p>
    <w:p w:rsidR="00EA5F90" w:rsidRDefault="00EA5F90" w:rsidP="00EA5F90">
      <w:pPr>
        <w:pStyle w:val="Listparagraf"/>
        <w:spacing w:after="0" w:line="240" w:lineRule="auto"/>
        <w:ind w:left="0"/>
        <w:jc w:val="both"/>
        <w:rPr>
          <w:rFonts w:ascii="Arial Narrow" w:hAnsi="Arial Narrow"/>
          <w:sz w:val="24"/>
          <w:szCs w:val="24"/>
        </w:rPr>
      </w:pPr>
      <w:r w:rsidRPr="00BC1A52">
        <w:rPr>
          <w:rFonts w:ascii="Arial Narrow" w:hAnsi="Arial Narrow"/>
          <w:b/>
          <w:sz w:val="24"/>
          <w:szCs w:val="24"/>
        </w:rPr>
        <w:t>organizații cu activități de dezvoltare experimentală</w:t>
      </w:r>
      <w:r>
        <w:rPr>
          <w:rFonts w:ascii="Arial Narrow" w:hAnsi="Arial Narrow"/>
          <w:sz w:val="24"/>
          <w:szCs w:val="24"/>
        </w:rPr>
        <w:t xml:space="preserve">: </w:t>
      </w:r>
    </w:p>
    <w:p w:rsidR="00EA5F90" w:rsidRDefault="00EA5F90" w:rsidP="00981E9F">
      <w:pPr>
        <w:pStyle w:val="Listparagraf"/>
        <w:numPr>
          <w:ilvl w:val="0"/>
          <w:numId w:val="47"/>
        </w:numPr>
        <w:spacing w:after="0" w:line="240" w:lineRule="auto"/>
        <w:ind w:left="426" w:hanging="426"/>
        <w:jc w:val="both"/>
        <w:rPr>
          <w:rFonts w:ascii="Arial Narrow" w:hAnsi="Arial Narrow"/>
          <w:sz w:val="24"/>
          <w:szCs w:val="24"/>
        </w:rPr>
      </w:pPr>
      <w:r>
        <w:rPr>
          <w:rFonts w:ascii="Arial Narrow" w:hAnsi="Arial Narrow"/>
          <w:sz w:val="24"/>
          <w:szCs w:val="24"/>
        </w:rPr>
        <w:lastRenderedPageBreak/>
        <w:t xml:space="preserve">Universitatea „Lucian Blaga” din Sibiu, proiectul </w:t>
      </w:r>
      <w:hyperlink r:id="rId60" w:history="1">
        <w:r w:rsidRPr="00BC1A52">
          <w:rPr>
            <w:rStyle w:val="Hyperlink"/>
            <w:rFonts w:ascii="Arial Narrow" w:hAnsi="Arial Narrow"/>
            <w:sz w:val="24"/>
            <w:szCs w:val="24"/>
          </w:rPr>
          <w:t>SIDPOP</w:t>
        </w:r>
      </w:hyperlink>
      <w:r w:rsidRPr="00BC1A52">
        <w:t xml:space="preserve"> </w:t>
      </w:r>
      <w:r w:rsidRPr="00BC1A52">
        <w:rPr>
          <w:rFonts w:ascii="Arial Narrow" w:hAnsi="Arial Narrow"/>
          <w:sz w:val="24"/>
          <w:szCs w:val="24"/>
        </w:rPr>
        <w:t>- Instrument suport pentru luarea deciziilor în domeniul managementului poluanților organici persistenți. Studiu de caz: Bazinul Hidrografic Mureș</w:t>
      </w:r>
    </w:p>
    <w:p w:rsidR="00EA5F90" w:rsidRDefault="00EA5F90" w:rsidP="00981E9F">
      <w:pPr>
        <w:pStyle w:val="Listparagraf"/>
        <w:numPr>
          <w:ilvl w:val="0"/>
          <w:numId w:val="47"/>
        </w:numPr>
        <w:spacing w:after="0" w:line="240" w:lineRule="auto"/>
        <w:ind w:left="426" w:hanging="426"/>
        <w:jc w:val="both"/>
        <w:rPr>
          <w:rFonts w:ascii="Arial Narrow" w:hAnsi="Arial Narrow"/>
          <w:sz w:val="24"/>
          <w:szCs w:val="24"/>
        </w:rPr>
      </w:pPr>
      <w:r w:rsidRPr="00EB5DD5">
        <w:rPr>
          <w:rFonts w:ascii="Arial Narrow" w:hAnsi="Arial Narrow"/>
          <w:sz w:val="24"/>
          <w:szCs w:val="24"/>
        </w:rPr>
        <w:t xml:space="preserve">Universitatea </w:t>
      </w:r>
      <w:r>
        <w:rPr>
          <w:rFonts w:ascii="Arial Narrow" w:hAnsi="Arial Narrow"/>
          <w:sz w:val="24"/>
          <w:szCs w:val="24"/>
        </w:rPr>
        <w:t>„</w:t>
      </w:r>
      <w:r w:rsidRPr="00EB5DD5">
        <w:rPr>
          <w:rFonts w:ascii="Arial Narrow" w:hAnsi="Arial Narrow"/>
          <w:sz w:val="24"/>
          <w:szCs w:val="24"/>
        </w:rPr>
        <w:t>1 Decembrie</w:t>
      </w:r>
      <w:r>
        <w:rPr>
          <w:rFonts w:ascii="Arial Narrow" w:hAnsi="Arial Narrow"/>
          <w:sz w:val="24"/>
          <w:szCs w:val="24"/>
        </w:rPr>
        <w:t>” din Alba Iulia – elaborarea Planului Urbanistic General și Amenajarea Teritoriului administrativ al Municipiului Alba Iulia. Reactualizare, reabilitarea „Castel Sâncrai”, cercetare arheologică preventivă pentru Palatul Priniciar din Alba Iulia.</w:t>
      </w:r>
    </w:p>
    <w:p w:rsidR="00EA5F90" w:rsidRDefault="00EA5F90" w:rsidP="00981E9F">
      <w:pPr>
        <w:pStyle w:val="Listparagraf"/>
        <w:numPr>
          <w:ilvl w:val="0"/>
          <w:numId w:val="47"/>
        </w:numPr>
        <w:spacing w:after="0" w:line="240" w:lineRule="auto"/>
        <w:ind w:left="426" w:hanging="426"/>
        <w:jc w:val="both"/>
        <w:rPr>
          <w:rFonts w:ascii="Arial Narrow" w:hAnsi="Arial Narrow"/>
          <w:sz w:val="24"/>
          <w:szCs w:val="24"/>
        </w:rPr>
      </w:pPr>
      <w:r>
        <w:rPr>
          <w:rFonts w:ascii="Arial Narrow" w:hAnsi="Arial Narrow"/>
          <w:sz w:val="24"/>
          <w:szCs w:val="24"/>
        </w:rPr>
        <w:t>Grand Europa Center SRL a realizat un proiect privind dezvoltarea unui accelerator de afaceri și transfer de tehnologii;</w:t>
      </w:r>
    </w:p>
    <w:p w:rsidR="00EA5F90" w:rsidRDefault="00EA5F90" w:rsidP="00EA5F90">
      <w:pPr>
        <w:pStyle w:val="Listparagraf"/>
        <w:spacing w:after="0" w:line="240" w:lineRule="auto"/>
        <w:ind w:left="0"/>
        <w:jc w:val="both"/>
        <w:rPr>
          <w:rFonts w:ascii="Arial Narrow" w:hAnsi="Arial Narrow"/>
          <w:b/>
          <w:sz w:val="24"/>
          <w:szCs w:val="24"/>
        </w:rPr>
      </w:pPr>
      <w:r w:rsidRPr="00BC1A52">
        <w:rPr>
          <w:rFonts w:ascii="Arial Narrow" w:hAnsi="Arial Narrow"/>
          <w:b/>
          <w:sz w:val="24"/>
          <w:szCs w:val="24"/>
        </w:rPr>
        <w:t xml:space="preserve">organizații </w:t>
      </w:r>
      <w:r>
        <w:rPr>
          <w:rFonts w:ascii="Arial Narrow" w:hAnsi="Arial Narrow"/>
          <w:b/>
          <w:sz w:val="24"/>
          <w:szCs w:val="24"/>
        </w:rPr>
        <w:t xml:space="preserve">care oferă servicii de inovare: </w:t>
      </w:r>
    </w:p>
    <w:p w:rsidR="00EA5F90" w:rsidRDefault="00EA5F90" w:rsidP="00981E9F">
      <w:pPr>
        <w:pStyle w:val="Listparagraf"/>
        <w:numPr>
          <w:ilvl w:val="0"/>
          <w:numId w:val="48"/>
        </w:numPr>
        <w:spacing w:after="0" w:line="240" w:lineRule="auto"/>
        <w:ind w:left="426" w:hanging="426"/>
        <w:jc w:val="both"/>
        <w:rPr>
          <w:rFonts w:ascii="Arial Narrow" w:hAnsi="Arial Narrow"/>
          <w:sz w:val="24"/>
          <w:szCs w:val="24"/>
        </w:rPr>
      </w:pPr>
      <w:r w:rsidRPr="00BC1A52">
        <w:rPr>
          <w:rFonts w:ascii="Arial Narrow" w:hAnsi="Arial Narrow"/>
          <w:sz w:val="24"/>
          <w:szCs w:val="24"/>
        </w:rPr>
        <w:t xml:space="preserve">Universitatea </w:t>
      </w:r>
      <w:r>
        <w:rPr>
          <w:rFonts w:ascii="Arial Narrow" w:hAnsi="Arial Narrow"/>
          <w:sz w:val="24"/>
          <w:szCs w:val="24"/>
        </w:rPr>
        <w:t xml:space="preserve">„Lucian Blaga” din Sibiu – servicii de inovare pentru societăți comerciale constând în: studii teoretice și experimentale asupra comportării țevilo de extracție gaze în vederea minimizării poluării accidentale a mediului, </w:t>
      </w:r>
    </w:p>
    <w:p w:rsidR="00EA5F90" w:rsidRDefault="00EA5F90" w:rsidP="00981E9F">
      <w:pPr>
        <w:pStyle w:val="Listparagraf"/>
        <w:numPr>
          <w:ilvl w:val="0"/>
          <w:numId w:val="48"/>
        </w:numPr>
        <w:spacing w:after="0" w:line="240" w:lineRule="auto"/>
        <w:ind w:left="426" w:hanging="426"/>
        <w:jc w:val="both"/>
        <w:rPr>
          <w:rFonts w:ascii="Arial Narrow" w:hAnsi="Arial Narrow"/>
          <w:sz w:val="24"/>
          <w:szCs w:val="24"/>
        </w:rPr>
      </w:pPr>
      <w:r w:rsidRPr="00EB5DD5">
        <w:rPr>
          <w:rFonts w:ascii="Arial Narrow" w:hAnsi="Arial Narrow"/>
          <w:sz w:val="24"/>
          <w:szCs w:val="24"/>
        </w:rPr>
        <w:t xml:space="preserve">Universitatea </w:t>
      </w:r>
      <w:r>
        <w:rPr>
          <w:rFonts w:ascii="Arial Narrow" w:hAnsi="Arial Narrow"/>
          <w:sz w:val="24"/>
          <w:szCs w:val="24"/>
        </w:rPr>
        <w:t>„</w:t>
      </w:r>
      <w:r w:rsidRPr="00EB5DD5">
        <w:rPr>
          <w:rFonts w:ascii="Arial Narrow" w:hAnsi="Arial Narrow"/>
          <w:sz w:val="24"/>
          <w:szCs w:val="24"/>
        </w:rPr>
        <w:t>1 Decembrie</w:t>
      </w:r>
      <w:r>
        <w:rPr>
          <w:rFonts w:ascii="Arial Narrow" w:hAnsi="Arial Narrow"/>
          <w:sz w:val="24"/>
          <w:szCs w:val="24"/>
        </w:rPr>
        <w:t>” din Alba Iulia – metodă de control operativ a componentelor simetrice din sistemele electroenergetice trifazate, patent OSIM, Buletin oficial e proprietate industrială, secțiunea: Brevete de invenței, RO-BOPI din 29 ianuarie 2016, pp 9/157. Premiu – medaliat cu aur și diplomă de excelență la Salonul Internațional al Cercetării, inovării și Inventicii PRO INVENT Cluj 2015</w:t>
      </w:r>
    </w:p>
    <w:p w:rsidR="00EA5F90" w:rsidRDefault="00EA5F90" w:rsidP="00981E9F">
      <w:pPr>
        <w:pStyle w:val="Listparagraf"/>
        <w:numPr>
          <w:ilvl w:val="0"/>
          <w:numId w:val="48"/>
        </w:numPr>
        <w:spacing w:after="0" w:line="240" w:lineRule="auto"/>
        <w:ind w:left="426" w:hanging="426"/>
        <w:jc w:val="both"/>
        <w:rPr>
          <w:rFonts w:ascii="Arial Narrow" w:hAnsi="Arial Narrow"/>
          <w:sz w:val="24"/>
          <w:szCs w:val="24"/>
        </w:rPr>
      </w:pPr>
      <w:r w:rsidRPr="00F16A99">
        <w:rPr>
          <w:rFonts w:ascii="Arial Narrow" w:hAnsi="Arial Narrow"/>
          <w:sz w:val="24"/>
          <w:szCs w:val="24"/>
        </w:rPr>
        <w:t>Grand Europa Center SRL a realizat un proiect privind dezvoltarea unui accelerator de af</w:t>
      </w:r>
      <w:r>
        <w:rPr>
          <w:rFonts w:ascii="Arial Narrow" w:hAnsi="Arial Narrow"/>
          <w:sz w:val="24"/>
          <w:szCs w:val="24"/>
        </w:rPr>
        <w:t>aceri și transfer de tehnologii, iar beneficiarul serviciilor de inovare a fost un start-up</w:t>
      </w:r>
    </w:p>
    <w:p w:rsidR="00EA5F90" w:rsidRDefault="00EA5F90" w:rsidP="00981E9F">
      <w:pPr>
        <w:pStyle w:val="Listparagraf"/>
        <w:numPr>
          <w:ilvl w:val="0"/>
          <w:numId w:val="48"/>
        </w:numPr>
        <w:spacing w:after="0" w:line="240" w:lineRule="auto"/>
        <w:ind w:left="426" w:hanging="426"/>
        <w:jc w:val="both"/>
        <w:rPr>
          <w:rFonts w:ascii="Arial Narrow" w:hAnsi="Arial Narrow"/>
          <w:sz w:val="24"/>
          <w:szCs w:val="24"/>
        </w:rPr>
      </w:pPr>
      <w:r>
        <w:rPr>
          <w:rFonts w:ascii="Arial Narrow" w:hAnsi="Arial Narrow"/>
          <w:sz w:val="24"/>
          <w:szCs w:val="24"/>
        </w:rPr>
        <w:t xml:space="preserve">Camera de Comerț și Industrie Brașov – consultanță, transfer de cunoștințe, inovare tehnologică, inovare de produs și organizațională, studii de piață, iar beneficiarii serviciilor au fost 12 IMM-uri și asociații </w:t>
      </w:r>
    </w:p>
    <w:p w:rsidR="00EA5F90" w:rsidRPr="00BC1A52" w:rsidRDefault="00EA5F90" w:rsidP="00EA5F90">
      <w:pPr>
        <w:pStyle w:val="Listparagraf"/>
        <w:spacing w:after="0" w:line="240" w:lineRule="auto"/>
        <w:ind w:left="0"/>
        <w:jc w:val="both"/>
        <w:rPr>
          <w:rFonts w:ascii="Arial Narrow" w:hAnsi="Arial Narrow"/>
          <w:b/>
          <w:sz w:val="24"/>
          <w:szCs w:val="24"/>
        </w:rPr>
      </w:pPr>
      <w:r w:rsidRPr="00BC1A52">
        <w:rPr>
          <w:rFonts w:ascii="Arial Narrow" w:hAnsi="Arial Narrow"/>
          <w:b/>
          <w:sz w:val="24"/>
          <w:szCs w:val="24"/>
        </w:rPr>
        <w:t xml:space="preserve">organizații </w:t>
      </w:r>
      <w:r>
        <w:rPr>
          <w:rFonts w:ascii="Arial Narrow" w:hAnsi="Arial Narrow"/>
          <w:b/>
          <w:sz w:val="24"/>
          <w:szCs w:val="24"/>
        </w:rPr>
        <w:t xml:space="preserve">care oferă </w:t>
      </w:r>
      <w:r w:rsidRPr="00BC1A52">
        <w:rPr>
          <w:rFonts w:ascii="Arial Narrow" w:hAnsi="Arial Narrow"/>
          <w:b/>
          <w:sz w:val="24"/>
          <w:szCs w:val="24"/>
        </w:rPr>
        <w:t>servicii de transfer tehnologic:</w:t>
      </w:r>
    </w:p>
    <w:p w:rsidR="00EA5F90" w:rsidRDefault="00EA5F90" w:rsidP="00981E9F">
      <w:pPr>
        <w:pStyle w:val="Listparagraf"/>
        <w:numPr>
          <w:ilvl w:val="0"/>
          <w:numId w:val="49"/>
        </w:numPr>
        <w:spacing w:after="0" w:line="240" w:lineRule="auto"/>
        <w:ind w:left="426" w:hanging="426"/>
        <w:jc w:val="both"/>
        <w:rPr>
          <w:rFonts w:ascii="Arial Narrow" w:hAnsi="Arial Narrow"/>
          <w:sz w:val="24"/>
          <w:szCs w:val="24"/>
        </w:rPr>
      </w:pPr>
      <w:r w:rsidRPr="00BC1A52">
        <w:rPr>
          <w:rFonts w:ascii="Arial Narrow" w:hAnsi="Arial Narrow"/>
          <w:sz w:val="24"/>
          <w:szCs w:val="24"/>
        </w:rPr>
        <w:t xml:space="preserve">Universitatea </w:t>
      </w:r>
      <w:r>
        <w:rPr>
          <w:rFonts w:ascii="Arial Narrow" w:hAnsi="Arial Narrow"/>
          <w:sz w:val="24"/>
          <w:szCs w:val="24"/>
        </w:rPr>
        <w:t>„Lucian Blaga” din Sibiu</w:t>
      </w:r>
      <w:r w:rsidRPr="00BC1A52">
        <w:rPr>
          <w:rFonts w:ascii="Arial Narrow" w:hAnsi="Arial Narrow"/>
          <w:sz w:val="24"/>
          <w:szCs w:val="24"/>
        </w:rPr>
        <w:t xml:space="preserve"> – servicii de transfer tehnologic pentru societăți comerciale constând în: </w:t>
      </w:r>
      <w:r>
        <w:rPr>
          <w:rFonts w:ascii="Arial Narrow" w:hAnsi="Arial Narrow"/>
          <w:sz w:val="24"/>
          <w:szCs w:val="24"/>
        </w:rPr>
        <w:t>realizarea de cercetări, proiectare și execuția unui prototip, cercetări privind managementul aprovizionării și gestiunea stocurilor de materiale necesare la proiectarea și realizarea rețelelor de apă-canal, măsurarea gradului de satisfacție a clienților.</w:t>
      </w:r>
    </w:p>
    <w:p w:rsidR="00EA5F90" w:rsidRPr="007F4A1F" w:rsidRDefault="00EA5F90" w:rsidP="00981E9F">
      <w:pPr>
        <w:pStyle w:val="Listparagraf"/>
        <w:numPr>
          <w:ilvl w:val="0"/>
          <w:numId w:val="49"/>
        </w:numPr>
        <w:spacing w:after="0" w:line="240" w:lineRule="auto"/>
        <w:ind w:left="426" w:hanging="426"/>
        <w:jc w:val="both"/>
        <w:rPr>
          <w:rFonts w:ascii="Arial Narrow" w:hAnsi="Arial Narrow"/>
          <w:sz w:val="24"/>
          <w:szCs w:val="24"/>
        </w:rPr>
      </w:pPr>
      <w:r w:rsidRPr="007F4A1F">
        <w:rPr>
          <w:rFonts w:ascii="Arial Narrow" w:hAnsi="Arial Narrow"/>
          <w:sz w:val="24"/>
          <w:szCs w:val="24"/>
        </w:rPr>
        <w:t>Universitatea „1 Decembrie” din Alba Iulia – consultanță tehnică, audit tehnologic, monitorizare, planificare de producție și desgn, consultanță de mediu, educație profesională etc. Universitatea„1 Decembrie” din Alba Iulia are un brevet în domeniul energiei.</w:t>
      </w:r>
    </w:p>
    <w:p w:rsidR="00EA5F90" w:rsidRDefault="00EA5F90" w:rsidP="00981E9F">
      <w:pPr>
        <w:pStyle w:val="Listparagraf"/>
        <w:numPr>
          <w:ilvl w:val="0"/>
          <w:numId w:val="49"/>
        </w:numPr>
        <w:spacing w:after="0" w:line="240" w:lineRule="auto"/>
        <w:ind w:left="426" w:hanging="426"/>
        <w:jc w:val="both"/>
        <w:rPr>
          <w:rFonts w:ascii="Arial Narrow" w:hAnsi="Arial Narrow"/>
          <w:sz w:val="24"/>
          <w:szCs w:val="24"/>
        </w:rPr>
      </w:pPr>
      <w:r w:rsidRPr="00F16A99">
        <w:rPr>
          <w:rFonts w:ascii="Arial Narrow" w:hAnsi="Arial Narrow"/>
          <w:sz w:val="24"/>
          <w:szCs w:val="24"/>
        </w:rPr>
        <w:t xml:space="preserve">Grand Europa Center SRL </w:t>
      </w:r>
      <w:r>
        <w:rPr>
          <w:rFonts w:ascii="Arial Narrow" w:hAnsi="Arial Narrow"/>
          <w:sz w:val="24"/>
          <w:szCs w:val="24"/>
        </w:rPr>
        <w:t>– identificare potențiale investiții în start-up-uri</w:t>
      </w:r>
    </w:p>
    <w:p w:rsidR="00EA5F90" w:rsidRDefault="00EA5F90" w:rsidP="00981E9F">
      <w:pPr>
        <w:pStyle w:val="Listparagraf"/>
        <w:numPr>
          <w:ilvl w:val="0"/>
          <w:numId w:val="49"/>
        </w:numPr>
        <w:spacing w:after="0" w:line="240" w:lineRule="auto"/>
        <w:ind w:left="426" w:hanging="426"/>
        <w:jc w:val="both"/>
        <w:rPr>
          <w:rFonts w:ascii="Arial Narrow" w:hAnsi="Arial Narrow"/>
          <w:sz w:val="24"/>
          <w:szCs w:val="24"/>
        </w:rPr>
      </w:pPr>
      <w:r>
        <w:rPr>
          <w:rFonts w:ascii="Arial Narrow" w:hAnsi="Arial Narrow"/>
          <w:sz w:val="24"/>
          <w:szCs w:val="24"/>
        </w:rPr>
        <w:t>Camera de Comerț și Industrie Brașov – analiză de piață internă/externă, educație/formare profesională continuă și servicii de instruire și asistență în domeniul inovării, iar beneficiarii serviciilor au fost 9 IMM-uri și un cluster; Camera de Comerț și Industrie Brașov are un brevet în domeniul energiei.</w:t>
      </w:r>
    </w:p>
    <w:p w:rsidR="00EA5F90" w:rsidRPr="003064E5" w:rsidRDefault="00EA5F90" w:rsidP="00EA5F90">
      <w:pPr>
        <w:spacing w:after="0" w:line="240" w:lineRule="auto"/>
        <w:jc w:val="both"/>
        <w:rPr>
          <w:rFonts w:ascii="Arial Narrow" w:hAnsi="Arial Narrow"/>
          <w:b/>
          <w:i/>
          <w:color w:val="538135"/>
          <w:sz w:val="24"/>
          <w:szCs w:val="24"/>
        </w:rPr>
      </w:pPr>
      <w:r w:rsidRPr="003064E5">
        <w:rPr>
          <w:rFonts w:ascii="Arial Narrow" w:hAnsi="Arial Narrow"/>
          <w:b/>
          <w:i/>
          <w:color w:val="538135"/>
          <w:sz w:val="24"/>
          <w:szCs w:val="24"/>
        </w:rPr>
        <w:t>Formarea competențelor profesionale și asigurarea pregătirii forței de muncă</w:t>
      </w:r>
    </w:p>
    <w:p w:rsidR="00EA5F90" w:rsidRDefault="00EA5F90" w:rsidP="00EA5F90">
      <w:pPr>
        <w:spacing w:after="0" w:line="240" w:lineRule="auto"/>
        <w:jc w:val="both"/>
        <w:rPr>
          <w:rFonts w:ascii="Arial Narrow" w:hAnsi="Arial Narrow"/>
          <w:sz w:val="24"/>
          <w:szCs w:val="24"/>
        </w:rPr>
      </w:pPr>
      <w:r w:rsidRPr="009B4FBA">
        <w:rPr>
          <w:rFonts w:ascii="Arial Narrow" w:hAnsi="Arial Narrow"/>
          <w:sz w:val="24"/>
          <w:szCs w:val="24"/>
        </w:rPr>
        <w:t xml:space="preserve">În regiunea Centru, la nivelul anului 2014 existau </w:t>
      </w:r>
      <w:r>
        <w:rPr>
          <w:rFonts w:ascii="Arial Narrow" w:hAnsi="Arial Narrow"/>
          <w:sz w:val="24"/>
          <w:szCs w:val="24"/>
        </w:rPr>
        <w:t>212 licee</w:t>
      </w:r>
      <w:r w:rsidRPr="009B4FBA">
        <w:rPr>
          <w:rFonts w:ascii="Arial Narrow" w:hAnsi="Arial Narrow"/>
          <w:sz w:val="24"/>
          <w:szCs w:val="24"/>
        </w:rPr>
        <w:t>, 2</w:t>
      </w:r>
      <w:r>
        <w:rPr>
          <w:rFonts w:ascii="Arial Narrow" w:hAnsi="Arial Narrow"/>
          <w:sz w:val="24"/>
          <w:szCs w:val="24"/>
        </w:rPr>
        <w:t>0</w:t>
      </w:r>
      <w:r w:rsidRPr="009B4FBA">
        <w:rPr>
          <w:rFonts w:ascii="Arial Narrow" w:hAnsi="Arial Narrow"/>
          <w:sz w:val="24"/>
          <w:szCs w:val="24"/>
        </w:rPr>
        <w:t xml:space="preserve"> de </w:t>
      </w:r>
      <w:r>
        <w:rPr>
          <w:rFonts w:ascii="Arial Narrow" w:hAnsi="Arial Narrow"/>
          <w:sz w:val="24"/>
          <w:szCs w:val="24"/>
        </w:rPr>
        <w:t>școli</w:t>
      </w:r>
      <w:r w:rsidRPr="009B4FBA">
        <w:rPr>
          <w:rFonts w:ascii="Arial Narrow" w:hAnsi="Arial Narrow"/>
          <w:sz w:val="24"/>
          <w:szCs w:val="24"/>
        </w:rPr>
        <w:t xml:space="preserve"> </w:t>
      </w:r>
      <w:r>
        <w:rPr>
          <w:rFonts w:ascii="Arial Narrow" w:hAnsi="Arial Narrow"/>
          <w:sz w:val="24"/>
          <w:szCs w:val="24"/>
        </w:rPr>
        <w:t>profesionale, o școală de arte și meserii și 12</w:t>
      </w:r>
      <w:r w:rsidRPr="009B4FBA">
        <w:rPr>
          <w:rFonts w:ascii="Arial Narrow" w:hAnsi="Arial Narrow"/>
          <w:sz w:val="24"/>
          <w:szCs w:val="24"/>
        </w:rPr>
        <w:t xml:space="preserve"> </w:t>
      </w:r>
      <w:r>
        <w:rPr>
          <w:rFonts w:ascii="Arial Narrow" w:hAnsi="Arial Narrow"/>
          <w:sz w:val="24"/>
          <w:szCs w:val="24"/>
        </w:rPr>
        <w:t xml:space="preserve">unități de învățământ superior din care opt publice.  </w:t>
      </w:r>
    </w:p>
    <w:p w:rsidR="00EA5F90" w:rsidRDefault="00EA5F90" w:rsidP="00EA5F90">
      <w:pPr>
        <w:pStyle w:val="Legend"/>
        <w:spacing w:after="0"/>
        <w:jc w:val="center"/>
        <w:rPr>
          <w:rFonts w:ascii="Arial Narrow" w:hAnsi="Arial Narrow"/>
          <w:b w:val="0"/>
        </w:rPr>
      </w:pPr>
    </w:p>
    <w:tbl>
      <w:tblPr>
        <w:tblpPr w:leftFromText="180" w:rightFromText="180" w:vertAnchor="text" w:horzAnchor="margin" w:tblpY="393"/>
        <w:tblW w:w="943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3929"/>
        <w:gridCol w:w="1105"/>
        <w:gridCol w:w="1103"/>
        <w:gridCol w:w="1095"/>
        <w:gridCol w:w="1095"/>
        <w:gridCol w:w="1105"/>
      </w:tblGrid>
      <w:tr w:rsidR="00B45835" w:rsidRPr="003064E5" w:rsidTr="00B45835">
        <w:trPr>
          <w:trHeight w:val="251"/>
        </w:trPr>
        <w:tc>
          <w:tcPr>
            <w:tcW w:w="3929" w:type="dxa"/>
            <w:tcBorders>
              <w:bottom w:val="single" w:sz="12" w:space="0" w:color="9CC2E5"/>
            </w:tcBorders>
            <w:shd w:val="clear" w:color="auto" w:fill="BDD6EE"/>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Nivel de instruire/Anul</w:t>
            </w:r>
          </w:p>
        </w:tc>
        <w:tc>
          <w:tcPr>
            <w:tcW w:w="1105" w:type="dxa"/>
            <w:tcBorders>
              <w:bottom w:val="single" w:sz="12" w:space="0" w:color="9CC2E5"/>
            </w:tcBorders>
            <w:shd w:val="clear" w:color="auto" w:fill="BDD6EE"/>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2010</w:t>
            </w:r>
          </w:p>
        </w:tc>
        <w:tc>
          <w:tcPr>
            <w:tcW w:w="1103" w:type="dxa"/>
            <w:tcBorders>
              <w:bottom w:val="single" w:sz="12" w:space="0" w:color="9CC2E5"/>
            </w:tcBorders>
            <w:shd w:val="clear" w:color="auto" w:fill="BDD6EE"/>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2011</w:t>
            </w:r>
          </w:p>
        </w:tc>
        <w:tc>
          <w:tcPr>
            <w:tcW w:w="1095" w:type="dxa"/>
            <w:tcBorders>
              <w:bottom w:val="single" w:sz="12" w:space="0" w:color="9CC2E5"/>
            </w:tcBorders>
            <w:shd w:val="clear" w:color="auto" w:fill="BDD6EE"/>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2012</w:t>
            </w:r>
          </w:p>
        </w:tc>
        <w:tc>
          <w:tcPr>
            <w:tcW w:w="1095" w:type="dxa"/>
            <w:tcBorders>
              <w:bottom w:val="single" w:sz="12" w:space="0" w:color="9CC2E5"/>
            </w:tcBorders>
            <w:shd w:val="clear" w:color="auto" w:fill="BDD6EE"/>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2013</w:t>
            </w:r>
          </w:p>
        </w:tc>
        <w:tc>
          <w:tcPr>
            <w:tcW w:w="1105" w:type="dxa"/>
            <w:tcBorders>
              <w:bottom w:val="single" w:sz="12" w:space="0" w:color="9CC2E5"/>
            </w:tcBorders>
            <w:shd w:val="clear" w:color="auto" w:fill="BDD6EE"/>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 2014</w:t>
            </w:r>
          </w:p>
        </w:tc>
      </w:tr>
      <w:tr w:rsidR="00B45835" w:rsidRPr="003064E5" w:rsidTr="00B45835">
        <w:trPr>
          <w:trHeight w:val="251"/>
        </w:trPr>
        <w:tc>
          <w:tcPr>
            <w:tcW w:w="3929"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Licee (inclusiv scoli profesionale)</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218</w:t>
            </w:r>
          </w:p>
        </w:tc>
        <w:tc>
          <w:tcPr>
            <w:tcW w:w="1103"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213</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212</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212</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212</w:t>
            </w:r>
          </w:p>
        </w:tc>
      </w:tr>
      <w:tr w:rsidR="00B45835" w:rsidRPr="003064E5" w:rsidTr="00B45835">
        <w:trPr>
          <w:trHeight w:val="257"/>
        </w:trPr>
        <w:tc>
          <w:tcPr>
            <w:tcW w:w="3929"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Scoli postliceale</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14</w:t>
            </w:r>
          </w:p>
        </w:tc>
        <w:tc>
          <w:tcPr>
            <w:tcW w:w="1103"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12</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16</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19</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20</w:t>
            </w:r>
          </w:p>
        </w:tc>
      </w:tr>
      <w:tr w:rsidR="00B45835" w:rsidRPr="003064E5" w:rsidTr="00B45835">
        <w:trPr>
          <w:trHeight w:val="251"/>
        </w:trPr>
        <w:tc>
          <w:tcPr>
            <w:tcW w:w="3929"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Scoli de arte si meserii</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0</w:t>
            </w:r>
          </w:p>
        </w:tc>
        <w:tc>
          <w:tcPr>
            <w:tcW w:w="1103"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0</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0</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w:t>
            </w:r>
          </w:p>
        </w:tc>
      </w:tr>
      <w:tr w:rsidR="00B45835" w:rsidRPr="003064E5" w:rsidTr="00B45835">
        <w:trPr>
          <w:trHeight w:val="251"/>
        </w:trPr>
        <w:tc>
          <w:tcPr>
            <w:tcW w:w="3929"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Invatamant superior</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13</w:t>
            </w:r>
          </w:p>
        </w:tc>
        <w:tc>
          <w:tcPr>
            <w:tcW w:w="1103"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13</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13</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13</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12</w:t>
            </w:r>
          </w:p>
        </w:tc>
      </w:tr>
      <w:tr w:rsidR="00B45835" w:rsidRPr="003064E5" w:rsidTr="00B45835">
        <w:trPr>
          <w:trHeight w:val="263"/>
        </w:trPr>
        <w:tc>
          <w:tcPr>
            <w:tcW w:w="3929"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b/>
                <w:bCs/>
                <w:color w:val="000000"/>
                <w:sz w:val="16"/>
                <w:szCs w:val="16"/>
                <w:lang w:eastAsia="ro-RO"/>
              </w:rPr>
            </w:pPr>
            <w:r w:rsidRPr="003064E5">
              <w:rPr>
                <w:rFonts w:ascii="Arial Narrow" w:eastAsia="Times New Roman" w:hAnsi="Arial Narrow"/>
                <w:b/>
                <w:bCs/>
                <w:color w:val="000000"/>
                <w:sz w:val="16"/>
                <w:szCs w:val="16"/>
                <w:lang w:eastAsia="ro-RO"/>
              </w:rPr>
              <w:t>Institutii de invatamant superior public</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8</w:t>
            </w:r>
          </w:p>
        </w:tc>
        <w:tc>
          <w:tcPr>
            <w:tcW w:w="1103"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8</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8</w:t>
            </w:r>
          </w:p>
        </w:tc>
        <w:tc>
          <w:tcPr>
            <w:tcW w:w="1095" w:type="dxa"/>
            <w:shd w:val="clear" w:color="auto" w:fill="auto"/>
            <w:vAlign w:val="center"/>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8</w:t>
            </w:r>
          </w:p>
        </w:tc>
        <w:tc>
          <w:tcPr>
            <w:tcW w:w="1105" w:type="dxa"/>
            <w:shd w:val="clear" w:color="auto" w:fill="auto"/>
            <w:vAlign w:val="center"/>
            <w:hideMark/>
          </w:tcPr>
          <w:p w:rsidR="00B45835" w:rsidRPr="003064E5" w:rsidRDefault="00B45835" w:rsidP="00B45835">
            <w:pPr>
              <w:spacing w:after="0" w:line="240" w:lineRule="auto"/>
              <w:jc w:val="center"/>
              <w:rPr>
                <w:rFonts w:ascii="Arial Narrow" w:eastAsia="Times New Roman" w:hAnsi="Arial Narrow"/>
                <w:color w:val="000000"/>
                <w:sz w:val="16"/>
                <w:szCs w:val="16"/>
                <w:lang w:eastAsia="ro-RO"/>
              </w:rPr>
            </w:pPr>
            <w:r w:rsidRPr="003064E5">
              <w:rPr>
                <w:rFonts w:ascii="Arial Narrow" w:eastAsia="Times New Roman" w:hAnsi="Arial Narrow"/>
                <w:color w:val="000000"/>
                <w:sz w:val="16"/>
                <w:szCs w:val="16"/>
                <w:lang w:eastAsia="ro-RO"/>
              </w:rPr>
              <w:t>8</w:t>
            </w:r>
          </w:p>
        </w:tc>
      </w:tr>
    </w:tbl>
    <w:p w:rsidR="00B45835" w:rsidRDefault="00EA5F90" w:rsidP="00EA5F90">
      <w:pPr>
        <w:pStyle w:val="Legend"/>
        <w:spacing w:after="0"/>
        <w:jc w:val="center"/>
        <w:rPr>
          <w:rFonts w:ascii="Arial Narrow" w:hAnsi="Arial Narrow"/>
          <w:b w:val="0"/>
        </w:rPr>
      </w:pPr>
      <w:r w:rsidRPr="00FA3844">
        <w:rPr>
          <w:rFonts w:ascii="Arial Narrow" w:hAnsi="Arial Narrow"/>
          <w:b w:val="0"/>
        </w:rPr>
        <w:t xml:space="preserve">Tabel </w:t>
      </w:r>
      <w:r w:rsidR="00BD7229" w:rsidRPr="00FA3844">
        <w:rPr>
          <w:rFonts w:ascii="Arial Narrow" w:hAnsi="Arial Narrow"/>
          <w:b w:val="0"/>
        </w:rPr>
        <w:fldChar w:fldCharType="begin"/>
      </w:r>
      <w:r w:rsidRPr="00FA3844">
        <w:rPr>
          <w:rFonts w:ascii="Arial Narrow" w:hAnsi="Arial Narrow"/>
          <w:b w:val="0"/>
        </w:rPr>
        <w:instrText xml:space="preserve"> SEQ Tabel \* ARABIC </w:instrText>
      </w:r>
      <w:r w:rsidR="00BD7229" w:rsidRPr="00FA3844">
        <w:rPr>
          <w:rFonts w:ascii="Arial Narrow" w:hAnsi="Arial Narrow"/>
          <w:b w:val="0"/>
        </w:rPr>
        <w:fldChar w:fldCharType="separate"/>
      </w:r>
      <w:r w:rsidRPr="00FA3844">
        <w:rPr>
          <w:rFonts w:ascii="Arial Narrow" w:hAnsi="Arial Narrow"/>
          <w:b w:val="0"/>
          <w:noProof/>
        </w:rPr>
        <w:t>8</w:t>
      </w:r>
      <w:r w:rsidR="00BD7229" w:rsidRPr="00FA3844">
        <w:rPr>
          <w:rFonts w:ascii="Arial Narrow" w:hAnsi="Arial Narrow"/>
          <w:b w:val="0"/>
        </w:rPr>
        <w:fldChar w:fldCharType="end"/>
      </w:r>
      <w:r w:rsidRPr="00FA3844">
        <w:rPr>
          <w:rFonts w:ascii="Arial Narrow" w:hAnsi="Arial Narrow"/>
          <w:b w:val="0"/>
        </w:rPr>
        <w:t>.Numărul de unități școlare din regiunea Centru pe nivele de instruire</w:t>
      </w:r>
      <w:r w:rsidR="00B45835">
        <w:rPr>
          <w:rFonts w:ascii="Arial Narrow" w:hAnsi="Arial Narrow"/>
          <w:b w:val="0"/>
        </w:rPr>
        <w:t xml:space="preserve"> </w:t>
      </w:r>
    </w:p>
    <w:p w:rsidR="00B45835" w:rsidRDefault="00B45835" w:rsidP="00B45835">
      <w:pPr>
        <w:spacing w:after="0" w:line="240" w:lineRule="auto"/>
        <w:ind w:left="4320" w:firstLine="720"/>
        <w:jc w:val="right"/>
        <w:rPr>
          <w:rFonts w:ascii="Arial Narrow" w:hAnsi="Arial Narrow"/>
          <w:b/>
          <w:i/>
          <w:sz w:val="14"/>
          <w:szCs w:val="14"/>
        </w:rPr>
      </w:pPr>
      <w:r w:rsidRPr="00FA3844">
        <w:rPr>
          <w:rFonts w:ascii="Arial Narrow" w:hAnsi="Arial Narrow"/>
          <w:b/>
          <w:i/>
          <w:sz w:val="14"/>
          <w:szCs w:val="14"/>
        </w:rPr>
        <w:t>Sursa: INS</w:t>
      </w:r>
    </w:p>
    <w:p w:rsidR="00B45835" w:rsidRPr="00B45835" w:rsidRDefault="00B45835" w:rsidP="00B45835">
      <w:pPr>
        <w:jc w:val="right"/>
        <w:rPr>
          <w:lang w:val="ro-RO" w:eastAsia="ro-RO"/>
        </w:rPr>
      </w:pPr>
    </w:p>
    <w:p w:rsidR="00B45835" w:rsidRPr="00B45835" w:rsidRDefault="00B45835" w:rsidP="00B45835">
      <w:pPr>
        <w:rPr>
          <w:lang w:val="ro-RO" w:eastAsia="ro-RO"/>
        </w:rPr>
      </w:pPr>
    </w:p>
    <w:p w:rsidR="00B45835" w:rsidRPr="00B45835" w:rsidRDefault="00B45835" w:rsidP="00B45835">
      <w:pPr>
        <w:rPr>
          <w:lang w:val="ro-RO" w:eastAsia="ro-RO"/>
        </w:rPr>
      </w:pPr>
    </w:p>
    <w:p w:rsidR="00EA5F90" w:rsidRPr="00B45835" w:rsidRDefault="00EA5F90" w:rsidP="00B45835">
      <w:pPr>
        <w:rPr>
          <w:lang w:val="ro-RO" w:eastAsia="ro-RO"/>
        </w:rPr>
      </w:pPr>
    </w:p>
    <w:p w:rsidR="00EA5F90" w:rsidRPr="009B4FBA" w:rsidRDefault="00B45835" w:rsidP="00EA5F90">
      <w:pPr>
        <w:spacing w:after="0" w:line="240" w:lineRule="auto"/>
        <w:jc w:val="both"/>
        <w:rPr>
          <w:rFonts w:ascii="Arial Narrow" w:hAnsi="Arial Narrow"/>
          <w:sz w:val="24"/>
          <w:szCs w:val="24"/>
        </w:rPr>
      </w:pPr>
      <w:r>
        <w:rPr>
          <w:rFonts w:ascii="Arial Narrow" w:hAnsi="Arial Narrow"/>
          <w:noProof/>
          <w:sz w:val="24"/>
          <w:szCs w:val="24"/>
        </w:rPr>
        <w:drawing>
          <wp:anchor distT="0" distB="0" distL="114300" distR="114300" simplePos="0" relativeHeight="251692032" behindDoc="0" locked="0" layoutInCell="1" allowOverlap="1">
            <wp:simplePos x="0" y="0"/>
            <wp:positionH relativeFrom="margin">
              <wp:posOffset>3443605</wp:posOffset>
            </wp:positionH>
            <wp:positionV relativeFrom="margin">
              <wp:posOffset>509905</wp:posOffset>
            </wp:positionV>
            <wp:extent cx="2304415" cy="1838325"/>
            <wp:effectExtent l="19050" t="0" r="635" b="0"/>
            <wp:wrapSquare wrapText="bothSides"/>
            <wp:docPr id="32"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61"/>
                    <a:srcRect/>
                    <a:stretch>
                      <a:fillRect/>
                    </a:stretch>
                  </pic:blipFill>
                  <pic:spPr bwMode="auto">
                    <a:xfrm>
                      <a:off x="0" y="0"/>
                      <a:ext cx="2304415" cy="1838325"/>
                    </a:xfrm>
                    <a:prstGeom prst="rect">
                      <a:avLst/>
                    </a:prstGeom>
                    <a:noFill/>
                  </pic:spPr>
                </pic:pic>
              </a:graphicData>
            </a:graphic>
          </wp:anchor>
        </w:drawing>
      </w:r>
      <w:r w:rsidR="00EA5F90">
        <w:rPr>
          <w:rFonts w:ascii="Arial Narrow" w:hAnsi="Arial Narrow"/>
          <w:sz w:val="24"/>
          <w:szCs w:val="24"/>
        </w:rPr>
        <w:t>În ceea ce privește unitățile de învățământ superior, raportat la numărul unităților, regiunea Centru se clasează pe locul patru, după București-Ilfov (34) și Nord-Vest(15) și Nord Est (14). Figura alăturată prezintă ponderea totală a unităților de învățâmânt superior de la nivelul regiunii raportat la celelalte regiuni (exterior) și ponderea unităților de învățământ superior public de la nivelul regiunii raportat la celelalte regiuni (interior).</w:t>
      </w:r>
      <w:r w:rsidR="00EA5F90" w:rsidRPr="00FD660C">
        <w:rPr>
          <w:noProof/>
          <w:lang w:eastAsia="ro-RO"/>
        </w:rPr>
        <w:t xml:space="preserve"> </w:t>
      </w:r>
    </w:p>
    <w:p w:rsidR="00EA5F90" w:rsidRDefault="00EA5F90" w:rsidP="00EA5F90">
      <w:pPr>
        <w:spacing w:after="0" w:line="240" w:lineRule="auto"/>
        <w:jc w:val="right"/>
        <w:rPr>
          <w:rFonts w:ascii="Arial Narrow" w:hAnsi="Arial Narrow"/>
          <w:b/>
          <w:i/>
          <w:sz w:val="14"/>
          <w:szCs w:val="14"/>
        </w:rPr>
      </w:pPr>
    </w:p>
    <w:p w:rsidR="00EA5F90" w:rsidRDefault="00EA5F90" w:rsidP="00EA5F90">
      <w:pPr>
        <w:spacing w:after="0" w:line="240" w:lineRule="auto"/>
        <w:jc w:val="both"/>
        <w:rPr>
          <w:rFonts w:ascii="Arial Narrow" w:hAnsi="Arial Narrow"/>
          <w:sz w:val="24"/>
          <w:szCs w:val="24"/>
        </w:rPr>
      </w:pPr>
      <w:r w:rsidRPr="00FD660C">
        <w:rPr>
          <w:rFonts w:ascii="Arial Narrow" w:hAnsi="Arial Narrow"/>
          <w:sz w:val="24"/>
          <w:szCs w:val="24"/>
        </w:rPr>
        <w:t xml:space="preserve">Conform datelor statistice, numărul școlilor tehnice de maiștri din regiune (210 în 1992) s-au desfințat de-a lungul timpul. În ceea ce privește specializările de interes pentru domeniul de specializare inteligentă mediul construit sustenabil, se prezintă sub formă tabelară lista unităților școlare cu filieră teoretică/tehnologică (profil real, ștințele naturii și protecția mediului, tehnic, silvic, școli profesionale și de meserii); conform datelor prezentate pe </w:t>
      </w:r>
      <w:hyperlink r:id="rId62" w:history="1">
        <w:r w:rsidRPr="00FD660C">
          <w:rPr>
            <w:rStyle w:val="Hyperlink"/>
            <w:rFonts w:ascii="Arial Narrow" w:hAnsi="Arial Narrow"/>
            <w:sz w:val="24"/>
            <w:szCs w:val="24"/>
          </w:rPr>
          <w:t>www.siiir.edu.ro</w:t>
        </w:r>
      </w:hyperlink>
      <w:r w:rsidRPr="00FD660C">
        <w:rPr>
          <w:rFonts w:ascii="Arial Narrow" w:hAnsi="Arial Narrow"/>
          <w:sz w:val="24"/>
          <w:szCs w:val="24"/>
        </w:rPr>
        <w:t xml:space="preserve"> (Ministerul Educației, Cartografia școlară), la nivelul regiunii există mai multe unități școlare repartizate astfel:</w:t>
      </w:r>
      <w:r w:rsidRPr="009B4FBA">
        <w:rPr>
          <w:rFonts w:ascii="Arial Narrow" w:hAnsi="Arial Narrow"/>
          <w:sz w:val="24"/>
          <w:szCs w:val="24"/>
        </w:rPr>
        <w:t xml:space="preserve"> </w:t>
      </w:r>
    </w:p>
    <w:p w:rsidR="00EA5F90" w:rsidRPr="00FA3844" w:rsidRDefault="00EA5F90" w:rsidP="00EA5F90">
      <w:pPr>
        <w:spacing w:after="0" w:line="240" w:lineRule="auto"/>
        <w:jc w:val="right"/>
        <w:rPr>
          <w:rFonts w:ascii="Arial Narrow" w:hAnsi="Arial Narrow"/>
          <w:b/>
          <w:i/>
          <w:sz w:val="14"/>
          <w:szCs w:val="14"/>
        </w:rPr>
      </w:pPr>
    </w:p>
    <w:tbl>
      <w:tblPr>
        <w:tblW w:w="919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4202"/>
        <w:gridCol w:w="625"/>
        <w:gridCol w:w="624"/>
        <w:gridCol w:w="624"/>
        <w:gridCol w:w="624"/>
        <w:gridCol w:w="624"/>
        <w:gridCol w:w="624"/>
        <w:gridCol w:w="624"/>
        <w:gridCol w:w="624"/>
      </w:tblGrid>
      <w:tr w:rsidR="00EA5F90" w:rsidRPr="003064E5" w:rsidTr="00EA5F90">
        <w:trPr>
          <w:trHeight w:val="270"/>
        </w:trPr>
        <w:tc>
          <w:tcPr>
            <w:tcW w:w="4202"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bookmarkStart w:id="8" w:name="OLE_LINK1"/>
            <w:r w:rsidRPr="003064E5">
              <w:rPr>
                <w:rFonts w:ascii="Arial Narrow" w:hAnsi="Arial Narrow"/>
                <w:b/>
                <w:bCs/>
                <w:sz w:val="16"/>
                <w:szCs w:val="16"/>
              </w:rPr>
              <w:t>Unitate de învățământ (număr)/Județ</w:t>
            </w:r>
          </w:p>
        </w:tc>
        <w:tc>
          <w:tcPr>
            <w:tcW w:w="625"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AB</w:t>
            </w: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BV</w:t>
            </w: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CV</w:t>
            </w: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HR</w:t>
            </w: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MS</w:t>
            </w: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SB</w:t>
            </w:r>
          </w:p>
        </w:tc>
        <w:tc>
          <w:tcPr>
            <w:tcW w:w="624" w:type="dxa"/>
            <w:tcBorders>
              <w:bottom w:val="single" w:sz="12" w:space="0" w:color="9CC2E5"/>
            </w:tcBorders>
            <w:shd w:val="clear" w:color="auto" w:fill="BDD6EE"/>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total</w:t>
            </w:r>
          </w:p>
        </w:tc>
      </w:tr>
      <w:tr w:rsidR="00EA5F90" w:rsidRPr="003064E5" w:rsidTr="00EA5F90">
        <w:trPr>
          <w:trHeight w:val="284"/>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Scoală profesională</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3</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2</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6</w:t>
            </w:r>
          </w:p>
        </w:tc>
      </w:tr>
      <w:tr w:rsidR="00EA5F90" w:rsidRPr="003064E5" w:rsidTr="00EA5F90">
        <w:trPr>
          <w:trHeight w:val="284"/>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Liceu tehnologic</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9</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6</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17</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19</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16</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67</w:t>
            </w:r>
          </w:p>
        </w:tc>
      </w:tr>
      <w:tr w:rsidR="00EA5F90" w:rsidRPr="003064E5" w:rsidTr="00EA5F90">
        <w:trPr>
          <w:trHeight w:val="268"/>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 xml:space="preserve">Alte licee </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6</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9</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4</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9</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9</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7</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44</w:t>
            </w:r>
          </w:p>
        </w:tc>
      </w:tr>
      <w:tr w:rsidR="00EA5F90" w:rsidRPr="003064E5" w:rsidTr="00EA5F90">
        <w:trPr>
          <w:trHeight w:val="284"/>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Colegii tehnice</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5</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7</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8</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2</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6</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29</w:t>
            </w:r>
          </w:p>
        </w:tc>
      </w:tr>
      <w:tr w:rsidR="00EA5F90" w:rsidRPr="003064E5" w:rsidTr="00EA5F90">
        <w:trPr>
          <w:trHeight w:val="189"/>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Colegii naționale (relevante pentru profil real)</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8</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8</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2</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3</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3</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4</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28</w:t>
            </w:r>
          </w:p>
        </w:tc>
      </w:tr>
      <w:tr w:rsidR="00EA5F90" w:rsidRPr="003064E5" w:rsidTr="00EA5F90">
        <w:trPr>
          <w:trHeight w:val="279"/>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Alte colegii (economice, de afaceri, stiinte,etc)</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2</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3</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3</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2</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11</w:t>
            </w:r>
          </w:p>
        </w:tc>
      </w:tr>
      <w:tr w:rsidR="00EA5F90" w:rsidRPr="003064E5" w:rsidTr="00EA5F90">
        <w:trPr>
          <w:trHeight w:val="70"/>
        </w:trPr>
        <w:tc>
          <w:tcPr>
            <w:tcW w:w="4202" w:type="dxa"/>
            <w:shd w:val="clear" w:color="auto" w:fill="auto"/>
          </w:tcPr>
          <w:p w:rsidR="00EA5F90" w:rsidRPr="003064E5" w:rsidRDefault="00EA5F90" w:rsidP="00EA5F90">
            <w:pPr>
              <w:spacing w:after="0" w:line="240" w:lineRule="auto"/>
              <w:rPr>
                <w:rFonts w:ascii="Arial Narrow" w:hAnsi="Arial Narrow"/>
                <w:b/>
                <w:bCs/>
                <w:sz w:val="16"/>
                <w:szCs w:val="16"/>
              </w:rPr>
            </w:pPr>
            <w:r w:rsidRPr="003064E5">
              <w:rPr>
                <w:rFonts w:ascii="Arial Narrow" w:hAnsi="Arial Narrow"/>
                <w:b/>
                <w:bCs/>
                <w:sz w:val="16"/>
                <w:szCs w:val="16"/>
              </w:rPr>
              <w:t>Scoli tehnice postliceale</w:t>
            </w:r>
          </w:p>
        </w:tc>
        <w:tc>
          <w:tcPr>
            <w:tcW w:w="625"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1</w:t>
            </w:r>
          </w:p>
        </w:tc>
        <w:tc>
          <w:tcPr>
            <w:tcW w:w="624" w:type="dxa"/>
            <w:shd w:val="clear" w:color="auto" w:fill="auto"/>
          </w:tcPr>
          <w:p w:rsidR="00EA5F90" w:rsidRPr="003064E5" w:rsidRDefault="00EA5F90" w:rsidP="00EA5F90">
            <w:pPr>
              <w:spacing w:after="0" w:line="240" w:lineRule="auto"/>
              <w:rPr>
                <w:rFonts w:ascii="Arial Narrow" w:hAnsi="Arial Narrow"/>
                <w:sz w:val="16"/>
                <w:szCs w:val="16"/>
              </w:rPr>
            </w:pPr>
            <w:r w:rsidRPr="003064E5">
              <w:rPr>
                <w:rFonts w:ascii="Arial Narrow" w:hAnsi="Arial Narrow"/>
                <w:sz w:val="16"/>
                <w:szCs w:val="16"/>
              </w:rPr>
              <w:t>0</w:t>
            </w:r>
          </w:p>
        </w:tc>
        <w:tc>
          <w:tcPr>
            <w:tcW w:w="624" w:type="dxa"/>
            <w:shd w:val="clear" w:color="auto" w:fill="auto"/>
          </w:tcPr>
          <w:p w:rsidR="00EA5F90" w:rsidRPr="003064E5" w:rsidRDefault="00EA5F90" w:rsidP="00EA5F90">
            <w:pPr>
              <w:spacing w:after="0" w:line="240" w:lineRule="auto"/>
              <w:rPr>
                <w:rFonts w:ascii="Arial Narrow" w:hAnsi="Arial Narrow"/>
                <w:b/>
                <w:sz w:val="16"/>
                <w:szCs w:val="16"/>
              </w:rPr>
            </w:pPr>
            <w:r w:rsidRPr="003064E5">
              <w:rPr>
                <w:rFonts w:ascii="Arial Narrow" w:hAnsi="Arial Narrow"/>
                <w:b/>
                <w:sz w:val="16"/>
                <w:szCs w:val="16"/>
              </w:rPr>
              <w:t>1</w:t>
            </w:r>
          </w:p>
        </w:tc>
      </w:tr>
      <w:bookmarkEnd w:id="8"/>
    </w:tbl>
    <w:p w:rsidR="00EA5F90" w:rsidRDefault="00EA5F90" w:rsidP="00EA5F90">
      <w:pPr>
        <w:spacing w:after="0" w:line="240" w:lineRule="auto"/>
        <w:jc w:val="both"/>
        <w:rPr>
          <w:rFonts w:ascii="Arial Narrow" w:hAnsi="Arial Narrow"/>
          <w:sz w:val="24"/>
          <w:szCs w:val="24"/>
        </w:rPr>
      </w:pPr>
    </w:p>
    <w:p w:rsidR="00EA5F90" w:rsidRDefault="00EA5F90" w:rsidP="00EA5F90">
      <w:pPr>
        <w:spacing w:after="0" w:line="240" w:lineRule="auto"/>
        <w:jc w:val="both"/>
        <w:rPr>
          <w:rFonts w:ascii="Arial Narrow" w:hAnsi="Arial Narrow"/>
          <w:sz w:val="24"/>
          <w:szCs w:val="24"/>
        </w:rPr>
      </w:pPr>
      <w:r w:rsidRPr="009529A0">
        <w:rPr>
          <w:rFonts w:ascii="Arial Narrow" w:hAnsi="Arial Narrow"/>
          <w:sz w:val="24"/>
          <w:szCs w:val="24"/>
        </w:rPr>
        <w:t xml:space="preserve">În ceea ce privește învățământul superior, la nivelul regiunii există </w:t>
      </w:r>
      <w:r>
        <w:rPr>
          <w:rFonts w:ascii="Arial Narrow" w:hAnsi="Arial Narrow"/>
          <w:sz w:val="24"/>
          <w:szCs w:val="24"/>
        </w:rPr>
        <w:t>cinci universități care au profile relevante în domeniu:</w:t>
      </w:r>
    </w:p>
    <w:p w:rsidR="00EA5F90" w:rsidRPr="009529A0" w:rsidRDefault="00EA5F90" w:rsidP="00981E9F">
      <w:pPr>
        <w:pStyle w:val="Listparagraf"/>
        <w:numPr>
          <w:ilvl w:val="0"/>
          <w:numId w:val="53"/>
        </w:numPr>
        <w:tabs>
          <w:tab w:val="left" w:pos="284"/>
        </w:tabs>
        <w:spacing w:after="0" w:line="240" w:lineRule="auto"/>
        <w:ind w:left="851" w:hanging="851"/>
        <w:jc w:val="both"/>
        <w:rPr>
          <w:rFonts w:ascii="Arial Narrow" w:hAnsi="Arial Narrow"/>
          <w:sz w:val="24"/>
          <w:szCs w:val="24"/>
        </w:rPr>
      </w:pPr>
      <w:r w:rsidRPr="009529A0">
        <w:rPr>
          <w:rFonts w:ascii="Arial Narrow" w:hAnsi="Arial Narrow"/>
          <w:sz w:val="24"/>
          <w:szCs w:val="24"/>
        </w:rPr>
        <w:t>Universitatea „Transilvania” Braşov</w:t>
      </w:r>
      <w:r>
        <w:rPr>
          <w:rFonts w:ascii="Arial Narrow" w:hAnsi="Arial Narrow"/>
          <w:sz w:val="24"/>
          <w:szCs w:val="24"/>
        </w:rPr>
        <w:t xml:space="preserve"> - aici găsindu-se și singura Facultate de Industria Lemnului din țară</w:t>
      </w:r>
    </w:p>
    <w:p w:rsidR="00EA5F90" w:rsidRPr="009529A0" w:rsidRDefault="00EA5F90" w:rsidP="00981E9F">
      <w:pPr>
        <w:pStyle w:val="Listparagraf"/>
        <w:numPr>
          <w:ilvl w:val="0"/>
          <w:numId w:val="53"/>
        </w:numPr>
        <w:tabs>
          <w:tab w:val="left" w:pos="284"/>
        </w:tabs>
        <w:spacing w:after="0" w:line="240" w:lineRule="auto"/>
        <w:ind w:left="851" w:hanging="851"/>
        <w:jc w:val="both"/>
        <w:rPr>
          <w:rFonts w:ascii="Arial Narrow" w:hAnsi="Arial Narrow"/>
          <w:sz w:val="24"/>
          <w:szCs w:val="24"/>
        </w:rPr>
      </w:pPr>
      <w:r w:rsidRPr="009529A0">
        <w:rPr>
          <w:rFonts w:ascii="Arial Narrow" w:hAnsi="Arial Narrow"/>
          <w:sz w:val="24"/>
          <w:szCs w:val="24"/>
        </w:rPr>
        <w:t>Universitatea Petru Maior</w:t>
      </w:r>
    </w:p>
    <w:p w:rsidR="00EA5F90" w:rsidRPr="009529A0" w:rsidRDefault="00EA5F90" w:rsidP="00981E9F">
      <w:pPr>
        <w:pStyle w:val="Listparagraf"/>
        <w:numPr>
          <w:ilvl w:val="0"/>
          <w:numId w:val="53"/>
        </w:numPr>
        <w:tabs>
          <w:tab w:val="left" w:pos="284"/>
        </w:tabs>
        <w:spacing w:after="0" w:line="240" w:lineRule="auto"/>
        <w:ind w:left="851" w:hanging="851"/>
        <w:jc w:val="both"/>
        <w:rPr>
          <w:rFonts w:ascii="Arial Narrow" w:hAnsi="Arial Narrow"/>
          <w:sz w:val="24"/>
          <w:szCs w:val="24"/>
        </w:rPr>
      </w:pPr>
      <w:r w:rsidRPr="009529A0">
        <w:rPr>
          <w:rFonts w:ascii="Arial Narrow" w:hAnsi="Arial Narrow"/>
          <w:sz w:val="24"/>
          <w:szCs w:val="24"/>
        </w:rPr>
        <w:t>Universitatea „1 DECEMBRIE 1918"</w:t>
      </w:r>
    </w:p>
    <w:p w:rsidR="00EA5F90" w:rsidRPr="009529A0" w:rsidRDefault="00EA5F90" w:rsidP="00981E9F">
      <w:pPr>
        <w:pStyle w:val="Listparagraf"/>
        <w:numPr>
          <w:ilvl w:val="0"/>
          <w:numId w:val="53"/>
        </w:numPr>
        <w:tabs>
          <w:tab w:val="left" w:pos="284"/>
        </w:tabs>
        <w:spacing w:after="0" w:line="240" w:lineRule="auto"/>
        <w:ind w:left="851" w:hanging="851"/>
        <w:jc w:val="both"/>
        <w:rPr>
          <w:rFonts w:ascii="Arial Narrow" w:hAnsi="Arial Narrow"/>
          <w:sz w:val="24"/>
          <w:szCs w:val="24"/>
        </w:rPr>
      </w:pPr>
      <w:r w:rsidRPr="009529A0">
        <w:rPr>
          <w:rFonts w:ascii="Arial Narrow" w:hAnsi="Arial Narrow"/>
          <w:sz w:val="24"/>
          <w:szCs w:val="24"/>
        </w:rPr>
        <w:t>Universitatea „Lucian Blaga"</w:t>
      </w:r>
    </w:p>
    <w:p w:rsidR="00EA5F90" w:rsidRPr="009529A0" w:rsidRDefault="00EA5F90" w:rsidP="00981E9F">
      <w:pPr>
        <w:pStyle w:val="Listparagraf"/>
        <w:numPr>
          <w:ilvl w:val="0"/>
          <w:numId w:val="53"/>
        </w:numPr>
        <w:tabs>
          <w:tab w:val="left" w:pos="284"/>
        </w:tabs>
        <w:spacing w:after="0" w:line="240" w:lineRule="auto"/>
        <w:ind w:left="851" w:hanging="851"/>
        <w:jc w:val="both"/>
        <w:rPr>
          <w:rFonts w:ascii="Arial Narrow" w:hAnsi="Arial Narrow"/>
          <w:sz w:val="24"/>
          <w:szCs w:val="24"/>
        </w:rPr>
      </w:pPr>
      <w:r w:rsidRPr="009529A0">
        <w:rPr>
          <w:rFonts w:ascii="Arial Narrow" w:hAnsi="Arial Narrow"/>
          <w:sz w:val="24"/>
          <w:szCs w:val="24"/>
        </w:rPr>
        <w:t>Universitatea ”Sapientia”</w:t>
      </w:r>
    </w:p>
    <w:p w:rsidR="00EA5F90" w:rsidRDefault="00EA5F90" w:rsidP="00EA5F90">
      <w:pPr>
        <w:spacing w:after="0" w:line="240" w:lineRule="auto"/>
        <w:jc w:val="both"/>
        <w:rPr>
          <w:rFonts w:ascii="Arial Narrow" w:hAnsi="Arial Narrow"/>
          <w:sz w:val="24"/>
          <w:szCs w:val="24"/>
        </w:rPr>
      </w:pPr>
    </w:p>
    <w:p w:rsidR="00EA5F90" w:rsidRDefault="00EA5F90" w:rsidP="00EA5F90">
      <w:pPr>
        <w:spacing w:after="0" w:line="240" w:lineRule="auto"/>
        <w:jc w:val="both"/>
        <w:rPr>
          <w:rFonts w:ascii="Arial Narrow" w:hAnsi="Arial Narrow"/>
          <w:sz w:val="24"/>
          <w:szCs w:val="24"/>
        </w:rPr>
      </w:pPr>
    </w:p>
    <w:p w:rsidR="00EA5F90" w:rsidRDefault="00EA5F90" w:rsidP="00EA5F90">
      <w:pPr>
        <w:spacing w:after="0" w:line="240" w:lineRule="auto"/>
        <w:jc w:val="both"/>
        <w:rPr>
          <w:rFonts w:ascii="Arial Narrow" w:hAnsi="Arial Narrow"/>
          <w:sz w:val="24"/>
          <w:szCs w:val="24"/>
        </w:rPr>
      </w:pPr>
    </w:p>
    <w:p w:rsidR="00EA5F90" w:rsidRDefault="00BD7229" w:rsidP="00EA5F90">
      <w:pPr>
        <w:spacing w:after="0" w:line="240" w:lineRule="auto"/>
        <w:jc w:val="both"/>
        <w:rPr>
          <w:rFonts w:ascii="Arial Narrow" w:hAnsi="Arial Narrow"/>
          <w:b/>
          <w:i/>
          <w:sz w:val="24"/>
          <w:szCs w:val="24"/>
        </w:rPr>
      </w:pPr>
      <w:r w:rsidRPr="00BD7229">
        <w:rPr>
          <w:noProof/>
        </w:rPr>
        <w:lastRenderedPageBreak/>
        <w:pict>
          <v:shape id="Text Box 13" o:spid="_x0000_s1043" type="#_x0000_t202" style="position:absolute;left:0;text-align:left;margin-left:-18.8pt;margin-top:0;width:512.15pt;height:662.25pt;z-index:251678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" fillcolor="#ededed" strokecolor="#5b9bd5" strokeweight="1pt">
            <v:textbox>
              <w:txbxContent>
                <w:p w:rsidR="00064502" w:rsidRPr="00CC1086" w:rsidRDefault="00064502" w:rsidP="00EA5F90">
                  <w:pPr>
                    <w:spacing w:after="0" w:line="240" w:lineRule="auto"/>
                    <w:jc w:val="center"/>
                    <w:rPr>
                      <w:rFonts w:ascii="Arial Narrow" w:hAnsi="Arial Narrow"/>
                      <w:b/>
                      <w:szCs w:val="20"/>
                    </w:rPr>
                  </w:pPr>
                  <w:r w:rsidRPr="00CC1086">
                    <w:rPr>
                      <w:rFonts w:ascii="Arial Narrow" w:hAnsi="Arial Narrow"/>
                      <w:b/>
                      <w:szCs w:val="20"/>
                    </w:rPr>
                    <w:t>MEDIUL CONSTRUIT SUSTENABIL</w:t>
                  </w:r>
                </w:p>
                <w:p w:rsidR="00064502" w:rsidRPr="003064E5" w:rsidRDefault="00064502" w:rsidP="00EA5F90">
                  <w:pPr>
                    <w:spacing w:after="0" w:line="240" w:lineRule="auto"/>
                    <w:jc w:val="center"/>
                    <w:rPr>
                      <w:rFonts w:ascii="Arial Narrow" w:hAnsi="Arial Narrow"/>
                      <w:b/>
                      <w:color w:val="70AD47"/>
                      <w:szCs w:val="20"/>
                    </w:rPr>
                  </w:pPr>
                  <w:r w:rsidRPr="003064E5">
                    <w:rPr>
                      <w:rFonts w:ascii="Arial Narrow" w:hAnsi="Arial Narrow"/>
                      <w:b/>
                      <w:color w:val="70AD47"/>
                      <w:szCs w:val="20"/>
                    </w:rPr>
                    <w:t>Avantaje cheie ale regiunii Centru</w:t>
                  </w:r>
                </w:p>
                <w:p w:rsidR="00064502" w:rsidRPr="00CC1086" w:rsidRDefault="00064502" w:rsidP="00EA5F90">
                  <w:pPr>
                    <w:jc w:val="center"/>
                    <w:rPr>
                      <w:rFonts w:ascii="Arial Narrow" w:hAnsi="Arial Narrow"/>
                      <w:b/>
                      <w:szCs w:val="20"/>
                    </w:rPr>
                  </w:pPr>
                </w:p>
                <w:p w:rsidR="00064502" w:rsidRPr="00CC1086" w:rsidRDefault="00064502" w:rsidP="00981E9F">
                  <w:pPr>
                    <w:pStyle w:val="Listparagraf"/>
                    <w:numPr>
                      <w:ilvl w:val="0"/>
                      <w:numId w:val="51"/>
                    </w:numPr>
                    <w:tabs>
                      <w:tab w:val="left" w:pos="142"/>
                    </w:tabs>
                    <w:spacing w:after="0" w:line="240" w:lineRule="auto"/>
                    <w:jc w:val="both"/>
                    <w:rPr>
                      <w:rFonts w:ascii="Arial Narrow" w:hAnsi="Arial Narrow"/>
                      <w:szCs w:val="20"/>
                    </w:rPr>
                  </w:pPr>
                  <w:r w:rsidRPr="00CC1086">
                    <w:rPr>
                      <w:rFonts w:ascii="Arial Narrow" w:hAnsi="Arial Narrow"/>
                      <w:szCs w:val="20"/>
                    </w:rPr>
                    <w:t>regiune bogată în resurse naturale (minerale și energetice)</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potențial bioenergetic ridicat;</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existența proiectelor pilot de valorificare a biomasei în sistem centralizat (Miercurea Ciuc, Gheorgheni etc)</w:t>
                  </w:r>
                </w:p>
                <w:p w:rsidR="00064502" w:rsidRPr="00CC1086" w:rsidRDefault="00064502" w:rsidP="00981E9F">
                  <w:pPr>
                    <w:pStyle w:val="Listparagraf"/>
                    <w:numPr>
                      <w:ilvl w:val="0"/>
                      <w:numId w:val="51"/>
                    </w:numPr>
                    <w:tabs>
                      <w:tab w:val="left" w:pos="0"/>
                      <w:tab w:val="left" w:pos="284"/>
                    </w:tabs>
                    <w:spacing w:after="0" w:line="240" w:lineRule="auto"/>
                    <w:jc w:val="both"/>
                    <w:rPr>
                      <w:rFonts w:ascii="Arial Narrow" w:hAnsi="Arial Narrow"/>
                      <w:szCs w:val="20"/>
                    </w:rPr>
                  </w:pPr>
                  <w:r w:rsidRPr="00CC1086">
                    <w:rPr>
                      <w:rFonts w:ascii="Arial Narrow" w:hAnsi="Arial Narrow"/>
                      <w:szCs w:val="20"/>
                    </w:rPr>
                    <w:t>funizori de cunoaștere activi și cu experiență in domeniu, capabili să contribuie la dezvoltarea sectorului (mediul academic, insitute de cercetare etc.)</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existența unor centre de formare specializate în regiune (Universitatea Transilvania Brașov, Universitatea „Lucian Blaga” Sibiu, Universitatea „Petru Maior” Tîrgu Mureș, Universitatea „1 Decembrie” Alba Iulia etc.)</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număr mare de întreprinderi și activitatate economică ridicată în sectoarele ce constituie domeniul mediul construit;</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al doilea mare jucător de pe piața materialelor de construcții;</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24%* din întreprinderile active la nivel național în domeniul prelucrării lemnului (CAEN 16);</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unul din cei mai mari producători din domeniul termoizolațiilor;</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30.0000* persoane angajate în companii legate de sectorul materialelor de construcțiilor;</w:t>
                  </w:r>
                </w:p>
                <w:p w:rsidR="00064502" w:rsidRPr="00CC1086" w:rsidRDefault="00064502" w:rsidP="00981E9F">
                  <w:pPr>
                    <w:pStyle w:val="Listparagraf"/>
                    <w:numPr>
                      <w:ilvl w:val="0"/>
                      <w:numId w:val="51"/>
                    </w:numPr>
                    <w:tabs>
                      <w:tab w:val="left" w:pos="142"/>
                      <w:tab w:val="left" w:pos="284"/>
                      <w:tab w:val="left" w:pos="360"/>
                      <w:tab w:val="left" w:pos="2268"/>
                    </w:tabs>
                    <w:spacing w:after="0" w:line="240" w:lineRule="auto"/>
                    <w:jc w:val="both"/>
                    <w:rPr>
                      <w:rFonts w:ascii="Arial Narrow" w:hAnsi="Arial Narrow"/>
                      <w:szCs w:val="20"/>
                    </w:rPr>
                  </w:pPr>
                  <w:r w:rsidRPr="00CC1086">
                    <w:rPr>
                      <w:rFonts w:ascii="Arial Narrow" w:hAnsi="Arial Narrow"/>
                      <w:szCs w:val="20"/>
                    </w:rPr>
                    <w:t>interes ridicat din partea societăților în dezvoltarea de materiale și produse care să asigure eficiență și consum redus de resurse (activități de cercetare în domeniul izolațiilor);</w:t>
                  </w:r>
                </w:p>
                <w:p w:rsidR="00064502" w:rsidRPr="00CC1086" w:rsidRDefault="00064502" w:rsidP="00981E9F">
                  <w:pPr>
                    <w:pStyle w:val="Listparagraf"/>
                    <w:numPr>
                      <w:ilvl w:val="0"/>
                      <w:numId w:val="51"/>
                    </w:numPr>
                    <w:tabs>
                      <w:tab w:val="left" w:pos="142"/>
                      <w:tab w:val="left" w:pos="284"/>
                      <w:tab w:val="left" w:pos="360"/>
                      <w:tab w:val="left" w:pos="2268"/>
                    </w:tabs>
                    <w:spacing w:after="0" w:line="240" w:lineRule="auto"/>
                    <w:jc w:val="both"/>
                    <w:rPr>
                      <w:rFonts w:ascii="Arial Narrow" w:hAnsi="Arial Narrow"/>
                      <w:szCs w:val="20"/>
                    </w:rPr>
                  </w:pPr>
                  <w:r w:rsidRPr="00CC1086">
                    <w:rPr>
                      <w:rFonts w:ascii="Arial Narrow" w:hAnsi="Arial Narrow"/>
                      <w:szCs w:val="20"/>
                    </w:rPr>
                    <w:t>colaborări între mediul privat și cel academic în domeniul materialelor și produselor avansate, eficienței energetice și producerii energiei din SRE (demonstrat prin proiectele implementate și prin varietate de proiecte CD realizate în beneficiul mediului privat  din regiune (39 de proiecte propuse spre finanțare prin Bridge Grant în 2016));</w:t>
                  </w:r>
                </w:p>
                <w:p w:rsidR="00064502" w:rsidRPr="00CC1086" w:rsidRDefault="00064502" w:rsidP="00981E9F">
                  <w:pPr>
                    <w:pStyle w:val="Listparagraf"/>
                    <w:numPr>
                      <w:ilvl w:val="0"/>
                      <w:numId w:val="51"/>
                    </w:numPr>
                    <w:tabs>
                      <w:tab w:val="left" w:pos="142"/>
                      <w:tab w:val="left" w:pos="284"/>
                      <w:tab w:val="left" w:pos="709"/>
                      <w:tab w:val="left" w:pos="2268"/>
                    </w:tabs>
                    <w:spacing w:after="0" w:line="240" w:lineRule="auto"/>
                    <w:jc w:val="both"/>
                    <w:rPr>
                      <w:rFonts w:ascii="Arial Narrow" w:hAnsi="Arial Narrow"/>
                      <w:szCs w:val="20"/>
                    </w:rPr>
                  </w:pPr>
                  <w:r w:rsidRPr="00CC1086">
                    <w:rPr>
                      <w:rFonts w:ascii="Arial Narrow" w:hAnsi="Arial Narrow"/>
                      <w:szCs w:val="20"/>
                    </w:rPr>
                    <w:t xml:space="preserve"> preocuparea acordată eficientizării fondului de locuințe existent (peste 28.000 de apartamente reabilitate termic în perioada 2006-2013; existența unor operatori economici importanți în domeniul termoizolării clădilor, tâmplăriei etc)</w:t>
                  </w:r>
                </w:p>
                <w:p w:rsidR="00064502" w:rsidRPr="00CC1086" w:rsidRDefault="00064502" w:rsidP="00981E9F">
                  <w:pPr>
                    <w:pStyle w:val="Listparagraf"/>
                    <w:numPr>
                      <w:ilvl w:val="0"/>
                      <w:numId w:val="51"/>
                    </w:numPr>
                    <w:tabs>
                      <w:tab w:val="left" w:pos="142"/>
                      <w:tab w:val="left" w:pos="284"/>
                      <w:tab w:val="left" w:pos="709"/>
                      <w:tab w:val="left" w:pos="2268"/>
                    </w:tabs>
                    <w:spacing w:after="0" w:line="240" w:lineRule="auto"/>
                    <w:jc w:val="both"/>
                    <w:rPr>
                      <w:rFonts w:ascii="Arial Narrow" w:hAnsi="Arial Narrow"/>
                      <w:szCs w:val="20"/>
                    </w:rPr>
                  </w:pPr>
                  <w:r w:rsidRPr="00CC1086">
                    <w:rPr>
                      <w:rFonts w:ascii="Arial Narrow" w:hAnsi="Arial Narrow"/>
                      <w:szCs w:val="20"/>
                    </w:rPr>
                    <w:t>interes ridicat al mediului academic din regiune în dezvoltarea sistemelor de creștere a eficienței energetice, dovedit prin proiectele CDI implementate/în curs de implementare.</w:t>
                  </w:r>
                </w:p>
                <w:p w:rsidR="00064502" w:rsidRPr="00CC1086" w:rsidRDefault="00064502" w:rsidP="00981E9F">
                  <w:pPr>
                    <w:pStyle w:val="Listparagraf"/>
                    <w:numPr>
                      <w:ilvl w:val="0"/>
                      <w:numId w:val="51"/>
                    </w:numPr>
                    <w:tabs>
                      <w:tab w:val="left" w:pos="142"/>
                      <w:tab w:val="left" w:pos="284"/>
                      <w:tab w:val="left" w:pos="360"/>
                      <w:tab w:val="left" w:pos="2268"/>
                    </w:tabs>
                    <w:spacing w:after="0" w:line="240" w:lineRule="auto"/>
                    <w:jc w:val="both"/>
                    <w:rPr>
                      <w:rFonts w:ascii="Arial Narrow" w:hAnsi="Arial Narrow"/>
                      <w:szCs w:val="20"/>
                    </w:rPr>
                  </w:pPr>
                  <w:r w:rsidRPr="00CC1086">
                    <w:rPr>
                      <w:rFonts w:ascii="Arial Narrow" w:hAnsi="Arial Narrow"/>
                      <w:szCs w:val="20"/>
                    </w:rPr>
                    <w:t>existența unor firme de arhitectură și proiectare care au preocupări în domeniul clădirilor eficiente energetic și asezări urbane durabile;</w:t>
                  </w:r>
                </w:p>
                <w:p w:rsidR="00064502" w:rsidRPr="00CC1086" w:rsidRDefault="00064502" w:rsidP="00981E9F">
                  <w:pPr>
                    <w:pStyle w:val="Listparagraf"/>
                    <w:numPr>
                      <w:ilvl w:val="0"/>
                      <w:numId w:val="51"/>
                    </w:numPr>
                    <w:tabs>
                      <w:tab w:val="left" w:pos="284"/>
                      <w:tab w:val="left" w:pos="360"/>
                      <w:tab w:val="left" w:pos="2268"/>
                    </w:tabs>
                    <w:spacing w:after="0" w:line="240" w:lineRule="auto"/>
                    <w:jc w:val="both"/>
                    <w:rPr>
                      <w:rFonts w:ascii="Arial Narrow" w:hAnsi="Arial Narrow"/>
                      <w:szCs w:val="20"/>
                    </w:rPr>
                  </w:pPr>
                  <w:r w:rsidRPr="00CC1086">
                    <w:rPr>
                      <w:rFonts w:ascii="Arial Narrow" w:hAnsi="Arial Narrow"/>
                      <w:szCs w:val="20"/>
                    </w:rPr>
                    <w:t>interes crescut în punerea în aplicarea a noilor metode de reducere a consumului de resurse și eficiență energetică, demonstrat prin proiectele pilot implementate la nivel regional (neZEH) sau casele eficiente energetic respectând principiile de proiectare ale caselor pasive din Brașov.</w:t>
                  </w:r>
                </w:p>
                <w:p w:rsidR="00064502" w:rsidRPr="00CC1086" w:rsidRDefault="00064502" w:rsidP="00981E9F">
                  <w:pPr>
                    <w:pStyle w:val="Listparagraf"/>
                    <w:numPr>
                      <w:ilvl w:val="0"/>
                      <w:numId w:val="51"/>
                    </w:numPr>
                    <w:tabs>
                      <w:tab w:val="left" w:pos="142"/>
                      <w:tab w:val="left" w:pos="284"/>
                    </w:tabs>
                    <w:spacing w:after="0" w:line="240" w:lineRule="auto"/>
                    <w:jc w:val="both"/>
                    <w:rPr>
                      <w:rFonts w:ascii="Arial Narrow" w:hAnsi="Arial Narrow"/>
                      <w:szCs w:val="20"/>
                    </w:rPr>
                  </w:pPr>
                  <w:r w:rsidRPr="00CC1086">
                    <w:rPr>
                      <w:rFonts w:ascii="Arial Narrow" w:hAnsi="Arial Narrow"/>
                      <w:szCs w:val="20"/>
                    </w:rPr>
                    <w:t>cele mai multe investiții de mediu realizate în 2014, respectiv 23% din totalul național;</w:t>
                  </w:r>
                </w:p>
                <w:p w:rsidR="00064502" w:rsidRPr="00CC1086" w:rsidRDefault="00064502" w:rsidP="00981E9F">
                  <w:pPr>
                    <w:pStyle w:val="Listparagraf"/>
                    <w:numPr>
                      <w:ilvl w:val="0"/>
                      <w:numId w:val="51"/>
                    </w:numPr>
                    <w:tabs>
                      <w:tab w:val="left" w:pos="284"/>
                      <w:tab w:val="left" w:pos="709"/>
                      <w:tab w:val="left" w:pos="2268"/>
                    </w:tabs>
                    <w:spacing w:after="0" w:line="240" w:lineRule="auto"/>
                    <w:jc w:val="both"/>
                    <w:rPr>
                      <w:rFonts w:ascii="Arial Narrow" w:hAnsi="Arial Narrow"/>
                      <w:szCs w:val="20"/>
                    </w:rPr>
                  </w:pPr>
                  <w:r w:rsidRPr="00CC1086">
                    <w:rPr>
                      <w:rFonts w:ascii="Arial Narrow" w:hAnsi="Arial Narrow"/>
                      <w:szCs w:val="20"/>
                    </w:rPr>
                    <w:t>accesibilitate ridicată către și dinspre regiune, datorită infrastructurii modernizate și poziționării în centrul țării;</w:t>
                  </w:r>
                </w:p>
                <w:p w:rsidR="00064502" w:rsidRPr="00CC1086" w:rsidRDefault="00064502" w:rsidP="00981E9F">
                  <w:pPr>
                    <w:pStyle w:val="Listparagraf"/>
                    <w:numPr>
                      <w:ilvl w:val="0"/>
                      <w:numId w:val="51"/>
                    </w:numPr>
                    <w:tabs>
                      <w:tab w:val="left" w:pos="284"/>
                      <w:tab w:val="left" w:pos="426"/>
                      <w:tab w:val="left" w:pos="2268"/>
                    </w:tabs>
                    <w:spacing w:after="0" w:line="240" w:lineRule="auto"/>
                    <w:jc w:val="both"/>
                    <w:rPr>
                      <w:rFonts w:ascii="Arial Narrow" w:hAnsi="Arial Narrow"/>
                      <w:szCs w:val="20"/>
                    </w:rPr>
                  </w:pPr>
                  <w:r w:rsidRPr="00CC1086">
                    <w:rPr>
                      <w:rFonts w:ascii="Arial Narrow" w:hAnsi="Arial Narrow"/>
                      <w:szCs w:val="20"/>
                    </w:rPr>
                    <w:t>locul 1 în ceea ce privește suprafața acoperită cu situri Natura 2000 - 36,72% din suprafața teritoriului regiunii este acoperit de arii protejate, crescând atractivitatea regiunii;</w:t>
                  </w:r>
                </w:p>
                <w:p w:rsidR="00064502" w:rsidRPr="00CC1086" w:rsidRDefault="00064502" w:rsidP="00981E9F">
                  <w:pPr>
                    <w:pStyle w:val="Listparagraf"/>
                    <w:numPr>
                      <w:ilvl w:val="0"/>
                      <w:numId w:val="51"/>
                    </w:numPr>
                    <w:tabs>
                      <w:tab w:val="left" w:pos="284"/>
                      <w:tab w:val="left" w:pos="426"/>
                      <w:tab w:val="left" w:pos="2268"/>
                    </w:tabs>
                    <w:spacing w:after="0" w:line="240" w:lineRule="auto"/>
                    <w:jc w:val="both"/>
                    <w:rPr>
                      <w:rFonts w:ascii="Arial Narrow" w:hAnsi="Arial Narrow"/>
                      <w:szCs w:val="20"/>
                    </w:rPr>
                  </w:pPr>
                  <w:r w:rsidRPr="00CC1086">
                    <w:rPr>
                      <w:rFonts w:ascii="Arial Narrow" w:hAnsi="Arial Narrow"/>
                      <w:szCs w:val="20"/>
                    </w:rPr>
                    <w:t>infrastructură urbană spațială echilibrată și structură teritorială coerentă, cu inter-relaţionări reale în domeniul social, economic şi administrativ;</w:t>
                  </w:r>
                </w:p>
                <w:p w:rsidR="00064502" w:rsidRPr="00CC1086" w:rsidRDefault="00064502" w:rsidP="00981E9F">
                  <w:pPr>
                    <w:pStyle w:val="Listparagraf"/>
                    <w:numPr>
                      <w:ilvl w:val="0"/>
                      <w:numId w:val="51"/>
                    </w:numPr>
                    <w:tabs>
                      <w:tab w:val="left" w:pos="284"/>
                      <w:tab w:val="left" w:pos="709"/>
                      <w:tab w:val="left" w:pos="2268"/>
                    </w:tabs>
                    <w:spacing w:after="0" w:line="240" w:lineRule="auto"/>
                    <w:jc w:val="both"/>
                    <w:rPr>
                      <w:rFonts w:ascii="Arial Narrow" w:hAnsi="Arial Narrow"/>
                      <w:szCs w:val="20"/>
                    </w:rPr>
                  </w:pPr>
                  <w:r w:rsidRPr="00CC1086">
                    <w:rPr>
                      <w:rFonts w:ascii="Arial Narrow" w:hAnsi="Arial Narrow"/>
                      <w:szCs w:val="20"/>
                    </w:rPr>
                    <w:t>importante investiții în dezvoltarea, modernizarea și rebilitarea infrastructurii de apă și apă uzată, gestiunii deșeurilor.</w:t>
                  </w:r>
                </w:p>
                <w:p w:rsidR="00064502" w:rsidRPr="00CC1086" w:rsidRDefault="00064502" w:rsidP="00981E9F">
                  <w:pPr>
                    <w:pStyle w:val="Listparagraf"/>
                    <w:numPr>
                      <w:ilvl w:val="0"/>
                      <w:numId w:val="51"/>
                    </w:numPr>
                    <w:tabs>
                      <w:tab w:val="left" w:pos="284"/>
                      <w:tab w:val="left" w:pos="360"/>
                      <w:tab w:val="left" w:pos="2268"/>
                    </w:tabs>
                    <w:spacing w:after="0" w:line="240" w:lineRule="auto"/>
                    <w:jc w:val="both"/>
                    <w:rPr>
                      <w:rFonts w:ascii="Arial Narrow" w:hAnsi="Arial Narrow"/>
                      <w:szCs w:val="20"/>
                    </w:rPr>
                  </w:pPr>
                  <w:r w:rsidRPr="00CC1086">
                    <w:rPr>
                      <w:rFonts w:ascii="Arial Narrow" w:hAnsi="Arial Narrow"/>
                      <w:szCs w:val="20"/>
                    </w:rPr>
                    <w:t>existența unor companii cu exeperiență relevantă în domeniul CDI, reprezentative la nivel internațional (ex. Flashnet Brașov dezvoltă sisteme inteligente pentru iluminatul public).</w:t>
                  </w:r>
                </w:p>
                <w:p w:rsidR="00064502" w:rsidRPr="00CC1086" w:rsidRDefault="00064502" w:rsidP="00981E9F">
                  <w:pPr>
                    <w:pStyle w:val="Listparagraf"/>
                    <w:numPr>
                      <w:ilvl w:val="0"/>
                      <w:numId w:val="51"/>
                    </w:numPr>
                    <w:tabs>
                      <w:tab w:val="left" w:pos="284"/>
                      <w:tab w:val="left" w:pos="360"/>
                      <w:tab w:val="left" w:pos="2268"/>
                    </w:tabs>
                    <w:spacing w:after="0" w:line="240" w:lineRule="auto"/>
                    <w:jc w:val="both"/>
                    <w:rPr>
                      <w:rFonts w:ascii="Arial Narrow" w:hAnsi="Arial Narrow"/>
                      <w:noProof/>
                      <w:szCs w:val="20"/>
                    </w:rPr>
                  </w:pPr>
                  <w:r w:rsidRPr="00CC1086">
                    <w:rPr>
                      <w:rFonts w:ascii="Arial Narrow" w:hAnsi="Arial Narrow"/>
                      <w:szCs w:val="20"/>
                    </w:rPr>
                    <w:t xml:space="preserve">experiență în implementarea proiectelor de </w:t>
                  </w:r>
                  <w:r w:rsidRPr="00CC1086">
                    <w:rPr>
                      <w:rFonts w:ascii="Arial Narrow" w:hAnsi="Arial Narrow"/>
                      <w:noProof/>
                      <w:szCs w:val="20"/>
                    </w:rPr>
                    <w:t>anvergură privind dezvoltarea mediului construit: regenerarea urbană și reabilitarea patrimoniului cultural (de exemplu: Sibiu, Alba), reabilitare situri poluate (de exemplu: Mureș), managementul deșeurilor, gestiunea apelor și apelor uzată și dezvoltarea infrastructurii (de afaceri de exemplu Brașov, Harghita și Covasna).</w:t>
                  </w:r>
                </w:p>
                <w:p w:rsidR="00064502" w:rsidRPr="00CC1086" w:rsidRDefault="00064502" w:rsidP="00EA5F90">
                  <w:pPr>
                    <w:tabs>
                      <w:tab w:val="left" w:pos="142"/>
                    </w:tabs>
                    <w:spacing w:after="0" w:line="240" w:lineRule="auto"/>
                    <w:jc w:val="both"/>
                    <w:rPr>
                      <w:rFonts w:ascii="Arial Narrow" w:hAnsi="Arial Narrow"/>
                      <w:b/>
                      <w:i/>
                    </w:rPr>
                  </w:pPr>
                </w:p>
                <w:p w:rsidR="00064502" w:rsidRDefault="00064502" w:rsidP="00EA5F90">
                  <w:pPr>
                    <w:spacing w:after="0" w:line="240" w:lineRule="auto"/>
                    <w:rPr>
                      <w:rFonts w:ascii="Arial Narrow" w:hAnsi="Arial Narrow"/>
                      <w:b/>
                      <w:i/>
                      <w:sz w:val="16"/>
                    </w:rPr>
                  </w:pPr>
                </w:p>
                <w:p w:rsidR="00064502" w:rsidRPr="002811F5" w:rsidRDefault="00064502" w:rsidP="00EA5F90">
                  <w:pPr>
                    <w:spacing w:after="0" w:line="240" w:lineRule="auto"/>
                    <w:rPr>
                      <w:rFonts w:ascii="Arial Narrow" w:hAnsi="Arial Narrow"/>
                      <w:sz w:val="16"/>
                    </w:rPr>
                  </w:pPr>
                  <w:r w:rsidRPr="002811F5">
                    <w:rPr>
                      <w:rFonts w:ascii="Arial Narrow" w:hAnsi="Arial Narrow"/>
                      <w:b/>
                      <w:i/>
                      <w:sz w:val="16"/>
                    </w:rPr>
                    <w:t>*</w:t>
                  </w:r>
                  <w:r w:rsidRPr="002811F5">
                    <w:rPr>
                      <w:rFonts w:ascii="Arial Narrow" w:hAnsi="Arial Narrow"/>
                    </w:rPr>
                    <w:t xml:space="preserve"> </w:t>
                  </w:r>
                  <w:r w:rsidRPr="002811F5">
                    <w:rPr>
                      <w:rFonts w:ascii="Arial Narrow" w:hAnsi="Arial Narrow"/>
                      <w:sz w:val="16"/>
                    </w:rPr>
                    <w:t>Potrivit INS, în 2014, în întreprinderile active din domeniile economice selectate, angajații erau repartizați astfel:</w:t>
                  </w:r>
                </w:p>
                <w:p w:rsidR="00064502" w:rsidRPr="002811F5" w:rsidRDefault="00064502" w:rsidP="00981E9F">
                  <w:pPr>
                    <w:pStyle w:val="Listparagraf"/>
                    <w:numPr>
                      <w:ilvl w:val="0"/>
                      <w:numId w:val="54"/>
                    </w:numPr>
                    <w:tabs>
                      <w:tab w:val="left" w:pos="1134"/>
                    </w:tabs>
                    <w:spacing w:after="0" w:line="240" w:lineRule="auto"/>
                    <w:rPr>
                      <w:rFonts w:ascii="Arial Narrow" w:hAnsi="Arial Narrow"/>
                      <w:sz w:val="16"/>
                    </w:rPr>
                  </w:pPr>
                  <w:r w:rsidRPr="002811F5">
                    <w:rPr>
                      <w:rFonts w:ascii="Arial Narrow" w:hAnsi="Arial Narrow"/>
                      <w:sz w:val="16"/>
                    </w:rPr>
                    <w:t>în domeniul prelucrării lemnului (CAEN 16), la nivel regional erau 16.334 angajați, respectiv 29,21% din totalul angajaților de la nivel național;</w:t>
                  </w:r>
                </w:p>
                <w:p w:rsidR="00064502" w:rsidRPr="002811F5" w:rsidRDefault="00064502" w:rsidP="00981E9F">
                  <w:pPr>
                    <w:pStyle w:val="Listparagraf"/>
                    <w:numPr>
                      <w:ilvl w:val="0"/>
                      <w:numId w:val="54"/>
                    </w:numPr>
                    <w:tabs>
                      <w:tab w:val="left" w:pos="1134"/>
                    </w:tabs>
                    <w:spacing w:after="0" w:line="240" w:lineRule="auto"/>
                    <w:rPr>
                      <w:rFonts w:ascii="Arial Narrow" w:hAnsi="Arial Narrow"/>
                      <w:sz w:val="16"/>
                    </w:rPr>
                  </w:pPr>
                  <w:r w:rsidRPr="002811F5">
                    <w:rPr>
                      <w:rFonts w:ascii="Arial Narrow" w:hAnsi="Arial Narrow"/>
                      <w:sz w:val="16"/>
                    </w:rPr>
                    <w:t>în domeniul fabricării și producției substantelor chimice (CAEN 20), la nivel regional erau 4.242 angajați, raportat la acest indicator, regiunea Centru clasându-se pe al doilea loc după regiunea Sud Vest Oltenia cu 5.878 angajați;</w:t>
                  </w:r>
                </w:p>
                <w:p w:rsidR="00064502" w:rsidRPr="002811F5" w:rsidRDefault="00064502" w:rsidP="00981E9F">
                  <w:pPr>
                    <w:pStyle w:val="Listparagraf"/>
                    <w:numPr>
                      <w:ilvl w:val="0"/>
                      <w:numId w:val="54"/>
                    </w:numPr>
                    <w:tabs>
                      <w:tab w:val="left" w:pos="1134"/>
                    </w:tabs>
                    <w:spacing w:after="0" w:line="240" w:lineRule="auto"/>
                    <w:rPr>
                      <w:rFonts w:ascii="Arial Narrow" w:hAnsi="Arial Narrow"/>
                      <w:sz w:val="16"/>
                    </w:rPr>
                  </w:pPr>
                  <w:r w:rsidRPr="002811F5">
                    <w:rPr>
                      <w:rFonts w:ascii="Arial Narrow" w:hAnsi="Arial Narrow"/>
                      <w:sz w:val="16"/>
                    </w:rPr>
                    <w:t>8.363 persoane, respectiv 29,21% din totalul național în sectorul fabricării altor produse din minerale nemetalice (CAEN 23), regiunea Centru ocupând prima poziție la nivel național;</w:t>
                  </w:r>
                </w:p>
                <w:p w:rsidR="00064502" w:rsidRPr="002811F5" w:rsidRDefault="00064502" w:rsidP="00981E9F">
                  <w:pPr>
                    <w:pStyle w:val="Listparagraf"/>
                    <w:numPr>
                      <w:ilvl w:val="0"/>
                      <w:numId w:val="54"/>
                    </w:numPr>
                    <w:tabs>
                      <w:tab w:val="left" w:pos="1134"/>
                    </w:tabs>
                    <w:spacing w:after="0" w:line="240" w:lineRule="auto"/>
                    <w:rPr>
                      <w:rFonts w:ascii="Arial Narrow" w:hAnsi="Arial Narrow"/>
                      <w:sz w:val="16"/>
                    </w:rPr>
                  </w:pPr>
                  <w:r w:rsidRPr="002811F5">
                    <w:rPr>
                      <w:rFonts w:ascii="Arial Narrow" w:hAnsi="Arial Narrow"/>
                      <w:sz w:val="16"/>
                    </w:rPr>
                    <w:t>1.160  persoane, respectiv 12,18% din totalul național în sectorul activităților extractive (CAEN 08);</w:t>
                  </w:r>
                </w:p>
                <w:p w:rsidR="00064502" w:rsidRDefault="00064502" w:rsidP="00EA5F90">
                  <w:pPr>
                    <w:tabs>
                      <w:tab w:val="left" w:pos="142"/>
                    </w:tabs>
                    <w:jc w:val="both"/>
                    <w:rPr>
                      <w:rFonts w:ascii="Arial Narrow" w:hAnsi="Arial Narrow"/>
                      <w:b/>
                      <w:i/>
                      <w:sz w:val="16"/>
                    </w:rPr>
                  </w:pPr>
                </w:p>
                <w:p w:rsidR="00064502" w:rsidRDefault="00064502" w:rsidP="00EA5F90">
                  <w:pPr>
                    <w:tabs>
                      <w:tab w:val="left" w:pos="142"/>
                    </w:tabs>
                    <w:jc w:val="both"/>
                    <w:rPr>
                      <w:rFonts w:ascii="Arial Narrow" w:hAnsi="Arial Narrow"/>
                      <w:b/>
                      <w:i/>
                      <w:sz w:val="16"/>
                    </w:rPr>
                  </w:pPr>
                </w:p>
                <w:p w:rsidR="00064502" w:rsidRDefault="00064502" w:rsidP="00EA5F90">
                  <w:pPr>
                    <w:tabs>
                      <w:tab w:val="left" w:pos="142"/>
                    </w:tabs>
                    <w:jc w:val="both"/>
                    <w:rPr>
                      <w:rFonts w:ascii="Arial Narrow" w:hAnsi="Arial Narrow"/>
                      <w:b/>
                      <w:i/>
                      <w:sz w:val="16"/>
                    </w:rPr>
                  </w:pPr>
                </w:p>
                <w:p w:rsidR="00064502" w:rsidRPr="009531C2" w:rsidRDefault="00064502" w:rsidP="00EA5F90">
                  <w:pPr>
                    <w:tabs>
                      <w:tab w:val="left" w:pos="142"/>
                    </w:tabs>
                    <w:jc w:val="both"/>
                    <w:rPr>
                      <w:rFonts w:ascii="Arial Narrow" w:hAnsi="Arial Narrow"/>
                      <w:b/>
                      <w:i/>
                      <w:sz w:val="16"/>
                    </w:rPr>
                  </w:pPr>
                </w:p>
                <w:p w:rsidR="00064502" w:rsidRPr="009531C2" w:rsidRDefault="00064502" w:rsidP="00EA5F90">
                  <w:pPr>
                    <w:tabs>
                      <w:tab w:val="left" w:pos="142"/>
                    </w:tabs>
                    <w:jc w:val="both"/>
                    <w:rPr>
                      <w:rFonts w:ascii="Arial Narrow" w:hAnsi="Arial Narrow"/>
                      <w:b/>
                      <w:i/>
                      <w:sz w:val="16"/>
                    </w:rPr>
                  </w:pPr>
                  <w:r w:rsidRPr="009531C2">
                    <w:rPr>
                      <w:rFonts w:ascii="Arial Narrow" w:hAnsi="Arial Narrow"/>
                      <w:b/>
                      <w:i/>
                      <w:sz w:val="16"/>
                    </w:rPr>
                    <w:t xml:space="preserve">Sursă: </w:t>
                  </w:r>
                  <w:r w:rsidRPr="009531C2">
                    <w:rPr>
                      <w:rFonts w:ascii="Arial Narrow" w:hAnsi="Arial Narrow"/>
                      <w:i/>
                      <w:sz w:val="16"/>
                    </w:rPr>
                    <w:t>Prelucrare pe baza datelor publicate de ANAF și RECOM</w:t>
                  </w:r>
                </w:p>
                <w:p w:rsidR="00064502" w:rsidRPr="00297DC9" w:rsidRDefault="00064502" w:rsidP="00EA5F90">
                  <w:pPr>
                    <w:pStyle w:val="Listparagraf"/>
                    <w:tabs>
                      <w:tab w:val="left" w:pos="142"/>
                    </w:tabs>
                    <w:ind w:left="0"/>
                    <w:jc w:val="both"/>
                    <w:rPr>
                      <w:rFonts w:ascii="Arial Narrow" w:hAnsi="Arial Narrow"/>
                      <w:b/>
                    </w:rPr>
                  </w:pPr>
                </w:p>
              </w:txbxContent>
            </v:textbox>
            <w10:wrap type="square" anchorx="margin"/>
          </v:shape>
        </w:pict>
      </w:r>
    </w:p>
    <w:p w:rsidR="00EA5F90" w:rsidRDefault="00EA5F90"/>
    <w:p w:rsidR="00305726" w:rsidRPr="00432A44" w:rsidRDefault="00305726" w:rsidP="00305726">
      <w:pPr>
        <w:pStyle w:val="Titlu1"/>
      </w:pPr>
      <w:r>
        <w:lastRenderedPageBreak/>
        <w:t>Silvicultura, p</w:t>
      </w:r>
      <w:r w:rsidRPr="00432A44">
        <w:t>relucrarea lemnului și industria mobilei – domenii de excelență ale Regiunii Centru</w:t>
      </w:r>
    </w:p>
    <w:p w:rsidR="00305726" w:rsidRDefault="00305726" w:rsidP="00305726">
      <w:pPr>
        <w:pStyle w:val="Listparagraf"/>
        <w:autoSpaceDE w:val="0"/>
        <w:jc w:val="both"/>
        <w:rPr>
          <w:sz w:val="24"/>
          <w:szCs w:val="24"/>
        </w:rPr>
      </w:pPr>
    </w:p>
    <w:p w:rsidR="00305726" w:rsidRPr="00432A44" w:rsidRDefault="00305726" w:rsidP="00305726">
      <w:pPr>
        <w:autoSpaceDE w:val="0"/>
        <w:jc w:val="both"/>
        <w:rPr>
          <w:sz w:val="24"/>
          <w:szCs w:val="24"/>
        </w:rPr>
      </w:pPr>
      <w:r>
        <w:rPr>
          <w:sz w:val="24"/>
          <w:szCs w:val="24"/>
        </w:rPr>
        <w:t>Bazate</w:t>
      </w:r>
      <w:r w:rsidRPr="00432A44">
        <w:rPr>
          <w:sz w:val="24"/>
          <w:szCs w:val="24"/>
        </w:rPr>
        <w:t xml:space="preserve"> pe valorificarea materiei prime locale, industria de prelucrare a lemnului și fabricarea mobilierului </w:t>
      </w:r>
      <w:r>
        <w:rPr>
          <w:sz w:val="24"/>
          <w:szCs w:val="24"/>
        </w:rPr>
        <w:t>au o tradiție solidă în toate județele R</w:t>
      </w:r>
      <w:r w:rsidRPr="00432A44">
        <w:rPr>
          <w:sz w:val="24"/>
          <w:szCs w:val="24"/>
        </w:rPr>
        <w:t>egiunii</w:t>
      </w:r>
      <w:r>
        <w:rPr>
          <w:sz w:val="24"/>
          <w:szCs w:val="24"/>
        </w:rPr>
        <w:t xml:space="preserve"> Centru. De-a lungul timpului,  aceste două industrii s-au dezvoltat continuu și au suferit schimbări structurale majore pentru a se adapta la cerințele pieței și pentru a ține pasul cu progresul tehnologic. Un factor decisiv care a contribuit la dezvoltarea acestui domeniu îl constituie existența instituțiilor din învățământul preuniversitar și universitar cu profil silvic și de prelucrare a lemnului care au format specialiști bine pregătiți în aceste domenii. Astăzi, cele două sectoare economice antrenează  </w:t>
      </w:r>
      <w:r w:rsidRPr="00084B0D">
        <w:rPr>
          <w:b/>
          <w:sz w:val="24"/>
          <w:szCs w:val="24"/>
        </w:rPr>
        <w:t>15,5% din forța de muncă din industria prelucrătoare</w:t>
      </w:r>
      <w:r>
        <w:rPr>
          <w:sz w:val="24"/>
          <w:szCs w:val="24"/>
        </w:rPr>
        <w:t xml:space="preserve"> și realizează </w:t>
      </w:r>
      <w:r>
        <w:rPr>
          <w:b/>
          <w:sz w:val="24"/>
          <w:szCs w:val="24"/>
        </w:rPr>
        <w:t>14,1</w:t>
      </w:r>
      <w:r w:rsidRPr="00084B0D">
        <w:rPr>
          <w:b/>
          <w:sz w:val="24"/>
          <w:szCs w:val="24"/>
        </w:rPr>
        <w:t>% din exporturile regionale</w:t>
      </w:r>
      <w:r>
        <w:rPr>
          <w:sz w:val="24"/>
          <w:szCs w:val="24"/>
        </w:rPr>
        <w:t>.</w:t>
      </w:r>
    </w:p>
    <w:p w:rsidR="00305726" w:rsidRPr="00BE7374" w:rsidRDefault="00305726" w:rsidP="00305726">
      <w:pPr>
        <w:pStyle w:val="Titlu1"/>
      </w:pPr>
      <w:r w:rsidRPr="00BE7374">
        <w:t>Resursele naturale. Fondul forestier al Regiunii Centru</w:t>
      </w:r>
    </w:p>
    <w:p w:rsidR="00305726" w:rsidRPr="00BE7374" w:rsidRDefault="00305726" w:rsidP="00305726">
      <w:pPr>
        <w:autoSpaceDE w:val="0"/>
        <w:spacing w:after="0"/>
        <w:rPr>
          <w:b/>
          <w:sz w:val="24"/>
          <w:szCs w:val="24"/>
        </w:rPr>
      </w:pPr>
    </w:p>
    <w:p w:rsidR="00305726" w:rsidRPr="00BE7374" w:rsidRDefault="00305726" w:rsidP="00305726">
      <w:pPr>
        <w:spacing w:before="120" w:after="120"/>
        <w:jc w:val="both"/>
        <w:rPr>
          <w:rFonts w:cs="Calibri"/>
          <w:sz w:val="24"/>
          <w:szCs w:val="24"/>
        </w:rPr>
      </w:pPr>
      <w:r w:rsidRPr="008C5B8D">
        <w:rPr>
          <w:rFonts w:cs="Calibri"/>
          <w:b/>
          <w:sz w:val="24"/>
          <w:szCs w:val="24"/>
        </w:rPr>
        <w:t>Vegetația forestieră acoperă 36,5% din suprafața regiunii</w:t>
      </w:r>
      <w:r w:rsidRPr="00BE7374">
        <w:rPr>
          <w:rFonts w:cs="Calibri"/>
          <w:sz w:val="24"/>
          <w:szCs w:val="24"/>
        </w:rPr>
        <w:t xml:space="preserve">, constituind principala resursă economică a locuitorilor din localitățile montane și asigurând un bun echilibru ecologic. Predomină pădurile de foioase (55% din suprafață), urmate de cele de rășinoase. </w:t>
      </w:r>
    </w:p>
    <w:p w:rsidR="00305726" w:rsidRPr="00BE7374" w:rsidRDefault="00305726" w:rsidP="00305726">
      <w:pPr>
        <w:autoSpaceDE w:val="0"/>
        <w:spacing w:after="0"/>
        <w:jc w:val="center"/>
        <w:rPr>
          <w:b/>
          <w:sz w:val="24"/>
          <w:szCs w:val="24"/>
        </w:rPr>
      </w:pPr>
      <w:r>
        <w:rPr>
          <w:b/>
          <w:sz w:val="24"/>
          <w:szCs w:val="24"/>
        </w:rPr>
        <w:t xml:space="preserve">Tab. 1 </w:t>
      </w:r>
      <w:r w:rsidRPr="00BE7374">
        <w:rPr>
          <w:b/>
          <w:sz w:val="24"/>
          <w:szCs w:val="24"/>
        </w:rPr>
        <w:t>Suprafața ocupată cu vegetație forestieră</w:t>
      </w:r>
    </w:p>
    <w:p w:rsidR="00305726" w:rsidRPr="00BE7374" w:rsidRDefault="00305726" w:rsidP="00305726">
      <w:pPr>
        <w:autoSpaceDE w:val="0"/>
        <w:spacing w:after="0"/>
        <w:rPr>
          <w:b/>
        </w:rPr>
      </w:pPr>
      <w:r w:rsidRPr="00BE7374">
        <w:tab/>
      </w:r>
      <w:r w:rsidRPr="00BE7374">
        <w:tab/>
      </w:r>
      <w:r w:rsidRPr="00BE7374">
        <w:tab/>
      </w:r>
      <w:r w:rsidRPr="00BE7374">
        <w:tab/>
      </w:r>
      <w:r w:rsidRPr="00BE7374">
        <w:tab/>
      </w:r>
      <w:r w:rsidRPr="00BE7374">
        <w:tab/>
      </w:r>
      <w:r w:rsidRPr="00BE7374">
        <w:tab/>
      </w:r>
      <w:r w:rsidRPr="00BE7374">
        <w:tab/>
      </w:r>
      <w:r w:rsidRPr="00BE7374">
        <w:tab/>
      </w:r>
      <w:r w:rsidRPr="00BE7374">
        <w:tab/>
      </w:r>
      <w:r w:rsidRPr="00BE7374">
        <w:rPr>
          <w:b/>
        </w:rPr>
        <w:t>-mii</w:t>
      </w:r>
      <w:r>
        <w:rPr>
          <w:b/>
        </w:rPr>
        <w:t xml:space="preserve"> </w:t>
      </w:r>
      <w:r w:rsidRPr="00BE7374">
        <w:rPr>
          <w:b/>
        </w:rPr>
        <w:t>hectare-</w:t>
      </w:r>
    </w:p>
    <w:tbl>
      <w:tblPr>
        <w:tblStyle w:val="Umbriremedie1-Accentuare3"/>
        <w:tblW w:w="8530" w:type="dxa"/>
        <w:jc w:val="center"/>
        <w:tblLayout w:type="fixed"/>
        <w:tblLook w:val="04A0"/>
      </w:tblPr>
      <w:tblGrid>
        <w:gridCol w:w="2568"/>
        <w:gridCol w:w="993"/>
        <w:gridCol w:w="994"/>
        <w:gridCol w:w="994"/>
        <w:gridCol w:w="993"/>
        <w:gridCol w:w="994"/>
        <w:gridCol w:w="994"/>
      </w:tblGrid>
      <w:tr w:rsidR="00305726" w:rsidRPr="00BE7374" w:rsidTr="005F5D09">
        <w:trPr>
          <w:cnfStyle w:val="100000000000"/>
          <w:trHeight w:val="300"/>
          <w:jc w:val="center"/>
        </w:trPr>
        <w:tc>
          <w:tcPr>
            <w:cnfStyle w:val="001000000000"/>
            <w:tcW w:w="2568" w:type="dxa"/>
            <w:noWrap/>
            <w:hideMark/>
          </w:tcPr>
          <w:p w:rsidR="00305726" w:rsidRPr="00BE7374" w:rsidRDefault="00305726" w:rsidP="005F5D09">
            <w:pPr>
              <w:rPr>
                <w:rFonts w:ascii="Calibri" w:eastAsia="Times New Roman" w:hAnsi="Calibri" w:cs="Times New Roman"/>
              </w:rPr>
            </w:pPr>
            <w:r w:rsidRPr="00BE7374">
              <w:rPr>
                <w:rFonts w:ascii="Calibri" w:eastAsia="Times New Roman" w:hAnsi="Calibri" w:cs="Times New Roman"/>
              </w:rPr>
              <w:t> </w:t>
            </w:r>
          </w:p>
        </w:tc>
        <w:tc>
          <w:tcPr>
            <w:tcW w:w="993" w:type="dxa"/>
            <w:noWrap/>
            <w:hideMark/>
          </w:tcPr>
          <w:p w:rsidR="00305726" w:rsidRPr="00BE7374" w:rsidRDefault="00305726" w:rsidP="005F5D09">
            <w:pPr>
              <w:jc w:val="center"/>
              <w:cnfStyle w:val="100000000000"/>
              <w:rPr>
                <w:rFonts w:ascii="Calibri" w:eastAsia="Times New Roman" w:hAnsi="Calibri" w:cs="Times New Roman"/>
                <w:bCs w:val="0"/>
              </w:rPr>
            </w:pPr>
            <w:r w:rsidRPr="00BE7374">
              <w:rPr>
                <w:rFonts w:ascii="Calibri" w:eastAsia="Times New Roman" w:hAnsi="Calibri" w:cs="Times New Roman"/>
                <w:bCs w:val="0"/>
              </w:rPr>
              <w:t>2010</w:t>
            </w:r>
          </w:p>
        </w:tc>
        <w:tc>
          <w:tcPr>
            <w:tcW w:w="994" w:type="dxa"/>
            <w:noWrap/>
            <w:hideMark/>
          </w:tcPr>
          <w:p w:rsidR="00305726" w:rsidRPr="00BE7374" w:rsidRDefault="00305726" w:rsidP="005F5D09">
            <w:pPr>
              <w:jc w:val="center"/>
              <w:cnfStyle w:val="100000000000"/>
              <w:rPr>
                <w:rFonts w:ascii="Calibri" w:eastAsia="Times New Roman" w:hAnsi="Calibri" w:cs="Times New Roman"/>
                <w:bCs w:val="0"/>
              </w:rPr>
            </w:pPr>
            <w:r w:rsidRPr="00BE7374">
              <w:rPr>
                <w:rFonts w:ascii="Calibri" w:eastAsia="Times New Roman" w:hAnsi="Calibri" w:cs="Times New Roman"/>
                <w:bCs w:val="0"/>
              </w:rPr>
              <w:t>2011</w:t>
            </w:r>
          </w:p>
        </w:tc>
        <w:tc>
          <w:tcPr>
            <w:tcW w:w="994" w:type="dxa"/>
          </w:tcPr>
          <w:p w:rsidR="00305726" w:rsidRPr="00BE7374" w:rsidRDefault="00305726" w:rsidP="005F5D09">
            <w:pPr>
              <w:jc w:val="center"/>
              <w:cnfStyle w:val="100000000000"/>
              <w:rPr>
                <w:rFonts w:ascii="Calibri" w:eastAsia="Times New Roman" w:hAnsi="Calibri" w:cs="Times New Roman"/>
                <w:bCs w:val="0"/>
              </w:rPr>
            </w:pPr>
            <w:r w:rsidRPr="00BE7374">
              <w:rPr>
                <w:rFonts w:ascii="Calibri" w:eastAsia="Times New Roman" w:hAnsi="Calibri" w:cs="Times New Roman"/>
                <w:bCs w:val="0"/>
              </w:rPr>
              <w:t>2012</w:t>
            </w:r>
          </w:p>
        </w:tc>
        <w:tc>
          <w:tcPr>
            <w:tcW w:w="993" w:type="dxa"/>
          </w:tcPr>
          <w:p w:rsidR="00305726" w:rsidRPr="00BE7374" w:rsidRDefault="00305726" w:rsidP="005F5D09">
            <w:pPr>
              <w:jc w:val="center"/>
              <w:cnfStyle w:val="100000000000"/>
              <w:rPr>
                <w:rFonts w:ascii="Calibri" w:eastAsia="Times New Roman" w:hAnsi="Calibri" w:cs="Times New Roman"/>
                <w:bCs w:val="0"/>
              </w:rPr>
            </w:pPr>
            <w:r w:rsidRPr="00BE7374">
              <w:rPr>
                <w:rFonts w:ascii="Calibri" w:eastAsia="Times New Roman" w:hAnsi="Calibri" w:cs="Times New Roman"/>
                <w:bCs w:val="0"/>
              </w:rPr>
              <w:t>2013</w:t>
            </w:r>
          </w:p>
          <w:p w:rsidR="00305726" w:rsidRPr="00BE7374" w:rsidRDefault="00305726" w:rsidP="005F5D09">
            <w:pPr>
              <w:jc w:val="center"/>
              <w:cnfStyle w:val="100000000000"/>
              <w:rPr>
                <w:rFonts w:ascii="Calibri" w:eastAsia="Times New Roman" w:hAnsi="Calibri" w:cs="Times New Roman"/>
                <w:bCs w:val="0"/>
              </w:rPr>
            </w:pPr>
          </w:p>
        </w:tc>
        <w:tc>
          <w:tcPr>
            <w:tcW w:w="994" w:type="dxa"/>
          </w:tcPr>
          <w:p w:rsidR="00305726" w:rsidRPr="00BE7374" w:rsidRDefault="00305726" w:rsidP="005F5D09">
            <w:pPr>
              <w:jc w:val="center"/>
              <w:cnfStyle w:val="100000000000"/>
              <w:rPr>
                <w:rFonts w:ascii="Calibri" w:eastAsia="Times New Roman" w:hAnsi="Calibri" w:cs="Times New Roman"/>
              </w:rPr>
            </w:pPr>
            <w:r>
              <w:rPr>
                <w:rFonts w:ascii="Calibri" w:eastAsia="Times New Roman" w:hAnsi="Calibri" w:cs="Times New Roman"/>
              </w:rPr>
              <w:t>2014</w:t>
            </w:r>
          </w:p>
        </w:tc>
        <w:tc>
          <w:tcPr>
            <w:tcW w:w="994" w:type="dxa"/>
          </w:tcPr>
          <w:p w:rsidR="00305726" w:rsidRDefault="00305726" w:rsidP="005F5D09">
            <w:pPr>
              <w:jc w:val="center"/>
              <w:cnfStyle w:val="100000000000"/>
              <w:rPr>
                <w:rFonts w:ascii="Calibri" w:eastAsia="Times New Roman" w:hAnsi="Calibri" w:cs="Times New Roman"/>
              </w:rPr>
            </w:pPr>
            <w:r>
              <w:rPr>
                <w:rFonts w:ascii="Calibri" w:eastAsia="Times New Roman" w:hAnsi="Calibri" w:cs="Times New Roman"/>
              </w:rPr>
              <w:t>2015</w:t>
            </w:r>
          </w:p>
        </w:tc>
      </w:tr>
      <w:tr w:rsidR="00305726" w:rsidRPr="00BE7374" w:rsidTr="005F5D09">
        <w:trPr>
          <w:cnfStyle w:val="000000100000"/>
          <w:trHeight w:val="273"/>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Romania</w:t>
            </w:r>
          </w:p>
        </w:tc>
        <w:tc>
          <w:tcPr>
            <w:tcW w:w="993" w:type="dxa"/>
            <w:hideMark/>
          </w:tcPr>
          <w:p w:rsidR="00305726" w:rsidRPr="00BE7374" w:rsidRDefault="00305726" w:rsidP="005F5D09">
            <w:pPr>
              <w:jc w:val="right"/>
              <w:cnfStyle w:val="000000100000"/>
              <w:rPr>
                <w:rFonts w:ascii="Calibri" w:eastAsia="Times New Roman" w:hAnsi="Calibri" w:cs="Times New Roman"/>
                <w:bCs/>
                <w:color w:val="000000"/>
              </w:rPr>
            </w:pPr>
            <w:r w:rsidRPr="00BE7374">
              <w:rPr>
                <w:rFonts w:ascii="Calibri" w:eastAsia="Times New Roman" w:hAnsi="Calibri" w:cs="Times New Roman"/>
                <w:bCs/>
                <w:color w:val="000000"/>
              </w:rPr>
              <w:t>6515,1</w:t>
            </w:r>
          </w:p>
        </w:tc>
        <w:tc>
          <w:tcPr>
            <w:tcW w:w="994" w:type="dxa"/>
            <w:hideMark/>
          </w:tcPr>
          <w:p w:rsidR="00305726" w:rsidRPr="00BE7374" w:rsidRDefault="00305726" w:rsidP="005F5D09">
            <w:pPr>
              <w:jc w:val="right"/>
              <w:cnfStyle w:val="000000100000"/>
              <w:rPr>
                <w:rFonts w:ascii="Calibri" w:eastAsia="Times New Roman" w:hAnsi="Calibri" w:cs="Times New Roman"/>
                <w:bCs/>
                <w:color w:val="000000"/>
              </w:rPr>
            </w:pPr>
            <w:r w:rsidRPr="00BE7374">
              <w:rPr>
                <w:rFonts w:ascii="Calibri" w:eastAsia="Times New Roman" w:hAnsi="Calibri" w:cs="Times New Roman"/>
                <w:bCs/>
                <w:color w:val="000000"/>
              </w:rPr>
              <w:t>6519,4</w:t>
            </w:r>
          </w:p>
        </w:tc>
        <w:tc>
          <w:tcPr>
            <w:tcW w:w="994"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6529,1</w:t>
            </w:r>
          </w:p>
        </w:tc>
        <w:tc>
          <w:tcPr>
            <w:tcW w:w="993"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6538,5</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6387,3</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6398,8</w:t>
            </w:r>
          </w:p>
        </w:tc>
      </w:tr>
      <w:tr w:rsidR="00305726" w:rsidRPr="00BE7374" w:rsidTr="005F5D09">
        <w:trPr>
          <w:cnfStyle w:val="00000001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Regiunea Centru</w:t>
            </w:r>
          </w:p>
        </w:tc>
        <w:tc>
          <w:tcPr>
            <w:tcW w:w="993" w:type="dxa"/>
            <w:hideMark/>
          </w:tcPr>
          <w:p w:rsidR="00305726" w:rsidRPr="00BE7374" w:rsidRDefault="00305726" w:rsidP="005F5D09">
            <w:pPr>
              <w:jc w:val="right"/>
              <w:cnfStyle w:val="000000010000"/>
              <w:rPr>
                <w:rFonts w:ascii="Calibri" w:eastAsia="Times New Roman" w:hAnsi="Calibri" w:cs="Times New Roman"/>
                <w:b/>
                <w:color w:val="000000"/>
              </w:rPr>
            </w:pPr>
            <w:r w:rsidRPr="00BE7374">
              <w:rPr>
                <w:rFonts w:ascii="Calibri" w:eastAsia="Times New Roman" w:hAnsi="Calibri" w:cs="Times New Roman"/>
                <w:b/>
                <w:color w:val="000000"/>
              </w:rPr>
              <w:t>1255,6</w:t>
            </w:r>
          </w:p>
        </w:tc>
        <w:tc>
          <w:tcPr>
            <w:tcW w:w="994" w:type="dxa"/>
            <w:hideMark/>
          </w:tcPr>
          <w:p w:rsidR="00305726" w:rsidRPr="00BE7374" w:rsidRDefault="00305726" w:rsidP="005F5D09">
            <w:pPr>
              <w:jc w:val="right"/>
              <w:cnfStyle w:val="000000010000"/>
              <w:rPr>
                <w:rFonts w:ascii="Calibri" w:eastAsia="Times New Roman" w:hAnsi="Calibri" w:cs="Times New Roman"/>
                <w:b/>
                <w:color w:val="000000"/>
              </w:rPr>
            </w:pPr>
            <w:r w:rsidRPr="00BE7374">
              <w:rPr>
                <w:rFonts w:ascii="Calibri" w:eastAsia="Times New Roman" w:hAnsi="Calibri" w:cs="Times New Roman"/>
                <w:b/>
                <w:color w:val="000000"/>
              </w:rPr>
              <w:t>1259,5</w:t>
            </w:r>
          </w:p>
        </w:tc>
        <w:tc>
          <w:tcPr>
            <w:tcW w:w="994" w:type="dxa"/>
          </w:tcPr>
          <w:p w:rsidR="00305726" w:rsidRPr="00BE7374" w:rsidRDefault="00305726" w:rsidP="005F5D09">
            <w:pPr>
              <w:jc w:val="right"/>
              <w:cnfStyle w:val="000000010000"/>
              <w:rPr>
                <w:rFonts w:ascii="Calibri" w:hAnsi="Calibri"/>
                <w:b/>
                <w:color w:val="000000"/>
              </w:rPr>
            </w:pPr>
            <w:r w:rsidRPr="00BE7374">
              <w:rPr>
                <w:rFonts w:ascii="Calibri" w:hAnsi="Calibri"/>
                <w:b/>
                <w:color w:val="000000"/>
              </w:rPr>
              <w:t>1259,9</w:t>
            </w:r>
          </w:p>
        </w:tc>
        <w:tc>
          <w:tcPr>
            <w:tcW w:w="993" w:type="dxa"/>
          </w:tcPr>
          <w:p w:rsidR="00305726" w:rsidRPr="005C26A0" w:rsidRDefault="00305726" w:rsidP="005F5D09">
            <w:pPr>
              <w:jc w:val="right"/>
              <w:cnfStyle w:val="000000010000"/>
              <w:rPr>
                <w:rFonts w:ascii="Calibri" w:hAnsi="Calibri"/>
                <w:b/>
                <w:color w:val="000000"/>
              </w:rPr>
            </w:pPr>
            <w:r w:rsidRPr="005C26A0">
              <w:rPr>
                <w:rFonts w:ascii="Calibri" w:hAnsi="Calibri"/>
                <w:b/>
                <w:color w:val="000000"/>
              </w:rPr>
              <w:t>1264</w:t>
            </w:r>
          </w:p>
        </w:tc>
        <w:tc>
          <w:tcPr>
            <w:tcW w:w="994" w:type="dxa"/>
          </w:tcPr>
          <w:p w:rsidR="00305726" w:rsidRPr="005C26A0" w:rsidRDefault="00305726" w:rsidP="005F5D09">
            <w:pPr>
              <w:jc w:val="right"/>
              <w:cnfStyle w:val="000000010000"/>
              <w:rPr>
                <w:rFonts w:ascii="Calibri" w:hAnsi="Calibri"/>
                <w:b/>
                <w:color w:val="000000"/>
              </w:rPr>
            </w:pPr>
            <w:r w:rsidRPr="005C26A0">
              <w:rPr>
                <w:rFonts w:ascii="Calibri" w:hAnsi="Calibri"/>
                <w:b/>
                <w:color w:val="000000"/>
              </w:rPr>
              <w:t>1245</w:t>
            </w:r>
          </w:p>
        </w:tc>
        <w:tc>
          <w:tcPr>
            <w:tcW w:w="994" w:type="dxa"/>
          </w:tcPr>
          <w:p w:rsidR="00305726" w:rsidRPr="005C26A0" w:rsidRDefault="00305726" w:rsidP="005F5D09">
            <w:pPr>
              <w:jc w:val="right"/>
              <w:cnfStyle w:val="000000010000"/>
              <w:rPr>
                <w:rFonts w:ascii="Calibri" w:hAnsi="Calibri"/>
                <w:b/>
                <w:color w:val="000000"/>
              </w:rPr>
            </w:pPr>
            <w:r w:rsidRPr="005C26A0">
              <w:rPr>
                <w:rFonts w:ascii="Calibri" w:hAnsi="Calibri"/>
                <w:b/>
                <w:color w:val="000000"/>
              </w:rPr>
              <w:t>1243,5</w:t>
            </w:r>
          </w:p>
        </w:tc>
      </w:tr>
      <w:tr w:rsidR="00305726" w:rsidRPr="00BE7374" w:rsidTr="005F5D09">
        <w:trPr>
          <w:cnfStyle w:val="00000010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Alba</w:t>
            </w:r>
          </w:p>
        </w:tc>
        <w:tc>
          <w:tcPr>
            <w:tcW w:w="993" w:type="dxa"/>
            <w:hideMark/>
          </w:tcPr>
          <w:p w:rsidR="00305726" w:rsidRPr="00BE7374" w:rsidRDefault="00305726" w:rsidP="005F5D09">
            <w:pPr>
              <w:jc w:val="right"/>
              <w:cnfStyle w:val="000000100000"/>
              <w:rPr>
                <w:rFonts w:ascii="Calibri" w:eastAsia="Times New Roman" w:hAnsi="Calibri" w:cs="Times New Roman"/>
                <w:color w:val="000000"/>
              </w:rPr>
            </w:pPr>
            <w:r w:rsidRPr="00BE7374">
              <w:rPr>
                <w:rFonts w:ascii="Calibri" w:eastAsia="Times New Roman" w:hAnsi="Calibri" w:cs="Times New Roman"/>
                <w:color w:val="000000"/>
              </w:rPr>
              <w:t>206,3</w:t>
            </w:r>
          </w:p>
        </w:tc>
        <w:tc>
          <w:tcPr>
            <w:tcW w:w="994" w:type="dxa"/>
            <w:hideMark/>
          </w:tcPr>
          <w:p w:rsidR="00305726" w:rsidRPr="00BE7374" w:rsidRDefault="00305726" w:rsidP="005F5D09">
            <w:pPr>
              <w:jc w:val="right"/>
              <w:cnfStyle w:val="000000100000"/>
              <w:rPr>
                <w:rFonts w:ascii="Calibri" w:eastAsia="Times New Roman" w:hAnsi="Calibri" w:cs="Times New Roman"/>
                <w:color w:val="000000"/>
              </w:rPr>
            </w:pPr>
            <w:r w:rsidRPr="00BE7374">
              <w:rPr>
                <w:rFonts w:ascii="Calibri" w:eastAsia="Times New Roman" w:hAnsi="Calibri" w:cs="Times New Roman"/>
                <w:color w:val="000000"/>
              </w:rPr>
              <w:t>206,6</w:t>
            </w:r>
          </w:p>
        </w:tc>
        <w:tc>
          <w:tcPr>
            <w:tcW w:w="994"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206,1</w:t>
            </w:r>
          </w:p>
        </w:tc>
        <w:tc>
          <w:tcPr>
            <w:tcW w:w="993"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206,2</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201,8</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199</w:t>
            </w:r>
          </w:p>
        </w:tc>
      </w:tr>
      <w:tr w:rsidR="00305726" w:rsidRPr="00BE7374" w:rsidTr="005F5D09">
        <w:trPr>
          <w:cnfStyle w:val="00000001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Brașov</w:t>
            </w:r>
          </w:p>
        </w:tc>
        <w:tc>
          <w:tcPr>
            <w:tcW w:w="993" w:type="dxa"/>
            <w:hideMark/>
          </w:tcPr>
          <w:p w:rsidR="00305726" w:rsidRPr="00BE7374" w:rsidRDefault="00305726" w:rsidP="005F5D09">
            <w:pPr>
              <w:jc w:val="right"/>
              <w:cnfStyle w:val="000000010000"/>
              <w:rPr>
                <w:rFonts w:ascii="Calibri" w:eastAsia="Times New Roman" w:hAnsi="Calibri" w:cs="Times New Roman"/>
                <w:color w:val="000000"/>
              </w:rPr>
            </w:pPr>
            <w:r w:rsidRPr="00BE7374">
              <w:rPr>
                <w:rFonts w:ascii="Calibri" w:eastAsia="Times New Roman" w:hAnsi="Calibri" w:cs="Times New Roman"/>
                <w:color w:val="000000"/>
              </w:rPr>
              <w:t>204,3</w:t>
            </w:r>
          </w:p>
        </w:tc>
        <w:tc>
          <w:tcPr>
            <w:tcW w:w="994" w:type="dxa"/>
            <w:hideMark/>
          </w:tcPr>
          <w:p w:rsidR="00305726" w:rsidRPr="00BE7374" w:rsidRDefault="00305726" w:rsidP="005F5D09">
            <w:pPr>
              <w:jc w:val="right"/>
              <w:cnfStyle w:val="000000010000"/>
              <w:rPr>
                <w:rFonts w:ascii="Calibri" w:eastAsia="Times New Roman" w:hAnsi="Calibri" w:cs="Times New Roman"/>
                <w:color w:val="000000"/>
              </w:rPr>
            </w:pPr>
            <w:r w:rsidRPr="00BE7374">
              <w:rPr>
                <w:rFonts w:ascii="Calibri" w:eastAsia="Times New Roman" w:hAnsi="Calibri" w:cs="Times New Roman"/>
                <w:color w:val="000000"/>
              </w:rPr>
              <w:t>204,3</w:t>
            </w:r>
          </w:p>
        </w:tc>
        <w:tc>
          <w:tcPr>
            <w:tcW w:w="994" w:type="dxa"/>
          </w:tcPr>
          <w:p w:rsidR="00305726" w:rsidRPr="00BE7374" w:rsidRDefault="00305726" w:rsidP="005F5D09">
            <w:pPr>
              <w:jc w:val="right"/>
              <w:cnfStyle w:val="000000010000"/>
              <w:rPr>
                <w:rFonts w:ascii="Calibri" w:hAnsi="Calibri"/>
                <w:color w:val="000000"/>
              </w:rPr>
            </w:pPr>
            <w:r w:rsidRPr="00BE7374">
              <w:rPr>
                <w:rFonts w:ascii="Calibri" w:hAnsi="Calibri"/>
                <w:color w:val="000000"/>
              </w:rPr>
              <w:t>204,7</w:t>
            </w:r>
          </w:p>
        </w:tc>
        <w:tc>
          <w:tcPr>
            <w:tcW w:w="993" w:type="dxa"/>
          </w:tcPr>
          <w:p w:rsidR="00305726" w:rsidRPr="00BE7374" w:rsidRDefault="00305726" w:rsidP="005F5D09">
            <w:pPr>
              <w:jc w:val="right"/>
              <w:cnfStyle w:val="000000010000"/>
              <w:rPr>
                <w:rFonts w:ascii="Calibri" w:hAnsi="Calibri"/>
                <w:color w:val="000000"/>
              </w:rPr>
            </w:pPr>
            <w:r w:rsidRPr="00BE7374">
              <w:rPr>
                <w:rFonts w:ascii="Calibri" w:hAnsi="Calibri"/>
                <w:color w:val="000000"/>
              </w:rPr>
              <w:t>205</w:t>
            </w:r>
          </w:p>
        </w:tc>
        <w:tc>
          <w:tcPr>
            <w:tcW w:w="994" w:type="dxa"/>
          </w:tcPr>
          <w:p w:rsidR="00305726" w:rsidRDefault="00305726" w:rsidP="005F5D09">
            <w:pPr>
              <w:jc w:val="right"/>
              <w:cnfStyle w:val="000000010000"/>
              <w:rPr>
                <w:rFonts w:ascii="Calibri" w:hAnsi="Calibri"/>
                <w:color w:val="000000"/>
              </w:rPr>
            </w:pPr>
            <w:r>
              <w:rPr>
                <w:rFonts w:ascii="Calibri" w:hAnsi="Calibri"/>
                <w:color w:val="000000"/>
              </w:rPr>
              <w:t>202,1</w:t>
            </w:r>
          </w:p>
        </w:tc>
        <w:tc>
          <w:tcPr>
            <w:tcW w:w="994" w:type="dxa"/>
          </w:tcPr>
          <w:p w:rsidR="00305726" w:rsidRDefault="00305726" w:rsidP="005F5D09">
            <w:pPr>
              <w:jc w:val="right"/>
              <w:cnfStyle w:val="000000010000"/>
              <w:rPr>
                <w:rFonts w:ascii="Calibri" w:hAnsi="Calibri"/>
                <w:color w:val="000000"/>
              </w:rPr>
            </w:pPr>
            <w:r>
              <w:rPr>
                <w:rFonts w:ascii="Calibri" w:hAnsi="Calibri"/>
                <w:color w:val="000000"/>
              </w:rPr>
              <w:t>202,2</w:t>
            </w:r>
          </w:p>
        </w:tc>
      </w:tr>
      <w:tr w:rsidR="00305726" w:rsidRPr="00BE7374" w:rsidTr="005F5D09">
        <w:trPr>
          <w:cnfStyle w:val="00000010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Covasna</w:t>
            </w:r>
          </w:p>
        </w:tc>
        <w:tc>
          <w:tcPr>
            <w:tcW w:w="993" w:type="dxa"/>
            <w:hideMark/>
          </w:tcPr>
          <w:p w:rsidR="00305726" w:rsidRPr="00BE7374" w:rsidRDefault="00305726" w:rsidP="005F5D09">
            <w:pPr>
              <w:jc w:val="right"/>
              <w:cnfStyle w:val="000000100000"/>
              <w:rPr>
                <w:rFonts w:ascii="Calibri" w:eastAsia="Times New Roman" w:hAnsi="Calibri" w:cs="Times New Roman"/>
                <w:color w:val="000000"/>
              </w:rPr>
            </w:pPr>
            <w:r w:rsidRPr="00BE7374">
              <w:rPr>
                <w:rFonts w:ascii="Calibri" w:eastAsia="Times New Roman" w:hAnsi="Calibri" w:cs="Times New Roman"/>
                <w:color w:val="000000"/>
              </w:rPr>
              <w:t>167,2</w:t>
            </w:r>
          </w:p>
        </w:tc>
        <w:tc>
          <w:tcPr>
            <w:tcW w:w="994" w:type="dxa"/>
            <w:hideMark/>
          </w:tcPr>
          <w:p w:rsidR="00305726" w:rsidRPr="00BE7374" w:rsidRDefault="00305726" w:rsidP="005F5D09">
            <w:pPr>
              <w:jc w:val="right"/>
              <w:cnfStyle w:val="000000100000"/>
              <w:rPr>
                <w:rFonts w:ascii="Calibri" w:eastAsia="Times New Roman" w:hAnsi="Calibri" w:cs="Times New Roman"/>
                <w:color w:val="000000"/>
              </w:rPr>
            </w:pPr>
            <w:r w:rsidRPr="00BE7374">
              <w:rPr>
                <w:rFonts w:ascii="Calibri" w:eastAsia="Times New Roman" w:hAnsi="Calibri" w:cs="Times New Roman"/>
                <w:color w:val="000000"/>
              </w:rPr>
              <w:t>170,2</w:t>
            </w:r>
          </w:p>
        </w:tc>
        <w:tc>
          <w:tcPr>
            <w:tcW w:w="994"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170,2</w:t>
            </w:r>
          </w:p>
        </w:tc>
        <w:tc>
          <w:tcPr>
            <w:tcW w:w="993"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171,3</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169,6</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169,6</w:t>
            </w:r>
          </w:p>
        </w:tc>
      </w:tr>
      <w:tr w:rsidR="00305726" w:rsidRPr="00BE7374" w:rsidTr="005F5D09">
        <w:trPr>
          <w:cnfStyle w:val="00000001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Harghita</w:t>
            </w:r>
          </w:p>
        </w:tc>
        <w:tc>
          <w:tcPr>
            <w:tcW w:w="993" w:type="dxa"/>
            <w:hideMark/>
          </w:tcPr>
          <w:p w:rsidR="00305726" w:rsidRPr="00BE7374" w:rsidRDefault="00305726" w:rsidP="005F5D09">
            <w:pPr>
              <w:jc w:val="right"/>
              <w:cnfStyle w:val="000000010000"/>
              <w:rPr>
                <w:rFonts w:ascii="Calibri" w:eastAsia="Times New Roman" w:hAnsi="Calibri" w:cs="Times New Roman"/>
                <w:color w:val="000000"/>
              </w:rPr>
            </w:pPr>
            <w:r w:rsidRPr="00BE7374">
              <w:rPr>
                <w:rFonts w:ascii="Calibri" w:eastAsia="Times New Roman" w:hAnsi="Calibri" w:cs="Times New Roman"/>
                <w:color w:val="000000"/>
              </w:rPr>
              <w:t>262,3</w:t>
            </w:r>
          </w:p>
        </w:tc>
        <w:tc>
          <w:tcPr>
            <w:tcW w:w="994" w:type="dxa"/>
            <w:hideMark/>
          </w:tcPr>
          <w:p w:rsidR="00305726" w:rsidRPr="00BE7374" w:rsidRDefault="00305726" w:rsidP="005F5D09">
            <w:pPr>
              <w:jc w:val="right"/>
              <w:cnfStyle w:val="000000010000"/>
              <w:rPr>
                <w:rFonts w:ascii="Calibri" w:eastAsia="Times New Roman" w:hAnsi="Calibri" w:cs="Times New Roman"/>
                <w:color w:val="000000"/>
              </w:rPr>
            </w:pPr>
            <w:r w:rsidRPr="00BE7374">
              <w:rPr>
                <w:rFonts w:ascii="Calibri" w:eastAsia="Times New Roman" w:hAnsi="Calibri" w:cs="Times New Roman"/>
                <w:color w:val="000000"/>
              </w:rPr>
              <w:t>262,4</w:t>
            </w:r>
          </w:p>
        </w:tc>
        <w:tc>
          <w:tcPr>
            <w:tcW w:w="994" w:type="dxa"/>
          </w:tcPr>
          <w:p w:rsidR="00305726" w:rsidRPr="00BE7374" w:rsidRDefault="00305726" w:rsidP="005F5D09">
            <w:pPr>
              <w:jc w:val="right"/>
              <w:cnfStyle w:val="000000010000"/>
              <w:rPr>
                <w:rFonts w:ascii="Calibri" w:hAnsi="Calibri"/>
                <w:color w:val="000000"/>
              </w:rPr>
            </w:pPr>
            <w:r w:rsidRPr="00BE7374">
              <w:rPr>
                <w:rFonts w:ascii="Calibri" w:hAnsi="Calibri"/>
                <w:color w:val="000000"/>
              </w:rPr>
              <w:t>262,4</w:t>
            </w:r>
          </w:p>
        </w:tc>
        <w:tc>
          <w:tcPr>
            <w:tcW w:w="993" w:type="dxa"/>
          </w:tcPr>
          <w:p w:rsidR="00305726" w:rsidRPr="00BE7374" w:rsidRDefault="00305726" w:rsidP="005F5D09">
            <w:pPr>
              <w:jc w:val="right"/>
              <w:cnfStyle w:val="000000010000"/>
              <w:rPr>
                <w:rFonts w:ascii="Calibri" w:hAnsi="Calibri"/>
                <w:color w:val="000000"/>
              </w:rPr>
            </w:pPr>
            <w:r w:rsidRPr="00BE7374">
              <w:rPr>
                <w:rFonts w:ascii="Calibri" w:hAnsi="Calibri"/>
                <w:color w:val="000000"/>
              </w:rPr>
              <w:t>264,1</w:t>
            </w:r>
          </w:p>
        </w:tc>
        <w:tc>
          <w:tcPr>
            <w:tcW w:w="994" w:type="dxa"/>
          </w:tcPr>
          <w:p w:rsidR="00305726" w:rsidRDefault="00305726" w:rsidP="005F5D09">
            <w:pPr>
              <w:jc w:val="right"/>
              <w:cnfStyle w:val="000000010000"/>
              <w:rPr>
                <w:rFonts w:ascii="Calibri" w:hAnsi="Calibri"/>
                <w:color w:val="000000"/>
              </w:rPr>
            </w:pPr>
            <w:r>
              <w:rPr>
                <w:rFonts w:ascii="Calibri" w:hAnsi="Calibri"/>
                <w:color w:val="000000"/>
              </w:rPr>
              <w:t>260,1</w:t>
            </w:r>
          </w:p>
        </w:tc>
        <w:tc>
          <w:tcPr>
            <w:tcW w:w="994" w:type="dxa"/>
          </w:tcPr>
          <w:p w:rsidR="00305726" w:rsidRDefault="00305726" w:rsidP="005F5D09">
            <w:pPr>
              <w:jc w:val="right"/>
              <w:cnfStyle w:val="000000010000"/>
              <w:rPr>
                <w:rFonts w:ascii="Calibri" w:hAnsi="Calibri"/>
                <w:color w:val="000000"/>
              </w:rPr>
            </w:pPr>
            <w:r>
              <w:rPr>
                <w:rFonts w:ascii="Calibri" w:hAnsi="Calibri"/>
                <w:color w:val="000000"/>
              </w:rPr>
              <w:t>260,6</w:t>
            </w:r>
          </w:p>
        </w:tc>
      </w:tr>
      <w:tr w:rsidR="00305726" w:rsidRPr="00BE7374" w:rsidTr="005F5D09">
        <w:trPr>
          <w:cnfStyle w:val="00000010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Mureș</w:t>
            </w:r>
          </w:p>
        </w:tc>
        <w:tc>
          <w:tcPr>
            <w:tcW w:w="993" w:type="dxa"/>
            <w:hideMark/>
          </w:tcPr>
          <w:p w:rsidR="00305726" w:rsidRPr="00BE7374" w:rsidRDefault="00305726" w:rsidP="005F5D09">
            <w:pPr>
              <w:jc w:val="right"/>
              <w:cnfStyle w:val="000000100000"/>
              <w:rPr>
                <w:rFonts w:ascii="Calibri" w:eastAsia="Times New Roman" w:hAnsi="Calibri" w:cs="Times New Roman"/>
                <w:color w:val="000000"/>
              </w:rPr>
            </w:pPr>
            <w:r w:rsidRPr="00BE7374">
              <w:rPr>
                <w:rFonts w:ascii="Calibri" w:eastAsia="Times New Roman" w:hAnsi="Calibri" w:cs="Times New Roman"/>
                <w:color w:val="000000"/>
              </w:rPr>
              <w:t>219,6</w:t>
            </w:r>
          </w:p>
        </w:tc>
        <w:tc>
          <w:tcPr>
            <w:tcW w:w="994" w:type="dxa"/>
            <w:hideMark/>
          </w:tcPr>
          <w:p w:rsidR="00305726" w:rsidRPr="00BE7374" w:rsidRDefault="00305726" w:rsidP="005F5D09">
            <w:pPr>
              <w:jc w:val="right"/>
              <w:cnfStyle w:val="000000100000"/>
              <w:rPr>
                <w:rFonts w:ascii="Calibri" w:eastAsia="Times New Roman" w:hAnsi="Calibri" w:cs="Times New Roman"/>
                <w:color w:val="000000"/>
              </w:rPr>
            </w:pPr>
            <w:r w:rsidRPr="00BE7374">
              <w:rPr>
                <w:rFonts w:ascii="Calibri" w:eastAsia="Times New Roman" w:hAnsi="Calibri" w:cs="Times New Roman"/>
                <w:color w:val="000000"/>
              </w:rPr>
              <w:t>219,7</w:t>
            </w:r>
          </w:p>
        </w:tc>
        <w:tc>
          <w:tcPr>
            <w:tcW w:w="994"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219,8</w:t>
            </w:r>
          </w:p>
        </w:tc>
        <w:tc>
          <w:tcPr>
            <w:tcW w:w="993" w:type="dxa"/>
          </w:tcPr>
          <w:p w:rsidR="00305726" w:rsidRPr="00BE7374" w:rsidRDefault="00305726" w:rsidP="005F5D09">
            <w:pPr>
              <w:jc w:val="right"/>
              <w:cnfStyle w:val="000000100000"/>
              <w:rPr>
                <w:rFonts w:ascii="Calibri" w:hAnsi="Calibri"/>
                <w:color w:val="000000"/>
              </w:rPr>
            </w:pPr>
            <w:r w:rsidRPr="00BE7374">
              <w:rPr>
                <w:rFonts w:ascii="Calibri" w:hAnsi="Calibri"/>
                <w:color w:val="000000"/>
              </w:rPr>
              <w:t>219,7</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215,2</w:t>
            </w:r>
          </w:p>
        </w:tc>
        <w:tc>
          <w:tcPr>
            <w:tcW w:w="994" w:type="dxa"/>
          </w:tcPr>
          <w:p w:rsidR="00305726" w:rsidRDefault="00305726" w:rsidP="005F5D09">
            <w:pPr>
              <w:jc w:val="right"/>
              <w:cnfStyle w:val="000000100000"/>
              <w:rPr>
                <w:rFonts w:ascii="Calibri" w:hAnsi="Calibri"/>
                <w:color w:val="000000"/>
              </w:rPr>
            </w:pPr>
            <w:r>
              <w:rPr>
                <w:rFonts w:ascii="Calibri" w:hAnsi="Calibri"/>
                <w:color w:val="000000"/>
              </w:rPr>
              <w:t>215,6</w:t>
            </w:r>
          </w:p>
        </w:tc>
      </w:tr>
      <w:tr w:rsidR="00305726" w:rsidRPr="00BE7374" w:rsidTr="005F5D09">
        <w:trPr>
          <w:cnfStyle w:val="000000010000"/>
          <w:trHeight w:val="300"/>
          <w:jc w:val="center"/>
        </w:trPr>
        <w:tc>
          <w:tcPr>
            <w:cnfStyle w:val="001000000000"/>
            <w:tcW w:w="2568" w:type="dxa"/>
            <w:hideMark/>
          </w:tcPr>
          <w:p w:rsidR="00305726" w:rsidRPr="00BE7374" w:rsidRDefault="00305726" w:rsidP="005F5D09">
            <w:pPr>
              <w:rPr>
                <w:rFonts w:ascii="Calibri" w:eastAsia="Times New Roman" w:hAnsi="Calibri" w:cs="Times New Roman"/>
                <w:b w:val="0"/>
                <w:bCs w:val="0"/>
                <w:color w:val="000000"/>
              </w:rPr>
            </w:pPr>
            <w:r w:rsidRPr="00BE7374">
              <w:rPr>
                <w:rFonts w:ascii="Calibri" w:eastAsia="Times New Roman" w:hAnsi="Calibri" w:cs="Times New Roman"/>
                <w:color w:val="000000"/>
              </w:rPr>
              <w:t>Sibiu</w:t>
            </w:r>
          </w:p>
        </w:tc>
        <w:tc>
          <w:tcPr>
            <w:tcW w:w="993" w:type="dxa"/>
            <w:hideMark/>
          </w:tcPr>
          <w:p w:rsidR="00305726" w:rsidRPr="00BE7374" w:rsidRDefault="00305726" w:rsidP="005F5D09">
            <w:pPr>
              <w:jc w:val="right"/>
              <w:cnfStyle w:val="000000010000"/>
              <w:rPr>
                <w:rFonts w:ascii="Calibri" w:eastAsia="Times New Roman" w:hAnsi="Calibri" w:cs="Times New Roman"/>
                <w:color w:val="000000"/>
              </w:rPr>
            </w:pPr>
            <w:r w:rsidRPr="00BE7374">
              <w:rPr>
                <w:rFonts w:ascii="Calibri" w:eastAsia="Times New Roman" w:hAnsi="Calibri" w:cs="Times New Roman"/>
                <w:color w:val="000000"/>
              </w:rPr>
              <w:t>195,9</w:t>
            </w:r>
          </w:p>
        </w:tc>
        <w:tc>
          <w:tcPr>
            <w:tcW w:w="994" w:type="dxa"/>
            <w:hideMark/>
          </w:tcPr>
          <w:p w:rsidR="00305726" w:rsidRPr="00BE7374" w:rsidRDefault="00305726" w:rsidP="005F5D09">
            <w:pPr>
              <w:jc w:val="right"/>
              <w:cnfStyle w:val="000000010000"/>
              <w:rPr>
                <w:rFonts w:ascii="Calibri" w:eastAsia="Times New Roman" w:hAnsi="Calibri" w:cs="Times New Roman"/>
                <w:color w:val="000000"/>
              </w:rPr>
            </w:pPr>
            <w:r w:rsidRPr="00BE7374">
              <w:rPr>
                <w:rFonts w:ascii="Calibri" w:eastAsia="Times New Roman" w:hAnsi="Calibri" w:cs="Times New Roman"/>
                <w:color w:val="000000"/>
              </w:rPr>
              <w:t>196,3</w:t>
            </w:r>
          </w:p>
        </w:tc>
        <w:tc>
          <w:tcPr>
            <w:tcW w:w="994" w:type="dxa"/>
          </w:tcPr>
          <w:p w:rsidR="00305726" w:rsidRPr="00BE7374" w:rsidRDefault="00305726" w:rsidP="005F5D09">
            <w:pPr>
              <w:jc w:val="right"/>
              <w:cnfStyle w:val="000000010000"/>
              <w:rPr>
                <w:rFonts w:ascii="Calibri" w:hAnsi="Calibri"/>
                <w:color w:val="000000"/>
              </w:rPr>
            </w:pPr>
            <w:r w:rsidRPr="00BE7374">
              <w:rPr>
                <w:rFonts w:ascii="Calibri" w:hAnsi="Calibri"/>
                <w:color w:val="000000"/>
              </w:rPr>
              <w:t>196,7</w:t>
            </w:r>
          </w:p>
        </w:tc>
        <w:tc>
          <w:tcPr>
            <w:tcW w:w="993" w:type="dxa"/>
          </w:tcPr>
          <w:p w:rsidR="00305726" w:rsidRPr="00BE7374" w:rsidRDefault="00305726" w:rsidP="005F5D09">
            <w:pPr>
              <w:jc w:val="right"/>
              <w:cnfStyle w:val="000000010000"/>
              <w:rPr>
                <w:rFonts w:ascii="Calibri" w:hAnsi="Calibri"/>
                <w:color w:val="000000"/>
              </w:rPr>
            </w:pPr>
            <w:r w:rsidRPr="00BE7374">
              <w:rPr>
                <w:rFonts w:ascii="Calibri" w:hAnsi="Calibri"/>
                <w:color w:val="000000"/>
              </w:rPr>
              <w:t>197,7</w:t>
            </w:r>
          </w:p>
        </w:tc>
        <w:tc>
          <w:tcPr>
            <w:tcW w:w="994" w:type="dxa"/>
          </w:tcPr>
          <w:p w:rsidR="00305726" w:rsidRDefault="00305726" w:rsidP="005F5D09">
            <w:pPr>
              <w:jc w:val="right"/>
              <w:cnfStyle w:val="000000010000"/>
              <w:rPr>
                <w:rFonts w:ascii="Calibri" w:hAnsi="Calibri"/>
                <w:color w:val="000000"/>
              </w:rPr>
            </w:pPr>
            <w:r>
              <w:rPr>
                <w:rFonts w:ascii="Calibri" w:hAnsi="Calibri"/>
                <w:color w:val="000000"/>
              </w:rPr>
              <w:t>196,2</w:t>
            </w:r>
          </w:p>
        </w:tc>
        <w:tc>
          <w:tcPr>
            <w:tcW w:w="994" w:type="dxa"/>
          </w:tcPr>
          <w:p w:rsidR="00305726" w:rsidRDefault="00305726" w:rsidP="005F5D09">
            <w:pPr>
              <w:jc w:val="right"/>
              <w:cnfStyle w:val="000000010000"/>
              <w:rPr>
                <w:rFonts w:ascii="Calibri" w:hAnsi="Calibri"/>
                <w:color w:val="000000"/>
              </w:rPr>
            </w:pPr>
            <w:r>
              <w:rPr>
                <w:rFonts w:ascii="Calibri" w:hAnsi="Calibri"/>
                <w:color w:val="000000"/>
              </w:rPr>
              <w:t>196,5</w:t>
            </w:r>
          </w:p>
        </w:tc>
      </w:tr>
    </w:tbl>
    <w:p w:rsidR="00305726" w:rsidRPr="00BE7374" w:rsidRDefault="00305726" w:rsidP="00305726">
      <w:pPr>
        <w:autoSpaceDE w:val="0"/>
        <w:spacing w:after="0"/>
      </w:pPr>
      <w:r>
        <w:rPr>
          <w:b/>
        </w:rPr>
        <w:tab/>
      </w:r>
      <w:r w:rsidRPr="00BE7374">
        <w:rPr>
          <w:b/>
        </w:rPr>
        <w:t xml:space="preserve">Sursa: </w:t>
      </w:r>
      <w:r w:rsidRPr="00BE7374">
        <w:t>Institutul Național de Statistică</w:t>
      </w:r>
    </w:p>
    <w:p w:rsidR="00305726" w:rsidRPr="00BE7374" w:rsidRDefault="00305726" w:rsidP="00305726">
      <w:pPr>
        <w:autoSpaceDE w:val="0"/>
        <w:spacing w:after="0"/>
      </w:pPr>
    </w:p>
    <w:p w:rsidR="00305726" w:rsidRDefault="00305726" w:rsidP="00305726">
      <w:pPr>
        <w:jc w:val="both"/>
        <w:rPr>
          <w:sz w:val="24"/>
          <w:szCs w:val="24"/>
        </w:rPr>
      </w:pPr>
      <w:r w:rsidRPr="00BE7374">
        <w:rPr>
          <w:sz w:val="24"/>
          <w:szCs w:val="24"/>
        </w:rPr>
        <w:t xml:space="preserve">Fondul forestier din Regiunea Centru este unul bogat și diversificat, favorizând dezvoltarea industriei de prelucrare a lemnului în centre mai mici situate în zona montană. El reprezintă un element de baza în obținerea biomasei prin prelucrarea materialelor rezultate din valorificarea lemnului. </w:t>
      </w:r>
      <w:r>
        <w:rPr>
          <w:sz w:val="24"/>
          <w:szCs w:val="24"/>
        </w:rPr>
        <w:t xml:space="preserve">Cele mai extinse suprafețe forestiere se găsesc </w:t>
      </w:r>
      <w:r w:rsidRPr="00BE7374">
        <w:rPr>
          <w:sz w:val="24"/>
          <w:szCs w:val="24"/>
        </w:rPr>
        <w:t>în zona montană</w:t>
      </w:r>
      <w:r>
        <w:rPr>
          <w:sz w:val="24"/>
          <w:szCs w:val="24"/>
        </w:rPr>
        <w:t xml:space="preserve"> ce cuprinde părți importante din cele trei ramuri ale Carpaților României</w:t>
      </w:r>
      <w:r w:rsidRPr="00BE7374">
        <w:rPr>
          <w:sz w:val="24"/>
          <w:szCs w:val="24"/>
        </w:rPr>
        <w:t xml:space="preserve">, Subcarpații Transilvaniei și dealurile înalte aflate la contactul cu Depresiunea Colinară a Transilvaniei. </w:t>
      </w:r>
    </w:p>
    <w:p w:rsidR="00305726" w:rsidRDefault="00305726" w:rsidP="00305726">
      <w:pPr>
        <w:widowControl w:val="0"/>
        <w:tabs>
          <w:tab w:val="left" w:pos="142"/>
          <w:tab w:val="left" w:pos="855"/>
          <w:tab w:val="left" w:pos="1276"/>
        </w:tabs>
        <w:autoSpaceDE w:val="0"/>
        <w:autoSpaceDN w:val="0"/>
        <w:adjustRightInd w:val="0"/>
        <w:spacing w:after="0"/>
        <w:rPr>
          <w:rFonts w:ascii="Arial" w:eastAsia="Times New Roman" w:hAnsi="Arial" w:cs="Arial"/>
          <w:b/>
          <w:bCs/>
          <w:color w:val="000000"/>
        </w:rPr>
      </w:pPr>
      <w:r w:rsidRPr="00387480">
        <w:rPr>
          <w:noProof/>
          <w:color w:val="FF0000"/>
          <w:sz w:val="24"/>
          <w:szCs w:val="24"/>
        </w:rPr>
        <w:lastRenderedPageBreak/>
        <w:drawing>
          <wp:inline distT="0" distB="0" distL="0" distR="0">
            <wp:extent cx="5260316" cy="3700767"/>
            <wp:effectExtent l="19050" t="0" r="0" b="0"/>
            <wp:docPr id="9" name="Imagine 1" descr="D:\RENERG WP3\GIS\harti GIS\paduri bio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RENERG WP3\GIS\harti GIS\paduri biomasa.jpg"/>
                    <pic:cNvPicPr>
                      <a:picLocks noChangeAspect="1" noChangeArrowheads="1"/>
                    </pic:cNvPicPr>
                  </pic:nvPicPr>
                  <pic:blipFill>
                    <a:blip r:embed="rId63" cstate="print"/>
                    <a:srcRect/>
                    <a:stretch>
                      <a:fillRect/>
                    </a:stretch>
                  </pic:blipFill>
                  <pic:spPr bwMode="auto">
                    <a:xfrm>
                      <a:off x="0" y="0"/>
                      <a:ext cx="5257632" cy="3698879"/>
                    </a:xfrm>
                    <a:prstGeom prst="rect">
                      <a:avLst/>
                    </a:prstGeom>
                    <a:noFill/>
                    <a:ln w="9525">
                      <a:noFill/>
                      <a:miter lim="800000"/>
                      <a:headEnd/>
                      <a:tailEnd/>
                    </a:ln>
                  </pic:spPr>
                </pic:pic>
              </a:graphicData>
            </a:graphic>
          </wp:inline>
        </w:drawing>
      </w:r>
    </w:p>
    <w:p w:rsidR="00305726" w:rsidRPr="00861FC2" w:rsidRDefault="00305726" w:rsidP="00305726">
      <w:pPr>
        <w:widowControl w:val="0"/>
        <w:tabs>
          <w:tab w:val="left" w:pos="142"/>
          <w:tab w:val="left" w:pos="855"/>
          <w:tab w:val="left" w:pos="1276"/>
        </w:tabs>
        <w:autoSpaceDE w:val="0"/>
        <w:autoSpaceDN w:val="0"/>
        <w:adjustRightInd w:val="0"/>
        <w:spacing w:after="0"/>
        <w:rPr>
          <w:b/>
        </w:rPr>
      </w:pPr>
      <w:r>
        <w:rPr>
          <w:b/>
          <w:sz w:val="20"/>
          <w:szCs w:val="20"/>
        </w:rPr>
        <w:tab/>
      </w:r>
      <w:r w:rsidRPr="00861FC2">
        <w:rPr>
          <w:b/>
        </w:rPr>
        <w:t>Fig. 1</w:t>
      </w:r>
      <w:r w:rsidRPr="00861FC2">
        <w:rPr>
          <w:b/>
        </w:rPr>
        <w:tab/>
      </w:r>
      <w:r w:rsidRPr="00861FC2">
        <w:rPr>
          <w:b/>
        </w:rPr>
        <w:tab/>
      </w:r>
      <w:r w:rsidRPr="00861FC2">
        <w:rPr>
          <w:b/>
        </w:rPr>
        <w:tab/>
      </w:r>
      <w:r w:rsidRPr="00861FC2">
        <w:rPr>
          <w:b/>
        </w:rPr>
        <w:tab/>
      </w:r>
      <w:r w:rsidRPr="00861FC2">
        <w:rPr>
          <w:b/>
        </w:rPr>
        <w:tab/>
      </w:r>
      <w:r w:rsidRPr="00861FC2">
        <w:rPr>
          <w:b/>
        </w:rPr>
        <w:tab/>
      </w:r>
      <w:r w:rsidRPr="00861FC2">
        <w:rPr>
          <w:b/>
        </w:rPr>
        <w:tab/>
      </w:r>
      <w:r w:rsidRPr="00861FC2">
        <w:rPr>
          <w:b/>
        </w:rPr>
        <w:tab/>
      </w:r>
      <w:r w:rsidRPr="00861FC2">
        <w:rPr>
          <w:b/>
        </w:rPr>
        <w:tab/>
      </w:r>
      <w:r w:rsidRPr="00861FC2">
        <w:rPr>
          <w:b/>
        </w:rPr>
        <w:tab/>
        <w:t>Sursa: ADR Centru</w:t>
      </w:r>
    </w:p>
    <w:p w:rsidR="00305726" w:rsidRDefault="00305726" w:rsidP="00305726">
      <w:pPr>
        <w:autoSpaceDE w:val="0"/>
        <w:spacing w:after="0"/>
        <w:jc w:val="center"/>
        <w:rPr>
          <w:b/>
        </w:rPr>
      </w:pPr>
    </w:p>
    <w:p w:rsidR="00305726" w:rsidRPr="00305726" w:rsidRDefault="00305726" w:rsidP="00305726">
      <w:pPr>
        <w:autoSpaceDE w:val="0"/>
        <w:spacing w:after="0"/>
        <w:jc w:val="center"/>
        <w:rPr>
          <w:b/>
        </w:rPr>
      </w:pPr>
      <w:r w:rsidRPr="006B61EC">
        <w:rPr>
          <w:b/>
        </w:rPr>
        <w:t>Tab. 2 Structura suprafețelor forestiere din Regiunea Centru în anul 2015</w:t>
      </w:r>
    </w:p>
    <w:p w:rsidR="00305726" w:rsidRPr="00BE7374" w:rsidRDefault="00305726" w:rsidP="00305726">
      <w:pPr>
        <w:pStyle w:val="Listparagraf"/>
        <w:autoSpaceDE w:val="0"/>
        <w:spacing w:after="0"/>
        <w:ind w:left="6015"/>
        <w:rPr>
          <w:b/>
        </w:rPr>
      </w:pPr>
      <w:r w:rsidRPr="00BE7374">
        <w:rPr>
          <w:b/>
        </w:rPr>
        <w:t>-mii</w:t>
      </w:r>
      <w:r>
        <w:rPr>
          <w:b/>
        </w:rPr>
        <w:t xml:space="preserve"> </w:t>
      </w:r>
      <w:r w:rsidRPr="00BE7374">
        <w:rPr>
          <w:b/>
        </w:rPr>
        <w:t>ha-</w:t>
      </w:r>
    </w:p>
    <w:tbl>
      <w:tblPr>
        <w:tblStyle w:val="Umbriremedie1-Accentuare3"/>
        <w:tblW w:w="5759" w:type="dxa"/>
        <w:jc w:val="center"/>
        <w:tblInd w:w="-252" w:type="dxa"/>
        <w:tblLook w:val="04A0"/>
      </w:tblPr>
      <w:tblGrid>
        <w:gridCol w:w="3620"/>
        <w:gridCol w:w="2139"/>
      </w:tblGrid>
      <w:tr w:rsidR="00305726" w:rsidRPr="00BE7374" w:rsidTr="005F5D09">
        <w:trPr>
          <w:cnfStyle w:val="100000000000"/>
          <w:trHeight w:val="300"/>
          <w:jc w:val="center"/>
        </w:trPr>
        <w:tc>
          <w:tcPr>
            <w:cnfStyle w:val="001000000000"/>
            <w:tcW w:w="3620" w:type="dxa"/>
            <w:noWrap/>
            <w:hideMark/>
          </w:tcPr>
          <w:p w:rsidR="00305726" w:rsidRPr="00861FC2" w:rsidRDefault="00305726" w:rsidP="005F5D09">
            <w:pPr>
              <w:rPr>
                <w:rFonts w:ascii="Calibri" w:eastAsia="Times New Roman" w:hAnsi="Calibri" w:cs="Times New Roman"/>
                <w:b w:val="0"/>
                <w:bCs w:val="0"/>
                <w:color w:val="000000"/>
                <w:sz w:val="24"/>
                <w:szCs w:val="24"/>
              </w:rPr>
            </w:pPr>
            <w:r w:rsidRPr="00861FC2">
              <w:rPr>
                <w:rFonts w:ascii="Calibri" w:eastAsia="Times New Roman" w:hAnsi="Calibri" w:cs="Times New Roman"/>
                <w:color w:val="000000"/>
                <w:sz w:val="24"/>
                <w:szCs w:val="24"/>
              </w:rPr>
              <w:t>Total</w:t>
            </w:r>
          </w:p>
        </w:tc>
        <w:tc>
          <w:tcPr>
            <w:tcW w:w="2139" w:type="dxa"/>
            <w:hideMark/>
          </w:tcPr>
          <w:p w:rsidR="00305726" w:rsidRPr="00861FC2" w:rsidRDefault="00305726" w:rsidP="005F5D09">
            <w:pPr>
              <w:jc w:val="right"/>
              <w:cnfStyle w:val="100000000000"/>
              <w:rPr>
                <w:rFonts w:ascii="Calibri" w:hAnsi="Calibri"/>
                <w:color w:val="000000"/>
                <w:sz w:val="24"/>
                <w:szCs w:val="24"/>
              </w:rPr>
            </w:pPr>
            <w:r w:rsidRPr="00861FC2">
              <w:rPr>
                <w:rFonts w:ascii="Calibri" w:hAnsi="Calibri"/>
                <w:color w:val="000000"/>
                <w:sz w:val="24"/>
                <w:szCs w:val="24"/>
              </w:rPr>
              <w:t>1263,4</w:t>
            </w:r>
          </w:p>
          <w:p w:rsidR="00305726" w:rsidRPr="00861FC2" w:rsidRDefault="00305726" w:rsidP="005F5D09">
            <w:pPr>
              <w:jc w:val="right"/>
              <w:cnfStyle w:val="100000000000"/>
              <w:rPr>
                <w:rFonts w:ascii="Calibri" w:hAnsi="Calibri"/>
                <w:color w:val="000000"/>
                <w:sz w:val="24"/>
                <w:szCs w:val="24"/>
              </w:rPr>
            </w:pPr>
          </w:p>
        </w:tc>
      </w:tr>
      <w:tr w:rsidR="00305726" w:rsidRPr="00BE7374" w:rsidTr="005F5D09">
        <w:trPr>
          <w:cnfStyle w:val="000000100000"/>
          <w:trHeight w:val="210"/>
          <w:jc w:val="center"/>
        </w:trPr>
        <w:tc>
          <w:tcPr>
            <w:cnfStyle w:val="001000000000"/>
            <w:tcW w:w="3620" w:type="dxa"/>
            <w:noWrap/>
            <w:hideMark/>
          </w:tcPr>
          <w:p w:rsidR="00305726" w:rsidRPr="00861FC2" w:rsidRDefault="00305726" w:rsidP="005F5D09">
            <w:pPr>
              <w:rPr>
                <w:rFonts w:ascii="Calibri" w:eastAsia="Times New Roman" w:hAnsi="Calibri" w:cs="Times New Roman"/>
                <w:color w:val="000000"/>
                <w:sz w:val="24"/>
                <w:szCs w:val="24"/>
              </w:rPr>
            </w:pPr>
            <w:r w:rsidRPr="00861FC2">
              <w:rPr>
                <w:rFonts w:ascii="Calibri" w:eastAsia="Times New Roman" w:hAnsi="Calibri" w:cs="Times New Roman"/>
                <w:color w:val="000000"/>
                <w:sz w:val="24"/>
                <w:szCs w:val="24"/>
              </w:rPr>
              <w:t>Păduri, din care:</w:t>
            </w:r>
          </w:p>
        </w:tc>
        <w:tc>
          <w:tcPr>
            <w:tcW w:w="2139" w:type="dxa"/>
            <w:hideMark/>
          </w:tcPr>
          <w:p w:rsidR="00305726" w:rsidRPr="00861FC2" w:rsidRDefault="00305726" w:rsidP="005F5D09">
            <w:pPr>
              <w:jc w:val="right"/>
              <w:cnfStyle w:val="000000100000"/>
              <w:rPr>
                <w:rFonts w:ascii="Calibri" w:hAnsi="Calibri"/>
                <w:color w:val="000000"/>
                <w:sz w:val="24"/>
                <w:szCs w:val="24"/>
              </w:rPr>
            </w:pPr>
            <w:r w:rsidRPr="00861FC2">
              <w:rPr>
                <w:rFonts w:ascii="Calibri" w:hAnsi="Calibri"/>
                <w:color w:val="000000"/>
                <w:sz w:val="24"/>
                <w:szCs w:val="24"/>
              </w:rPr>
              <w:t>1243,5</w:t>
            </w:r>
          </w:p>
        </w:tc>
      </w:tr>
      <w:tr w:rsidR="00305726" w:rsidRPr="00BE7374" w:rsidTr="005F5D09">
        <w:trPr>
          <w:cnfStyle w:val="000000010000"/>
          <w:trHeight w:val="300"/>
          <w:jc w:val="center"/>
        </w:trPr>
        <w:tc>
          <w:tcPr>
            <w:cnfStyle w:val="001000000000"/>
            <w:tcW w:w="3620" w:type="dxa"/>
            <w:noWrap/>
            <w:hideMark/>
          </w:tcPr>
          <w:p w:rsidR="00305726" w:rsidRPr="00861FC2" w:rsidRDefault="00305726" w:rsidP="005F5D09">
            <w:pPr>
              <w:rPr>
                <w:rFonts w:ascii="Calibri" w:eastAsia="Times New Roman" w:hAnsi="Calibri" w:cs="Times New Roman"/>
                <w:color w:val="000000"/>
                <w:sz w:val="24"/>
                <w:szCs w:val="24"/>
              </w:rPr>
            </w:pPr>
            <w:r w:rsidRPr="00861FC2">
              <w:rPr>
                <w:rFonts w:ascii="Calibri" w:eastAsia="Times New Roman" w:hAnsi="Calibri" w:cs="Times New Roman"/>
                <w:color w:val="000000"/>
                <w:sz w:val="24"/>
                <w:szCs w:val="24"/>
              </w:rPr>
              <w:t xml:space="preserve">  - Rășinoase</w:t>
            </w:r>
          </w:p>
        </w:tc>
        <w:tc>
          <w:tcPr>
            <w:tcW w:w="2139" w:type="dxa"/>
            <w:hideMark/>
          </w:tcPr>
          <w:p w:rsidR="00305726" w:rsidRPr="00861FC2" w:rsidRDefault="00305726" w:rsidP="005F5D09">
            <w:pPr>
              <w:jc w:val="right"/>
              <w:cnfStyle w:val="000000010000"/>
              <w:rPr>
                <w:rFonts w:ascii="Calibri" w:hAnsi="Calibri"/>
                <w:color w:val="000000"/>
                <w:sz w:val="24"/>
                <w:szCs w:val="24"/>
              </w:rPr>
            </w:pPr>
            <w:r w:rsidRPr="00861FC2">
              <w:rPr>
                <w:rFonts w:ascii="Calibri" w:hAnsi="Calibri"/>
                <w:color w:val="000000"/>
                <w:sz w:val="24"/>
                <w:szCs w:val="24"/>
              </w:rPr>
              <w:t>555,9</w:t>
            </w:r>
          </w:p>
        </w:tc>
      </w:tr>
      <w:tr w:rsidR="00305726" w:rsidRPr="00BE7374" w:rsidTr="005F5D09">
        <w:trPr>
          <w:cnfStyle w:val="000000100000"/>
          <w:trHeight w:val="300"/>
          <w:jc w:val="center"/>
        </w:trPr>
        <w:tc>
          <w:tcPr>
            <w:cnfStyle w:val="001000000000"/>
            <w:tcW w:w="3620" w:type="dxa"/>
            <w:noWrap/>
            <w:hideMark/>
          </w:tcPr>
          <w:p w:rsidR="00305726" w:rsidRPr="00861FC2" w:rsidRDefault="00305726" w:rsidP="005F5D09">
            <w:pPr>
              <w:rPr>
                <w:rFonts w:ascii="Calibri" w:eastAsia="Times New Roman" w:hAnsi="Calibri" w:cs="Times New Roman"/>
                <w:color w:val="000000"/>
                <w:sz w:val="24"/>
                <w:szCs w:val="24"/>
              </w:rPr>
            </w:pPr>
            <w:r w:rsidRPr="00861FC2">
              <w:rPr>
                <w:rFonts w:ascii="Calibri" w:eastAsia="Times New Roman" w:hAnsi="Calibri" w:cs="Times New Roman"/>
                <w:color w:val="000000"/>
                <w:sz w:val="24"/>
                <w:szCs w:val="24"/>
              </w:rPr>
              <w:t xml:space="preserve">  - Foioase</w:t>
            </w:r>
          </w:p>
        </w:tc>
        <w:tc>
          <w:tcPr>
            <w:tcW w:w="2139" w:type="dxa"/>
            <w:hideMark/>
          </w:tcPr>
          <w:p w:rsidR="00305726" w:rsidRPr="00861FC2" w:rsidRDefault="00305726" w:rsidP="005F5D09">
            <w:pPr>
              <w:jc w:val="right"/>
              <w:cnfStyle w:val="000000100000"/>
              <w:rPr>
                <w:rFonts w:ascii="Calibri" w:hAnsi="Calibri"/>
                <w:color w:val="000000"/>
                <w:sz w:val="24"/>
                <w:szCs w:val="24"/>
              </w:rPr>
            </w:pPr>
            <w:r w:rsidRPr="00861FC2">
              <w:rPr>
                <w:rFonts w:ascii="Calibri" w:hAnsi="Calibri"/>
                <w:color w:val="000000"/>
                <w:sz w:val="24"/>
                <w:szCs w:val="24"/>
              </w:rPr>
              <w:t>687,6</w:t>
            </w:r>
          </w:p>
        </w:tc>
      </w:tr>
      <w:tr w:rsidR="00305726" w:rsidRPr="00BE7374" w:rsidTr="005F5D09">
        <w:trPr>
          <w:cnfStyle w:val="000000010000"/>
          <w:trHeight w:val="300"/>
          <w:jc w:val="center"/>
        </w:trPr>
        <w:tc>
          <w:tcPr>
            <w:cnfStyle w:val="001000000000"/>
            <w:tcW w:w="3620" w:type="dxa"/>
            <w:noWrap/>
            <w:hideMark/>
          </w:tcPr>
          <w:p w:rsidR="00305726" w:rsidRPr="00861FC2" w:rsidRDefault="00305726" w:rsidP="005F5D09">
            <w:pPr>
              <w:rPr>
                <w:rFonts w:ascii="Calibri" w:eastAsia="Times New Roman" w:hAnsi="Calibri" w:cs="Times New Roman"/>
                <w:color w:val="000000"/>
                <w:sz w:val="24"/>
                <w:szCs w:val="24"/>
              </w:rPr>
            </w:pPr>
            <w:r w:rsidRPr="00861FC2">
              <w:rPr>
                <w:rFonts w:ascii="Calibri" w:eastAsia="Times New Roman" w:hAnsi="Calibri" w:cs="Times New Roman"/>
                <w:color w:val="000000"/>
                <w:sz w:val="24"/>
                <w:szCs w:val="24"/>
              </w:rPr>
              <w:t>Alte terenuri</w:t>
            </w:r>
          </w:p>
        </w:tc>
        <w:tc>
          <w:tcPr>
            <w:tcW w:w="2139" w:type="dxa"/>
            <w:hideMark/>
          </w:tcPr>
          <w:p w:rsidR="00305726" w:rsidRPr="00861FC2" w:rsidRDefault="00305726" w:rsidP="005F5D09">
            <w:pPr>
              <w:jc w:val="right"/>
              <w:cnfStyle w:val="000000010000"/>
              <w:rPr>
                <w:rFonts w:ascii="Calibri" w:hAnsi="Calibri"/>
                <w:color w:val="000000"/>
                <w:sz w:val="24"/>
                <w:szCs w:val="24"/>
              </w:rPr>
            </w:pPr>
            <w:r w:rsidRPr="00861FC2">
              <w:rPr>
                <w:rFonts w:ascii="Calibri" w:hAnsi="Calibri"/>
                <w:color w:val="000000"/>
                <w:sz w:val="24"/>
                <w:szCs w:val="24"/>
              </w:rPr>
              <w:t>19,9</w:t>
            </w:r>
          </w:p>
        </w:tc>
      </w:tr>
    </w:tbl>
    <w:p w:rsidR="00305726" w:rsidRPr="00BE7374" w:rsidRDefault="00305726" w:rsidP="00305726">
      <w:pPr>
        <w:autoSpaceDE w:val="0"/>
        <w:spacing w:after="0"/>
      </w:pPr>
      <w:r w:rsidRPr="00BE7374">
        <w:tab/>
      </w:r>
      <w:r w:rsidRPr="00BE7374">
        <w:tab/>
      </w:r>
      <w:r w:rsidRPr="00BE7374">
        <w:tab/>
      </w:r>
      <w:r w:rsidRPr="00BE7374">
        <w:rPr>
          <w:b/>
        </w:rPr>
        <w:t xml:space="preserve">Sursa: </w:t>
      </w:r>
      <w:r w:rsidRPr="00BE7374">
        <w:t>Institutul Național de Statistică</w:t>
      </w:r>
    </w:p>
    <w:p w:rsidR="00305726" w:rsidRDefault="00305726" w:rsidP="00305726">
      <w:pPr>
        <w:widowControl w:val="0"/>
        <w:tabs>
          <w:tab w:val="left" w:pos="142"/>
          <w:tab w:val="left" w:pos="855"/>
          <w:tab w:val="left" w:pos="1276"/>
        </w:tabs>
        <w:autoSpaceDE w:val="0"/>
        <w:autoSpaceDN w:val="0"/>
        <w:adjustRightInd w:val="0"/>
        <w:jc w:val="both"/>
        <w:rPr>
          <w:rFonts w:eastAsia="Times New Roman" w:cs="Arial"/>
          <w:bCs/>
          <w:color w:val="000000"/>
          <w:sz w:val="24"/>
          <w:szCs w:val="24"/>
        </w:rPr>
      </w:pPr>
    </w:p>
    <w:p w:rsidR="00305726" w:rsidRPr="003D4F67" w:rsidRDefault="00305726" w:rsidP="00305726">
      <w:pPr>
        <w:widowControl w:val="0"/>
        <w:tabs>
          <w:tab w:val="left" w:pos="142"/>
          <w:tab w:val="left" w:pos="855"/>
          <w:tab w:val="left" w:pos="1276"/>
        </w:tabs>
        <w:autoSpaceDE w:val="0"/>
        <w:autoSpaceDN w:val="0"/>
        <w:adjustRightInd w:val="0"/>
        <w:jc w:val="both"/>
        <w:rPr>
          <w:rFonts w:eastAsia="Times New Roman" w:cs="Arial"/>
          <w:bCs/>
          <w:i/>
          <w:color w:val="000000"/>
          <w:sz w:val="24"/>
          <w:szCs w:val="24"/>
        </w:rPr>
      </w:pPr>
      <w:r w:rsidRPr="00387480">
        <w:rPr>
          <w:rFonts w:eastAsia="Times New Roman" w:cs="Arial"/>
          <w:bCs/>
          <w:color w:val="000000"/>
          <w:sz w:val="24"/>
          <w:szCs w:val="24"/>
        </w:rPr>
        <w:t xml:space="preserve">Ca </w:t>
      </w:r>
      <w:r>
        <w:rPr>
          <w:rFonts w:eastAsia="Times New Roman" w:cs="Arial"/>
          <w:bCs/>
          <w:color w:val="000000"/>
          <w:sz w:val="24"/>
          <w:szCs w:val="24"/>
        </w:rPr>
        <w:t>domeniu economic</w:t>
      </w:r>
      <w:r w:rsidRPr="00387480">
        <w:rPr>
          <w:rFonts w:eastAsia="Times New Roman" w:cs="Arial"/>
          <w:bCs/>
          <w:color w:val="000000"/>
          <w:sz w:val="24"/>
          <w:szCs w:val="24"/>
        </w:rPr>
        <w:t xml:space="preserve">, </w:t>
      </w:r>
      <w:r>
        <w:rPr>
          <w:rFonts w:eastAsia="Times New Roman" w:cs="Arial"/>
          <w:bCs/>
          <w:color w:val="000000"/>
          <w:sz w:val="24"/>
          <w:szCs w:val="24"/>
        </w:rPr>
        <w:t>silvicultura și exploatarea forestieră grupează activitățile din cadrul diviziunii</w:t>
      </w:r>
      <w:r>
        <w:rPr>
          <w:rFonts w:ascii="Arial" w:eastAsia="Times New Roman" w:hAnsi="Arial" w:cs="Arial"/>
          <w:b/>
          <w:bCs/>
          <w:color w:val="000000"/>
        </w:rPr>
        <w:t xml:space="preserve"> </w:t>
      </w:r>
      <w:r w:rsidRPr="003D4F67">
        <w:rPr>
          <w:rFonts w:eastAsia="Times New Roman" w:cs="Arial"/>
          <w:b/>
          <w:bCs/>
          <w:color w:val="000000"/>
          <w:sz w:val="24"/>
          <w:szCs w:val="24"/>
        </w:rPr>
        <w:t>02</w:t>
      </w:r>
      <w:r>
        <w:rPr>
          <w:rFonts w:eastAsia="Times New Roman" w:cs="Arial"/>
          <w:sz w:val="24"/>
          <w:szCs w:val="24"/>
        </w:rPr>
        <w:t xml:space="preserve"> </w:t>
      </w:r>
      <w:r w:rsidRPr="003D4F67">
        <w:rPr>
          <w:rFonts w:eastAsia="Times New Roman" w:cs="Arial"/>
          <w:b/>
          <w:bCs/>
          <w:color w:val="000000"/>
          <w:sz w:val="24"/>
          <w:szCs w:val="24"/>
        </w:rPr>
        <w:t>Silvicultură şi exploatare forestieră</w:t>
      </w:r>
      <w:r>
        <w:rPr>
          <w:rFonts w:eastAsia="Times New Roman" w:cs="Arial"/>
          <w:b/>
          <w:bCs/>
          <w:color w:val="000000"/>
          <w:sz w:val="24"/>
          <w:szCs w:val="24"/>
        </w:rPr>
        <w:t xml:space="preserve"> </w:t>
      </w:r>
      <w:r w:rsidRPr="003D4F67">
        <w:rPr>
          <w:rFonts w:eastAsia="Times New Roman" w:cs="Arial"/>
          <w:bCs/>
          <w:color w:val="000000"/>
          <w:sz w:val="24"/>
          <w:szCs w:val="24"/>
        </w:rPr>
        <w:t>a CAEN REV2</w:t>
      </w:r>
      <w:r>
        <w:rPr>
          <w:rFonts w:eastAsia="Times New Roman" w:cs="Arial"/>
          <w:bCs/>
          <w:color w:val="000000"/>
          <w:sz w:val="24"/>
          <w:szCs w:val="24"/>
        </w:rPr>
        <w:t xml:space="preserve">. </w:t>
      </w:r>
      <w:r w:rsidRPr="00387480">
        <w:rPr>
          <w:rFonts w:cs="Arial"/>
          <w:color w:val="000000"/>
          <w:sz w:val="24"/>
          <w:szCs w:val="24"/>
        </w:rPr>
        <w:t xml:space="preserve">Această diviziune include producţia de buşteni , precum şi extragerea şi colectarea produselor nelemnoase şi colectarea plantelor şi fructelor din flora spontană a pădurilor (exclusiv material lemnos). Pe lângă producţia de lemn, activităţile forestiere realizează şi produse care, ulterior, sunt supuse unei prelucrări minimale, cum sunt lemnele de foc, cărbunele de lemn, aşchiile de lemn şi buştenii folosiţi în formă neprelucrată (de  exemplu stâlpi de mină, lemn pentru celuloză, etc.). </w:t>
      </w:r>
      <w:r>
        <w:rPr>
          <w:rFonts w:cs="Arial"/>
          <w:color w:val="000000"/>
          <w:sz w:val="24"/>
          <w:szCs w:val="24"/>
        </w:rPr>
        <w:t xml:space="preserve">Clasele cuprinse în această diviziune sunt: </w:t>
      </w:r>
      <w:r>
        <w:rPr>
          <w:rFonts w:ascii="Arial" w:eastAsia="Times New Roman" w:hAnsi="Arial" w:cs="Arial"/>
          <w:sz w:val="20"/>
          <w:szCs w:val="20"/>
        </w:rPr>
        <w:t xml:space="preserve"> </w:t>
      </w:r>
      <w:r w:rsidRPr="003D4F67">
        <w:rPr>
          <w:rFonts w:eastAsia="Times New Roman" w:cs="Arial"/>
          <w:bCs/>
          <w:i/>
          <w:color w:val="000000"/>
          <w:sz w:val="24"/>
          <w:szCs w:val="24"/>
        </w:rPr>
        <w:t>0210</w:t>
      </w:r>
      <w:r w:rsidRPr="003D4F67">
        <w:rPr>
          <w:rFonts w:eastAsia="Times New Roman" w:cs="Arial"/>
          <w:i/>
          <w:sz w:val="24"/>
          <w:szCs w:val="24"/>
        </w:rPr>
        <w:t xml:space="preserve"> </w:t>
      </w:r>
      <w:r w:rsidRPr="003D4F67">
        <w:rPr>
          <w:rFonts w:eastAsia="Times New Roman" w:cs="Arial"/>
          <w:bCs/>
          <w:i/>
          <w:color w:val="000000"/>
          <w:sz w:val="24"/>
          <w:szCs w:val="24"/>
        </w:rPr>
        <w:t>Silvicultură şi alte activităţi forestiere, 0220</w:t>
      </w:r>
      <w:r w:rsidRPr="003D4F67">
        <w:rPr>
          <w:rFonts w:eastAsia="Times New Roman" w:cs="Arial"/>
          <w:i/>
          <w:sz w:val="24"/>
          <w:szCs w:val="24"/>
        </w:rPr>
        <w:t xml:space="preserve"> </w:t>
      </w:r>
      <w:r w:rsidRPr="003D4F67">
        <w:rPr>
          <w:rFonts w:eastAsia="Times New Roman" w:cs="Arial"/>
          <w:bCs/>
          <w:i/>
          <w:color w:val="000000"/>
          <w:sz w:val="24"/>
          <w:szCs w:val="24"/>
        </w:rPr>
        <w:t>Exploatarea forestieră, 0230 Colectarea plantelor şi fructelor din flora spontană (excl. material lemnos),  0240</w:t>
      </w:r>
      <w:r w:rsidRPr="003D4F67">
        <w:rPr>
          <w:rFonts w:eastAsia="Times New Roman" w:cs="Arial"/>
          <w:i/>
          <w:sz w:val="24"/>
          <w:szCs w:val="24"/>
        </w:rPr>
        <w:t xml:space="preserve">  </w:t>
      </w:r>
      <w:r w:rsidRPr="003D4F67">
        <w:rPr>
          <w:rFonts w:eastAsia="Times New Roman" w:cs="Arial"/>
          <w:bCs/>
          <w:i/>
          <w:color w:val="000000"/>
          <w:sz w:val="24"/>
          <w:szCs w:val="24"/>
        </w:rPr>
        <w:t>Activităţi de servicii anexe silviculturii</w:t>
      </w:r>
      <w:r>
        <w:rPr>
          <w:rFonts w:eastAsia="Times New Roman" w:cs="Arial"/>
          <w:bCs/>
          <w:i/>
          <w:color w:val="000000"/>
          <w:sz w:val="24"/>
          <w:szCs w:val="24"/>
        </w:rPr>
        <w:t xml:space="preserve">. </w:t>
      </w:r>
    </w:p>
    <w:p w:rsidR="00305726" w:rsidRPr="00BE7374" w:rsidRDefault="00305726" w:rsidP="00305726">
      <w:pPr>
        <w:jc w:val="both"/>
        <w:rPr>
          <w:sz w:val="24"/>
          <w:szCs w:val="24"/>
        </w:rPr>
      </w:pPr>
    </w:p>
    <w:p w:rsidR="00305726" w:rsidRDefault="00305726" w:rsidP="00305726">
      <w:pPr>
        <w:spacing w:after="0"/>
        <w:jc w:val="both"/>
        <w:rPr>
          <w:rFonts w:cs="Calibri"/>
          <w:sz w:val="24"/>
          <w:szCs w:val="24"/>
        </w:rPr>
      </w:pPr>
      <w:r w:rsidRPr="00BE7374">
        <w:rPr>
          <w:rFonts w:cs="Calibri"/>
          <w:sz w:val="24"/>
          <w:szCs w:val="24"/>
        </w:rPr>
        <w:lastRenderedPageBreak/>
        <w:t xml:space="preserve">Cu un volum de </w:t>
      </w:r>
      <w:r>
        <w:rPr>
          <w:rFonts w:cs="Calibri"/>
          <w:sz w:val="24"/>
          <w:szCs w:val="24"/>
        </w:rPr>
        <w:t>aproape 4 milioane</w:t>
      </w:r>
      <w:r w:rsidRPr="00BE7374">
        <w:rPr>
          <w:rFonts w:cs="Calibri"/>
          <w:sz w:val="24"/>
          <w:szCs w:val="24"/>
        </w:rPr>
        <w:t xml:space="preserve"> mc de lemn recoltat în anul 201</w:t>
      </w:r>
      <w:r>
        <w:rPr>
          <w:rFonts w:cs="Calibri"/>
          <w:sz w:val="24"/>
          <w:szCs w:val="24"/>
        </w:rPr>
        <w:t>5</w:t>
      </w:r>
      <w:r w:rsidRPr="00BE7374">
        <w:rPr>
          <w:rFonts w:cs="Calibri"/>
          <w:sz w:val="24"/>
          <w:szCs w:val="24"/>
        </w:rPr>
        <w:t>, Regiunea Centru</w:t>
      </w:r>
      <w:r w:rsidRPr="00002A68">
        <w:rPr>
          <w:rFonts w:cs="Calibri"/>
          <w:sz w:val="24"/>
          <w:szCs w:val="24"/>
        </w:rPr>
        <w:t xml:space="preserve"> este </w:t>
      </w:r>
      <w:r w:rsidRPr="00002A68">
        <w:rPr>
          <w:rFonts w:cs="Calibri"/>
          <w:b/>
          <w:sz w:val="24"/>
          <w:szCs w:val="24"/>
        </w:rPr>
        <w:t>al doilea bazin de recoltare forestieră al României</w:t>
      </w:r>
      <w:r w:rsidRPr="00002A68">
        <w:rPr>
          <w:rFonts w:cs="Calibri"/>
          <w:sz w:val="24"/>
          <w:szCs w:val="24"/>
        </w:rPr>
        <w:t xml:space="preserve"> (după Regiunea Nord-Est</w:t>
      </w:r>
      <w:r>
        <w:rPr>
          <w:rFonts w:cs="Calibri"/>
          <w:sz w:val="24"/>
          <w:szCs w:val="24"/>
        </w:rPr>
        <w:t>, la mare distanță de a treia clasată, Regiunea Nord Vest</w:t>
      </w:r>
      <w:r w:rsidRPr="00002A68">
        <w:rPr>
          <w:rFonts w:cs="Calibri"/>
          <w:sz w:val="24"/>
          <w:szCs w:val="24"/>
        </w:rPr>
        <w:t xml:space="preserve">) și </w:t>
      </w:r>
      <w:r w:rsidRPr="00002A68">
        <w:rPr>
          <w:rFonts w:cs="Calibri"/>
          <w:b/>
          <w:sz w:val="24"/>
          <w:szCs w:val="24"/>
        </w:rPr>
        <w:t>prima regiune în ce privește producția de cherestea.</w:t>
      </w:r>
      <w:r>
        <w:rPr>
          <w:rFonts w:cs="Calibri"/>
          <w:b/>
          <w:sz w:val="24"/>
          <w:szCs w:val="24"/>
        </w:rPr>
        <w:t xml:space="preserve"> </w:t>
      </w:r>
      <w:r>
        <w:rPr>
          <w:rFonts w:cs="Calibri"/>
          <w:sz w:val="24"/>
          <w:szCs w:val="24"/>
        </w:rPr>
        <w:t xml:space="preserve">Față de anul 2010, se înregistrează o creștere de cca 2% la nivel regional, însă evoluțiile  la nivel județean sunt divergente. Astfel, patru din cele șase județe au avut creșteri, în timp ce Alba și Sibiul și-au redus cantitatea de lemn recoltat. Legislația în domeniul silvic, conținând prevederi de protecție a fondului forestier, reglementează și limitează volumul exploatabil de lemn, asigurând o dezvoltare sustenabilă a acestui domeniu economic. O altă limitare importantă decurge din infrastructura de drumuri forestiere insuficient și inegal dezvoltată. </w:t>
      </w:r>
    </w:p>
    <w:p w:rsidR="00305726" w:rsidRDefault="00305726" w:rsidP="00305726">
      <w:pPr>
        <w:spacing w:after="0"/>
        <w:jc w:val="both"/>
        <w:rPr>
          <w:rFonts w:cs="Calibri"/>
          <w:sz w:val="24"/>
          <w:szCs w:val="24"/>
        </w:rPr>
      </w:pPr>
    </w:p>
    <w:p w:rsidR="00305726" w:rsidRPr="00002A68" w:rsidRDefault="00305726" w:rsidP="00305726">
      <w:pPr>
        <w:spacing w:after="0"/>
        <w:jc w:val="both"/>
        <w:rPr>
          <w:rFonts w:cs="Calibri"/>
          <w:sz w:val="24"/>
          <w:szCs w:val="24"/>
        </w:rPr>
      </w:pPr>
      <w:r w:rsidRPr="00307CB3">
        <w:rPr>
          <w:rFonts w:cs="Calibri"/>
          <w:noProof/>
          <w:sz w:val="24"/>
          <w:szCs w:val="24"/>
        </w:rPr>
        <w:drawing>
          <wp:inline distT="0" distB="0" distL="0" distR="0">
            <wp:extent cx="5691637" cy="2889849"/>
            <wp:effectExtent l="19050" t="0" r="23363" b="5751"/>
            <wp:docPr id="10"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05726" w:rsidRDefault="00305726" w:rsidP="00305726">
      <w:pPr>
        <w:spacing w:after="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Fig. 2</w:t>
      </w:r>
    </w:p>
    <w:p w:rsidR="00305726" w:rsidRPr="006B1179" w:rsidRDefault="00305726" w:rsidP="00305726">
      <w:pPr>
        <w:spacing w:after="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Tab. 3 </w:t>
      </w:r>
      <w:r w:rsidRPr="00002A68">
        <w:rPr>
          <w:rFonts w:ascii="Calibri" w:eastAsia="Times New Roman" w:hAnsi="Calibri" w:cs="Times New Roman"/>
          <w:b/>
          <w:color w:val="000000"/>
          <w:sz w:val="24"/>
          <w:szCs w:val="24"/>
        </w:rPr>
        <w:t>Volumul de lemn recoltat</w:t>
      </w:r>
      <w:r>
        <w:rPr>
          <w:rFonts w:ascii="Calibri" w:eastAsia="Times New Roman" w:hAnsi="Calibri" w:cs="Times New Roman"/>
          <w:b/>
          <w:color w:val="000000"/>
          <w:sz w:val="24"/>
          <w:szCs w:val="24"/>
        </w:rPr>
        <w:t xml:space="preserve"> în perioada 2010-2015</w:t>
      </w:r>
    </w:p>
    <w:p w:rsidR="00305726" w:rsidRPr="00B77A32" w:rsidRDefault="00305726" w:rsidP="00305726">
      <w:pPr>
        <w:autoSpaceDE w:val="0"/>
        <w:spacing w:after="0"/>
        <w:rPr>
          <w:b/>
        </w:rPr>
      </w:pPr>
      <w:r w:rsidRPr="006B1179">
        <w:tab/>
      </w:r>
      <w:r w:rsidRPr="006B1179">
        <w:tab/>
      </w:r>
      <w:r w:rsidRPr="006B1179">
        <w:tab/>
      </w:r>
      <w:r w:rsidRPr="006B1179">
        <w:tab/>
      </w:r>
      <w:r w:rsidRPr="006B1179">
        <w:tab/>
      </w:r>
      <w:r w:rsidRPr="006B1179">
        <w:tab/>
      </w:r>
      <w:r w:rsidRPr="006B1179">
        <w:tab/>
      </w:r>
      <w:r w:rsidRPr="006B1179">
        <w:tab/>
      </w:r>
      <w:r w:rsidRPr="006B1179">
        <w:tab/>
      </w:r>
      <w:r w:rsidRPr="006B1179">
        <w:tab/>
      </w:r>
      <w:r w:rsidRPr="00B77A32">
        <w:rPr>
          <w:b/>
        </w:rPr>
        <w:t>-mii</w:t>
      </w:r>
      <w:r>
        <w:rPr>
          <w:b/>
        </w:rPr>
        <w:t xml:space="preserve"> </w:t>
      </w:r>
      <w:r w:rsidRPr="00B77A32">
        <w:rPr>
          <w:b/>
        </w:rPr>
        <w:t>mc-</w:t>
      </w:r>
    </w:p>
    <w:tbl>
      <w:tblPr>
        <w:tblStyle w:val="Umbriremedie1-Accentuare3"/>
        <w:tblW w:w="8494" w:type="dxa"/>
        <w:jc w:val="center"/>
        <w:tblLayout w:type="fixed"/>
        <w:tblLook w:val="04A0"/>
      </w:tblPr>
      <w:tblGrid>
        <w:gridCol w:w="2755"/>
        <w:gridCol w:w="957"/>
        <w:gridCol w:w="956"/>
        <w:gridCol w:w="956"/>
        <w:gridCol w:w="956"/>
        <w:gridCol w:w="957"/>
        <w:gridCol w:w="957"/>
      </w:tblGrid>
      <w:tr w:rsidR="00305726" w:rsidRPr="006B1179" w:rsidTr="005F5D09">
        <w:trPr>
          <w:cnfStyle w:val="100000000000"/>
          <w:trHeight w:val="300"/>
          <w:jc w:val="center"/>
        </w:trPr>
        <w:tc>
          <w:tcPr>
            <w:cnfStyle w:val="001000000000"/>
            <w:tcW w:w="2755" w:type="dxa"/>
            <w:noWrap/>
            <w:hideMark/>
          </w:tcPr>
          <w:p w:rsidR="00305726" w:rsidRPr="006B1179" w:rsidRDefault="00305726" w:rsidP="005F5D09">
            <w:pPr>
              <w:rPr>
                <w:rFonts w:ascii="Calibri" w:eastAsia="Times New Roman" w:hAnsi="Calibri" w:cs="Times New Roman"/>
                <w:color w:val="000000"/>
              </w:rPr>
            </w:pPr>
            <w:r w:rsidRPr="006B1179">
              <w:rPr>
                <w:rFonts w:ascii="Calibri" w:eastAsia="Times New Roman" w:hAnsi="Calibri" w:cs="Times New Roman"/>
                <w:color w:val="000000"/>
              </w:rPr>
              <w:t> </w:t>
            </w:r>
          </w:p>
        </w:tc>
        <w:tc>
          <w:tcPr>
            <w:tcW w:w="957" w:type="dxa"/>
            <w:noWrap/>
            <w:hideMark/>
          </w:tcPr>
          <w:p w:rsidR="00305726" w:rsidRPr="00700752" w:rsidRDefault="00305726" w:rsidP="005F5D09">
            <w:pPr>
              <w:jc w:val="center"/>
              <w:cnfStyle w:val="100000000000"/>
              <w:rPr>
                <w:rFonts w:ascii="Calibri" w:eastAsia="Times New Roman" w:hAnsi="Calibri" w:cs="Times New Roman"/>
                <w:bCs w:val="0"/>
                <w:color w:val="000000"/>
              </w:rPr>
            </w:pPr>
            <w:r w:rsidRPr="00700752">
              <w:rPr>
                <w:rFonts w:ascii="Calibri" w:eastAsia="Times New Roman" w:hAnsi="Calibri" w:cs="Times New Roman"/>
                <w:bCs w:val="0"/>
                <w:color w:val="000000"/>
              </w:rPr>
              <w:t>2010</w:t>
            </w:r>
          </w:p>
        </w:tc>
        <w:tc>
          <w:tcPr>
            <w:tcW w:w="956" w:type="dxa"/>
            <w:noWrap/>
            <w:hideMark/>
          </w:tcPr>
          <w:p w:rsidR="00305726" w:rsidRPr="00700752" w:rsidRDefault="00305726" w:rsidP="005F5D09">
            <w:pPr>
              <w:jc w:val="center"/>
              <w:cnfStyle w:val="100000000000"/>
              <w:rPr>
                <w:rFonts w:ascii="Calibri" w:eastAsia="Times New Roman" w:hAnsi="Calibri" w:cs="Times New Roman"/>
                <w:bCs w:val="0"/>
                <w:color w:val="000000"/>
              </w:rPr>
            </w:pPr>
            <w:r w:rsidRPr="00700752">
              <w:rPr>
                <w:rFonts w:ascii="Calibri" w:eastAsia="Times New Roman" w:hAnsi="Calibri" w:cs="Times New Roman"/>
                <w:bCs w:val="0"/>
                <w:color w:val="000000"/>
              </w:rPr>
              <w:t>2011</w:t>
            </w:r>
          </w:p>
        </w:tc>
        <w:tc>
          <w:tcPr>
            <w:tcW w:w="956" w:type="dxa"/>
          </w:tcPr>
          <w:p w:rsidR="00305726" w:rsidRPr="00700752" w:rsidRDefault="00305726" w:rsidP="005F5D09">
            <w:pPr>
              <w:jc w:val="center"/>
              <w:cnfStyle w:val="100000000000"/>
              <w:rPr>
                <w:rFonts w:ascii="Calibri" w:eastAsia="Times New Roman" w:hAnsi="Calibri" w:cs="Times New Roman"/>
                <w:bCs w:val="0"/>
                <w:color w:val="000000"/>
              </w:rPr>
            </w:pPr>
            <w:r w:rsidRPr="00700752">
              <w:rPr>
                <w:rFonts w:ascii="Calibri" w:eastAsia="Times New Roman" w:hAnsi="Calibri" w:cs="Times New Roman"/>
                <w:bCs w:val="0"/>
                <w:color w:val="000000"/>
              </w:rPr>
              <w:t>2012</w:t>
            </w:r>
          </w:p>
        </w:tc>
        <w:tc>
          <w:tcPr>
            <w:tcW w:w="956" w:type="dxa"/>
          </w:tcPr>
          <w:p w:rsidR="00305726" w:rsidRPr="00700752" w:rsidRDefault="00305726" w:rsidP="005F5D09">
            <w:pPr>
              <w:jc w:val="center"/>
              <w:cnfStyle w:val="100000000000"/>
              <w:rPr>
                <w:rFonts w:ascii="Calibri" w:eastAsia="Times New Roman" w:hAnsi="Calibri" w:cs="Times New Roman"/>
                <w:bCs w:val="0"/>
                <w:color w:val="000000"/>
              </w:rPr>
            </w:pPr>
            <w:r w:rsidRPr="00700752">
              <w:rPr>
                <w:rFonts w:ascii="Calibri" w:eastAsia="Times New Roman" w:hAnsi="Calibri" w:cs="Times New Roman"/>
                <w:bCs w:val="0"/>
                <w:color w:val="000000"/>
              </w:rPr>
              <w:t>2013</w:t>
            </w:r>
          </w:p>
        </w:tc>
        <w:tc>
          <w:tcPr>
            <w:tcW w:w="957" w:type="dxa"/>
          </w:tcPr>
          <w:p w:rsidR="00305726" w:rsidRPr="00700752" w:rsidRDefault="00305726" w:rsidP="005F5D09">
            <w:pPr>
              <w:jc w:val="center"/>
              <w:cnfStyle w:val="100000000000"/>
              <w:rPr>
                <w:rFonts w:ascii="Calibri" w:eastAsia="Times New Roman" w:hAnsi="Calibri" w:cs="Times New Roman"/>
                <w:color w:val="000000"/>
              </w:rPr>
            </w:pPr>
            <w:r>
              <w:rPr>
                <w:rFonts w:ascii="Calibri" w:eastAsia="Times New Roman" w:hAnsi="Calibri" w:cs="Times New Roman"/>
                <w:color w:val="000000"/>
              </w:rPr>
              <w:t>2014</w:t>
            </w:r>
          </w:p>
        </w:tc>
        <w:tc>
          <w:tcPr>
            <w:tcW w:w="957" w:type="dxa"/>
          </w:tcPr>
          <w:p w:rsidR="00305726" w:rsidRDefault="00305726" w:rsidP="005F5D09">
            <w:pPr>
              <w:jc w:val="center"/>
              <w:cnfStyle w:val="100000000000"/>
              <w:rPr>
                <w:rFonts w:ascii="Calibri" w:eastAsia="Times New Roman" w:hAnsi="Calibri" w:cs="Times New Roman"/>
                <w:color w:val="000000"/>
              </w:rPr>
            </w:pPr>
            <w:r>
              <w:rPr>
                <w:rFonts w:ascii="Calibri" w:eastAsia="Times New Roman" w:hAnsi="Calibri" w:cs="Times New Roman"/>
                <w:color w:val="000000"/>
              </w:rPr>
              <w:t>2015</w:t>
            </w:r>
          </w:p>
          <w:p w:rsidR="00305726" w:rsidRDefault="00305726" w:rsidP="005F5D09">
            <w:pPr>
              <w:jc w:val="center"/>
              <w:cnfStyle w:val="100000000000"/>
              <w:rPr>
                <w:rFonts w:ascii="Calibri" w:eastAsia="Times New Roman" w:hAnsi="Calibri" w:cs="Times New Roman"/>
                <w:color w:val="000000"/>
              </w:rPr>
            </w:pPr>
          </w:p>
        </w:tc>
      </w:tr>
      <w:tr w:rsidR="00305726" w:rsidRPr="00690662" w:rsidTr="005F5D09">
        <w:trPr>
          <w:cnfStyle w:val="00000010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bCs w:val="0"/>
                <w:color w:val="000000"/>
              </w:rPr>
            </w:pPr>
            <w:r w:rsidRPr="00057829">
              <w:rPr>
                <w:rFonts w:ascii="Calibri" w:eastAsia="Times New Roman" w:hAnsi="Calibri" w:cs="Times New Roman"/>
                <w:b w:val="0"/>
                <w:bCs w:val="0"/>
                <w:color w:val="000000"/>
              </w:rPr>
              <w:t>Romania</w:t>
            </w:r>
          </w:p>
        </w:tc>
        <w:tc>
          <w:tcPr>
            <w:tcW w:w="957" w:type="dxa"/>
            <w:hideMark/>
          </w:tcPr>
          <w:p w:rsidR="00305726" w:rsidRPr="00057829" w:rsidRDefault="00305726" w:rsidP="005F5D09">
            <w:pPr>
              <w:jc w:val="right"/>
              <w:cnfStyle w:val="000000100000"/>
              <w:rPr>
                <w:rFonts w:ascii="Calibri" w:eastAsia="Times New Roman" w:hAnsi="Calibri" w:cs="Times New Roman"/>
                <w:bCs/>
                <w:color w:val="000000"/>
              </w:rPr>
            </w:pPr>
            <w:r w:rsidRPr="00057829">
              <w:rPr>
                <w:rFonts w:ascii="Calibri" w:eastAsia="Times New Roman" w:hAnsi="Calibri" w:cs="Times New Roman"/>
                <w:bCs/>
                <w:color w:val="000000"/>
              </w:rPr>
              <w:t>16991,6</w:t>
            </w:r>
          </w:p>
        </w:tc>
        <w:tc>
          <w:tcPr>
            <w:tcW w:w="956" w:type="dxa"/>
            <w:hideMark/>
          </w:tcPr>
          <w:p w:rsidR="00305726" w:rsidRPr="00057829" w:rsidRDefault="00305726" w:rsidP="005F5D09">
            <w:pPr>
              <w:jc w:val="right"/>
              <w:cnfStyle w:val="000000100000"/>
              <w:rPr>
                <w:rFonts w:ascii="Calibri" w:eastAsia="Times New Roman" w:hAnsi="Calibri" w:cs="Times New Roman"/>
                <w:bCs/>
                <w:color w:val="000000"/>
              </w:rPr>
            </w:pPr>
            <w:r w:rsidRPr="00057829">
              <w:rPr>
                <w:rFonts w:ascii="Calibri" w:eastAsia="Times New Roman" w:hAnsi="Calibri" w:cs="Times New Roman"/>
                <w:bCs/>
                <w:color w:val="000000"/>
              </w:rPr>
              <w:t>18705</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19081,2</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19063,8</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17889,3</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18133,1</w:t>
            </w:r>
          </w:p>
        </w:tc>
      </w:tr>
      <w:tr w:rsidR="00305726" w:rsidRPr="006B1179" w:rsidTr="005F5D09">
        <w:trPr>
          <w:cnfStyle w:val="00000001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Cs w:val="0"/>
                <w:color w:val="000000"/>
              </w:rPr>
            </w:pPr>
            <w:r w:rsidRPr="00057829">
              <w:rPr>
                <w:rFonts w:ascii="Calibri" w:eastAsia="Times New Roman" w:hAnsi="Calibri" w:cs="Times New Roman"/>
                <w:bCs w:val="0"/>
                <w:color w:val="000000"/>
              </w:rPr>
              <w:t>Regiunea Centru</w:t>
            </w:r>
          </w:p>
        </w:tc>
        <w:tc>
          <w:tcPr>
            <w:tcW w:w="957" w:type="dxa"/>
            <w:hideMark/>
          </w:tcPr>
          <w:p w:rsidR="00305726" w:rsidRPr="00057829" w:rsidRDefault="00305726" w:rsidP="005F5D09">
            <w:pPr>
              <w:jc w:val="right"/>
              <w:cnfStyle w:val="000000010000"/>
              <w:rPr>
                <w:rFonts w:ascii="Calibri" w:eastAsia="Times New Roman" w:hAnsi="Calibri" w:cs="Times New Roman"/>
                <w:b/>
                <w:color w:val="000000"/>
              </w:rPr>
            </w:pPr>
            <w:r w:rsidRPr="00057829">
              <w:rPr>
                <w:rFonts w:ascii="Calibri" w:eastAsia="Times New Roman" w:hAnsi="Calibri" w:cs="Times New Roman"/>
                <w:b/>
                <w:color w:val="000000"/>
              </w:rPr>
              <w:t>3911,8</w:t>
            </w:r>
          </w:p>
        </w:tc>
        <w:tc>
          <w:tcPr>
            <w:tcW w:w="956" w:type="dxa"/>
            <w:hideMark/>
          </w:tcPr>
          <w:p w:rsidR="00305726" w:rsidRPr="00057829" w:rsidRDefault="00305726" w:rsidP="005F5D09">
            <w:pPr>
              <w:jc w:val="right"/>
              <w:cnfStyle w:val="000000010000"/>
              <w:rPr>
                <w:rFonts w:ascii="Calibri" w:eastAsia="Times New Roman" w:hAnsi="Calibri" w:cs="Times New Roman"/>
                <w:b/>
                <w:color w:val="000000"/>
              </w:rPr>
            </w:pPr>
            <w:r w:rsidRPr="00057829">
              <w:rPr>
                <w:rFonts w:ascii="Calibri" w:eastAsia="Times New Roman" w:hAnsi="Calibri" w:cs="Times New Roman"/>
                <w:b/>
                <w:color w:val="000000"/>
              </w:rPr>
              <w:t>4385,2</w:t>
            </w:r>
          </w:p>
        </w:tc>
        <w:tc>
          <w:tcPr>
            <w:tcW w:w="956" w:type="dxa"/>
          </w:tcPr>
          <w:p w:rsidR="00305726" w:rsidRPr="00057829" w:rsidRDefault="00305726" w:rsidP="005F5D09">
            <w:pPr>
              <w:jc w:val="right"/>
              <w:cnfStyle w:val="000000010000"/>
              <w:rPr>
                <w:rFonts w:ascii="Calibri" w:hAnsi="Calibri"/>
                <w:b/>
                <w:color w:val="000000"/>
              </w:rPr>
            </w:pPr>
            <w:r w:rsidRPr="00057829">
              <w:rPr>
                <w:rFonts w:ascii="Calibri" w:hAnsi="Calibri"/>
                <w:b/>
                <w:color w:val="000000"/>
              </w:rPr>
              <w:t>4265,4</w:t>
            </w:r>
          </w:p>
        </w:tc>
        <w:tc>
          <w:tcPr>
            <w:tcW w:w="956" w:type="dxa"/>
          </w:tcPr>
          <w:p w:rsidR="00305726" w:rsidRPr="00057829" w:rsidRDefault="00305726" w:rsidP="005F5D09">
            <w:pPr>
              <w:jc w:val="right"/>
              <w:cnfStyle w:val="000000010000"/>
              <w:rPr>
                <w:rFonts w:ascii="Calibri" w:hAnsi="Calibri"/>
                <w:b/>
                <w:color w:val="000000"/>
              </w:rPr>
            </w:pPr>
            <w:r w:rsidRPr="00057829">
              <w:rPr>
                <w:rFonts w:ascii="Calibri" w:hAnsi="Calibri"/>
                <w:b/>
                <w:color w:val="000000"/>
              </w:rPr>
              <w:t>4237,2</w:t>
            </w:r>
          </w:p>
        </w:tc>
        <w:tc>
          <w:tcPr>
            <w:tcW w:w="957" w:type="dxa"/>
          </w:tcPr>
          <w:p w:rsidR="00305726" w:rsidRPr="001A72AC" w:rsidRDefault="00305726" w:rsidP="005F5D09">
            <w:pPr>
              <w:jc w:val="right"/>
              <w:cnfStyle w:val="000000010000"/>
              <w:rPr>
                <w:rFonts w:ascii="Calibri" w:hAnsi="Calibri"/>
                <w:b/>
                <w:color w:val="000000"/>
              </w:rPr>
            </w:pPr>
            <w:r w:rsidRPr="001A72AC">
              <w:rPr>
                <w:rFonts w:ascii="Calibri" w:hAnsi="Calibri"/>
                <w:b/>
                <w:color w:val="000000"/>
              </w:rPr>
              <w:t>4411,8</w:t>
            </w:r>
          </w:p>
        </w:tc>
        <w:tc>
          <w:tcPr>
            <w:tcW w:w="957" w:type="dxa"/>
          </w:tcPr>
          <w:p w:rsidR="00305726" w:rsidRPr="001A72AC" w:rsidRDefault="00305726" w:rsidP="005F5D09">
            <w:pPr>
              <w:jc w:val="right"/>
              <w:cnfStyle w:val="000000010000"/>
              <w:rPr>
                <w:rFonts w:ascii="Calibri" w:hAnsi="Calibri"/>
                <w:b/>
                <w:color w:val="000000"/>
              </w:rPr>
            </w:pPr>
            <w:r w:rsidRPr="001A72AC">
              <w:rPr>
                <w:rFonts w:ascii="Calibri" w:hAnsi="Calibri"/>
                <w:b/>
                <w:color w:val="000000"/>
              </w:rPr>
              <w:t>3989,5</w:t>
            </w:r>
          </w:p>
        </w:tc>
      </w:tr>
      <w:tr w:rsidR="00305726" w:rsidRPr="006B1179" w:rsidTr="005F5D09">
        <w:trPr>
          <w:cnfStyle w:val="00000010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color w:val="000000"/>
              </w:rPr>
            </w:pPr>
            <w:r w:rsidRPr="00057829">
              <w:rPr>
                <w:rFonts w:ascii="Calibri" w:eastAsia="Times New Roman" w:hAnsi="Calibri" w:cs="Times New Roman"/>
                <w:b w:val="0"/>
                <w:color w:val="000000"/>
              </w:rPr>
              <w:t>Alba</w:t>
            </w:r>
          </w:p>
        </w:tc>
        <w:tc>
          <w:tcPr>
            <w:tcW w:w="957" w:type="dxa"/>
            <w:hideMark/>
          </w:tcPr>
          <w:p w:rsidR="00305726" w:rsidRPr="00057829" w:rsidRDefault="00305726" w:rsidP="005F5D09">
            <w:pPr>
              <w:jc w:val="right"/>
              <w:cnfStyle w:val="000000100000"/>
              <w:rPr>
                <w:rFonts w:ascii="Calibri" w:eastAsia="Times New Roman" w:hAnsi="Calibri" w:cs="Times New Roman"/>
                <w:color w:val="000000"/>
              </w:rPr>
            </w:pPr>
            <w:r w:rsidRPr="00057829">
              <w:rPr>
                <w:rFonts w:ascii="Calibri" w:eastAsia="Times New Roman" w:hAnsi="Calibri" w:cs="Times New Roman"/>
                <w:color w:val="000000"/>
              </w:rPr>
              <w:t>526,3</w:t>
            </w:r>
          </w:p>
        </w:tc>
        <w:tc>
          <w:tcPr>
            <w:tcW w:w="956" w:type="dxa"/>
            <w:hideMark/>
          </w:tcPr>
          <w:p w:rsidR="00305726" w:rsidRPr="00057829" w:rsidRDefault="00305726" w:rsidP="005F5D09">
            <w:pPr>
              <w:jc w:val="right"/>
              <w:cnfStyle w:val="000000100000"/>
              <w:rPr>
                <w:rFonts w:ascii="Calibri" w:eastAsia="Times New Roman" w:hAnsi="Calibri" w:cs="Times New Roman"/>
                <w:color w:val="000000"/>
              </w:rPr>
            </w:pPr>
            <w:r w:rsidRPr="00057829">
              <w:rPr>
                <w:rFonts w:ascii="Calibri" w:eastAsia="Times New Roman" w:hAnsi="Calibri" w:cs="Times New Roman"/>
                <w:color w:val="000000"/>
              </w:rPr>
              <w:t>665,3</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664,7</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590,8</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642,7</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499,3</w:t>
            </w:r>
          </w:p>
        </w:tc>
      </w:tr>
      <w:tr w:rsidR="00305726" w:rsidRPr="006B1179" w:rsidTr="005F5D09">
        <w:trPr>
          <w:cnfStyle w:val="00000001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color w:val="000000"/>
              </w:rPr>
            </w:pPr>
            <w:r w:rsidRPr="00057829">
              <w:rPr>
                <w:rFonts w:ascii="Calibri" w:eastAsia="Times New Roman" w:hAnsi="Calibri" w:cs="Times New Roman"/>
                <w:b w:val="0"/>
                <w:color w:val="000000"/>
              </w:rPr>
              <w:t>Brașov</w:t>
            </w:r>
          </w:p>
        </w:tc>
        <w:tc>
          <w:tcPr>
            <w:tcW w:w="957" w:type="dxa"/>
            <w:hideMark/>
          </w:tcPr>
          <w:p w:rsidR="00305726" w:rsidRPr="00057829" w:rsidRDefault="00305726" w:rsidP="005F5D09">
            <w:pPr>
              <w:jc w:val="right"/>
              <w:cnfStyle w:val="000000010000"/>
              <w:rPr>
                <w:rFonts w:ascii="Calibri" w:eastAsia="Times New Roman" w:hAnsi="Calibri" w:cs="Times New Roman"/>
                <w:color w:val="000000"/>
              </w:rPr>
            </w:pPr>
            <w:r w:rsidRPr="00057829">
              <w:rPr>
                <w:rFonts w:ascii="Calibri" w:eastAsia="Times New Roman" w:hAnsi="Calibri" w:cs="Times New Roman"/>
                <w:color w:val="000000"/>
              </w:rPr>
              <w:t>815,7</w:t>
            </w:r>
          </w:p>
        </w:tc>
        <w:tc>
          <w:tcPr>
            <w:tcW w:w="956" w:type="dxa"/>
            <w:hideMark/>
          </w:tcPr>
          <w:p w:rsidR="00305726" w:rsidRPr="00057829" w:rsidRDefault="00305726" w:rsidP="005F5D09">
            <w:pPr>
              <w:jc w:val="right"/>
              <w:cnfStyle w:val="000000010000"/>
              <w:rPr>
                <w:rFonts w:ascii="Calibri" w:eastAsia="Times New Roman" w:hAnsi="Calibri" w:cs="Times New Roman"/>
                <w:color w:val="000000"/>
              </w:rPr>
            </w:pPr>
            <w:r w:rsidRPr="00057829">
              <w:rPr>
                <w:rFonts w:ascii="Calibri" w:eastAsia="Times New Roman" w:hAnsi="Calibri" w:cs="Times New Roman"/>
                <w:color w:val="000000"/>
              </w:rPr>
              <w:t>761,6</w:t>
            </w:r>
          </w:p>
        </w:tc>
        <w:tc>
          <w:tcPr>
            <w:tcW w:w="956" w:type="dxa"/>
          </w:tcPr>
          <w:p w:rsidR="00305726" w:rsidRPr="00057829" w:rsidRDefault="00305726" w:rsidP="005F5D09">
            <w:pPr>
              <w:jc w:val="right"/>
              <w:cnfStyle w:val="000000010000"/>
              <w:rPr>
                <w:rFonts w:ascii="Calibri" w:hAnsi="Calibri"/>
                <w:color w:val="000000"/>
              </w:rPr>
            </w:pPr>
            <w:r w:rsidRPr="00057829">
              <w:rPr>
                <w:rFonts w:ascii="Calibri" w:hAnsi="Calibri"/>
                <w:color w:val="000000"/>
              </w:rPr>
              <w:t>738,7</w:t>
            </w:r>
          </w:p>
        </w:tc>
        <w:tc>
          <w:tcPr>
            <w:tcW w:w="956" w:type="dxa"/>
          </w:tcPr>
          <w:p w:rsidR="00305726" w:rsidRPr="00057829" w:rsidRDefault="00305726" w:rsidP="005F5D09">
            <w:pPr>
              <w:jc w:val="right"/>
              <w:cnfStyle w:val="000000010000"/>
              <w:rPr>
                <w:rFonts w:ascii="Calibri" w:hAnsi="Calibri"/>
                <w:color w:val="000000"/>
              </w:rPr>
            </w:pPr>
            <w:r w:rsidRPr="00057829">
              <w:rPr>
                <w:rFonts w:ascii="Calibri" w:hAnsi="Calibri"/>
                <w:color w:val="000000"/>
              </w:rPr>
              <w:t>846,9</w:t>
            </w:r>
          </w:p>
        </w:tc>
        <w:tc>
          <w:tcPr>
            <w:tcW w:w="957" w:type="dxa"/>
          </w:tcPr>
          <w:p w:rsidR="00305726" w:rsidRDefault="00305726" w:rsidP="005F5D09">
            <w:pPr>
              <w:jc w:val="right"/>
              <w:cnfStyle w:val="000000010000"/>
              <w:rPr>
                <w:rFonts w:ascii="Calibri" w:hAnsi="Calibri"/>
                <w:color w:val="000000"/>
              </w:rPr>
            </w:pPr>
            <w:r>
              <w:rPr>
                <w:rFonts w:ascii="Calibri" w:hAnsi="Calibri"/>
                <w:color w:val="000000"/>
              </w:rPr>
              <w:t>766,6</w:t>
            </w:r>
          </w:p>
        </w:tc>
        <w:tc>
          <w:tcPr>
            <w:tcW w:w="957" w:type="dxa"/>
          </w:tcPr>
          <w:p w:rsidR="00305726" w:rsidRDefault="00305726" w:rsidP="005F5D09">
            <w:pPr>
              <w:jc w:val="right"/>
              <w:cnfStyle w:val="000000010000"/>
              <w:rPr>
                <w:rFonts w:ascii="Calibri" w:hAnsi="Calibri"/>
                <w:color w:val="000000"/>
              </w:rPr>
            </w:pPr>
            <w:r>
              <w:rPr>
                <w:rFonts w:ascii="Calibri" w:hAnsi="Calibri"/>
                <w:color w:val="000000"/>
              </w:rPr>
              <w:t>868</w:t>
            </w:r>
          </w:p>
        </w:tc>
      </w:tr>
      <w:tr w:rsidR="00305726" w:rsidRPr="006B1179" w:rsidTr="005F5D09">
        <w:trPr>
          <w:cnfStyle w:val="00000010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color w:val="000000"/>
              </w:rPr>
            </w:pPr>
            <w:r w:rsidRPr="00057829">
              <w:rPr>
                <w:rFonts w:ascii="Calibri" w:eastAsia="Times New Roman" w:hAnsi="Calibri" w:cs="Times New Roman"/>
                <w:b w:val="0"/>
                <w:color w:val="000000"/>
              </w:rPr>
              <w:t>Covasna</w:t>
            </w:r>
          </w:p>
        </w:tc>
        <w:tc>
          <w:tcPr>
            <w:tcW w:w="957" w:type="dxa"/>
            <w:hideMark/>
          </w:tcPr>
          <w:p w:rsidR="00305726" w:rsidRPr="00057829" w:rsidRDefault="00305726" w:rsidP="005F5D09">
            <w:pPr>
              <w:jc w:val="right"/>
              <w:cnfStyle w:val="000000100000"/>
              <w:rPr>
                <w:rFonts w:ascii="Calibri" w:eastAsia="Times New Roman" w:hAnsi="Calibri" w:cs="Times New Roman"/>
                <w:color w:val="000000"/>
              </w:rPr>
            </w:pPr>
            <w:r w:rsidRPr="00057829">
              <w:rPr>
                <w:rFonts w:ascii="Calibri" w:eastAsia="Times New Roman" w:hAnsi="Calibri" w:cs="Times New Roman"/>
                <w:color w:val="000000"/>
              </w:rPr>
              <w:t>511,6</w:t>
            </w:r>
          </w:p>
        </w:tc>
        <w:tc>
          <w:tcPr>
            <w:tcW w:w="956" w:type="dxa"/>
            <w:hideMark/>
          </w:tcPr>
          <w:p w:rsidR="00305726" w:rsidRPr="00057829" w:rsidRDefault="00305726" w:rsidP="005F5D09">
            <w:pPr>
              <w:jc w:val="right"/>
              <w:cnfStyle w:val="000000100000"/>
              <w:rPr>
                <w:rFonts w:ascii="Calibri" w:eastAsia="Times New Roman" w:hAnsi="Calibri" w:cs="Times New Roman"/>
                <w:color w:val="000000"/>
              </w:rPr>
            </w:pPr>
            <w:r w:rsidRPr="00057829">
              <w:rPr>
                <w:rFonts w:ascii="Calibri" w:eastAsia="Times New Roman" w:hAnsi="Calibri" w:cs="Times New Roman"/>
                <w:color w:val="000000"/>
              </w:rPr>
              <w:t>545,3</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576,4</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626,2</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632,9</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541,9</w:t>
            </w:r>
          </w:p>
        </w:tc>
      </w:tr>
      <w:tr w:rsidR="00305726" w:rsidRPr="006B1179" w:rsidTr="005F5D09">
        <w:trPr>
          <w:cnfStyle w:val="00000001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color w:val="000000"/>
              </w:rPr>
            </w:pPr>
            <w:r w:rsidRPr="00057829">
              <w:rPr>
                <w:rFonts w:ascii="Calibri" w:eastAsia="Times New Roman" w:hAnsi="Calibri" w:cs="Times New Roman"/>
                <w:b w:val="0"/>
                <w:color w:val="000000"/>
              </w:rPr>
              <w:t>Harghita</w:t>
            </w:r>
          </w:p>
        </w:tc>
        <w:tc>
          <w:tcPr>
            <w:tcW w:w="957" w:type="dxa"/>
            <w:hideMark/>
          </w:tcPr>
          <w:p w:rsidR="00305726" w:rsidRPr="00057829" w:rsidRDefault="00305726" w:rsidP="005F5D09">
            <w:pPr>
              <w:jc w:val="right"/>
              <w:cnfStyle w:val="000000010000"/>
              <w:rPr>
                <w:rFonts w:ascii="Calibri" w:eastAsia="Times New Roman" w:hAnsi="Calibri" w:cs="Times New Roman"/>
                <w:color w:val="000000"/>
              </w:rPr>
            </w:pPr>
            <w:r w:rsidRPr="00057829">
              <w:rPr>
                <w:rFonts w:ascii="Calibri" w:eastAsia="Times New Roman" w:hAnsi="Calibri" w:cs="Times New Roman"/>
                <w:color w:val="000000"/>
              </w:rPr>
              <w:t>999,8</w:t>
            </w:r>
          </w:p>
        </w:tc>
        <w:tc>
          <w:tcPr>
            <w:tcW w:w="956" w:type="dxa"/>
            <w:hideMark/>
          </w:tcPr>
          <w:p w:rsidR="00305726" w:rsidRPr="00057829" w:rsidRDefault="00305726" w:rsidP="005F5D09">
            <w:pPr>
              <w:jc w:val="right"/>
              <w:cnfStyle w:val="000000010000"/>
              <w:rPr>
                <w:rFonts w:ascii="Calibri" w:eastAsia="Times New Roman" w:hAnsi="Calibri" w:cs="Times New Roman"/>
                <w:color w:val="000000"/>
              </w:rPr>
            </w:pPr>
            <w:r w:rsidRPr="00057829">
              <w:rPr>
                <w:rFonts w:ascii="Calibri" w:eastAsia="Times New Roman" w:hAnsi="Calibri" w:cs="Times New Roman"/>
                <w:color w:val="000000"/>
              </w:rPr>
              <w:t>1031,2</w:t>
            </w:r>
          </w:p>
        </w:tc>
        <w:tc>
          <w:tcPr>
            <w:tcW w:w="956" w:type="dxa"/>
          </w:tcPr>
          <w:p w:rsidR="00305726" w:rsidRPr="00057829" w:rsidRDefault="00305726" w:rsidP="005F5D09">
            <w:pPr>
              <w:jc w:val="right"/>
              <w:cnfStyle w:val="000000010000"/>
              <w:rPr>
                <w:rFonts w:ascii="Calibri" w:hAnsi="Calibri"/>
                <w:color w:val="000000"/>
              </w:rPr>
            </w:pPr>
            <w:r w:rsidRPr="00057829">
              <w:rPr>
                <w:rFonts w:ascii="Calibri" w:hAnsi="Calibri"/>
                <w:color w:val="000000"/>
              </w:rPr>
              <w:t>983,9</w:t>
            </w:r>
          </w:p>
        </w:tc>
        <w:tc>
          <w:tcPr>
            <w:tcW w:w="956" w:type="dxa"/>
          </w:tcPr>
          <w:p w:rsidR="00305726" w:rsidRPr="00057829" w:rsidRDefault="00305726" w:rsidP="005F5D09">
            <w:pPr>
              <w:jc w:val="right"/>
              <w:cnfStyle w:val="000000010000"/>
              <w:rPr>
                <w:rFonts w:ascii="Calibri" w:hAnsi="Calibri"/>
                <w:color w:val="000000"/>
              </w:rPr>
            </w:pPr>
            <w:r w:rsidRPr="00057829">
              <w:rPr>
                <w:rFonts w:ascii="Calibri" w:hAnsi="Calibri"/>
                <w:color w:val="000000"/>
              </w:rPr>
              <w:t>1095,5</w:t>
            </w:r>
          </w:p>
        </w:tc>
        <w:tc>
          <w:tcPr>
            <w:tcW w:w="957" w:type="dxa"/>
          </w:tcPr>
          <w:p w:rsidR="00305726" w:rsidRDefault="00305726" w:rsidP="005F5D09">
            <w:pPr>
              <w:jc w:val="right"/>
              <w:cnfStyle w:val="000000010000"/>
              <w:rPr>
                <w:rFonts w:ascii="Calibri" w:hAnsi="Calibri"/>
                <w:color w:val="000000"/>
              </w:rPr>
            </w:pPr>
            <w:r>
              <w:rPr>
                <w:rFonts w:ascii="Calibri" w:hAnsi="Calibri"/>
                <w:color w:val="000000"/>
              </w:rPr>
              <w:t>1042,8</w:t>
            </w:r>
          </w:p>
        </w:tc>
        <w:tc>
          <w:tcPr>
            <w:tcW w:w="957" w:type="dxa"/>
          </w:tcPr>
          <w:p w:rsidR="00305726" w:rsidRDefault="00305726" w:rsidP="005F5D09">
            <w:pPr>
              <w:jc w:val="right"/>
              <w:cnfStyle w:val="000000010000"/>
              <w:rPr>
                <w:rFonts w:ascii="Calibri" w:hAnsi="Calibri"/>
                <w:color w:val="000000"/>
              </w:rPr>
            </w:pPr>
            <w:r>
              <w:rPr>
                <w:rFonts w:ascii="Calibri" w:hAnsi="Calibri"/>
                <w:color w:val="000000"/>
              </w:rPr>
              <w:t>1035,1</w:t>
            </w:r>
          </w:p>
        </w:tc>
      </w:tr>
      <w:tr w:rsidR="00305726" w:rsidRPr="006B1179" w:rsidTr="005F5D09">
        <w:trPr>
          <w:cnfStyle w:val="00000010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color w:val="000000"/>
              </w:rPr>
            </w:pPr>
            <w:r w:rsidRPr="00057829">
              <w:rPr>
                <w:rFonts w:ascii="Calibri" w:eastAsia="Times New Roman" w:hAnsi="Calibri" w:cs="Times New Roman"/>
                <w:b w:val="0"/>
                <w:color w:val="000000"/>
              </w:rPr>
              <w:t>Mureș</w:t>
            </w:r>
          </w:p>
        </w:tc>
        <w:tc>
          <w:tcPr>
            <w:tcW w:w="957" w:type="dxa"/>
            <w:hideMark/>
          </w:tcPr>
          <w:p w:rsidR="00305726" w:rsidRPr="00057829" w:rsidRDefault="00305726" w:rsidP="005F5D09">
            <w:pPr>
              <w:jc w:val="right"/>
              <w:cnfStyle w:val="000000100000"/>
              <w:rPr>
                <w:rFonts w:ascii="Calibri" w:eastAsia="Times New Roman" w:hAnsi="Calibri" w:cs="Times New Roman"/>
                <w:color w:val="000000"/>
              </w:rPr>
            </w:pPr>
            <w:r w:rsidRPr="00057829">
              <w:rPr>
                <w:rFonts w:ascii="Calibri" w:eastAsia="Times New Roman" w:hAnsi="Calibri" w:cs="Times New Roman"/>
                <w:color w:val="000000"/>
              </w:rPr>
              <w:t>554,5</w:t>
            </w:r>
          </w:p>
        </w:tc>
        <w:tc>
          <w:tcPr>
            <w:tcW w:w="956" w:type="dxa"/>
            <w:hideMark/>
          </w:tcPr>
          <w:p w:rsidR="00305726" w:rsidRPr="00057829" w:rsidRDefault="00305726" w:rsidP="005F5D09">
            <w:pPr>
              <w:jc w:val="right"/>
              <w:cnfStyle w:val="000000100000"/>
              <w:rPr>
                <w:rFonts w:ascii="Calibri" w:eastAsia="Times New Roman" w:hAnsi="Calibri" w:cs="Times New Roman"/>
                <w:color w:val="000000"/>
              </w:rPr>
            </w:pPr>
            <w:r w:rsidRPr="00057829">
              <w:rPr>
                <w:rFonts w:ascii="Calibri" w:eastAsia="Times New Roman" w:hAnsi="Calibri" w:cs="Times New Roman"/>
                <w:color w:val="000000"/>
              </w:rPr>
              <w:t>877,2</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809,3</w:t>
            </w:r>
          </w:p>
        </w:tc>
        <w:tc>
          <w:tcPr>
            <w:tcW w:w="956" w:type="dxa"/>
          </w:tcPr>
          <w:p w:rsidR="00305726" w:rsidRPr="00057829" w:rsidRDefault="00305726" w:rsidP="005F5D09">
            <w:pPr>
              <w:jc w:val="right"/>
              <w:cnfStyle w:val="000000100000"/>
              <w:rPr>
                <w:rFonts w:ascii="Calibri" w:hAnsi="Calibri"/>
                <w:color w:val="000000"/>
              </w:rPr>
            </w:pPr>
            <w:r w:rsidRPr="00057829">
              <w:rPr>
                <w:rFonts w:ascii="Calibri" w:hAnsi="Calibri"/>
                <w:color w:val="000000"/>
              </w:rPr>
              <w:t>574,4</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844,7</w:t>
            </w:r>
          </w:p>
        </w:tc>
        <w:tc>
          <w:tcPr>
            <w:tcW w:w="957" w:type="dxa"/>
          </w:tcPr>
          <w:p w:rsidR="00305726" w:rsidRDefault="00305726" w:rsidP="005F5D09">
            <w:pPr>
              <w:jc w:val="right"/>
              <w:cnfStyle w:val="000000100000"/>
              <w:rPr>
                <w:rFonts w:ascii="Calibri" w:hAnsi="Calibri"/>
                <w:color w:val="000000"/>
              </w:rPr>
            </w:pPr>
            <w:r>
              <w:rPr>
                <w:rFonts w:ascii="Calibri" w:hAnsi="Calibri"/>
                <w:color w:val="000000"/>
              </w:rPr>
              <w:t>561,6</w:t>
            </w:r>
          </w:p>
        </w:tc>
      </w:tr>
      <w:tr w:rsidR="00305726" w:rsidRPr="006B1179" w:rsidTr="005F5D09">
        <w:trPr>
          <w:cnfStyle w:val="000000010000"/>
          <w:trHeight w:val="300"/>
          <w:jc w:val="center"/>
        </w:trPr>
        <w:tc>
          <w:tcPr>
            <w:cnfStyle w:val="001000000000"/>
            <w:tcW w:w="2755" w:type="dxa"/>
            <w:hideMark/>
          </w:tcPr>
          <w:p w:rsidR="00305726" w:rsidRPr="00057829" w:rsidRDefault="00305726" w:rsidP="005F5D09">
            <w:pPr>
              <w:rPr>
                <w:rFonts w:ascii="Calibri" w:eastAsia="Times New Roman" w:hAnsi="Calibri" w:cs="Times New Roman"/>
                <w:b w:val="0"/>
                <w:color w:val="000000"/>
              </w:rPr>
            </w:pPr>
            <w:r w:rsidRPr="00057829">
              <w:rPr>
                <w:rFonts w:ascii="Calibri" w:eastAsia="Times New Roman" w:hAnsi="Calibri" w:cs="Times New Roman"/>
                <w:b w:val="0"/>
                <w:color w:val="000000"/>
              </w:rPr>
              <w:t>Sibiu</w:t>
            </w:r>
          </w:p>
        </w:tc>
        <w:tc>
          <w:tcPr>
            <w:tcW w:w="957" w:type="dxa"/>
            <w:hideMark/>
          </w:tcPr>
          <w:p w:rsidR="00305726" w:rsidRPr="00057829" w:rsidRDefault="00305726" w:rsidP="005F5D09">
            <w:pPr>
              <w:jc w:val="right"/>
              <w:cnfStyle w:val="000000010000"/>
              <w:rPr>
                <w:rFonts w:ascii="Calibri" w:eastAsia="Times New Roman" w:hAnsi="Calibri" w:cs="Times New Roman"/>
                <w:color w:val="000000"/>
              </w:rPr>
            </w:pPr>
            <w:r w:rsidRPr="00057829">
              <w:rPr>
                <w:rFonts w:ascii="Calibri" w:eastAsia="Times New Roman" w:hAnsi="Calibri" w:cs="Times New Roman"/>
                <w:color w:val="000000"/>
              </w:rPr>
              <w:t>503,9</w:t>
            </w:r>
          </w:p>
        </w:tc>
        <w:tc>
          <w:tcPr>
            <w:tcW w:w="956" w:type="dxa"/>
            <w:hideMark/>
          </w:tcPr>
          <w:p w:rsidR="00305726" w:rsidRPr="00057829" w:rsidRDefault="00305726" w:rsidP="005F5D09">
            <w:pPr>
              <w:jc w:val="right"/>
              <w:cnfStyle w:val="000000010000"/>
              <w:rPr>
                <w:rFonts w:ascii="Calibri" w:eastAsia="Times New Roman" w:hAnsi="Calibri" w:cs="Times New Roman"/>
                <w:color w:val="000000"/>
              </w:rPr>
            </w:pPr>
            <w:r w:rsidRPr="00057829">
              <w:rPr>
                <w:rFonts w:ascii="Calibri" w:eastAsia="Times New Roman" w:hAnsi="Calibri" w:cs="Times New Roman"/>
                <w:color w:val="000000"/>
              </w:rPr>
              <w:t>504,6</w:t>
            </w:r>
          </w:p>
        </w:tc>
        <w:tc>
          <w:tcPr>
            <w:tcW w:w="956" w:type="dxa"/>
          </w:tcPr>
          <w:p w:rsidR="00305726" w:rsidRPr="00057829" w:rsidRDefault="00305726" w:rsidP="005F5D09">
            <w:pPr>
              <w:jc w:val="right"/>
              <w:cnfStyle w:val="000000010000"/>
              <w:rPr>
                <w:rFonts w:ascii="Calibri" w:hAnsi="Calibri"/>
                <w:color w:val="000000"/>
              </w:rPr>
            </w:pPr>
            <w:r w:rsidRPr="00057829">
              <w:rPr>
                <w:rFonts w:ascii="Calibri" w:hAnsi="Calibri"/>
                <w:color w:val="000000"/>
              </w:rPr>
              <w:t>492,4</w:t>
            </w:r>
          </w:p>
        </w:tc>
        <w:tc>
          <w:tcPr>
            <w:tcW w:w="956" w:type="dxa"/>
          </w:tcPr>
          <w:p w:rsidR="00305726" w:rsidRPr="00057829" w:rsidRDefault="00305726" w:rsidP="005F5D09">
            <w:pPr>
              <w:jc w:val="right"/>
              <w:cnfStyle w:val="000000010000"/>
              <w:rPr>
                <w:rFonts w:ascii="Calibri" w:hAnsi="Calibri"/>
                <w:color w:val="000000"/>
              </w:rPr>
            </w:pPr>
            <w:r w:rsidRPr="00057829">
              <w:rPr>
                <w:rFonts w:ascii="Calibri" w:hAnsi="Calibri"/>
                <w:color w:val="000000"/>
              </w:rPr>
              <w:t>503,4</w:t>
            </w:r>
          </w:p>
        </w:tc>
        <w:tc>
          <w:tcPr>
            <w:tcW w:w="957" w:type="dxa"/>
          </w:tcPr>
          <w:p w:rsidR="00305726" w:rsidRDefault="00305726" w:rsidP="005F5D09">
            <w:pPr>
              <w:jc w:val="right"/>
              <w:cnfStyle w:val="000000010000"/>
              <w:rPr>
                <w:rFonts w:ascii="Calibri" w:hAnsi="Calibri"/>
                <w:color w:val="000000"/>
              </w:rPr>
            </w:pPr>
            <w:r>
              <w:rPr>
                <w:rFonts w:ascii="Calibri" w:hAnsi="Calibri"/>
                <w:color w:val="000000"/>
              </w:rPr>
              <w:t>482,1</w:t>
            </w:r>
          </w:p>
        </w:tc>
        <w:tc>
          <w:tcPr>
            <w:tcW w:w="957" w:type="dxa"/>
          </w:tcPr>
          <w:p w:rsidR="00305726" w:rsidRDefault="00305726" w:rsidP="005F5D09">
            <w:pPr>
              <w:jc w:val="right"/>
              <w:cnfStyle w:val="000000010000"/>
              <w:rPr>
                <w:rFonts w:ascii="Calibri" w:hAnsi="Calibri"/>
                <w:color w:val="000000"/>
              </w:rPr>
            </w:pPr>
            <w:r>
              <w:rPr>
                <w:rFonts w:ascii="Calibri" w:hAnsi="Calibri"/>
                <w:color w:val="000000"/>
              </w:rPr>
              <w:t>483,6</w:t>
            </w:r>
          </w:p>
        </w:tc>
      </w:tr>
    </w:tbl>
    <w:p w:rsidR="00305726" w:rsidRDefault="00305726" w:rsidP="00305726">
      <w:pPr>
        <w:autoSpaceDE w:val="0"/>
        <w:spacing w:after="0"/>
      </w:pPr>
      <w:r>
        <w:rPr>
          <w:b/>
        </w:rPr>
        <w:tab/>
      </w:r>
      <w:r w:rsidRPr="000C001A">
        <w:rPr>
          <w:b/>
        </w:rPr>
        <w:t xml:space="preserve">Sursa: </w:t>
      </w:r>
      <w:r>
        <w:t>Institutul Național de Statistică</w:t>
      </w:r>
    </w:p>
    <w:p w:rsidR="00305726" w:rsidRDefault="00305726" w:rsidP="00305726">
      <w:pPr>
        <w:autoSpaceDE w:val="0"/>
        <w:spacing w:after="0"/>
      </w:pPr>
    </w:p>
    <w:p w:rsidR="00305726" w:rsidRPr="00B24575" w:rsidRDefault="00305726" w:rsidP="00305726">
      <w:pPr>
        <w:autoSpaceDE w:val="0"/>
        <w:spacing w:after="0"/>
        <w:jc w:val="both"/>
        <w:rPr>
          <w:sz w:val="24"/>
          <w:szCs w:val="24"/>
        </w:rPr>
      </w:pPr>
      <w:r w:rsidRPr="00B24575">
        <w:rPr>
          <w:sz w:val="24"/>
          <w:szCs w:val="24"/>
        </w:rPr>
        <w:t xml:space="preserve">Lemnul de rășinoase deține </w:t>
      </w:r>
      <w:r>
        <w:rPr>
          <w:sz w:val="24"/>
          <w:szCs w:val="24"/>
        </w:rPr>
        <w:t xml:space="preserve">aproape 49% din totalul volumului recoltat în 2015 la nivelul Regiunii Centru urmat de lemnul de fag cu peste 36% din total. La nivel național, raportul </w:t>
      </w:r>
      <w:r>
        <w:rPr>
          <w:sz w:val="24"/>
          <w:szCs w:val="24"/>
        </w:rPr>
        <w:lastRenderedPageBreak/>
        <w:t xml:space="preserve">între principalele specii este echilibrat (37%- ponderea rășinoaselor, 34% - ponderea lemnului de fag), iar lemnul de stejar deține aproape o zecime din totalul lemnului exploatat. </w:t>
      </w:r>
    </w:p>
    <w:p w:rsidR="00305726" w:rsidRDefault="00305726" w:rsidP="00305726">
      <w:pPr>
        <w:autoSpaceDE w:val="0"/>
        <w:spacing w:after="0"/>
      </w:pPr>
    </w:p>
    <w:p w:rsidR="00305726" w:rsidRDefault="00305726" w:rsidP="00305726">
      <w:pPr>
        <w:autoSpaceDE w:val="0"/>
        <w:spacing w:after="0"/>
      </w:pPr>
      <w:r>
        <w:tab/>
      </w:r>
      <w:r>
        <w:rPr>
          <w:noProof/>
        </w:rPr>
        <w:drawing>
          <wp:inline distT="0" distB="0" distL="0" distR="0">
            <wp:extent cx="5156799" cy="2708694"/>
            <wp:effectExtent l="19050" t="0" r="24801" b="0"/>
            <wp:docPr id="11"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05726" w:rsidRDefault="00305726" w:rsidP="00305726">
      <w:pPr>
        <w:autoSpaceDE w:val="0"/>
        <w:spacing w:after="0"/>
        <w:rPr>
          <w:b/>
          <w:sz w:val="24"/>
          <w:szCs w:val="24"/>
        </w:rPr>
      </w:pPr>
      <w:r>
        <w:rPr>
          <w:b/>
          <w:sz w:val="24"/>
          <w:szCs w:val="24"/>
        </w:rPr>
        <w:tab/>
        <w:t xml:space="preserve">Fig. 3 </w:t>
      </w:r>
    </w:p>
    <w:p w:rsidR="00305726" w:rsidRPr="006B61EC" w:rsidRDefault="00305726" w:rsidP="00305726">
      <w:pPr>
        <w:pStyle w:val="Titlu2"/>
        <w:rPr>
          <w:color w:val="336699"/>
          <w:sz w:val="24"/>
          <w:szCs w:val="24"/>
        </w:rPr>
      </w:pPr>
      <w:r w:rsidRPr="006B61EC">
        <w:rPr>
          <w:color w:val="336699"/>
          <w:sz w:val="24"/>
          <w:szCs w:val="24"/>
        </w:rPr>
        <w:t>Situația industriei de prelucrare a lemnului și de fabricare a mobilei la nivel național</w:t>
      </w:r>
    </w:p>
    <w:p w:rsidR="00305726" w:rsidRDefault="00305726" w:rsidP="00305726">
      <w:pPr>
        <w:autoSpaceDE w:val="0"/>
        <w:spacing w:after="0"/>
        <w:rPr>
          <w:b/>
          <w:sz w:val="24"/>
          <w:szCs w:val="24"/>
        </w:rPr>
      </w:pPr>
    </w:p>
    <w:p w:rsidR="00305726" w:rsidRPr="00574CB4" w:rsidRDefault="00305726" w:rsidP="00305726">
      <w:pPr>
        <w:autoSpaceDE w:val="0"/>
        <w:spacing w:after="0"/>
        <w:jc w:val="both"/>
        <w:rPr>
          <w:rFonts w:eastAsia="Times New Roman" w:cs="Arial"/>
          <w:bCs/>
          <w:i/>
          <w:color w:val="000000"/>
          <w:sz w:val="24"/>
          <w:szCs w:val="24"/>
        </w:rPr>
      </w:pPr>
      <w:r w:rsidRPr="00574CB4">
        <w:rPr>
          <w:sz w:val="24"/>
          <w:szCs w:val="24"/>
        </w:rPr>
        <w:t xml:space="preserve">Analiza de față se concentrează pe activitățile economice grupate în cadrul </w:t>
      </w:r>
      <w:r>
        <w:rPr>
          <w:sz w:val="24"/>
          <w:szCs w:val="24"/>
        </w:rPr>
        <w:t xml:space="preserve">a două diviziuni </w:t>
      </w:r>
      <w:r w:rsidRPr="00574CB4">
        <w:rPr>
          <w:sz w:val="24"/>
          <w:szCs w:val="24"/>
        </w:rPr>
        <w:t>CAEN</w:t>
      </w:r>
      <w:r>
        <w:rPr>
          <w:sz w:val="24"/>
          <w:szCs w:val="24"/>
        </w:rPr>
        <w:t xml:space="preserve">: diviziunea </w:t>
      </w:r>
      <w:r w:rsidRPr="00574CB4">
        <w:rPr>
          <w:rFonts w:cs="Arial"/>
          <w:b/>
          <w:bCs/>
          <w:color w:val="000000"/>
          <w:sz w:val="24"/>
          <w:szCs w:val="24"/>
        </w:rPr>
        <w:t xml:space="preserve">16. </w:t>
      </w:r>
      <w:r w:rsidRPr="00574CB4">
        <w:rPr>
          <w:rFonts w:eastAsia="Times New Roman" w:cs="Arial"/>
          <w:b/>
          <w:bCs/>
          <w:color w:val="000000"/>
          <w:sz w:val="24"/>
          <w:szCs w:val="24"/>
        </w:rPr>
        <w:t>Prelucrarea lemnului, fabricarea produselor din lemn şi plută, cu excepţia mobilei; fabricarea articolelor din paie şi din alte materiale vegetale împletite</w:t>
      </w:r>
      <w:r>
        <w:rPr>
          <w:rFonts w:eastAsia="Times New Roman" w:cs="Arial"/>
          <w:b/>
          <w:bCs/>
          <w:color w:val="000000"/>
          <w:sz w:val="24"/>
          <w:szCs w:val="24"/>
        </w:rPr>
        <w:t xml:space="preserve">, </w:t>
      </w:r>
      <w:r w:rsidRPr="00574CB4">
        <w:rPr>
          <w:rFonts w:eastAsia="Times New Roman" w:cs="Arial"/>
          <w:bCs/>
          <w:color w:val="000000"/>
          <w:sz w:val="24"/>
          <w:szCs w:val="24"/>
        </w:rPr>
        <w:t xml:space="preserve">diviziune ce cuprinde următoarele clase CAEN: </w:t>
      </w:r>
      <w:r w:rsidRPr="00574CB4">
        <w:rPr>
          <w:rFonts w:eastAsia="Times New Roman" w:cs="Arial"/>
          <w:sz w:val="24"/>
          <w:szCs w:val="24"/>
        </w:rPr>
        <w:t xml:space="preserve"> </w:t>
      </w:r>
      <w:r w:rsidRPr="00574CB4">
        <w:rPr>
          <w:rFonts w:eastAsia="Times New Roman" w:cs="Arial"/>
          <w:bCs/>
          <w:i/>
          <w:color w:val="000000"/>
          <w:sz w:val="24"/>
          <w:szCs w:val="24"/>
        </w:rPr>
        <w:t>1610 Tăierea şi rindeluirea lemnului, 1621</w:t>
      </w:r>
      <w:r w:rsidRPr="00574CB4">
        <w:rPr>
          <w:rFonts w:eastAsia="Times New Roman" w:cs="Arial"/>
          <w:i/>
          <w:sz w:val="24"/>
          <w:szCs w:val="24"/>
        </w:rPr>
        <w:t xml:space="preserve"> </w:t>
      </w:r>
      <w:r w:rsidRPr="00574CB4">
        <w:rPr>
          <w:rFonts w:eastAsia="Times New Roman" w:cs="Arial"/>
          <w:bCs/>
          <w:i/>
          <w:color w:val="000000"/>
          <w:sz w:val="24"/>
          <w:szCs w:val="24"/>
        </w:rPr>
        <w:t>Fabricarea de furnire şi a panourilor de lemn, 1622</w:t>
      </w:r>
      <w:r w:rsidRPr="00574CB4">
        <w:rPr>
          <w:rFonts w:eastAsia="Times New Roman" w:cs="Arial"/>
          <w:i/>
          <w:sz w:val="24"/>
          <w:szCs w:val="24"/>
        </w:rPr>
        <w:tab/>
      </w:r>
      <w:r w:rsidRPr="00574CB4">
        <w:rPr>
          <w:rFonts w:eastAsia="Times New Roman" w:cs="Arial"/>
          <w:bCs/>
          <w:i/>
          <w:color w:val="000000"/>
          <w:sz w:val="24"/>
          <w:szCs w:val="24"/>
        </w:rPr>
        <w:t>Fabricarea parchetului asamblat în panouri,</w:t>
      </w:r>
      <w:r w:rsidRPr="00574CB4">
        <w:rPr>
          <w:rFonts w:eastAsia="Times New Roman" w:cs="Arial"/>
          <w:i/>
          <w:sz w:val="24"/>
          <w:szCs w:val="24"/>
        </w:rPr>
        <w:t xml:space="preserve">  </w:t>
      </w:r>
      <w:r w:rsidRPr="00574CB4">
        <w:rPr>
          <w:rFonts w:eastAsia="Times New Roman" w:cs="Arial"/>
          <w:bCs/>
          <w:i/>
          <w:color w:val="000000"/>
          <w:sz w:val="24"/>
          <w:szCs w:val="24"/>
        </w:rPr>
        <w:t>1623</w:t>
      </w:r>
      <w:r w:rsidRPr="00574CB4">
        <w:rPr>
          <w:rFonts w:eastAsia="Times New Roman" w:cs="Arial"/>
          <w:i/>
          <w:sz w:val="24"/>
          <w:szCs w:val="24"/>
        </w:rPr>
        <w:tab/>
      </w:r>
      <w:r w:rsidRPr="00574CB4">
        <w:rPr>
          <w:rFonts w:eastAsia="Times New Roman" w:cs="Arial"/>
          <w:bCs/>
          <w:i/>
          <w:color w:val="000000"/>
          <w:sz w:val="24"/>
          <w:szCs w:val="24"/>
        </w:rPr>
        <w:t>Fabricarea altor elemente de dulgherie şi tâmplărie, pentru construcţii, 1624</w:t>
      </w:r>
      <w:r w:rsidRPr="00574CB4">
        <w:rPr>
          <w:rFonts w:eastAsia="Times New Roman" w:cs="Arial"/>
          <w:i/>
          <w:sz w:val="24"/>
          <w:szCs w:val="24"/>
        </w:rPr>
        <w:t xml:space="preserve"> </w:t>
      </w:r>
      <w:r w:rsidRPr="00574CB4">
        <w:rPr>
          <w:rFonts w:eastAsia="Times New Roman" w:cs="Arial"/>
          <w:bCs/>
          <w:i/>
          <w:color w:val="000000"/>
          <w:sz w:val="24"/>
          <w:szCs w:val="24"/>
        </w:rPr>
        <w:t>Fabricarea ambalajelor din lemn,</w:t>
      </w:r>
      <w:r>
        <w:rPr>
          <w:rFonts w:eastAsia="Times New Roman" w:cs="Arial"/>
          <w:bCs/>
          <w:i/>
          <w:color w:val="000000"/>
          <w:sz w:val="24"/>
          <w:szCs w:val="24"/>
        </w:rPr>
        <w:t xml:space="preserve"> </w:t>
      </w:r>
      <w:r w:rsidRPr="00574CB4">
        <w:rPr>
          <w:rFonts w:eastAsia="Times New Roman" w:cs="Arial"/>
          <w:bCs/>
          <w:i/>
          <w:color w:val="000000"/>
          <w:sz w:val="24"/>
          <w:szCs w:val="24"/>
        </w:rPr>
        <w:t>1629</w:t>
      </w:r>
      <w:r>
        <w:rPr>
          <w:rFonts w:eastAsia="Times New Roman" w:cs="Arial"/>
          <w:bCs/>
          <w:i/>
          <w:color w:val="000000"/>
          <w:sz w:val="24"/>
          <w:szCs w:val="24"/>
        </w:rPr>
        <w:t xml:space="preserve"> </w:t>
      </w:r>
      <w:r w:rsidRPr="00574CB4">
        <w:rPr>
          <w:rFonts w:eastAsia="Times New Roman" w:cs="Arial"/>
          <w:bCs/>
          <w:i/>
          <w:color w:val="000000"/>
          <w:sz w:val="24"/>
          <w:szCs w:val="24"/>
        </w:rPr>
        <w:t xml:space="preserve">Fabricarea altor produse din lemn; fabricarea articolelor din plută, paie şi din alte materiale </w:t>
      </w:r>
      <w:r w:rsidRPr="00574CB4">
        <w:rPr>
          <w:rFonts w:cs="Arial"/>
          <w:bCs/>
          <w:i/>
          <w:color w:val="000000"/>
          <w:sz w:val="24"/>
          <w:szCs w:val="24"/>
        </w:rPr>
        <w:t>v</w:t>
      </w:r>
      <w:r w:rsidRPr="00574CB4">
        <w:rPr>
          <w:rFonts w:eastAsia="Times New Roman" w:cs="Arial"/>
          <w:bCs/>
          <w:i/>
          <w:color w:val="000000"/>
          <w:sz w:val="24"/>
          <w:szCs w:val="24"/>
        </w:rPr>
        <w:t>egetale împletite</w:t>
      </w:r>
      <w:r w:rsidRPr="00574CB4">
        <w:rPr>
          <w:rFonts w:eastAsia="Times New Roman" w:cs="Arial"/>
          <w:bCs/>
          <w:color w:val="000000"/>
          <w:sz w:val="24"/>
          <w:szCs w:val="24"/>
        </w:rPr>
        <w:t xml:space="preserve"> și diviziun</w:t>
      </w:r>
      <w:r>
        <w:rPr>
          <w:rFonts w:eastAsia="Times New Roman" w:cs="Arial"/>
          <w:bCs/>
          <w:color w:val="000000"/>
          <w:sz w:val="24"/>
          <w:szCs w:val="24"/>
        </w:rPr>
        <w:t>ea</w:t>
      </w:r>
      <w:r w:rsidRPr="00574CB4">
        <w:rPr>
          <w:rFonts w:eastAsia="Times New Roman" w:cs="Arial"/>
          <w:bCs/>
          <w:color w:val="000000"/>
          <w:sz w:val="24"/>
          <w:szCs w:val="24"/>
        </w:rPr>
        <w:t xml:space="preserve"> </w:t>
      </w:r>
      <w:r w:rsidRPr="00574CB4">
        <w:rPr>
          <w:rFonts w:eastAsia="Times New Roman" w:cs="Arial"/>
          <w:b/>
          <w:bCs/>
          <w:color w:val="000000"/>
          <w:sz w:val="24"/>
          <w:szCs w:val="24"/>
        </w:rPr>
        <w:t xml:space="preserve">31 Fabricarea de mobilă </w:t>
      </w:r>
      <w:r w:rsidRPr="00574CB4">
        <w:rPr>
          <w:rFonts w:eastAsia="Times New Roman" w:cs="Arial"/>
          <w:bCs/>
          <w:color w:val="000000"/>
          <w:sz w:val="24"/>
          <w:szCs w:val="24"/>
        </w:rPr>
        <w:t xml:space="preserve">compusă din clasele: </w:t>
      </w:r>
      <w:r>
        <w:rPr>
          <w:rFonts w:eastAsia="Times New Roman" w:cs="Arial"/>
          <w:bCs/>
          <w:color w:val="000000"/>
          <w:sz w:val="24"/>
          <w:szCs w:val="24"/>
        </w:rPr>
        <w:t xml:space="preserve"> </w:t>
      </w:r>
      <w:r w:rsidRPr="00574CB4">
        <w:rPr>
          <w:rFonts w:eastAsia="Times New Roman" w:cs="Arial"/>
          <w:bCs/>
          <w:i/>
          <w:color w:val="000000"/>
          <w:sz w:val="24"/>
          <w:szCs w:val="24"/>
        </w:rPr>
        <w:t>3101</w:t>
      </w:r>
      <w:r>
        <w:rPr>
          <w:rFonts w:eastAsia="Times New Roman" w:cs="Arial"/>
          <w:bCs/>
          <w:i/>
          <w:color w:val="000000"/>
          <w:sz w:val="24"/>
          <w:szCs w:val="24"/>
        </w:rPr>
        <w:t xml:space="preserve"> </w:t>
      </w:r>
      <w:r w:rsidRPr="00574CB4">
        <w:rPr>
          <w:rFonts w:eastAsia="Times New Roman" w:cs="Arial"/>
          <w:bCs/>
          <w:i/>
          <w:color w:val="000000"/>
          <w:sz w:val="24"/>
          <w:szCs w:val="24"/>
        </w:rPr>
        <w:t>Fabricarea de mobilă pentru birouri şi magazine, 3102 Fabricarea de mobilă pentru bucătării, 3103 Fabricarea de saltele şi somiere, 3109</w:t>
      </w:r>
      <w:r w:rsidRPr="00574CB4">
        <w:rPr>
          <w:rFonts w:eastAsia="Times New Roman" w:cs="Arial"/>
          <w:i/>
          <w:sz w:val="24"/>
          <w:szCs w:val="24"/>
        </w:rPr>
        <w:t xml:space="preserve">   </w:t>
      </w:r>
      <w:r w:rsidRPr="00574CB4">
        <w:rPr>
          <w:rFonts w:eastAsia="Times New Roman" w:cs="Arial"/>
          <w:bCs/>
          <w:i/>
          <w:color w:val="000000"/>
          <w:sz w:val="24"/>
          <w:szCs w:val="24"/>
        </w:rPr>
        <w:t>Fabricarea de mobilă n.c.a.</w:t>
      </w:r>
    </w:p>
    <w:p w:rsidR="00305726" w:rsidRPr="008D0176" w:rsidRDefault="00305726" w:rsidP="00305726">
      <w:pPr>
        <w:widowControl w:val="0"/>
        <w:tabs>
          <w:tab w:val="left" w:pos="170"/>
          <w:tab w:val="left" w:pos="1245"/>
        </w:tabs>
        <w:autoSpaceDE w:val="0"/>
        <w:autoSpaceDN w:val="0"/>
        <w:adjustRightInd w:val="0"/>
        <w:rPr>
          <w:rFonts w:ascii="Arial" w:eastAsia="Times New Roman" w:hAnsi="Arial" w:cs="Arial"/>
          <w:b/>
          <w:bCs/>
          <w:color w:val="000000"/>
          <w:sz w:val="20"/>
          <w:szCs w:val="20"/>
        </w:rPr>
      </w:pPr>
    </w:p>
    <w:p w:rsidR="00305726" w:rsidRPr="0071288F" w:rsidRDefault="00305726" w:rsidP="00305726">
      <w:pPr>
        <w:autoSpaceDE w:val="0"/>
        <w:spacing w:after="0"/>
        <w:jc w:val="both"/>
        <w:rPr>
          <w:rFonts w:ascii="Calibri" w:eastAsia="Times New Roman" w:hAnsi="Calibri" w:cs="Times New Roman"/>
          <w:sz w:val="24"/>
          <w:szCs w:val="24"/>
        </w:rPr>
      </w:pPr>
      <w:r w:rsidRPr="00784037">
        <w:rPr>
          <w:sz w:val="24"/>
          <w:szCs w:val="24"/>
        </w:rPr>
        <w:t>La nivel național, ponderea subramurii industriale ,,</w:t>
      </w:r>
      <w:r w:rsidRPr="00784037">
        <w:rPr>
          <w:rFonts w:ascii="Calibri" w:eastAsia="Times New Roman" w:hAnsi="Calibri" w:cs="Times New Roman"/>
          <w:color w:val="000000"/>
          <w:sz w:val="24"/>
          <w:szCs w:val="24"/>
        </w:rPr>
        <w:t xml:space="preserve">Prelucrarea lemnului, fabricarea produselor din lemn și plută” în totalul valorii realizate de </w:t>
      </w:r>
      <w:r>
        <w:rPr>
          <w:rFonts w:ascii="Calibri" w:eastAsia="Times New Roman" w:hAnsi="Calibri" w:cs="Times New Roman"/>
          <w:color w:val="000000"/>
          <w:sz w:val="24"/>
          <w:szCs w:val="24"/>
        </w:rPr>
        <w:t>totalul ramurilor industriale</w:t>
      </w:r>
      <w:r w:rsidRPr="00784037">
        <w:rPr>
          <w:rFonts w:ascii="Calibri" w:eastAsia="Times New Roman" w:hAnsi="Calibri" w:cs="Times New Roman"/>
          <w:color w:val="000000"/>
          <w:sz w:val="24"/>
          <w:szCs w:val="24"/>
        </w:rPr>
        <w:t xml:space="preserve"> a înregistrat o ușoară creștere</w:t>
      </w:r>
      <w:r>
        <w:rPr>
          <w:rFonts w:ascii="Calibri" w:eastAsia="Times New Roman" w:hAnsi="Calibri" w:cs="Times New Roman"/>
          <w:color w:val="000000"/>
          <w:sz w:val="24"/>
          <w:szCs w:val="24"/>
        </w:rPr>
        <w:t xml:space="preserve"> în </w:t>
      </w:r>
      <w:r w:rsidRPr="0071288F">
        <w:rPr>
          <w:rFonts w:ascii="Calibri" w:eastAsia="Times New Roman" w:hAnsi="Calibri" w:cs="Times New Roman"/>
          <w:sz w:val="24"/>
          <w:szCs w:val="24"/>
        </w:rPr>
        <w:t>perioada 2010-2015</w:t>
      </w:r>
      <w:r>
        <w:rPr>
          <w:rFonts w:ascii="Calibri" w:eastAsia="Times New Roman" w:hAnsi="Calibri" w:cs="Times New Roman"/>
          <w:sz w:val="24"/>
          <w:szCs w:val="24"/>
        </w:rPr>
        <w:t xml:space="preserve">, </w:t>
      </w:r>
      <w:r w:rsidRPr="0071288F">
        <w:rPr>
          <w:rFonts w:ascii="Calibri" w:eastAsia="Times New Roman" w:hAnsi="Calibri" w:cs="Times New Roman"/>
          <w:sz w:val="24"/>
          <w:szCs w:val="24"/>
        </w:rPr>
        <w:t xml:space="preserve"> ajungând la 3,4%, în timp ce ponderea subra</w:t>
      </w:r>
      <w:r>
        <w:rPr>
          <w:rFonts w:ascii="Calibri" w:eastAsia="Times New Roman" w:hAnsi="Calibri" w:cs="Times New Roman"/>
          <w:sz w:val="24"/>
          <w:szCs w:val="24"/>
        </w:rPr>
        <w:t xml:space="preserve">murii ,,Fabricarea mobilei” a crescut în aceeași perioadă de </w:t>
      </w:r>
      <w:r w:rsidRPr="0071288F">
        <w:rPr>
          <w:rFonts w:ascii="Calibri" w:eastAsia="Times New Roman" w:hAnsi="Calibri" w:cs="Times New Roman"/>
          <w:sz w:val="24"/>
          <w:szCs w:val="24"/>
        </w:rPr>
        <w:t xml:space="preserve">la </w:t>
      </w:r>
      <w:r>
        <w:rPr>
          <w:rFonts w:ascii="Calibri" w:eastAsia="Times New Roman" w:hAnsi="Calibri" w:cs="Times New Roman"/>
          <w:sz w:val="24"/>
          <w:szCs w:val="24"/>
        </w:rPr>
        <w:t xml:space="preserve">1,9% la </w:t>
      </w:r>
      <w:r w:rsidRPr="0071288F">
        <w:rPr>
          <w:rFonts w:ascii="Calibri" w:eastAsia="Times New Roman" w:hAnsi="Calibri" w:cs="Times New Roman"/>
          <w:sz w:val="24"/>
          <w:szCs w:val="24"/>
        </w:rPr>
        <w:t xml:space="preserve">2,4%. </w:t>
      </w:r>
    </w:p>
    <w:p w:rsidR="00305726" w:rsidRDefault="00305726" w:rsidP="00305726">
      <w:pPr>
        <w:autoSpaceDE w:val="0"/>
        <w:spacing w:after="0"/>
        <w:jc w:val="both"/>
        <w:rPr>
          <w:rFonts w:ascii="Calibri" w:eastAsia="Times New Roman" w:hAnsi="Calibri" w:cs="Times New Roman"/>
          <w:color w:val="000000"/>
          <w:sz w:val="24"/>
          <w:szCs w:val="24"/>
        </w:rPr>
      </w:pPr>
    </w:p>
    <w:p w:rsidR="00305726" w:rsidRDefault="00305726" w:rsidP="00305726">
      <w:pPr>
        <w:autoSpaceDE w:val="0"/>
        <w:spacing w:after="0"/>
        <w:jc w:val="both"/>
        <w:rPr>
          <w:rFonts w:ascii="Calibri" w:eastAsia="Times New Roman" w:hAnsi="Calibri" w:cs="Times New Roman"/>
          <w:color w:val="000000"/>
          <w:sz w:val="24"/>
          <w:szCs w:val="24"/>
        </w:rPr>
      </w:pPr>
    </w:p>
    <w:p w:rsidR="00305726" w:rsidRDefault="00305726" w:rsidP="00305726">
      <w:pPr>
        <w:autoSpaceDE w:val="0"/>
        <w:spacing w:after="0"/>
        <w:jc w:val="both"/>
        <w:rPr>
          <w:rFonts w:ascii="Calibri" w:eastAsia="Times New Roman" w:hAnsi="Calibri" w:cs="Times New Roman"/>
          <w:color w:val="000000"/>
          <w:sz w:val="24"/>
          <w:szCs w:val="24"/>
        </w:rPr>
      </w:pPr>
    </w:p>
    <w:p w:rsidR="00305726" w:rsidRDefault="00305726" w:rsidP="00305726">
      <w:pPr>
        <w:autoSpaceDE w:val="0"/>
        <w:spacing w:after="0"/>
        <w:jc w:val="both"/>
        <w:rPr>
          <w:rFonts w:ascii="Calibri" w:eastAsia="Times New Roman" w:hAnsi="Calibri" w:cs="Times New Roman"/>
          <w:color w:val="000000"/>
          <w:sz w:val="24"/>
          <w:szCs w:val="24"/>
        </w:rPr>
      </w:pPr>
    </w:p>
    <w:p w:rsidR="00305726" w:rsidRDefault="00305726" w:rsidP="00305726">
      <w:pPr>
        <w:autoSpaceDE w:val="0"/>
        <w:spacing w:after="0"/>
        <w:jc w:val="both"/>
        <w:rPr>
          <w:rFonts w:ascii="Calibri" w:eastAsia="Times New Roman" w:hAnsi="Calibri" w:cs="Times New Roman"/>
          <w:color w:val="000000"/>
          <w:sz w:val="24"/>
          <w:szCs w:val="24"/>
        </w:rPr>
      </w:pPr>
    </w:p>
    <w:p w:rsidR="00305726" w:rsidRDefault="00305726" w:rsidP="00305726">
      <w:pPr>
        <w:autoSpaceDE w:val="0"/>
        <w:spacing w:after="0"/>
        <w:jc w:val="center"/>
        <w:rPr>
          <w:b/>
          <w:sz w:val="24"/>
          <w:szCs w:val="24"/>
        </w:rPr>
      </w:pPr>
      <w:r w:rsidRPr="00906803">
        <w:rPr>
          <w:b/>
          <w:sz w:val="24"/>
          <w:szCs w:val="24"/>
        </w:rPr>
        <w:lastRenderedPageBreak/>
        <w:t>Tab. 4 Ponderea industriei lemnului și a fabricării mobilei în total industrie,</w:t>
      </w:r>
    </w:p>
    <w:p w:rsidR="00305726" w:rsidRPr="00906803" w:rsidRDefault="00305726" w:rsidP="00305726">
      <w:pPr>
        <w:autoSpaceDE w:val="0"/>
        <w:spacing w:after="0"/>
        <w:jc w:val="center"/>
        <w:rPr>
          <w:b/>
          <w:sz w:val="24"/>
          <w:szCs w:val="24"/>
        </w:rPr>
      </w:pPr>
      <w:r w:rsidRPr="00906803">
        <w:rPr>
          <w:b/>
          <w:sz w:val="24"/>
          <w:szCs w:val="24"/>
        </w:rPr>
        <w:t xml:space="preserve"> la nivel național</w:t>
      </w:r>
    </w:p>
    <w:p w:rsidR="00305726" w:rsidRPr="00784037" w:rsidRDefault="00305726" w:rsidP="00305726">
      <w:pPr>
        <w:autoSpaceDE w:val="0"/>
        <w:spacing w:after="0"/>
      </w:pPr>
      <w:r w:rsidRPr="00784037">
        <w:tab/>
      </w:r>
      <w:r w:rsidRPr="00784037">
        <w:tab/>
      </w:r>
      <w:r w:rsidRPr="00784037">
        <w:tab/>
      </w:r>
      <w:r w:rsidRPr="00784037">
        <w:tab/>
      </w:r>
      <w:r w:rsidRPr="00784037">
        <w:tab/>
      </w:r>
      <w:r w:rsidRPr="00784037">
        <w:tab/>
      </w:r>
      <w:r w:rsidRPr="00784037">
        <w:tab/>
      </w:r>
      <w:r w:rsidRPr="00784037">
        <w:tab/>
      </w:r>
      <w:r w:rsidRPr="00784037">
        <w:tab/>
      </w:r>
      <w:r w:rsidRPr="00784037">
        <w:tab/>
      </w:r>
      <w:r>
        <w:tab/>
      </w:r>
      <w:r>
        <w:tab/>
      </w:r>
      <w:r w:rsidRPr="00784037">
        <w:t>-%-</w:t>
      </w:r>
    </w:p>
    <w:tbl>
      <w:tblPr>
        <w:tblStyle w:val="Umbriremedie1-Accentuare3"/>
        <w:tblW w:w="9288" w:type="dxa"/>
        <w:tblLook w:val="04A0"/>
      </w:tblPr>
      <w:tblGrid>
        <w:gridCol w:w="4534"/>
        <w:gridCol w:w="935"/>
        <w:gridCol w:w="954"/>
        <w:gridCol w:w="955"/>
        <w:gridCol w:w="955"/>
        <w:gridCol w:w="955"/>
      </w:tblGrid>
      <w:tr w:rsidR="00305726" w:rsidRPr="00784037" w:rsidTr="005F5D09">
        <w:trPr>
          <w:cnfStyle w:val="100000000000"/>
          <w:trHeight w:val="300"/>
        </w:trPr>
        <w:tc>
          <w:tcPr>
            <w:cnfStyle w:val="001000000000"/>
            <w:tcW w:w="4534" w:type="dxa"/>
            <w:hideMark/>
          </w:tcPr>
          <w:p w:rsidR="00305726" w:rsidRPr="00784037" w:rsidRDefault="00305726" w:rsidP="005F5D09">
            <w:pPr>
              <w:jc w:val="center"/>
              <w:rPr>
                <w:rFonts w:ascii="Calibri" w:eastAsia="Times New Roman" w:hAnsi="Calibri" w:cs="Times New Roman"/>
                <w:b w:val="0"/>
                <w:bCs w:val="0"/>
                <w:color w:val="000000"/>
              </w:rPr>
            </w:pPr>
            <w:r w:rsidRPr="00784037">
              <w:rPr>
                <w:rFonts w:ascii="Calibri" w:eastAsia="Times New Roman" w:hAnsi="Calibri" w:cs="Times New Roman"/>
                <w:b w:val="0"/>
                <w:bCs w:val="0"/>
                <w:color w:val="000000"/>
              </w:rPr>
              <w:t> </w:t>
            </w:r>
          </w:p>
        </w:tc>
        <w:tc>
          <w:tcPr>
            <w:tcW w:w="935" w:type="dxa"/>
          </w:tcPr>
          <w:p w:rsidR="00305726" w:rsidRPr="006856BA" w:rsidRDefault="00305726" w:rsidP="005F5D09">
            <w:pPr>
              <w:jc w:val="center"/>
              <w:cnfStyle w:val="100000000000"/>
              <w:rPr>
                <w:rFonts w:ascii="Calibri" w:eastAsia="Times New Roman" w:hAnsi="Calibri" w:cs="Times New Roman"/>
                <w:bCs w:val="0"/>
                <w:color w:val="auto"/>
              </w:rPr>
            </w:pPr>
            <w:r w:rsidRPr="006856BA">
              <w:rPr>
                <w:rFonts w:ascii="Calibri" w:eastAsia="Times New Roman" w:hAnsi="Calibri" w:cs="Times New Roman"/>
                <w:bCs w:val="0"/>
                <w:color w:val="auto"/>
              </w:rPr>
              <w:t>2008</w:t>
            </w:r>
          </w:p>
        </w:tc>
        <w:tc>
          <w:tcPr>
            <w:tcW w:w="954" w:type="dxa"/>
          </w:tcPr>
          <w:p w:rsidR="00305726" w:rsidRPr="0004530C" w:rsidRDefault="00305726" w:rsidP="005F5D09">
            <w:pPr>
              <w:jc w:val="center"/>
              <w:cnfStyle w:val="100000000000"/>
              <w:rPr>
                <w:rFonts w:ascii="Calibri" w:eastAsia="Times New Roman" w:hAnsi="Calibri" w:cs="Times New Roman"/>
                <w:bCs w:val="0"/>
                <w:color w:val="000000"/>
              </w:rPr>
            </w:pPr>
            <w:r w:rsidRPr="0004530C">
              <w:rPr>
                <w:rFonts w:ascii="Calibri" w:eastAsia="Times New Roman" w:hAnsi="Calibri" w:cs="Times New Roman"/>
                <w:bCs w:val="0"/>
                <w:color w:val="000000"/>
              </w:rPr>
              <w:t>2010</w:t>
            </w:r>
          </w:p>
        </w:tc>
        <w:tc>
          <w:tcPr>
            <w:tcW w:w="955" w:type="dxa"/>
          </w:tcPr>
          <w:p w:rsidR="00305726" w:rsidRPr="0004530C" w:rsidRDefault="00305726" w:rsidP="005F5D09">
            <w:pPr>
              <w:jc w:val="center"/>
              <w:cnfStyle w:val="100000000000"/>
              <w:rPr>
                <w:rFonts w:ascii="Calibri" w:eastAsia="Times New Roman" w:hAnsi="Calibri" w:cs="Times New Roman"/>
                <w:bCs w:val="0"/>
                <w:color w:val="000000"/>
              </w:rPr>
            </w:pPr>
            <w:r w:rsidRPr="0004530C">
              <w:rPr>
                <w:rFonts w:ascii="Calibri" w:eastAsia="Times New Roman" w:hAnsi="Calibri" w:cs="Times New Roman"/>
                <w:bCs w:val="0"/>
                <w:color w:val="000000"/>
              </w:rPr>
              <w:t>2011</w:t>
            </w:r>
          </w:p>
        </w:tc>
        <w:tc>
          <w:tcPr>
            <w:tcW w:w="955" w:type="dxa"/>
            <w:hideMark/>
          </w:tcPr>
          <w:p w:rsidR="00305726" w:rsidRPr="0004530C" w:rsidRDefault="00305726" w:rsidP="005F5D09">
            <w:pPr>
              <w:jc w:val="center"/>
              <w:cnfStyle w:val="100000000000"/>
              <w:rPr>
                <w:rFonts w:ascii="Calibri" w:eastAsia="Times New Roman" w:hAnsi="Calibri" w:cs="Times New Roman"/>
                <w:bCs w:val="0"/>
                <w:color w:val="000000"/>
              </w:rPr>
            </w:pPr>
            <w:r w:rsidRPr="0004530C">
              <w:rPr>
                <w:rFonts w:ascii="Calibri" w:eastAsia="Times New Roman" w:hAnsi="Calibri" w:cs="Times New Roman"/>
                <w:bCs w:val="0"/>
                <w:color w:val="000000"/>
              </w:rPr>
              <w:t>2013</w:t>
            </w:r>
          </w:p>
        </w:tc>
        <w:tc>
          <w:tcPr>
            <w:tcW w:w="955" w:type="dxa"/>
          </w:tcPr>
          <w:p w:rsidR="00305726" w:rsidRPr="0004530C" w:rsidRDefault="00305726" w:rsidP="005F5D09">
            <w:pPr>
              <w:jc w:val="center"/>
              <w:cnfStyle w:val="100000000000"/>
              <w:rPr>
                <w:rFonts w:ascii="Calibri" w:eastAsia="Times New Roman" w:hAnsi="Calibri" w:cs="Times New Roman"/>
                <w:bCs w:val="0"/>
                <w:color w:val="000000"/>
              </w:rPr>
            </w:pPr>
            <w:r w:rsidRPr="0004530C">
              <w:rPr>
                <w:rFonts w:ascii="Calibri" w:eastAsia="Times New Roman" w:hAnsi="Calibri" w:cs="Times New Roman"/>
                <w:bCs w:val="0"/>
                <w:color w:val="000000"/>
              </w:rPr>
              <w:t>2015</w:t>
            </w:r>
          </w:p>
        </w:tc>
      </w:tr>
      <w:tr w:rsidR="00305726" w:rsidRPr="00784037" w:rsidTr="005F5D09">
        <w:trPr>
          <w:cnfStyle w:val="000000100000"/>
          <w:trHeight w:val="300"/>
        </w:trPr>
        <w:tc>
          <w:tcPr>
            <w:cnfStyle w:val="001000000000"/>
            <w:tcW w:w="4534" w:type="dxa"/>
            <w:hideMark/>
          </w:tcPr>
          <w:p w:rsidR="00305726" w:rsidRPr="0004530C" w:rsidRDefault="00305726" w:rsidP="005F5D09">
            <w:pPr>
              <w:rPr>
                <w:rFonts w:ascii="Calibri" w:eastAsia="Times New Roman" w:hAnsi="Calibri" w:cs="Times New Roman"/>
                <w:bCs w:val="0"/>
                <w:color w:val="000000"/>
              </w:rPr>
            </w:pPr>
            <w:r>
              <w:rPr>
                <w:rFonts w:ascii="Calibri" w:eastAsia="Times New Roman" w:hAnsi="Calibri" w:cs="Times New Roman"/>
                <w:bCs w:val="0"/>
                <w:color w:val="000000"/>
              </w:rPr>
              <w:t>Industria</w:t>
            </w:r>
          </w:p>
        </w:tc>
        <w:tc>
          <w:tcPr>
            <w:tcW w:w="935" w:type="dxa"/>
          </w:tcPr>
          <w:p w:rsidR="00305726" w:rsidRPr="006856BA" w:rsidRDefault="00305726" w:rsidP="005F5D09">
            <w:pPr>
              <w:jc w:val="right"/>
              <w:cnfStyle w:val="000000100000"/>
              <w:rPr>
                <w:rFonts w:ascii="Calibri" w:eastAsia="Times New Roman" w:hAnsi="Calibri" w:cs="Times New Roman"/>
              </w:rPr>
            </w:pPr>
            <w:r w:rsidRPr="006856BA">
              <w:rPr>
                <w:rFonts w:ascii="Calibri" w:eastAsia="Times New Roman" w:hAnsi="Calibri" w:cs="Times New Roman"/>
              </w:rPr>
              <w:t>100,0</w:t>
            </w:r>
          </w:p>
        </w:tc>
        <w:tc>
          <w:tcPr>
            <w:tcW w:w="954" w:type="dxa"/>
          </w:tcPr>
          <w:p w:rsidR="00305726" w:rsidRPr="00784037" w:rsidRDefault="00305726" w:rsidP="005F5D09">
            <w:pPr>
              <w:jc w:val="right"/>
              <w:cnfStyle w:val="000000100000"/>
              <w:rPr>
                <w:rFonts w:ascii="Calibri" w:eastAsia="Times New Roman" w:hAnsi="Calibri" w:cs="Times New Roman"/>
                <w:color w:val="000000"/>
              </w:rPr>
            </w:pPr>
            <w:r w:rsidRPr="00784037">
              <w:rPr>
                <w:rFonts w:ascii="Calibri" w:eastAsia="Times New Roman" w:hAnsi="Calibri" w:cs="Times New Roman"/>
                <w:color w:val="000000"/>
              </w:rPr>
              <w:t>100</w:t>
            </w:r>
            <w:r>
              <w:rPr>
                <w:rFonts w:ascii="Calibri" w:eastAsia="Times New Roman" w:hAnsi="Calibri" w:cs="Times New Roman"/>
                <w:color w:val="000000"/>
              </w:rPr>
              <w:t>,0</w:t>
            </w:r>
          </w:p>
        </w:tc>
        <w:tc>
          <w:tcPr>
            <w:tcW w:w="955" w:type="dxa"/>
          </w:tcPr>
          <w:p w:rsidR="00305726" w:rsidRPr="00784037" w:rsidRDefault="00305726" w:rsidP="005F5D09">
            <w:pPr>
              <w:jc w:val="right"/>
              <w:cnfStyle w:val="000000100000"/>
              <w:rPr>
                <w:rFonts w:ascii="Calibri" w:eastAsia="Times New Roman" w:hAnsi="Calibri" w:cs="Times New Roman"/>
                <w:color w:val="000000"/>
              </w:rPr>
            </w:pPr>
            <w:r w:rsidRPr="00784037">
              <w:rPr>
                <w:rFonts w:ascii="Calibri" w:eastAsia="Times New Roman" w:hAnsi="Calibri" w:cs="Times New Roman"/>
                <w:color w:val="000000"/>
              </w:rPr>
              <w:t>100</w:t>
            </w:r>
            <w:r>
              <w:rPr>
                <w:rFonts w:ascii="Calibri" w:eastAsia="Times New Roman" w:hAnsi="Calibri" w:cs="Times New Roman"/>
                <w:color w:val="000000"/>
              </w:rPr>
              <w:t>,0</w:t>
            </w:r>
          </w:p>
        </w:tc>
        <w:tc>
          <w:tcPr>
            <w:tcW w:w="955" w:type="dxa"/>
            <w:hideMark/>
          </w:tcPr>
          <w:p w:rsidR="00305726" w:rsidRPr="00784037" w:rsidRDefault="00305726" w:rsidP="005F5D09">
            <w:pPr>
              <w:jc w:val="right"/>
              <w:cnfStyle w:val="000000100000"/>
              <w:rPr>
                <w:rFonts w:ascii="Calibri" w:eastAsia="Times New Roman" w:hAnsi="Calibri" w:cs="Times New Roman"/>
                <w:color w:val="000000"/>
              </w:rPr>
            </w:pPr>
            <w:r>
              <w:rPr>
                <w:rFonts w:ascii="Calibri" w:eastAsia="Times New Roman" w:hAnsi="Calibri" w:cs="Times New Roman"/>
                <w:color w:val="000000"/>
              </w:rPr>
              <w:t>100,0</w:t>
            </w:r>
          </w:p>
        </w:tc>
        <w:tc>
          <w:tcPr>
            <w:tcW w:w="955" w:type="dxa"/>
          </w:tcPr>
          <w:p w:rsidR="00305726" w:rsidRPr="00784037" w:rsidRDefault="00305726" w:rsidP="005F5D09">
            <w:pPr>
              <w:jc w:val="right"/>
              <w:cnfStyle w:val="000000100000"/>
              <w:rPr>
                <w:rFonts w:ascii="Calibri" w:eastAsia="Times New Roman" w:hAnsi="Calibri" w:cs="Times New Roman"/>
                <w:color w:val="000000"/>
              </w:rPr>
            </w:pPr>
            <w:r>
              <w:rPr>
                <w:rFonts w:ascii="Calibri" w:eastAsia="Times New Roman" w:hAnsi="Calibri" w:cs="Times New Roman"/>
                <w:color w:val="000000"/>
              </w:rPr>
              <w:t>100,0</w:t>
            </w:r>
          </w:p>
        </w:tc>
      </w:tr>
      <w:tr w:rsidR="00305726" w:rsidRPr="00784037" w:rsidTr="005F5D09">
        <w:trPr>
          <w:cnfStyle w:val="000000010000"/>
          <w:trHeight w:val="598"/>
        </w:trPr>
        <w:tc>
          <w:tcPr>
            <w:cnfStyle w:val="001000000000"/>
            <w:tcW w:w="4534" w:type="dxa"/>
            <w:hideMark/>
          </w:tcPr>
          <w:p w:rsidR="00305726" w:rsidRPr="0004530C" w:rsidRDefault="00305726" w:rsidP="005F5D09">
            <w:pPr>
              <w:rPr>
                <w:rFonts w:ascii="Calibri" w:eastAsia="Times New Roman" w:hAnsi="Calibri" w:cs="Times New Roman"/>
                <w:b w:val="0"/>
                <w:color w:val="000000"/>
              </w:rPr>
            </w:pPr>
            <w:r>
              <w:rPr>
                <w:rFonts w:ascii="Calibri" w:eastAsia="Times New Roman" w:hAnsi="Calibri" w:cs="Times New Roman"/>
                <w:b w:val="0"/>
                <w:color w:val="000000"/>
              </w:rPr>
              <w:t xml:space="preserve">16. </w:t>
            </w:r>
            <w:r w:rsidRPr="0004530C">
              <w:rPr>
                <w:rFonts w:ascii="Calibri" w:eastAsia="Times New Roman" w:hAnsi="Calibri" w:cs="Times New Roman"/>
                <w:b w:val="0"/>
                <w:color w:val="000000"/>
              </w:rPr>
              <w:t>Prelucrarea lemnului, fabricarea produselor din lemn și plută</w:t>
            </w:r>
          </w:p>
        </w:tc>
        <w:tc>
          <w:tcPr>
            <w:tcW w:w="935" w:type="dxa"/>
          </w:tcPr>
          <w:p w:rsidR="00305726" w:rsidRPr="006856BA" w:rsidRDefault="00305726" w:rsidP="005F5D09">
            <w:pPr>
              <w:jc w:val="right"/>
              <w:cnfStyle w:val="000000010000"/>
              <w:rPr>
                <w:rFonts w:ascii="Calibri" w:eastAsia="Times New Roman" w:hAnsi="Calibri" w:cs="Times New Roman"/>
              </w:rPr>
            </w:pPr>
            <w:r w:rsidRPr="006856BA">
              <w:rPr>
                <w:rFonts w:ascii="Calibri" w:eastAsia="Times New Roman" w:hAnsi="Calibri" w:cs="Times New Roman"/>
              </w:rPr>
              <w:t>2,9</w:t>
            </w:r>
          </w:p>
        </w:tc>
        <w:tc>
          <w:tcPr>
            <w:tcW w:w="954" w:type="dxa"/>
          </w:tcPr>
          <w:p w:rsidR="00305726" w:rsidRPr="00784037" w:rsidRDefault="00305726" w:rsidP="005F5D09">
            <w:pPr>
              <w:jc w:val="right"/>
              <w:cnfStyle w:val="000000010000"/>
              <w:rPr>
                <w:rFonts w:ascii="Calibri" w:eastAsia="Times New Roman" w:hAnsi="Calibri" w:cs="Times New Roman"/>
                <w:color w:val="000000"/>
              </w:rPr>
            </w:pPr>
            <w:r w:rsidRPr="00784037">
              <w:rPr>
                <w:rFonts w:ascii="Calibri" w:eastAsia="Times New Roman" w:hAnsi="Calibri" w:cs="Times New Roman"/>
                <w:color w:val="000000"/>
              </w:rPr>
              <w:t>2,5</w:t>
            </w:r>
          </w:p>
        </w:tc>
        <w:tc>
          <w:tcPr>
            <w:tcW w:w="955" w:type="dxa"/>
          </w:tcPr>
          <w:p w:rsidR="00305726" w:rsidRPr="00784037" w:rsidRDefault="00305726" w:rsidP="005F5D09">
            <w:pPr>
              <w:jc w:val="right"/>
              <w:cnfStyle w:val="000000010000"/>
              <w:rPr>
                <w:rFonts w:ascii="Calibri" w:eastAsia="Times New Roman" w:hAnsi="Calibri" w:cs="Times New Roman"/>
                <w:color w:val="000000"/>
              </w:rPr>
            </w:pPr>
            <w:r w:rsidRPr="00784037">
              <w:rPr>
                <w:rFonts w:ascii="Calibri" w:eastAsia="Times New Roman" w:hAnsi="Calibri" w:cs="Times New Roman"/>
                <w:color w:val="000000"/>
              </w:rPr>
              <w:t>2,6</w:t>
            </w:r>
          </w:p>
        </w:tc>
        <w:tc>
          <w:tcPr>
            <w:tcW w:w="955" w:type="dxa"/>
            <w:hideMark/>
          </w:tcPr>
          <w:p w:rsidR="00305726" w:rsidRDefault="00305726" w:rsidP="005F5D09">
            <w:pPr>
              <w:jc w:val="right"/>
              <w:cnfStyle w:val="000000010000"/>
              <w:rPr>
                <w:rFonts w:ascii="Calibri" w:hAnsi="Calibri"/>
                <w:color w:val="000000"/>
              </w:rPr>
            </w:pPr>
            <w:r>
              <w:rPr>
                <w:rFonts w:ascii="Calibri" w:hAnsi="Calibri"/>
                <w:color w:val="000000"/>
              </w:rPr>
              <w:t>3,3</w:t>
            </w:r>
          </w:p>
        </w:tc>
        <w:tc>
          <w:tcPr>
            <w:tcW w:w="955" w:type="dxa"/>
          </w:tcPr>
          <w:p w:rsidR="00305726" w:rsidRDefault="00305726" w:rsidP="005F5D09">
            <w:pPr>
              <w:jc w:val="right"/>
              <w:cnfStyle w:val="000000010000"/>
              <w:rPr>
                <w:rFonts w:ascii="Calibri" w:hAnsi="Calibri"/>
                <w:color w:val="000000"/>
              </w:rPr>
            </w:pPr>
            <w:r>
              <w:rPr>
                <w:rFonts w:ascii="Calibri" w:hAnsi="Calibri"/>
                <w:color w:val="000000"/>
              </w:rPr>
              <w:t>3,4</w:t>
            </w:r>
          </w:p>
        </w:tc>
      </w:tr>
      <w:tr w:rsidR="00305726" w:rsidRPr="00784037" w:rsidTr="005F5D09">
        <w:trPr>
          <w:cnfStyle w:val="000000100000"/>
          <w:trHeight w:val="300"/>
        </w:trPr>
        <w:tc>
          <w:tcPr>
            <w:cnfStyle w:val="001000000000"/>
            <w:tcW w:w="4534" w:type="dxa"/>
            <w:hideMark/>
          </w:tcPr>
          <w:p w:rsidR="00305726" w:rsidRPr="0004530C" w:rsidRDefault="00305726" w:rsidP="005F5D09">
            <w:pPr>
              <w:rPr>
                <w:rFonts w:ascii="Calibri" w:eastAsia="Times New Roman" w:hAnsi="Calibri" w:cs="Times New Roman"/>
                <w:b w:val="0"/>
                <w:color w:val="000000"/>
              </w:rPr>
            </w:pPr>
            <w:r>
              <w:rPr>
                <w:rFonts w:ascii="Calibri" w:eastAsia="Times New Roman" w:hAnsi="Calibri" w:cs="Times New Roman"/>
                <w:b w:val="0"/>
                <w:color w:val="000000"/>
              </w:rPr>
              <w:t xml:space="preserve">31. </w:t>
            </w:r>
            <w:r w:rsidRPr="0004530C">
              <w:rPr>
                <w:rFonts w:ascii="Calibri" w:eastAsia="Times New Roman" w:hAnsi="Calibri" w:cs="Times New Roman"/>
                <w:b w:val="0"/>
                <w:color w:val="000000"/>
              </w:rPr>
              <w:t>Fabricarea de mobilă</w:t>
            </w:r>
          </w:p>
        </w:tc>
        <w:tc>
          <w:tcPr>
            <w:tcW w:w="935" w:type="dxa"/>
          </w:tcPr>
          <w:p w:rsidR="00305726" w:rsidRPr="006856BA" w:rsidRDefault="00305726" w:rsidP="005F5D09">
            <w:pPr>
              <w:jc w:val="right"/>
              <w:cnfStyle w:val="000000100000"/>
              <w:rPr>
                <w:rFonts w:ascii="Calibri" w:eastAsia="Times New Roman" w:hAnsi="Calibri" w:cs="Times New Roman"/>
              </w:rPr>
            </w:pPr>
            <w:r w:rsidRPr="006856BA">
              <w:rPr>
                <w:rFonts w:ascii="Calibri" w:eastAsia="Times New Roman" w:hAnsi="Calibri" w:cs="Times New Roman"/>
              </w:rPr>
              <w:t>1,9</w:t>
            </w:r>
          </w:p>
        </w:tc>
        <w:tc>
          <w:tcPr>
            <w:tcW w:w="954" w:type="dxa"/>
          </w:tcPr>
          <w:p w:rsidR="00305726" w:rsidRPr="00784037" w:rsidRDefault="00305726" w:rsidP="005F5D09">
            <w:pPr>
              <w:jc w:val="center"/>
              <w:cnfStyle w:val="000000100000"/>
              <w:rPr>
                <w:rFonts w:ascii="Calibri" w:eastAsia="Times New Roman" w:hAnsi="Calibri" w:cs="Times New Roman"/>
                <w:color w:val="000000"/>
              </w:rPr>
            </w:pPr>
            <w:r w:rsidRPr="00784037">
              <w:rPr>
                <w:rFonts w:ascii="Calibri" w:eastAsia="Times New Roman" w:hAnsi="Calibri" w:cs="Times New Roman"/>
                <w:color w:val="000000"/>
              </w:rPr>
              <w:t>1,7</w:t>
            </w:r>
          </w:p>
        </w:tc>
        <w:tc>
          <w:tcPr>
            <w:tcW w:w="955" w:type="dxa"/>
          </w:tcPr>
          <w:p w:rsidR="00305726" w:rsidRPr="00784037" w:rsidRDefault="00305726" w:rsidP="005F5D09">
            <w:pPr>
              <w:jc w:val="center"/>
              <w:cnfStyle w:val="000000100000"/>
              <w:rPr>
                <w:rFonts w:ascii="Calibri" w:eastAsia="Times New Roman" w:hAnsi="Calibri" w:cs="Times New Roman"/>
                <w:color w:val="000000"/>
              </w:rPr>
            </w:pPr>
            <w:r w:rsidRPr="00784037">
              <w:rPr>
                <w:rFonts w:ascii="Calibri" w:eastAsia="Times New Roman" w:hAnsi="Calibri" w:cs="Times New Roman"/>
                <w:color w:val="000000"/>
              </w:rPr>
              <w:t>1,9</w:t>
            </w:r>
          </w:p>
        </w:tc>
        <w:tc>
          <w:tcPr>
            <w:tcW w:w="955" w:type="dxa"/>
            <w:hideMark/>
          </w:tcPr>
          <w:p w:rsidR="00305726" w:rsidRDefault="00305726" w:rsidP="005F5D09">
            <w:pPr>
              <w:jc w:val="right"/>
              <w:cnfStyle w:val="000000100000"/>
              <w:rPr>
                <w:rFonts w:ascii="Calibri" w:hAnsi="Calibri"/>
                <w:color w:val="000000"/>
              </w:rPr>
            </w:pPr>
            <w:r>
              <w:rPr>
                <w:rFonts w:ascii="Calibri" w:hAnsi="Calibri"/>
                <w:color w:val="000000"/>
              </w:rPr>
              <w:t>2,3</w:t>
            </w:r>
          </w:p>
        </w:tc>
        <w:tc>
          <w:tcPr>
            <w:tcW w:w="955" w:type="dxa"/>
          </w:tcPr>
          <w:p w:rsidR="00305726" w:rsidRDefault="00305726" w:rsidP="005F5D09">
            <w:pPr>
              <w:jc w:val="right"/>
              <w:cnfStyle w:val="000000100000"/>
              <w:rPr>
                <w:rFonts w:ascii="Calibri" w:hAnsi="Calibri"/>
                <w:color w:val="000000"/>
              </w:rPr>
            </w:pPr>
            <w:r>
              <w:rPr>
                <w:rFonts w:ascii="Calibri" w:hAnsi="Calibri"/>
                <w:color w:val="000000"/>
              </w:rPr>
              <w:t>2,4</w:t>
            </w:r>
          </w:p>
        </w:tc>
      </w:tr>
    </w:tbl>
    <w:p w:rsidR="00305726" w:rsidRDefault="00305726" w:rsidP="00305726">
      <w:pPr>
        <w:autoSpaceDE w:val="0"/>
        <w:spacing w:after="0"/>
      </w:pPr>
      <w:r w:rsidRPr="00784037">
        <w:rPr>
          <w:b/>
        </w:rPr>
        <w:t xml:space="preserve">Sursa: </w:t>
      </w:r>
      <w:r w:rsidRPr="00784037">
        <w:t>Institutul Național de Statistică</w:t>
      </w:r>
    </w:p>
    <w:p w:rsidR="00305726" w:rsidRDefault="00305726" w:rsidP="00305726">
      <w:pPr>
        <w:autoSpaceDE w:val="0"/>
        <w:spacing w:after="0"/>
        <w:jc w:val="both"/>
        <w:rPr>
          <w:color w:val="FF0000"/>
          <w:sz w:val="24"/>
          <w:szCs w:val="24"/>
        </w:rPr>
      </w:pPr>
    </w:p>
    <w:p w:rsidR="00305726" w:rsidRPr="007B2E32" w:rsidRDefault="00305726" w:rsidP="00305726">
      <w:pPr>
        <w:autoSpaceDE w:val="0"/>
        <w:spacing w:after="0"/>
        <w:jc w:val="both"/>
        <w:rPr>
          <w:sz w:val="24"/>
          <w:szCs w:val="24"/>
        </w:rPr>
      </w:pPr>
      <w:r w:rsidRPr="007B2E32">
        <w:rPr>
          <w:sz w:val="24"/>
          <w:szCs w:val="24"/>
        </w:rPr>
        <w:t xml:space="preserve">Datele statistice la nivel național pentru perioada 2008-2011  arată un declin al numărului de companii și a numărului de salariați atât în industria de prelucrare a lemnului cât și în industria de fabricare a mobilei și o relativă stabilizare începând cu 2012. Cifra de afaceri totală realizată de companiile active în industria lemnului a înregistrat o scădere în anul 2009 urmată de o creștere semnificativă în anul 2010, iar după acest an tendința de creștere moderată s-a menținut. Productivitatea muncii s-a îmbunătățit în ambele ramuri analizate, sporul de productivitate fiind mai mare în cazul prelucrării lemnului. </w:t>
      </w:r>
    </w:p>
    <w:p w:rsidR="00305726" w:rsidRPr="00761B20" w:rsidRDefault="00305726" w:rsidP="00305726">
      <w:pPr>
        <w:autoSpaceDE w:val="0"/>
        <w:spacing w:after="0"/>
        <w:jc w:val="both"/>
        <w:rPr>
          <w:sz w:val="24"/>
          <w:szCs w:val="24"/>
        </w:rPr>
      </w:pPr>
      <w:r w:rsidRPr="00761B20">
        <w:rPr>
          <w:sz w:val="24"/>
          <w:szCs w:val="24"/>
        </w:rPr>
        <w:t xml:space="preserve">Exporturile directe au înregistrat scăderi ușoare în perioada 2008-2009, redresându-se apoi anul 2010. Conform datelor Institutului Național de Statistică, exporturile aferente anului 2015 însumează 1,8 miliarde euro în cazul secțiunii produselor din lemn , exclusiv mobila și de 2,2 miliarde euro în cazul grupei produselor de mobilier, cea de-a doua categorie de mărfuri înregistrând o creștere față de anii anteriori. Astfel, ponderea celor două grupe a ajuns la 3,3% respectiv 4% din totalul exporturilor românești. Principalele piețe pentru exporturile de mobilă sunt în ordine: Franța, Germania și Italia, aici predominând produsele de mobilier din lemn masiv. </w:t>
      </w:r>
    </w:p>
    <w:p w:rsidR="00305726" w:rsidRPr="006B61EC" w:rsidRDefault="00305726" w:rsidP="00305726">
      <w:pPr>
        <w:pStyle w:val="Titlu2"/>
        <w:rPr>
          <w:color w:val="336699"/>
          <w:sz w:val="24"/>
          <w:szCs w:val="24"/>
        </w:rPr>
      </w:pPr>
      <w:r w:rsidRPr="006B61EC">
        <w:rPr>
          <w:color w:val="336699"/>
          <w:sz w:val="24"/>
          <w:szCs w:val="24"/>
        </w:rPr>
        <w:t>Situația industriei de prelucrare a lemnului și a industriei de fabricare a mobilei la nivel regional</w:t>
      </w:r>
    </w:p>
    <w:p w:rsidR="00305726" w:rsidRPr="006B1179" w:rsidRDefault="00305726" w:rsidP="00305726">
      <w:pPr>
        <w:autoSpaceDE w:val="0"/>
        <w:spacing w:after="0"/>
      </w:pPr>
    </w:p>
    <w:p w:rsidR="00305726" w:rsidRDefault="00305726" w:rsidP="00305726">
      <w:pPr>
        <w:jc w:val="both"/>
        <w:rPr>
          <w:sz w:val="24"/>
          <w:szCs w:val="24"/>
        </w:rPr>
      </w:pPr>
      <w:r>
        <w:rPr>
          <w:sz w:val="24"/>
          <w:szCs w:val="24"/>
        </w:rPr>
        <w:t>Începând cu deceniul al 6-lea din secolul trecut, d</w:t>
      </w:r>
      <w:r w:rsidRPr="006B1179">
        <w:rPr>
          <w:sz w:val="24"/>
          <w:szCs w:val="24"/>
        </w:rPr>
        <w:t xml:space="preserve">ezvoltarea industriei de prelucrare a lemnului a fost susținută de cerințele în creștere ale pieței interne și de avantajele oferite de piețele din </w:t>
      </w:r>
      <w:r>
        <w:rPr>
          <w:sz w:val="24"/>
          <w:szCs w:val="24"/>
        </w:rPr>
        <w:t>țările învecinate și din fosta URSS</w:t>
      </w:r>
      <w:r w:rsidRPr="006B1179">
        <w:rPr>
          <w:sz w:val="24"/>
          <w:szCs w:val="24"/>
        </w:rPr>
        <w:t xml:space="preserve">. În perioada anilor 1950-1970, în toate județele regiunii s-au pus în funcțiune întreprinderi mari de prelucrare a lemnului și de mobilă, ce au reușit treptat să pătrundă pe tot mai multe piețele din Europa, inclusiv în unele state din Europa Occidentală. Astfel, la nivelul celor </w:t>
      </w:r>
      <w:r>
        <w:rPr>
          <w:sz w:val="24"/>
          <w:szCs w:val="24"/>
        </w:rPr>
        <w:t>șase</w:t>
      </w:r>
      <w:r w:rsidRPr="006B1179">
        <w:rPr>
          <w:sz w:val="24"/>
          <w:szCs w:val="24"/>
        </w:rPr>
        <w:t xml:space="preserve"> județe ce compun astăzi Regiunea Centru, în industria de prelucrare a lemnului și în industria mobilei lucrau în urmă cu 20 ani câteva zeci de mii de salariați, iar pentru multe localități mai mici din zona montană, industria lemnului constituia principala activitate principala activitate economică. </w:t>
      </w:r>
    </w:p>
    <w:p w:rsidR="00305726" w:rsidRDefault="00305726" w:rsidP="00305726">
      <w:pPr>
        <w:jc w:val="both"/>
        <w:rPr>
          <w:b/>
          <w:sz w:val="24"/>
          <w:szCs w:val="24"/>
        </w:rPr>
      </w:pPr>
    </w:p>
    <w:p w:rsidR="00305726" w:rsidRDefault="00305726" w:rsidP="00305726">
      <w:pPr>
        <w:jc w:val="both"/>
        <w:rPr>
          <w:b/>
          <w:sz w:val="24"/>
          <w:szCs w:val="24"/>
        </w:rPr>
      </w:pPr>
    </w:p>
    <w:p w:rsidR="00305726" w:rsidRPr="006B61EC" w:rsidRDefault="00305726" w:rsidP="00305726">
      <w:pPr>
        <w:pStyle w:val="Titlu2"/>
        <w:rPr>
          <w:color w:val="336699"/>
          <w:sz w:val="24"/>
          <w:szCs w:val="24"/>
        </w:rPr>
      </w:pPr>
      <w:r w:rsidRPr="006B61EC">
        <w:rPr>
          <w:color w:val="336699"/>
          <w:sz w:val="24"/>
          <w:szCs w:val="24"/>
        </w:rPr>
        <w:lastRenderedPageBreak/>
        <w:t xml:space="preserve">Evoluția  industriei de prelucrare a lemnului și a industriei de fabricare a mobilei </w:t>
      </w:r>
      <w:r>
        <w:rPr>
          <w:color w:val="336699"/>
          <w:sz w:val="24"/>
          <w:szCs w:val="24"/>
        </w:rPr>
        <w:t>după 1990</w:t>
      </w:r>
      <w:r w:rsidRPr="006B61EC">
        <w:rPr>
          <w:color w:val="336699"/>
          <w:sz w:val="24"/>
          <w:szCs w:val="24"/>
        </w:rPr>
        <w:t xml:space="preserve">  </w:t>
      </w:r>
    </w:p>
    <w:p w:rsidR="00305726" w:rsidRPr="006B1179" w:rsidRDefault="00305726" w:rsidP="00305726">
      <w:pPr>
        <w:autoSpaceDE w:val="0"/>
        <w:spacing w:after="0"/>
        <w:jc w:val="both"/>
      </w:pPr>
      <w:r w:rsidRPr="0072718A">
        <w:rPr>
          <w:sz w:val="24"/>
          <w:szCs w:val="24"/>
        </w:rPr>
        <w:t xml:space="preserve">În ultimele 2 decenii, industria de prelucrare a lemnului </w:t>
      </w:r>
      <w:r w:rsidRPr="00990427">
        <w:rPr>
          <w:b/>
          <w:sz w:val="24"/>
          <w:szCs w:val="24"/>
        </w:rPr>
        <w:t>a suferit transformări majore</w:t>
      </w:r>
      <w:r w:rsidRPr="0072718A">
        <w:rPr>
          <w:sz w:val="24"/>
          <w:szCs w:val="24"/>
        </w:rPr>
        <w:t xml:space="preserve">. Alături de marile unități de prelucrare au apărut numeroase întreprinderi private mici care au reușit să creeze o puternică concurență firmelor mai vechi. Printr-o flexibilitate sporită și un grad mare de adaptabilitate companiile mici, având sub 250 angajați, au ținut mai ușor pasul  cu schimbările rapide intervenite pe piață. </w:t>
      </w:r>
      <w:r>
        <w:rPr>
          <w:sz w:val="24"/>
          <w:szCs w:val="24"/>
        </w:rPr>
        <w:t>Pe de altă parte, se constată o o</w:t>
      </w:r>
      <w:r w:rsidRPr="0072718A">
        <w:rPr>
          <w:sz w:val="24"/>
          <w:szCs w:val="24"/>
        </w:rPr>
        <w:t>rientare mai fermă a consumatorilor români către produsele autohtone</w:t>
      </w:r>
      <w:r>
        <w:rPr>
          <w:sz w:val="24"/>
          <w:szCs w:val="24"/>
        </w:rPr>
        <w:t xml:space="preserve"> de calitate.</w:t>
      </w:r>
    </w:p>
    <w:p w:rsidR="00305726" w:rsidRDefault="00305726" w:rsidP="00305726">
      <w:pPr>
        <w:jc w:val="both"/>
        <w:rPr>
          <w:sz w:val="24"/>
          <w:szCs w:val="24"/>
        </w:rPr>
      </w:pPr>
      <w:r w:rsidRPr="006B1179">
        <w:rPr>
          <w:sz w:val="24"/>
          <w:szCs w:val="24"/>
        </w:rPr>
        <w:t xml:space="preserve">Totodată, </w:t>
      </w:r>
      <w:r>
        <w:rPr>
          <w:sz w:val="24"/>
          <w:szCs w:val="24"/>
        </w:rPr>
        <w:t xml:space="preserve">importante </w:t>
      </w:r>
      <w:r w:rsidRPr="00DB085D">
        <w:rPr>
          <w:b/>
          <w:sz w:val="24"/>
          <w:szCs w:val="24"/>
        </w:rPr>
        <w:t>companii multinaționale</w:t>
      </w:r>
      <w:r w:rsidRPr="006B1179">
        <w:rPr>
          <w:sz w:val="24"/>
          <w:szCs w:val="24"/>
        </w:rPr>
        <w:t xml:space="preserve"> din domeniul prelucrării lemnului, prin achiziții ale unităților de producție existente sau prin </w:t>
      </w:r>
      <w:r>
        <w:rPr>
          <w:sz w:val="24"/>
          <w:szCs w:val="24"/>
        </w:rPr>
        <w:t xml:space="preserve">construirea de la zero a unor mari  capacități </w:t>
      </w:r>
      <w:r w:rsidRPr="006B1179">
        <w:rPr>
          <w:sz w:val="24"/>
          <w:szCs w:val="24"/>
        </w:rPr>
        <w:t xml:space="preserve"> </w:t>
      </w:r>
      <w:r>
        <w:rPr>
          <w:sz w:val="24"/>
          <w:szCs w:val="24"/>
        </w:rPr>
        <w:t>de producție</w:t>
      </w:r>
      <w:r w:rsidRPr="006B1179">
        <w:rPr>
          <w:sz w:val="24"/>
          <w:szCs w:val="24"/>
        </w:rPr>
        <w:t>, au  intrat pe piața regională, realizând investiții ce însumează sute de milioane de euro. Grupuri industriale importante precum Holzindustrie</w:t>
      </w:r>
      <w:r>
        <w:rPr>
          <w:sz w:val="24"/>
          <w:szCs w:val="24"/>
        </w:rPr>
        <w:t xml:space="preserve"> </w:t>
      </w:r>
      <w:r w:rsidRPr="006B1179">
        <w:rPr>
          <w:sz w:val="24"/>
          <w:szCs w:val="24"/>
        </w:rPr>
        <w:t xml:space="preserve">Schweighofer și Kronospan din Austria au construit la Sebeș și Brașov fabrici de produse lemnoase de mare capacitate. Sunt prezente de asemenea în regiune firme precum Losan (Spania), </w:t>
      </w:r>
      <w:r>
        <w:rPr>
          <w:sz w:val="24"/>
          <w:szCs w:val="24"/>
        </w:rPr>
        <w:t xml:space="preserve">Holver (Austria), </w:t>
      </w:r>
      <w:r w:rsidRPr="006B1179">
        <w:rPr>
          <w:sz w:val="24"/>
          <w:szCs w:val="24"/>
        </w:rPr>
        <w:t xml:space="preserve">Parisot (Franța), Kastamonu (Turcia), acestea deținând unități de producție la Brașov, Sovata și Reghin, iar la Sebeș își desfășoară activitatea în domeniul mobilei alte </w:t>
      </w:r>
      <w:r>
        <w:rPr>
          <w:sz w:val="24"/>
          <w:szCs w:val="24"/>
        </w:rPr>
        <w:t>câteva</w:t>
      </w:r>
      <w:r w:rsidRPr="006B1179">
        <w:rPr>
          <w:sz w:val="24"/>
          <w:szCs w:val="24"/>
        </w:rPr>
        <w:t xml:space="preserve"> firme de talie mijlocie cu capital străin </w:t>
      </w:r>
      <w:r w:rsidRPr="006B1179">
        <w:rPr>
          <w:rFonts w:cs="Calibri"/>
          <w:sz w:val="24"/>
          <w:szCs w:val="24"/>
        </w:rPr>
        <w:t>( SaviniDue, S</w:t>
      </w:r>
      <w:r w:rsidRPr="006B1179">
        <w:rPr>
          <w:rFonts w:cs="Calibri"/>
          <w:color w:val="222222"/>
          <w:sz w:val="24"/>
          <w:szCs w:val="24"/>
          <w:shd w:val="clear" w:color="auto" w:fill="FFFFFF"/>
        </w:rPr>
        <w:t>chosswenderMobel</w:t>
      </w:r>
      <w:r>
        <w:rPr>
          <w:rFonts w:cs="Calibri"/>
          <w:color w:val="222222"/>
          <w:sz w:val="24"/>
          <w:szCs w:val="24"/>
          <w:shd w:val="clear" w:color="auto" w:fill="FFFFFF"/>
        </w:rPr>
        <w:t>, Atero</w:t>
      </w:r>
      <w:r w:rsidRPr="006B1179">
        <w:rPr>
          <w:rFonts w:cs="Calibri"/>
          <w:sz w:val="24"/>
          <w:szCs w:val="24"/>
        </w:rPr>
        <w:t xml:space="preserve">). </w:t>
      </w:r>
      <w:r w:rsidRPr="00B220E8">
        <w:rPr>
          <w:rFonts w:cs="Calibri"/>
          <w:sz w:val="24"/>
          <w:szCs w:val="24"/>
        </w:rPr>
        <w:t xml:space="preserve">Stabilirea unor importante firme străine </w:t>
      </w:r>
      <w:r>
        <w:rPr>
          <w:rFonts w:cs="Calibri"/>
          <w:sz w:val="24"/>
          <w:szCs w:val="24"/>
        </w:rPr>
        <w:t xml:space="preserve">și implicit </w:t>
      </w:r>
      <w:r w:rsidRPr="00B220E8">
        <w:rPr>
          <w:rFonts w:cs="Calibri"/>
          <w:sz w:val="24"/>
          <w:szCs w:val="24"/>
        </w:rPr>
        <w:t>tehnologiile moderne aduse</w:t>
      </w:r>
      <w:r>
        <w:rPr>
          <w:rFonts w:cs="Calibri"/>
          <w:sz w:val="24"/>
          <w:szCs w:val="24"/>
        </w:rPr>
        <w:t xml:space="preserve"> și</w:t>
      </w:r>
      <w:r w:rsidRPr="00B220E8">
        <w:rPr>
          <w:rFonts w:cs="Calibri"/>
          <w:sz w:val="24"/>
          <w:szCs w:val="24"/>
        </w:rPr>
        <w:t xml:space="preserve"> sistemele de producție utilizate </w:t>
      </w:r>
      <w:r>
        <w:rPr>
          <w:rFonts w:cs="Calibri"/>
          <w:sz w:val="24"/>
          <w:szCs w:val="24"/>
        </w:rPr>
        <w:t xml:space="preserve">de acestea contribuie </w:t>
      </w:r>
      <w:r w:rsidRPr="00DB085D">
        <w:rPr>
          <w:rFonts w:cs="Calibri"/>
          <w:sz w:val="24"/>
          <w:szCs w:val="24"/>
        </w:rPr>
        <w:t>semnificativ la</w:t>
      </w:r>
      <w:r w:rsidRPr="00DB085D">
        <w:rPr>
          <w:rFonts w:cs="Calibri"/>
          <w:b/>
          <w:sz w:val="24"/>
          <w:szCs w:val="24"/>
        </w:rPr>
        <w:t xml:space="preserve"> creșterea capitalului de cunoaștere din regiune.</w:t>
      </w:r>
      <w:r>
        <w:rPr>
          <w:rFonts w:cs="Calibri"/>
          <w:sz w:val="24"/>
          <w:szCs w:val="24"/>
        </w:rPr>
        <w:t xml:space="preserve"> Totodată, aceste companii</w:t>
      </w:r>
      <w:r w:rsidRPr="006B1179">
        <w:rPr>
          <w:rFonts w:cs="Calibri"/>
          <w:sz w:val="24"/>
          <w:szCs w:val="24"/>
        </w:rPr>
        <w:t xml:space="preserve">, alături de alți producători autohtoni mai vechi </w:t>
      </w:r>
      <w:r>
        <w:rPr>
          <w:rFonts w:cs="Calibri"/>
          <w:sz w:val="24"/>
          <w:szCs w:val="24"/>
        </w:rPr>
        <w:t>participă</w:t>
      </w:r>
      <w:r w:rsidRPr="006B1179">
        <w:rPr>
          <w:rFonts w:cs="Calibri"/>
          <w:sz w:val="24"/>
          <w:szCs w:val="24"/>
        </w:rPr>
        <w:t xml:space="preserve"> la dezvoltarea economică a regiunii, inclusiv prin exporturile pe care le realizează. </w:t>
      </w:r>
      <w:r>
        <w:rPr>
          <w:sz w:val="24"/>
          <w:szCs w:val="24"/>
        </w:rPr>
        <w:t xml:space="preserve">Principalele produse realizate sunt cheresteaua, plăci din lemn (panouri) cu diverse utilizări, furnire, parchet, uși și ferestre, alte produse finite și semifabricate precum și o gamă foarte variată de mobilă. </w:t>
      </w:r>
    </w:p>
    <w:p w:rsidR="00305726" w:rsidRPr="006B61EC" w:rsidRDefault="00305726" w:rsidP="00305726">
      <w:pPr>
        <w:pStyle w:val="Titlu3"/>
        <w:spacing w:after="240"/>
      </w:pPr>
      <w:r w:rsidRPr="004F532F">
        <w:t>Industria regională a mobilei, de la tradi</w:t>
      </w:r>
      <w:r w:rsidRPr="004F532F">
        <w:rPr>
          <w:rFonts w:ascii="Cambria Math" w:hAnsi="Cambria Math" w:cs="Cambria Math"/>
        </w:rPr>
        <w:t>ț</w:t>
      </w:r>
      <w:r w:rsidRPr="004F532F">
        <w:rPr>
          <w:rFonts w:ascii="Cambria" w:hAnsi="Cambria" w:cs="Cambria"/>
        </w:rPr>
        <w:t>ie la dezvoltare prin inovar</w:t>
      </w:r>
      <w:r w:rsidRPr="004F532F">
        <w:t>e</w:t>
      </w:r>
    </w:p>
    <w:p w:rsidR="00305726" w:rsidRPr="004F532F" w:rsidRDefault="00305726" w:rsidP="00305726">
      <w:pPr>
        <w:jc w:val="both"/>
        <w:rPr>
          <w:sz w:val="24"/>
          <w:szCs w:val="24"/>
        </w:rPr>
      </w:pPr>
      <w:r w:rsidRPr="004F532F">
        <w:rPr>
          <w:sz w:val="24"/>
          <w:szCs w:val="24"/>
        </w:rPr>
        <w:t xml:space="preserve">Aflată la intersecția mai multor domenii, industria mobilei dispune în Regiunea Centru de un potențial remarcabil ce poate fi dezvoltat prin valorificarea bogatei tradiții locale și impulsionarea creativității și a designului modern. Acest important sector de activitate încorporează astăzi din ce în ce mai multă inovație, dezvoltarea lui făcându-se prin utilizarea de tehnologii moderne și materiale noi, iar ponderea produselor cu valoare adăugată mare a crescut sensibil. Câteva din companiile mai vechi din această branșă, prezente de mulți ani pe piețele internaționale, se bucură de o bună reputație consolidată prin calitatea deosebită a produselor exportate. </w:t>
      </w:r>
    </w:p>
    <w:p w:rsidR="00305726" w:rsidRPr="004F532F" w:rsidRDefault="00305726" w:rsidP="00305726">
      <w:pPr>
        <w:jc w:val="both"/>
        <w:rPr>
          <w:sz w:val="24"/>
          <w:szCs w:val="24"/>
        </w:rPr>
      </w:pPr>
      <w:r w:rsidRPr="004F532F">
        <w:rPr>
          <w:sz w:val="24"/>
          <w:szCs w:val="24"/>
        </w:rPr>
        <w:t xml:space="preserve">Firmele de talie medie și mică producătoare de mobilă sunt prezente în toată regiunea, însă   o concentrare mai mare se înregistrează  în județele Mureș, Harghita și Alba. Deși puțin numeroase și cu efective de personal în scădere, companiile mari ce activează în domeniul mobilei rămân jucători importanți pe o piață puternic concurențială. </w:t>
      </w:r>
      <w:r>
        <w:rPr>
          <w:sz w:val="24"/>
          <w:szCs w:val="24"/>
        </w:rPr>
        <w:t>În condițiile actuale ale pieței europene, dominate de câțiva mari producători și sub amenințarea produselor ieftine din Asia</w:t>
      </w:r>
      <w:r w:rsidRPr="00DF144A">
        <w:rPr>
          <w:sz w:val="24"/>
          <w:szCs w:val="24"/>
        </w:rPr>
        <w:t xml:space="preserve">, firmele din Regiunea Centru producătoare de mobilă din lemn masiv pot deveni cu </w:t>
      </w:r>
      <w:r w:rsidRPr="00DF144A">
        <w:rPr>
          <w:sz w:val="24"/>
          <w:szCs w:val="24"/>
        </w:rPr>
        <w:lastRenderedPageBreak/>
        <w:t>adevărat competitive prin originalitatea produselor și aplicarea ideilor de design modern, iar Regiunea Centru își poate crea în viitor un avantaj comparativ pe nișa mobilierului la comandă și a producției de serie mică. Cu</w:t>
      </w:r>
      <w:r w:rsidRPr="004F532F">
        <w:rPr>
          <w:sz w:val="24"/>
          <w:szCs w:val="24"/>
        </w:rPr>
        <w:t xml:space="preserve"> toate că </w:t>
      </w:r>
      <w:r>
        <w:rPr>
          <w:sz w:val="24"/>
          <w:szCs w:val="24"/>
        </w:rPr>
        <w:t>în această subramură industrială</w:t>
      </w:r>
      <w:r w:rsidRPr="004F532F">
        <w:rPr>
          <w:sz w:val="24"/>
          <w:szCs w:val="24"/>
        </w:rPr>
        <w:t xml:space="preserve"> predomină capitalul românesc, firmele cu capital străin și-au consolidat prezența în ultimii ani, principalii investitori provenind din țări precum Italia, Austria, Franța.</w:t>
      </w:r>
      <w:r>
        <w:rPr>
          <w:sz w:val="24"/>
          <w:szCs w:val="24"/>
        </w:rPr>
        <w:t xml:space="preserve"> </w:t>
      </w:r>
    </w:p>
    <w:p w:rsidR="00305726" w:rsidRPr="006B61EC" w:rsidRDefault="00305726" w:rsidP="00305726">
      <w:pPr>
        <w:jc w:val="center"/>
        <w:rPr>
          <w:b/>
          <w:shd w:val="clear" w:color="auto" w:fill="FFFFFF"/>
        </w:rPr>
      </w:pPr>
      <w:r w:rsidRPr="006B61EC">
        <w:rPr>
          <w:b/>
          <w:shd w:val="clear" w:color="auto" w:fill="FFFFFF"/>
        </w:rPr>
        <w:t>Tab. 5 Companii reprezentative din Regiunea Centru care activează în industria mobilei</w:t>
      </w:r>
    </w:p>
    <w:tbl>
      <w:tblPr>
        <w:tblStyle w:val="Umbriremedie1-Accentuare3"/>
        <w:tblW w:w="0" w:type="auto"/>
        <w:tblLook w:val="04A0"/>
      </w:tblPr>
      <w:tblGrid>
        <w:gridCol w:w="2232"/>
        <w:gridCol w:w="2753"/>
        <w:gridCol w:w="943"/>
        <w:gridCol w:w="2610"/>
      </w:tblGrid>
      <w:tr w:rsidR="00305726" w:rsidTr="005F5D09">
        <w:trPr>
          <w:cnfStyle w:val="100000000000"/>
        </w:trPr>
        <w:tc>
          <w:tcPr>
            <w:cnfStyle w:val="001000000000"/>
            <w:tcW w:w="2232" w:type="dxa"/>
          </w:tcPr>
          <w:p w:rsidR="00305726" w:rsidRPr="000D6500" w:rsidRDefault="00305726" w:rsidP="005F5D09">
            <w:pPr>
              <w:autoSpaceDE w:val="0"/>
              <w:jc w:val="center"/>
            </w:pPr>
            <w:r w:rsidRPr="000D6500">
              <w:t>Județul</w:t>
            </w:r>
          </w:p>
        </w:tc>
        <w:tc>
          <w:tcPr>
            <w:tcW w:w="2753" w:type="dxa"/>
          </w:tcPr>
          <w:p w:rsidR="00305726" w:rsidRPr="000D6500" w:rsidRDefault="00305726" w:rsidP="005F5D09">
            <w:pPr>
              <w:autoSpaceDE w:val="0"/>
              <w:jc w:val="center"/>
              <w:cnfStyle w:val="100000000000"/>
            </w:pPr>
            <w:r w:rsidRPr="000D6500">
              <w:t>Denumirea companiei</w:t>
            </w:r>
          </w:p>
        </w:tc>
        <w:tc>
          <w:tcPr>
            <w:tcW w:w="943" w:type="dxa"/>
          </w:tcPr>
          <w:p w:rsidR="00305726" w:rsidRPr="000D6500" w:rsidRDefault="00305726" w:rsidP="005F5D09">
            <w:pPr>
              <w:autoSpaceDE w:val="0"/>
              <w:jc w:val="center"/>
              <w:cnfStyle w:val="100000000000"/>
            </w:pPr>
          </w:p>
        </w:tc>
        <w:tc>
          <w:tcPr>
            <w:tcW w:w="2610" w:type="dxa"/>
          </w:tcPr>
          <w:p w:rsidR="00305726" w:rsidRPr="000D6500" w:rsidRDefault="00305726" w:rsidP="005F5D09">
            <w:pPr>
              <w:autoSpaceDE w:val="0"/>
              <w:jc w:val="center"/>
              <w:cnfStyle w:val="100000000000"/>
            </w:pPr>
            <w:r w:rsidRPr="000D6500">
              <w:t>Categoria de mărime</w:t>
            </w:r>
            <w:r>
              <w:t xml:space="preserve"> (anul 2015)</w:t>
            </w:r>
          </w:p>
        </w:tc>
      </w:tr>
      <w:tr w:rsidR="00305726" w:rsidTr="005F5D09">
        <w:trPr>
          <w:cnfStyle w:val="000000100000"/>
        </w:trPr>
        <w:tc>
          <w:tcPr>
            <w:cnfStyle w:val="001000000000"/>
            <w:tcW w:w="2232" w:type="dxa"/>
            <w:vMerge w:val="restart"/>
          </w:tcPr>
          <w:p w:rsidR="00305726" w:rsidRPr="000D6500" w:rsidRDefault="00305726" w:rsidP="005F5D09">
            <w:pPr>
              <w:autoSpaceDE w:val="0"/>
              <w:jc w:val="center"/>
            </w:pPr>
            <w:r w:rsidRPr="000D6500">
              <w:t>Alba</w:t>
            </w:r>
          </w:p>
        </w:tc>
        <w:tc>
          <w:tcPr>
            <w:tcW w:w="2753" w:type="dxa"/>
          </w:tcPr>
          <w:p w:rsidR="00305726" w:rsidRPr="000D6500" w:rsidRDefault="00305726" w:rsidP="005F5D09">
            <w:pPr>
              <w:autoSpaceDE w:val="0"/>
              <w:jc w:val="center"/>
              <w:cnfStyle w:val="000000100000"/>
            </w:pPr>
            <w:r w:rsidRPr="000D6500">
              <w:t>Transilvania Production</w:t>
            </w:r>
          </w:p>
        </w:tc>
        <w:tc>
          <w:tcPr>
            <w:tcW w:w="943" w:type="dxa"/>
          </w:tcPr>
          <w:p w:rsidR="00305726" w:rsidRPr="000D6500" w:rsidRDefault="00305726" w:rsidP="005F5D09">
            <w:pPr>
              <w:autoSpaceDE w:val="0"/>
              <w:jc w:val="center"/>
              <w:cnfStyle w:val="000000100000"/>
            </w:pPr>
            <w:r>
              <w:t>180</w:t>
            </w:r>
          </w:p>
        </w:tc>
        <w:tc>
          <w:tcPr>
            <w:tcW w:w="2610" w:type="dxa"/>
          </w:tcPr>
          <w:p w:rsidR="00305726" w:rsidRPr="000D6500" w:rsidRDefault="00305726" w:rsidP="005F5D09">
            <w:pPr>
              <w:autoSpaceDE w:val="0"/>
              <w:jc w:val="center"/>
              <w:cnfStyle w:val="000000100000"/>
            </w:pPr>
            <w:r w:rsidRPr="000D6500">
              <w:t>mijlocie</w:t>
            </w:r>
            <w:r w:rsidRPr="000D6500">
              <w:rPr>
                <w:rStyle w:val="Referinnotdesubsol"/>
              </w:rPr>
              <w:footnoteReference w:id="90"/>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rPr>
                <w:rFonts w:cs="Calibri"/>
              </w:rPr>
              <w:t>SaviniDue</w:t>
            </w:r>
          </w:p>
        </w:tc>
        <w:tc>
          <w:tcPr>
            <w:tcW w:w="943" w:type="dxa"/>
          </w:tcPr>
          <w:p w:rsidR="00305726" w:rsidRPr="000D6500" w:rsidRDefault="00305726" w:rsidP="005F5D09">
            <w:pPr>
              <w:autoSpaceDE w:val="0"/>
              <w:jc w:val="center"/>
              <w:cnfStyle w:val="000000010000"/>
            </w:pPr>
            <w:r>
              <w:t>278</w:t>
            </w:r>
          </w:p>
        </w:tc>
        <w:tc>
          <w:tcPr>
            <w:tcW w:w="2610" w:type="dxa"/>
          </w:tcPr>
          <w:p w:rsidR="00305726" w:rsidRPr="000D6500" w:rsidRDefault="00305726" w:rsidP="005F5D09">
            <w:pPr>
              <w:autoSpaceDE w:val="0"/>
              <w:jc w:val="center"/>
              <w:cnfStyle w:val="000000010000"/>
            </w:pPr>
            <w:r w:rsidRPr="000D6500">
              <w:t>mare</w:t>
            </w:r>
            <w:r w:rsidRPr="000D6500">
              <w:rPr>
                <w:rStyle w:val="Referinnotdesubsol"/>
              </w:rPr>
              <w:footnoteReference w:id="91"/>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rPr>
                <w:rFonts w:cs="Calibri"/>
              </w:rPr>
              <w:t>S</w:t>
            </w:r>
            <w:r w:rsidRPr="000D6500">
              <w:rPr>
                <w:rFonts w:cs="Calibri"/>
                <w:color w:val="222222"/>
                <w:shd w:val="clear" w:color="auto" w:fill="FFFFFF"/>
              </w:rPr>
              <w:t>chosswenderMobel</w:t>
            </w:r>
          </w:p>
        </w:tc>
        <w:tc>
          <w:tcPr>
            <w:tcW w:w="943" w:type="dxa"/>
          </w:tcPr>
          <w:p w:rsidR="00305726" w:rsidRPr="000D6500" w:rsidRDefault="00305726" w:rsidP="005F5D09">
            <w:pPr>
              <w:autoSpaceDE w:val="0"/>
              <w:jc w:val="center"/>
              <w:cnfStyle w:val="000000100000"/>
            </w:pPr>
            <w:r>
              <w:t>153</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EF03E1" w:rsidRDefault="00305726" w:rsidP="005F5D09">
            <w:pPr>
              <w:autoSpaceDE w:val="0"/>
              <w:jc w:val="center"/>
              <w:cnfStyle w:val="000000010000"/>
            </w:pPr>
            <w:r w:rsidRPr="00EF03E1">
              <w:t>Trofi-Mob</w:t>
            </w:r>
          </w:p>
        </w:tc>
        <w:tc>
          <w:tcPr>
            <w:tcW w:w="943" w:type="dxa"/>
          </w:tcPr>
          <w:p w:rsidR="00305726" w:rsidRPr="00EF03E1" w:rsidRDefault="00305726" w:rsidP="005F5D09">
            <w:pPr>
              <w:autoSpaceDE w:val="0"/>
              <w:jc w:val="center"/>
              <w:cnfStyle w:val="000000010000"/>
            </w:pPr>
            <w:r w:rsidRPr="00EF03E1">
              <w:t>14</w:t>
            </w:r>
          </w:p>
        </w:tc>
        <w:tc>
          <w:tcPr>
            <w:tcW w:w="2610" w:type="dxa"/>
          </w:tcPr>
          <w:p w:rsidR="00305726" w:rsidRPr="00EF03E1" w:rsidRDefault="00305726" w:rsidP="005F5D09">
            <w:pPr>
              <w:autoSpaceDE w:val="0"/>
              <w:jc w:val="center"/>
              <w:cnfStyle w:val="000000010000"/>
            </w:pPr>
            <w:r w:rsidRPr="00EF03E1">
              <w:t>mică</w:t>
            </w:r>
            <w:r w:rsidRPr="00EF03E1">
              <w:rPr>
                <w:rStyle w:val="Referinnotdesubsol"/>
              </w:rPr>
              <w:footnoteReference w:id="92"/>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18601A" w:rsidRDefault="00305726" w:rsidP="005F5D09">
            <w:pPr>
              <w:autoSpaceDE w:val="0"/>
              <w:jc w:val="center"/>
              <w:cnfStyle w:val="000000100000"/>
            </w:pPr>
            <w:r w:rsidRPr="0018601A">
              <w:t>Montana Câmpeni</w:t>
            </w:r>
          </w:p>
        </w:tc>
        <w:tc>
          <w:tcPr>
            <w:tcW w:w="943" w:type="dxa"/>
          </w:tcPr>
          <w:p w:rsidR="00305726" w:rsidRPr="0018601A" w:rsidRDefault="00305726" w:rsidP="005F5D09">
            <w:pPr>
              <w:autoSpaceDE w:val="0"/>
              <w:jc w:val="center"/>
              <w:cnfStyle w:val="000000100000"/>
            </w:pPr>
            <w:r w:rsidRPr="0018601A">
              <w:t>198</w:t>
            </w:r>
          </w:p>
        </w:tc>
        <w:tc>
          <w:tcPr>
            <w:tcW w:w="2610" w:type="dxa"/>
          </w:tcPr>
          <w:p w:rsidR="00305726" w:rsidRPr="0018601A" w:rsidRDefault="00305726" w:rsidP="005F5D09">
            <w:pPr>
              <w:autoSpaceDE w:val="0"/>
              <w:jc w:val="center"/>
              <w:cnfStyle w:val="000000100000"/>
            </w:pPr>
            <w:r w:rsidRPr="0018601A">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Sedirom</w:t>
            </w:r>
          </w:p>
        </w:tc>
        <w:tc>
          <w:tcPr>
            <w:tcW w:w="943" w:type="dxa"/>
          </w:tcPr>
          <w:p w:rsidR="00305726" w:rsidRPr="000D6500" w:rsidRDefault="00305726" w:rsidP="005F5D09">
            <w:pPr>
              <w:autoSpaceDE w:val="0"/>
              <w:jc w:val="center"/>
              <w:cnfStyle w:val="000000010000"/>
            </w:pPr>
            <w:r>
              <w:t>40</w:t>
            </w:r>
          </w:p>
        </w:tc>
        <w:tc>
          <w:tcPr>
            <w:tcW w:w="2610" w:type="dxa"/>
          </w:tcPr>
          <w:p w:rsidR="00305726" w:rsidRPr="000D6500" w:rsidRDefault="00305726" w:rsidP="005F5D09">
            <w:pPr>
              <w:autoSpaceDE w:val="0"/>
              <w:jc w:val="center"/>
              <w:cnfStyle w:val="000000010000"/>
            </w:pPr>
            <w:r w:rsidRPr="000D6500">
              <w:t>mică</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Albani Forex</w:t>
            </w:r>
          </w:p>
        </w:tc>
        <w:tc>
          <w:tcPr>
            <w:tcW w:w="943" w:type="dxa"/>
          </w:tcPr>
          <w:p w:rsidR="00305726" w:rsidRPr="000D6500" w:rsidRDefault="00305726" w:rsidP="005F5D09">
            <w:pPr>
              <w:autoSpaceDE w:val="0"/>
              <w:jc w:val="center"/>
              <w:cnfStyle w:val="000000100000"/>
            </w:pPr>
            <w:r>
              <w:t>79</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Maria Production</w:t>
            </w:r>
          </w:p>
        </w:tc>
        <w:tc>
          <w:tcPr>
            <w:tcW w:w="943" w:type="dxa"/>
          </w:tcPr>
          <w:p w:rsidR="00305726" w:rsidRPr="000D6500" w:rsidRDefault="00305726" w:rsidP="005F5D09">
            <w:pPr>
              <w:autoSpaceDE w:val="0"/>
              <w:jc w:val="center"/>
              <w:cnfStyle w:val="000000010000"/>
            </w:pPr>
            <w:r>
              <w:t>58</w:t>
            </w:r>
          </w:p>
        </w:tc>
        <w:tc>
          <w:tcPr>
            <w:tcW w:w="2610" w:type="dxa"/>
          </w:tcPr>
          <w:p w:rsidR="00305726" w:rsidRPr="000D6500" w:rsidRDefault="00305726" w:rsidP="005F5D09">
            <w:pPr>
              <w:autoSpaceDE w:val="0"/>
              <w:jc w:val="center"/>
              <w:cnfStyle w:val="000000010000"/>
            </w:pPr>
            <w:r>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NuovaRomital</w:t>
            </w:r>
          </w:p>
        </w:tc>
        <w:tc>
          <w:tcPr>
            <w:tcW w:w="943" w:type="dxa"/>
          </w:tcPr>
          <w:p w:rsidR="00305726" w:rsidRPr="000D6500" w:rsidRDefault="00305726" w:rsidP="005F5D09">
            <w:pPr>
              <w:autoSpaceDE w:val="0"/>
              <w:jc w:val="center"/>
              <w:cnfStyle w:val="000000100000"/>
            </w:pPr>
            <w:r>
              <w:t>28</w:t>
            </w:r>
          </w:p>
        </w:tc>
        <w:tc>
          <w:tcPr>
            <w:tcW w:w="2610" w:type="dxa"/>
          </w:tcPr>
          <w:p w:rsidR="00305726" w:rsidRPr="000D6500" w:rsidRDefault="00305726" w:rsidP="005F5D09">
            <w:pPr>
              <w:autoSpaceDE w:val="0"/>
              <w:jc w:val="center"/>
              <w:cnfStyle w:val="000000100000"/>
            </w:pPr>
            <w:r w:rsidRPr="000D6500">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Mobila Aiud</w:t>
            </w:r>
          </w:p>
        </w:tc>
        <w:tc>
          <w:tcPr>
            <w:tcW w:w="943" w:type="dxa"/>
          </w:tcPr>
          <w:p w:rsidR="00305726" w:rsidRPr="000D6500" w:rsidRDefault="00305726" w:rsidP="005F5D09">
            <w:pPr>
              <w:autoSpaceDE w:val="0"/>
              <w:jc w:val="center"/>
              <w:cnfStyle w:val="000000010000"/>
            </w:pPr>
            <w:r>
              <w:t>117</w:t>
            </w:r>
          </w:p>
        </w:tc>
        <w:tc>
          <w:tcPr>
            <w:tcW w:w="2610" w:type="dxa"/>
          </w:tcPr>
          <w:p w:rsidR="00305726" w:rsidRPr="000D6500" w:rsidRDefault="00305726" w:rsidP="005F5D09">
            <w:pPr>
              <w:autoSpaceDE w:val="0"/>
              <w:jc w:val="center"/>
              <w:cnfStyle w:val="000000010000"/>
            </w:pPr>
            <w:r w:rsidRPr="000D6500">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Iprodcoop</w:t>
            </w:r>
          </w:p>
        </w:tc>
        <w:tc>
          <w:tcPr>
            <w:tcW w:w="943" w:type="dxa"/>
          </w:tcPr>
          <w:p w:rsidR="00305726" w:rsidRPr="000D6500" w:rsidRDefault="00305726" w:rsidP="005F5D09">
            <w:pPr>
              <w:autoSpaceDE w:val="0"/>
              <w:jc w:val="center"/>
              <w:cnfStyle w:val="000000100000"/>
            </w:pPr>
            <w:r>
              <w:t>64</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Atero</w:t>
            </w:r>
          </w:p>
        </w:tc>
        <w:tc>
          <w:tcPr>
            <w:tcW w:w="943" w:type="dxa"/>
          </w:tcPr>
          <w:p w:rsidR="00305726" w:rsidRPr="000D6500" w:rsidRDefault="00305726" w:rsidP="005F5D09">
            <w:pPr>
              <w:autoSpaceDE w:val="0"/>
              <w:jc w:val="center"/>
              <w:cnfStyle w:val="000000010000"/>
            </w:pPr>
            <w:r>
              <w:t>201</w:t>
            </w:r>
          </w:p>
        </w:tc>
        <w:tc>
          <w:tcPr>
            <w:tcW w:w="2610" w:type="dxa"/>
          </w:tcPr>
          <w:p w:rsidR="00305726" w:rsidRPr="000D6500" w:rsidRDefault="00305726" w:rsidP="005F5D09">
            <w:pPr>
              <w:autoSpaceDE w:val="0"/>
              <w:jc w:val="center"/>
              <w:cnfStyle w:val="000000010000"/>
            </w:pPr>
            <w:r w:rsidRPr="000D6500">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HCS Phoenix</w:t>
            </w:r>
          </w:p>
        </w:tc>
        <w:tc>
          <w:tcPr>
            <w:tcW w:w="943" w:type="dxa"/>
          </w:tcPr>
          <w:p w:rsidR="00305726" w:rsidRPr="000D6500" w:rsidRDefault="00305726" w:rsidP="005F5D09">
            <w:pPr>
              <w:autoSpaceDE w:val="0"/>
              <w:jc w:val="center"/>
              <w:cnfStyle w:val="000000100000"/>
            </w:pPr>
            <w:r>
              <w:t>45</w:t>
            </w:r>
          </w:p>
        </w:tc>
        <w:tc>
          <w:tcPr>
            <w:tcW w:w="2610" w:type="dxa"/>
          </w:tcPr>
          <w:p w:rsidR="00305726" w:rsidRPr="000D6500" w:rsidRDefault="00305726" w:rsidP="005F5D09">
            <w:pPr>
              <w:autoSpaceDE w:val="0"/>
              <w:jc w:val="center"/>
              <w:cnfStyle w:val="000000100000"/>
            </w:pPr>
            <w:r>
              <w:t>mică</w:t>
            </w:r>
          </w:p>
        </w:tc>
      </w:tr>
      <w:tr w:rsidR="00305726" w:rsidTr="005F5D09">
        <w:trPr>
          <w:cnfStyle w:val="000000010000"/>
        </w:trPr>
        <w:tc>
          <w:tcPr>
            <w:cnfStyle w:val="001000000000"/>
            <w:tcW w:w="2232" w:type="dxa"/>
            <w:vMerge w:val="restart"/>
          </w:tcPr>
          <w:p w:rsidR="00305726" w:rsidRPr="000D6500" w:rsidRDefault="00305726" w:rsidP="005F5D09">
            <w:pPr>
              <w:autoSpaceDE w:val="0"/>
              <w:jc w:val="center"/>
            </w:pPr>
            <w:r w:rsidRPr="000D6500">
              <w:t>Brașov</w:t>
            </w:r>
          </w:p>
        </w:tc>
        <w:tc>
          <w:tcPr>
            <w:tcW w:w="2753" w:type="dxa"/>
          </w:tcPr>
          <w:p w:rsidR="00305726" w:rsidRPr="000D6500" w:rsidRDefault="00305726" w:rsidP="005F5D09">
            <w:pPr>
              <w:autoSpaceDE w:val="0"/>
              <w:jc w:val="center"/>
              <w:cnfStyle w:val="000000010000"/>
            </w:pPr>
            <w:r w:rsidRPr="000D6500">
              <w:t>Kalami Star</w:t>
            </w:r>
          </w:p>
        </w:tc>
        <w:tc>
          <w:tcPr>
            <w:tcW w:w="943" w:type="dxa"/>
          </w:tcPr>
          <w:p w:rsidR="00305726" w:rsidRPr="000D6500" w:rsidRDefault="00305726" w:rsidP="005F5D09">
            <w:pPr>
              <w:autoSpaceDE w:val="0"/>
              <w:jc w:val="center"/>
              <w:cnfStyle w:val="000000010000"/>
            </w:pPr>
            <w:r>
              <w:t>2</w:t>
            </w:r>
          </w:p>
        </w:tc>
        <w:tc>
          <w:tcPr>
            <w:tcW w:w="2610" w:type="dxa"/>
          </w:tcPr>
          <w:p w:rsidR="00305726" w:rsidRPr="000D6500" w:rsidRDefault="00305726" w:rsidP="005F5D09">
            <w:pPr>
              <w:autoSpaceDE w:val="0"/>
              <w:jc w:val="center"/>
              <w:cnfStyle w:val="000000010000"/>
            </w:pPr>
            <w:r w:rsidRPr="000D6500">
              <w:t>micro</w:t>
            </w:r>
            <w:r w:rsidRPr="000D6500">
              <w:rPr>
                <w:rStyle w:val="Referinnotdesubsol"/>
              </w:rPr>
              <w:footnoteReference w:id="93"/>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Norvinia</w:t>
            </w:r>
          </w:p>
        </w:tc>
        <w:tc>
          <w:tcPr>
            <w:tcW w:w="943" w:type="dxa"/>
          </w:tcPr>
          <w:p w:rsidR="00305726" w:rsidRDefault="00305726" w:rsidP="005F5D09">
            <w:pPr>
              <w:autoSpaceDE w:val="0"/>
              <w:jc w:val="center"/>
              <w:cnfStyle w:val="000000100000"/>
            </w:pPr>
            <w:r>
              <w:t>8</w:t>
            </w:r>
          </w:p>
        </w:tc>
        <w:tc>
          <w:tcPr>
            <w:tcW w:w="2610" w:type="dxa"/>
          </w:tcPr>
          <w:p w:rsidR="00305726" w:rsidRPr="000D6500" w:rsidRDefault="00305726" w:rsidP="005F5D09">
            <w:pPr>
              <w:autoSpaceDE w:val="0"/>
              <w:jc w:val="center"/>
              <w:cnfStyle w:val="000000100000"/>
            </w:pPr>
            <w:r>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Luecker&amp;Menkel</w:t>
            </w:r>
          </w:p>
        </w:tc>
        <w:tc>
          <w:tcPr>
            <w:tcW w:w="943" w:type="dxa"/>
          </w:tcPr>
          <w:p w:rsidR="00305726" w:rsidRPr="000D6500" w:rsidRDefault="00305726" w:rsidP="005F5D09">
            <w:pPr>
              <w:autoSpaceDE w:val="0"/>
              <w:jc w:val="center"/>
              <w:cnfStyle w:val="000000010000"/>
            </w:pPr>
            <w:r>
              <w:t>34</w:t>
            </w:r>
          </w:p>
        </w:tc>
        <w:tc>
          <w:tcPr>
            <w:tcW w:w="2610" w:type="dxa"/>
          </w:tcPr>
          <w:p w:rsidR="00305726" w:rsidRPr="000D6500" w:rsidRDefault="00305726" w:rsidP="005F5D09">
            <w:pPr>
              <w:autoSpaceDE w:val="0"/>
              <w:jc w:val="center"/>
              <w:cnfStyle w:val="000000010000"/>
            </w:pPr>
            <w:r>
              <w:t>mică</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Conalcri</w:t>
            </w:r>
          </w:p>
        </w:tc>
        <w:tc>
          <w:tcPr>
            <w:tcW w:w="943" w:type="dxa"/>
          </w:tcPr>
          <w:p w:rsidR="00305726" w:rsidRDefault="00305726" w:rsidP="005F5D09">
            <w:pPr>
              <w:autoSpaceDE w:val="0"/>
              <w:jc w:val="center"/>
              <w:cnfStyle w:val="000000100000"/>
            </w:pPr>
            <w:r>
              <w:t>140</w:t>
            </w:r>
          </w:p>
        </w:tc>
        <w:tc>
          <w:tcPr>
            <w:tcW w:w="2610" w:type="dxa"/>
          </w:tcPr>
          <w:p w:rsidR="00305726" w:rsidRDefault="00305726" w:rsidP="005F5D09">
            <w:pPr>
              <w:autoSpaceDE w:val="0"/>
              <w:jc w:val="center"/>
              <w:cnfStyle w:val="000000100000"/>
            </w:pPr>
            <w:r>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t>Phoenix Art</w:t>
            </w:r>
          </w:p>
        </w:tc>
        <w:tc>
          <w:tcPr>
            <w:tcW w:w="943" w:type="dxa"/>
          </w:tcPr>
          <w:p w:rsidR="00305726" w:rsidRDefault="00305726" w:rsidP="005F5D09">
            <w:pPr>
              <w:autoSpaceDE w:val="0"/>
              <w:jc w:val="center"/>
              <w:cnfStyle w:val="000000010000"/>
            </w:pPr>
            <w:r>
              <w:t>42</w:t>
            </w:r>
          </w:p>
        </w:tc>
        <w:tc>
          <w:tcPr>
            <w:tcW w:w="2610" w:type="dxa"/>
          </w:tcPr>
          <w:p w:rsidR="00305726" w:rsidRPr="000D6500" w:rsidRDefault="00305726" w:rsidP="005F5D09">
            <w:pPr>
              <w:autoSpaceDE w:val="0"/>
              <w:jc w:val="center"/>
              <w:cnfStyle w:val="000000010000"/>
            </w:pPr>
            <w:r>
              <w:t>mică</w:t>
            </w:r>
          </w:p>
        </w:tc>
      </w:tr>
      <w:tr w:rsidR="00305726" w:rsidTr="005F5D09">
        <w:trPr>
          <w:cnfStyle w:val="000000100000"/>
        </w:trPr>
        <w:tc>
          <w:tcPr>
            <w:cnfStyle w:val="001000000000"/>
            <w:tcW w:w="2232" w:type="dxa"/>
            <w:vMerge w:val="restart"/>
          </w:tcPr>
          <w:p w:rsidR="00305726" w:rsidRPr="000D6500" w:rsidRDefault="00305726" w:rsidP="005F5D09">
            <w:pPr>
              <w:autoSpaceDE w:val="0"/>
              <w:jc w:val="center"/>
            </w:pPr>
            <w:r w:rsidRPr="000D6500">
              <w:t>Covasna</w:t>
            </w:r>
          </w:p>
        </w:tc>
        <w:tc>
          <w:tcPr>
            <w:tcW w:w="2753" w:type="dxa"/>
          </w:tcPr>
          <w:p w:rsidR="00305726" w:rsidRPr="000D6500" w:rsidRDefault="00305726" w:rsidP="005F5D09">
            <w:pPr>
              <w:jc w:val="center"/>
              <w:cnfStyle w:val="000000100000"/>
              <w:rPr>
                <w:rFonts w:ascii="Calibri" w:hAnsi="Calibri"/>
                <w:bCs/>
                <w:color w:val="000000"/>
              </w:rPr>
            </w:pPr>
            <w:r w:rsidRPr="000D6500">
              <w:rPr>
                <w:rFonts w:ascii="Calibri" w:hAnsi="Calibri"/>
                <w:bCs/>
                <w:color w:val="000000"/>
              </w:rPr>
              <w:t>Mondoimpex</w:t>
            </w:r>
          </w:p>
        </w:tc>
        <w:tc>
          <w:tcPr>
            <w:tcW w:w="943" w:type="dxa"/>
          </w:tcPr>
          <w:p w:rsidR="00305726" w:rsidRPr="000D6500" w:rsidRDefault="00305726" w:rsidP="005F5D09">
            <w:pPr>
              <w:autoSpaceDE w:val="0"/>
              <w:jc w:val="center"/>
              <w:cnfStyle w:val="000000100000"/>
            </w:pPr>
            <w:r>
              <w:t>16</w:t>
            </w:r>
          </w:p>
        </w:tc>
        <w:tc>
          <w:tcPr>
            <w:tcW w:w="2610" w:type="dxa"/>
          </w:tcPr>
          <w:p w:rsidR="00305726" w:rsidRPr="000D6500" w:rsidRDefault="00305726" w:rsidP="005F5D09">
            <w:pPr>
              <w:autoSpaceDE w:val="0"/>
              <w:jc w:val="center"/>
              <w:cnfStyle w:val="000000100000"/>
            </w:pPr>
            <w:r w:rsidRPr="000D6500">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010000"/>
              <w:rPr>
                <w:rFonts w:ascii="Calibri" w:hAnsi="Calibri"/>
                <w:bCs/>
                <w:color w:val="000000"/>
              </w:rPr>
            </w:pPr>
            <w:r>
              <w:rPr>
                <w:rFonts w:ascii="Calibri" w:hAnsi="Calibri"/>
                <w:bCs/>
                <w:color w:val="000000"/>
              </w:rPr>
              <w:t>Productie Mobimpex</w:t>
            </w:r>
          </w:p>
        </w:tc>
        <w:tc>
          <w:tcPr>
            <w:tcW w:w="943" w:type="dxa"/>
          </w:tcPr>
          <w:p w:rsidR="00305726" w:rsidRPr="000D6500" w:rsidRDefault="00305726" w:rsidP="005F5D09">
            <w:pPr>
              <w:autoSpaceDE w:val="0"/>
              <w:jc w:val="center"/>
              <w:cnfStyle w:val="000000010000"/>
            </w:pPr>
            <w:r>
              <w:t>17</w:t>
            </w:r>
          </w:p>
        </w:tc>
        <w:tc>
          <w:tcPr>
            <w:tcW w:w="2610" w:type="dxa"/>
          </w:tcPr>
          <w:p w:rsidR="00305726" w:rsidRPr="000D6500" w:rsidRDefault="00305726" w:rsidP="005F5D09">
            <w:pPr>
              <w:autoSpaceDE w:val="0"/>
              <w:jc w:val="center"/>
              <w:cnfStyle w:val="000000010000"/>
            </w:pPr>
            <w:r w:rsidRPr="000D6500">
              <w:t>mică</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Default="00305726" w:rsidP="005F5D09">
            <w:pPr>
              <w:jc w:val="center"/>
              <w:cnfStyle w:val="000000100000"/>
              <w:rPr>
                <w:rFonts w:ascii="Calibri" w:hAnsi="Calibri"/>
                <w:bCs/>
                <w:color w:val="000000"/>
              </w:rPr>
            </w:pPr>
            <w:r>
              <w:rPr>
                <w:rFonts w:ascii="Calibri" w:hAnsi="Calibri"/>
                <w:bCs/>
                <w:color w:val="000000"/>
              </w:rPr>
              <w:t>IBA (dulgherie)</w:t>
            </w:r>
          </w:p>
        </w:tc>
        <w:tc>
          <w:tcPr>
            <w:tcW w:w="943" w:type="dxa"/>
          </w:tcPr>
          <w:p w:rsidR="00305726" w:rsidRDefault="00305726" w:rsidP="005F5D09">
            <w:pPr>
              <w:autoSpaceDE w:val="0"/>
              <w:jc w:val="center"/>
              <w:cnfStyle w:val="000000100000"/>
            </w:pPr>
            <w:r>
              <w:t>11</w:t>
            </w:r>
          </w:p>
        </w:tc>
        <w:tc>
          <w:tcPr>
            <w:tcW w:w="2610" w:type="dxa"/>
          </w:tcPr>
          <w:p w:rsidR="00305726" w:rsidRPr="000D6500" w:rsidRDefault="00305726" w:rsidP="005F5D09">
            <w:pPr>
              <w:autoSpaceDE w:val="0"/>
              <w:jc w:val="center"/>
              <w:cnfStyle w:val="000000100000"/>
            </w:pPr>
            <w:r w:rsidRPr="000D6500">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010000"/>
              <w:rPr>
                <w:rFonts w:ascii="Calibri" w:hAnsi="Calibri"/>
                <w:bCs/>
                <w:color w:val="000000"/>
              </w:rPr>
            </w:pPr>
            <w:r w:rsidRPr="000D6500">
              <w:rPr>
                <w:rFonts w:ascii="Calibri" w:hAnsi="Calibri"/>
                <w:bCs/>
                <w:color w:val="000000"/>
              </w:rPr>
              <w:t>ProductieFortunaforest</w:t>
            </w:r>
            <w:r>
              <w:rPr>
                <w:rFonts w:ascii="Calibri" w:hAnsi="Calibri"/>
                <w:bCs/>
                <w:color w:val="000000"/>
              </w:rPr>
              <w:t xml:space="preserve"> (dulgherie)</w:t>
            </w:r>
          </w:p>
        </w:tc>
        <w:tc>
          <w:tcPr>
            <w:tcW w:w="943" w:type="dxa"/>
          </w:tcPr>
          <w:p w:rsidR="00305726" w:rsidRPr="000D6500" w:rsidRDefault="00305726" w:rsidP="005F5D09">
            <w:pPr>
              <w:autoSpaceDE w:val="0"/>
              <w:jc w:val="center"/>
              <w:cnfStyle w:val="000000010000"/>
            </w:pPr>
            <w:r>
              <w:t>47</w:t>
            </w:r>
          </w:p>
        </w:tc>
        <w:tc>
          <w:tcPr>
            <w:tcW w:w="2610" w:type="dxa"/>
          </w:tcPr>
          <w:p w:rsidR="00305726" w:rsidRPr="000D6500" w:rsidRDefault="00305726" w:rsidP="005F5D09">
            <w:pPr>
              <w:autoSpaceDE w:val="0"/>
              <w:jc w:val="center"/>
              <w:cnfStyle w:val="000000010000"/>
            </w:pPr>
            <w:r>
              <w:t>mică</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100000"/>
              <w:rPr>
                <w:rFonts w:ascii="Calibri" w:hAnsi="Calibri"/>
                <w:bCs/>
                <w:color w:val="000000"/>
              </w:rPr>
            </w:pPr>
            <w:r>
              <w:rPr>
                <w:rFonts w:ascii="Calibri" w:hAnsi="Calibri"/>
                <w:bCs/>
                <w:color w:val="000000"/>
              </w:rPr>
              <w:t>Mobilcom (dulgherie)</w:t>
            </w:r>
          </w:p>
        </w:tc>
        <w:tc>
          <w:tcPr>
            <w:tcW w:w="943" w:type="dxa"/>
          </w:tcPr>
          <w:p w:rsidR="00305726" w:rsidRDefault="00305726" w:rsidP="005F5D09">
            <w:pPr>
              <w:autoSpaceDE w:val="0"/>
              <w:jc w:val="center"/>
              <w:cnfStyle w:val="000000100000"/>
            </w:pPr>
            <w:r>
              <w:t>128</w:t>
            </w:r>
          </w:p>
        </w:tc>
        <w:tc>
          <w:tcPr>
            <w:tcW w:w="2610" w:type="dxa"/>
          </w:tcPr>
          <w:p w:rsidR="00305726" w:rsidRPr="000D6500" w:rsidRDefault="00305726" w:rsidP="005F5D09">
            <w:pPr>
              <w:autoSpaceDE w:val="0"/>
              <w:jc w:val="center"/>
              <w:cnfStyle w:val="000000100000"/>
            </w:pPr>
            <w:r>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010000"/>
              <w:rPr>
                <w:rFonts w:ascii="Calibri" w:hAnsi="Calibri"/>
                <w:bCs/>
                <w:color w:val="000000"/>
              </w:rPr>
            </w:pPr>
            <w:r w:rsidRPr="000D6500">
              <w:rPr>
                <w:rFonts w:ascii="Calibri" w:hAnsi="Calibri"/>
                <w:bCs/>
                <w:color w:val="000000"/>
              </w:rPr>
              <w:t>Montana Trans</w:t>
            </w:r>
          </w:p>
        </w:tc>
        <w:tc>
          <w:tcPr>
            <w:tcW w:w="943" w:type="dxa"/>
          </w:tcPr>
          <w:p w:rsidR="00305726" w:rsidRPr="000D6500" w:rsidRDefault="00305726" w:rsidP="005F5D09">
            <w:pPr>
              <w:autoSpaceDE w:val="0"/>
              <w:jc w:val="center"/>
              <w:cnfStyle w:val="000000010000"/>
            </w:pPr>
            <w:r>
              <w:t>55</w:t>
            </w:r>
          </w:p>
        </w:tc>
        <w:tc>
          <w:tcPr>
            <w:tcW w:w="2610" w:type="dxa"/>
          </w:tcPr>
          <w:p w:rsidR="00305726" w:rsidRPr="000D6500" w:rsidRDefault="00305726" w:rsidP="005F5D09">
            <w:pPr>
              <w:autoSpaceDE w:val="0"/>
              <w:jc w:val="center"/>
              <w:cnfStyle w:val="000000010000"/>
            </w:pPr>
            <w:r w:rsidRPr="000D6500">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100000"/>
              <w:rPr>
                <w:rFonts w:ascii="Calibri" w:hAnsi="Calibri"/>
                <w:bCs/>
                <w:color w:val="000000"/>
              </w:rPr>
            </w:pPr>
            <w:r>
              <w:rPr>
                <w:rFonts w:ascii="Calibri" w:hAnsi="Calibri"/>
                <w:bCs/>
                <w:color w:val="000000"/>
              </w:rPr>
              <w:t>Maximo</w:t>
            </w:r>
          </w:p>
        </w:tc>
        <w:tc>
          <w:tcPr>
            <w:tcW w:w="943" w:type="dxa"/>
          </w:tcPr>
          <w:p w:rsidR="00305726" w:rsidRDefault="00305726" w:rsidP="005F5D09">
            <w:pPr>
              <w:autoSpaceDE w:val="0"/>
              <w:jc w:val="center"/>
              <w:cnfStyle w:val="000000100000"/>
            </w:pPr>
            <w:r>
              <w:t>95</w:t>
            </w:r>
          </w:p>
        </w:tc>
        <w:tc>
          <w:tcPr>
            <w:tcW w:w="2610" w:type="dxa"/>
          </w:tcPr>
          <w:p w:rsidR="00305726" w:rsidRPr="000D6500" w:rsidRDefault="00305726" w:rsidP="005F5D09">
            <w:pPr>
              <w:autoSpaceDE w:val="0"/>
              <w:jc w:val="center"/>
              <w:cnfStyle w:val="000000100000"/>
            </w:pPr>
            <w:r>
              <w:t>mijlocie</w:t>
            </w:r>
          </w:p>
        </w:tc>
      </w:tr>
      <w:tr w:rsidR="00305726" w:rsidTr="005F5D09">
        <w:trPr>
          <w:cnfStyle w:val="000000010000"/>
        </w:trPr>
        <w:tc>
          <w:tcPr>
            <w:cnfStyle w:val="001000000000"/>
            <w:tcW w:w="2232" w:type="dxa"/>
            <w:vMerge w:val="restart"/>
          </w:tcPr>
          <w:p w:rsidR="00305726" w:rsidRPr="000D6500" w:rsidRDefault="00305726" w:rsidP="005F5D09">
            <w:pPr>
              <w:autoSpaceDE w:val="0"/>
              <w:jc w:val="center"/>
            </w:pPr>
            <w:r w:rsidRPr="000D6500">
              <w:t>Harghita</w:t>
            </w:r>
          </w:p>
        </w:tc>
        <w:tc>
          <w:tcPr>
            <w:tcW w:w="2753" w:type="dxa"/>
          </w:tcPr>
          <w:p w:rsidR="00305726" w:rsidRPr="000D6500" w:rsidRDefault="00305726" w:rsidP="005F5D09">
            <w:pPr>
              <w:autoSpaceDE w:val="0"/>
              <w:jc w:val="center"/>
              <w:cnfStyle w:val="000000010000"/>
            </w:pPr>
            <w:r w:rsidRPr="000D6500">
              <w:t>Famos</w:t>
            </w:r>
          </w:p>
        </w:tc>
        <w:tc>
          <w:tcPr>
            <w:tcW w:w="943" w:type="dxa"/>
          </w:tcPr>
          <w:p w:rsidR="00305726" w:rsidRPr="000D6500" w:rsidRDefault="00305726" w:rsidP="005F5D09">
            <w:pPr>
              <w:autoSpaceDE w:val="0"/>
              <w:jc w:val="center"/>
              <w:cnfStyle w:val="000000010000"/>
            </w:pPr>
            <w:r>
              <w:t>452</w:t>
            </w:r>
          </w:p>
        </w:tc>
        <w:tc>
          <w:tcPr>
            <w:tcW w:w="2610" w:type="dxa"/>
          </w:tcPr>
          <w:p w:rsidR="00305726" w:rsidRPr="000D6500" w:rsidRDefault="00305726" w:rsidP="005F5D09">
            <w:pPr>
              <w:autoSpaceDE w:val="0"/>
              <w:jc w:val="center"/>
              <w:cnfStyle w:val="000000010000"/>
            </w:pPr>
            <w:r w:rsidRPr="000D6500">
              <w:t>mare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Iris Service Ciuc</w:t>
            </w:r>
          </w:p>
        </w:tc>
        <w:tc>
          <w:tcPr>
            <w:tcW w:w="943" w:type="dxa"/>
          </w:tcPr>
          <w:p w:rsidR="00305726" w:rsidRDefault="00305726" w:rsidP="005F5D09">
            <w:pPr>
              <w:autoSpaceDE w:val="0"/>
              <w:jc w:val="center"/>
              <w:cnfStyle w:val="000000100000"/>
            </w:pPr>
            <w:r>
              <w:t>1149</w:t>
            </w:r>
          </w:p>
        </w:tc>
        <w:tc>
          <w:tcPr>
            <w:tcW w:w="2610" w:type="dxa"/>
          </w:tcPr>
          <w:p w:rsidR="00305726" w:rsidRPr="000D6500" w:rsidRDefault="00305726" w:rsidP="005F5D09">
            <w:pPr>
              <w:autoSpaceDE w:val="0"/>
              <w:jc w:val="center"/>
              <w:cnfStyle w:val="000000100000"/>
            </w:pPr>
            <w:r>
              <w:t>mare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Default="00305726" w:rsidP="005F5D09">
            <w:pPr>
              <w:autoSpaceDE w:val="0"/>
              <w:jc w:val="center"/>
              <w:cnfStyle w:val="000000010000"/>
            </w:pPr>
            <w:r>
              <w:t>Cetate Production</w:t>
            </w:r>
          </w:p>
        </w:tc>
        <w:tc>
          <w:tcPr>
            <w:tcW w:w="943" w:type="dxa"/>
          </w:tcPr>
          <w:p w:rsidR="00305726" w:rsidRDefault="00305726" w:rsidP="005F5D09">
            <w:pPr>
              <w:autoSpaceDE w:val="0"/>
              <w:jc w:val="center"/>
              <w:cnfStyle w:val="000000010000"/>
            </w:pPr>
            <w:r>
              <w:t>161</w:t>
            </w:r>
          </w:p>
        </w:tc>
        <w:tc>
          <w:tcPr>
            <w:tcW w:w="2610" w:type="dxa"/>
          </w:tcPr>
          <w:p w:rsidR="00305726" w:rsidRDefault="00305726" w:rsidP="005F5D09">
            <w:pPr>
              <w:autoSpaceDE w:val="0"/>
              <w:jc w:val="center"/>
              <w:cnfStyle w:val="000000010000"/>
            </w:pPr>
            <w:r>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Industry Transilvan</w:t>
            </w:r>
          </w:p>
        </w:tc>
        <w:tc>
          <w:tcPr>
            <w:tcW w:w="943" w:type="dxa"/>
          </w:tcPr>
          <w:p w:rsidR="00305726" w:rsidRPr="000D6500" w:rsidRDefault="00305726" w:rsidP="005F5D09">
            <w:pPr>
              <w:autoSpaceDE w:val="0"/>
              <w:jc w:val="center"/>
              <w:cnfStyle w:val="000000100000"/>
            </w:pPr>
            <w:r>
              <w:t>191</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Zetam</w:t>
            </w:r>
          </w:p>
        </w:tc>
        <w:tc>
          <w:tcPr>
            <w:tcW w:w="943" w:type="dxa"/>
          </w:tcPr>
          <w:p w:rsidR="00305726" w:rsidRPr="000D6500" w:rsidRDefault="00305726" w:rsidP="005F5D09">
            <w:pPr>
              <w:autoSpaceDE w:val="0"/>
              <w:jc w:val="center"/>
              <w:cnfStyle w:val="000000010000"/>
            </w:pPr>
            <w:r>
              <w:t>58</w:t>
            </w:r>
          </w:p>
        </w:tc>
        <w:tc>
          <w:tcPr>
            <w:tcW w:w="2610" w:type="dxa"/>
          </w:tcPr>
          <w:p w:rsidR="00305726" w:rsidRPr="000D6500" w:rsidRDefault="00305726" w:rsidP="005F5D09">
            <w:pPr>
              <w:autoSpaceDE w:val="0"/>
              <w:jc w:val="center"/>
              <w:cnfStyle w:val="000000010000"/>
            </w:pPr>
            <w:r w:rsidRPr="000D6500">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SzelMob</w:t>
            </w:r>
          </w:p>
        </w:tc>
        <w:tc>
          <w:tcPr>
            <w:tcW w:w="943" w:type="dxa"/>
          </w:tcPr>
          <w:p w:rsidR="00305726" w:rsidRPr="000D6500" w:rsidRDefault="00305726" w:rsidP="005F5D09">
            <w:pPr>
              <w:autoSpaceDE w:val="0"/>
              <w:jc w:val="center"/>
              <w:cnfStyle w:val="000000100000"/>
            </w:pPr>
            <w:r>
              <w:t>175</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ComZoldFenyo</w:t>
            </w:r>
          </w:p>
        </w:tc>
        <w:tc>
          <w:tcPr>
            <w:tcW w:w="943" w:type="dxa"/>
          </w:tcPr>
          <w:p w:rsidR="00305726" w:rsidRPr="000D6500" w:rsidRDefault="00305726" w:rsidP="005F5D09">
            <w:pPr>
              <w:autoSpaceDE w:val="0"/>
              <w:jc w:val="center"/>
              <w:cnfStyle w:val="000000010000"/>
            </w:pPr>
            <w:r>
              <w:t>58</w:t>
            </w:r>
          </w:p>
        </w:tc>
        <w:tc>
          <w:tcPr>
            <w:tcW w:w="2610" w:type="dxa"/>
          </w:tcPr>
          <w:p w:rsidR="00305726" w:rsidRPr="000D6500" w:rsidRDefault="00305726" w:rsidP="005F5D09">
            <w:pPr>
              <w:autoSpaceDE w:val="0"/>
              <w:jc w:val="center"/>
              <w:cnfStyle w:val="000000010000"/>
            </w:pPr>
            <w:r w:rsidRPr="000D6500">
              <w:t>mi</w:t>
            </w:r>
            <w:r>
              <w:t>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Barbor</w:t>
            </w:r>
          </w:p>
        </w:tc>
        <w:tc>
          <w:tcPr>
            <w:tcW w:w="943" w:type="dxa"/>
          </w:tcPr>
          <w:p w:rsidR="00305726" w:rsidRDefault="00305726" w:rsidP="005F5D09">
            <w:pPr>
              <w:autoSpaceDE w:val="0"/>
              <w:jc w:val="center"/>
              <w:cnfStyle w:val="000000100000"/>
            </w:pPr>
            <w:r>
              <w:t>35</w:t>
            </w:r>
          </w:p>
        </w:tc>
        <w:tc>
          <w:tcPr>
            <w:tcW w:w="2610" w:type="dxa"/>
          </w:tcPr>
          <w:p w:rsidR="00305726" w:rsidRPr="000D6500" w:rsidRDefault="00305726" w:rsidP="005F5D09">
            <w:pPr>
              <w:autoSpaceDE w:val="0"/>
              <w:jc w:val="center"/>
              <w:cnfStyle w:val="000000100000"/>
            </w:pPr>
            <w:r>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010000"/>
              <w:rPr>
                <w:rFonts w:ascii="Calibri" w:hAnsi="Calibri"/>
                <w:bCs/>
                <w:color w:val="000000"/>
              </w:rPr>
            </w:pPr>
            <w:r w:rsidRPr="000D6500">
              <w:rPr>
                <w:rFonts w:ascii="Calibri" w:hAnsi="Calibri"/>
                <w:bCs/>
                <w:color w:val="000000"/>
              </w:rPr>
              <w:t>Gal Forest</w:t>
            </w:r>
            <w:r>
              <w:rPr>
                <w:rFonts w:ascii="Calibri" w:hAnsi="Calibri"/>
                <w:bCs/>
                <w:color w:val="000000"/>
              </w:rPr>
              <w:t>(dulgherie)</w:t>
            </w:r>
          </w:p>
        </w:tc>
        <w:tc>
          <w:tcPr>
            <w:tcW w:w="943" w:type="dxa"/>
          </w:tcPr>
          <w:p w:rsidR="00305726" w:rsidRPr="000D6500" w:rsidRDefault="00305726" w:rsidP="005F5D09">
            <w:pPr>
              <w:jc w:val="center"/>
              <w:cnfStyle w:val="000000010000"/>
              <w:rPr>
                <w:rFonts w:ascii="Calibri" w:hAnsi="Calibri"/>
                <w:bCs/>
                <w:color w:val="000000"/>
              </w:rPr>
            </w:pPr>
            <w:r>
              <w:rPr>
                <w:rFonts w:ascii="Calibri" w:hAnsi="Calibri"/>
                <w:bCs/>
                <w:color w:val="000000"/>
              </w:rPr>
              <w:t>68</w:t>
            </w:r>
          </w:p>
        </w:tc>
        <w:tc>
          <w:tcPr>
            <w:tcW w:w="2610" w:type="dxa"/>
          </w:tcPr>
          <w:p w:rsidR="00305726" w:rsidRPr="000D6500" w:rsidRDefault="00305726" w:rsidP="005F5D09">
            <w:pPr>
              <w:jc w:val="center"/>
              <w:cnfStyle w:val="000000010000"/>
              <w:rPr>
                <w:rFonts w:ascii="Calibri" w:hAnsi="Calibri"/>
                <w:bCs/>
                <w:color w:val="000000"/>
              </w:rPr>
            </w:pPr>
            <w:r>
              <w:rPr>
                <w:rFonts w:ascii="Calibri" w:hAnsi="Calibri"/>
                <w:bCs/>
                <w:color w:val="000000"/>
              </w:rPr>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100000"/>
              <w:rPr>
                <w:rFonts w:ascii="Calibri" w:hAnsi="Calibri"/>
                <w:bCs/>
                <w:color w:val="000000"/>
              </w:rPr>
            </w:pPr>
            <w:r>
              <w:rPr>
                <w:rFonts w:ascii="Calibri" w:hAnsi="Calibri"/>
                <w:bCs/>
                <w:color w:val="000000"/>
              </w:rPr>
              <w:t>Benati (dulgherie)</w:t>
            </w:r>
          </w:p>
        </w:tc>
        <w:tc>
          <w:tcPr>
            <w:tcW w:w="943" w:type="dxa"/>
          </w:tcPr>
          <w:p w:rsidR="00305726" w:rsidRDefault="00305726" w:rsidP="005F5D09">
            <w:pPr>
              <w:jc w:val="center"/>
              <w:cnfStyle w:val="000000100000"/>
              <w:rPr>
                <w:rFonts w:ascii="Calibri" w:hAnsi="Calibri"/>
                <w:bCs/>
                <w:color w:val="000000"/>
              </w:rPr>
            </w:pPr>
            <w:r>
              <w:rPr>
                <w:rFonts w:ascii="Calibri" w:hAnsi="Calibri"/>
                <w:bCs/>
                <w:color w:val="000000"/>
              </w:rPr>
              <w:t>67</w:t>
            </w:r>
          </w:p>
        </w:tc>
        <w:tc>
          <w:tcPr>
            <w:tcW w:w="2610" w:type="dxa"/>
          </w:tcPr>
          <w:p w:rsidR="00305726" w:rsidRPr="000D6500" w:rsidRDefault="00305726" w:rsidP="005F5D09">
            <w:pPr>
              <w:jc w:val="center"/>
              <w:cnfStyle w:val="000000100000"/>
              <w:rPr>
                <w:rFonts w:ascii="Calibri" w:hAnsi="Calibri"/>
                <w:bCs/>
                <w:color w:val="000000"/>
              </w:rPr>
            </w:pPr>
            <w:r>
              <w:rPr>
                <w:rFonts w:ascii="Calibri" w:hAnsi="Calibri"/>
                <w:bCs/>
                <w:color w:val="000000"/>
              </w:rPr>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Default="00305726" w:rsidP="005F5D09">
            <w:pPr>
              <w:jc w:val="center"/>
              <w:cnfStyle w:val="000000010000"/>
              <w:rPr>
                <w:rFonts w:ascii="Calibri" w:hAnsi="Calibri"/>
                <w:bCs/>
                <w:color w:val="000000"/>
              </w:rPr>
            </w:pPr>
            <w:r>
              <w:rPr>
                <w:rFonts w:ascii="Calibri" w:hAnsi="Calibri"/>
                <w:bCs/>
                <w:color w:val="000000"/>
              </w:rPr>
              <w:t>Tabula (lemn)</w:t>
            </w:r>
          </w:p>
        </w:tc>
        <w:tc>
          <w:tcPr>
            <w:tcW w:w="943" w:type="dxa"/>
          </w:tcPr>
          <w:p w:rsidR="00305726" w:rsidRDefault="00305726" w:rsidP="005F5D09">
            <w:pPr>
              <w:jc w:val="center"/>
              <w:cnfStyle w:val="000000010000"/>
              <w:rPr>
                <w:rFonts w:ascii="Calibri" w:hAnsi="Calibri"/>
                <w:bCs/>
                <w:color w:val="000000"/>
              </w:rPr>
            </w:pPr>
            <w:r>
              <w:rPr>
                <w:rFonts w:ascii="Calibri" w:hAnsi="Calibri"/>
                <w:bCs/>
                <w:color w:val="000000"/>
              </w:rPr>
              <w:t xml:space="preserve">106 </w:t>
            </w:r>
          </w:p>
        </w:tc>
        <w:tc>
          <w:tcPr>
            <w:tcW w:w="2610" w:type="dxa"/>
          </w:tcPr>
          <w:p w:rsidR="00305726" w:rsidRDefault="00305726" w:rsidP="005F5D09">
            <w:pPr>
              <w:jc w:val="center"/>
              <w:cnfStyle w:val="000000010000"/>
              <w:rPr>
                <w:rFonts w:ascii="Calibri" w:hAnsi="Calibri"/>
                <w:bCs/>
                <w:color w:val="000000"/>
              </w:rPr>
            </w:pPr>
            <w:r>
              <w:rPr>
                <w:rFonts w:ascii="Calibri" w:hAnsi="Calibri"/>
                <w:bCs/>
                <w:color w:val="000000"/>
              </w:rPr>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100000"/>
              <w:rPr>
                <w:rFonts w:ascii="Calibri" w:hAnsi="Calibri"/>
                <w:bCs/>
                <w:color w:val="000000"/>
              </w:rPr>
            </w:pPr>
            <w:r w:rsidRPr="000D6500">
              <w:rPr>
                <w:rFonts w:ascii="Calibri" w:hAnsi="Calibri"/>
                <w:bCs/>
                <w:color w:val="000000"/>
              </w:rPr>
              <w:t>Rozsa Fa</w:t>
            </w:r>
          </w:p>
        </w:tc>
        <w:tc>
          <w:tcPr>
            <w:tcW w:w="943" w:type="dxa"/>
          </w:tcPr>
          <w:p w:rsidR="00305726" w:rsidRPr="000D6500" w:rsidRDefault="00305726" w:rsidP="005F5D09">
            <w:pPr>
              <w:jc w:val="center"/>
              <w:cnfStyle w:val="000000100000"/>
              <w:rPr>
                <w:rFonts w:ascii="Calibri" w:hAnsi="Calibri"/>
                <w:bCs/>
                <w:color w:val="000000"/>
              </w:rPr>
            </w:pPr>
            <w:r>
              <w:rPr>
                <w:rFonts w:ascii="Calibri" w:hAnsi="Calibri"/>
                <w:bCs/>
                <w:color w:val="000000"/>
              </w:rPr>
              <w:t>20</w:t>
            </w:r>
          </w:p>
        </w:tc>
        <w:tc>
          <w:tcPr>
            <w:tcW w:w="2610" w:type="dxa"/>
          </w:tcPr>
          <w:p w:rsidR="00305726" w:rsidRPr="000D6500" w:rsidRDefault="00305726" w:rsidP="005F5D09">
            <w:pPr>
              <w:jc w:val="center"/>
              <w:cnfStyle w:val="000000100000"/>
              <w:rPr>
                <w:rFonts w:ascii="Calibri" w:hAnsi="Calibri"/>
                <w:bCs/>
                <w:color w:val="000000"/>
              </w:rPr>
            </w:pPr>
            <w:r w:rsidRPr="000D6500">
              <w:rPr>
                <w:rFonts w:ascii="Calibri" w:hAnsi="Calibri"/>
                <w:bCs/>
                <w:color w:val="000000"/>
              </w:rPr>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010000"/>
              <w:rPr>
                <w:rFonts w:ascii="Calibri" w:hAnsi="Calibri"/>
                <w:bCs/>
                <w:color w:val="000000"/>
              </w:rPr>
            </w:pPr>
            <w:r>
              <w:rPr>
                <w:rFonts w:ascii="Calibri" w:hAnsi="Calibri"/>
                <w:bCs/>
                <w:color w:val="000000"/>
              </w:rPr>
              <w:t>Ibek (dulgherie)</w:t>
            </w:r>
          </w:p>
        </w:tc>
        <w:tc>
          <w:tcPr>
            <w:tcW w:w="943" w:type="dxa"/>
          </w:tcPr>
          <w:p w:rsidR="00305726" w:rsidRDefault="00305726" w:rsidP="005F5D09">
            <w:pPr>
              <w:jc w:val="center"/>
              <w:cnfStyle w:val="000000010000"/>
              <w:rPr>
                <w:rFonts w:ascii="Calibri" w:hAnsi="Calibri"/>
                <w:bCs/>
                <w:color w:val="000000"/>
              </w:rPr>
            </w:pPr>
            <w:r>
              <w:rPr>
                <w:rFonts w:ascii="Calibri" w:hAnsi="Calibri"/>
                <w:bCs/>
                <w:color w:val="000000"/>
              </w:rPr>
              <w:t>11</w:t>
            </w:r>
          </w:p>
        </w:tc>
        <w:tc>
          <w:tcPr>
            <w:tcW w:w="2610" w:type="dxa"/>
          </w:tcPr>
          <w:p w:rsidR="00305726" w:rsidRPr="000D6500" w:rsidRDefault="00305726" w:rsidP="005F5D09">
            <w:pPr>
              <w:jc w:val="center"/>
              <w:cnfStyle w:val="000000010000"/>
              <w:rPr>
                <w:rFonts w:ascii="Calibri" w:hAnsi="Calibri"/>
                <w:bCs/>
                <w:color w:val="000000"/>
              </w:rPr>
            </w:pPr>
            <w:r>
              <w:rPr>
                <w:rFonts w:ascii="Calibri" w:hAnsi="Calibri"/>
                <w:bCs/>
                <w:color w:val="000000"/>
              </w:rPr>
              <w:t>mică</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100000"/>
              <w:rPr>
                <w:rFonts w:ascii="Calibri" w:hAnsi="Calibri"/>
                <w:bCs/>
                <w:color w:val="000000"/>
              </w:rPr>
            </w:pPr>
            <w:r w:rsidRPr="000D6500">
              <w:rPr>
                <w:rFonts w:ascii="Calibri" w:hAnsi="Calibri"/>
                <w:bCs/>
                <w:color w:val="000000"/>
              </w:rPr>
              <w:t>Prod Mob</w:t>
            </w:r>
            <w:r>
              <w:rPr>
                <w:rFonts w:ascii="Calibri" w:hAnsi="Calibri"/>
                <w:bCs/>
                <w:color w:val="000000"/>
              </w:rPr>
              <w:t xml:space="preserve"> Szabo</w:t>
            </w:r>
          </w:p>
        </w:tc>
        <w:tc>
          <w:tcPr>
            <w:tcW w:w="943" w:type="dxa"/>
          </w:tcPr>
          <w:p w:rsidR="00305726" w:rsidRPr="000D6500" w:rsidRDefault="00305726" w:rsidP="005F5D09">
            <w:pPr>
              <w:autoSpaceDE w:val="0"/>
              <w:jc w:val="center"/>
              <w:cnfStyle w:val="000000100000"/>
            </w:pPr>
            <w:r>
              <w:t>13</w:t>
            </w:r>
          </w:p>
        </w:tc>
        <w:tc>
          <w:tcPr>
            <w:tcW w:w="2610" w:type="dxa"/>
          </w:tcPr>
          <w:p w:rsidR="00305726" w:rsidRPr="000D6500" w:rsidRDefault="00305726" w:rsidP="005F5D09">
            <w:pPr>
              <w:autoSpaceDE w:val="0"/>
              <w:jc w:val="center"/>
              <w:cnfStyle w:val="000000100000"/>
            </w:pPr>
            <w:r w:rsidRPr="000D6500">
              <w:t>mică</w:t>
            </w:r>
          </w:p>
        </w:tc>
      </w:tr>
      <w:tr w:rsidR="00305726" w:rsidTr="005F5D09">
        <w:trPr>
          <w:cnfStyle w:val="000000010000"/>
        </w:trPr>
        <w:tc>
          <w:tcPr>
            <w:cnfStyle w:val="001000000000"/>
            <w:tcW w:w="2232" w:type="dxa"/>
            <w:vMerge w:val="restart"/>
          </w:tcPr>
          <w:p w:rsidR="00305726" w:rsidRPr="000D6500" w:rsidRDefault="00305726" w:rsidP="005F5D09">
            <w:pPr>
              <w:autoSpaceDE w:val="0"/>
              <w:jc w:val="center"/>
            </w:pPr>
            <w:r w:rsidRPr="000D6500">
              <w:t>Mureș</w:t>
            </w:r>
          </w:p>
        </w:tc>
        <w:tc>
          <w:tcPr>
            <w:tcW w:w="2753" w:type="dxa"/>
          </w:tcPr>
          <w:p w:rsidR="00305726" w:rsidRPr="000D6500" w:rsidRDefault="00305726" w:rsidP="005F5D09">
            <w:pPr>
              <w:autoSpaceDE w:val="0"/>
              <w:jc w:val="center"/>
              <w:cnfStyle w:val="000000010000"/>
            </w:pPr>
            <w:r w:rsidRPr="000D6500">
              <w:t>Mobila Sovata (Parisot Group)</w:t>
            </w:r>
          </w:p>
        </w:tc>
        <w:tc>
          <w:tcPr>
            <w:tcW w:w="943" w:type="dxa"/>
          </w:tcPr>
          <w:p w:rsidR="00305726" w:rsidRPr="000D6500" w:rsidRDefault="00305726" w:rsidP="005F5D09">
            <w:pPr>
              <w:autoSpaceDE w:val="0"/>
              <w:jc w:val="center"/>
              <w:cnfStyle w:val="000000010000"/>
            </w:pPr>
            <w:r>
              <w:t>550</w:t>
            </w:r>
          </w:p>
        </w:tc>
        <w:tc>
          <w:tcPr>
            <w:tcW w:w="2610" w:type="dxa"/>
          </w:tcPr>
          <w:p w:rsidR="00305726" w:rsidRPr="000D6500" w:rsidRDefault="00305726" w:rsidP="005F5D09">
            <w:pPr>
              <w:autoSpaceDE w:val="0"/>
              <w:jc w:val="center"/>
              <w:cnfStyle w:val="000000010000"/>
            </w:pPr>
            <w:r w:rsidRPr="000D6500">
              <w:t>mare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Artemob International Sovata</w:t>
            </w:r>
          </w:p>
        </w:tc>
        <w:tc>
          <w:tcPr>
            <w:tcW w:w="943" w:type="dxa"/>
          </w:tcPr>
          <w:p w:rsidR="00305726" w:rsidRDefault="00305726" w:rsidP="005F5D09">
            <w:pPr>
              <w:autoSpaceDE w:val="0"/>
              <w:jc w:val="center"/>
              <w:cnfStyle w:val="000000100000"/>
            </w:pPr>
            <w:r>
              <w:t>508</w:t>
            </w:r>
          </w:p>
        </w:tc>
        <w:tc>
          <w:tcPr>
            <w:tcW w:w="2610" w:type="dxa"/>
          </w:tcPr>
          <w:p w:rsidR="00305726" w:rsidRPr="000D6500" w:rsidRDefault="00305726" w:rsidP="005F5D09">
            <w:pPr>
              <w:autoSpaceDE w:val="0"/>
              <w:jc w:val="center"/>
              <w:cnfStyle w:val="000000100000"/>
            </w:pPr>
            <w:r w:rsidRPr="000D6500">
              <w:t>mare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Mobex</w:t>
            </w:r>
          </w:p>
        </w:tc>
        <w:tc>
          <w:tcPr>
            <w:tcW w:w="943" w:type="dxa"/>
          </w:tcPr>
          <w:p w:rsidR="00305726" w:rsidRPr="000D6500" w:rsidRDefault="00305726" w:rsidP="005F5D09">
            <w:pPr>
              <w:autoSpaceDE w:val="0"/>
              <w:jc w:val="center"/>
              <w:cnfStyle w:val="000000010000"/>
            </w:pPr>
            <w:r>
              <w:t>544</w:t>
            </w:r>
          </w:p>
        </w:tc>
        <w:tc>
          <w:tcPr>
            <w:tcW w:w="2610" w:type="dxa"/>
          </w:tcPr>
          <w:p w:rsidR="00305726" w:rsidRPr="000D6500" w:rsidRDefault="00305726" w:rsidP="005F5D09">
            <w:pPr>
              <w:autoSpaceDE w:val="0"/>
              <w:jc w:val="center"/>
              <w:cnfStyle w:val="000000010000"/>
            </w:pPr>
            <w:r w:rsidRPr="000D6500">
              <w:t>mare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Mobila Dalin</w:t>
            </w:r>
          </w:p>
        </w:tc>
        <w:tc>
          <w:tcPr>
            <w:tcW w:w="943" w:type="dxa"/>
          </w:tcPr>
          <w:p w:rsidR="00305726" w:rsidRPr="000D6500" w:rsidRDefault="00305726" w:rsidP="005F5D09">
            <w:pPr>
              <w:autoSpaceDE w:val="0"/>
              <w:jc w:val="center"/>
              <w:cnfStyle w:val="000000100000"/>
            </w:pPr>
            <w:r>
              <w:t>329</w:t>
            </w:r>
          </w:p>
        </w:tc>
        <w:tc>
          <w:tcPr>
            <w:tcW w:w="2610" w:type="dxa"/>
          </w:tcPr>
          <w:p w:rsidR="00305726" w:rsidRPr="000D6500" w:rsidRDefault="00305726" w:rsidP="005F5D09">
            <w:pPr>
              <w:autoSpaceDE w:val="0"/>
              <w:jc w:val="center"/>
              <w:cnfStyle w:val="000000100000"/>
            </w:pPr>
            <w:r w:rsidRPr="000D6500">
              <w:t>mare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Larix Mobila</w:t>
            </w:r>
          </w:p>
        </w:tc>
        <w:tc>
          <w:tcPr>
            <w:tcW w:w="943" w:type="dxa"/>
          </w:tcPr>
          <w:p w:rsidR="00305726" w:rsidRPr="000D6500" w:rsidRDefault="00305726" w:rsidP="005F5D09">
            <w:pPr>
              <w:autoSpaceDE w:val="0"/>
              <w:jc w:val="center"/>
              <w:cnfStyle w:val="000000010000"/>
            </w:pPr>
            <w:r>
              <w:t>420</w:t>
            </w:r>
          </w:p>
        </w:tc>
        <w:tc>
          <w:tcPr>
            <w:tcW w:w="2610" w:type="dxa"/>
          </w:tcPr>
          <w:p w:rsidR="00305726" w:rsidRPr="000D6500" w:rsidRDefault="00305726" w:rsidP="005F5D09">
            <w:pPr>
              <w:autoSpaceDE w:val="0"/>
              <w:jc w:val="center"/>
              <w:cnfStyle w:val="000000010000"/>
            </w:pPr>
            <w:r w:rsidRPr="000D6500">
              <w:t>mare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Oltean Prodlemn</w:t>
            </w:r>
          </w:p>
        </w:tc>
        <w:tc>
          <w:tcPr>
            <w:tcW w:w="943" w:type="dxa"/>
          </w:tcPr>
          <w:p w:rsidR="00305726" w:rsidRDefault="00305726" w:rsidP="005F5D09">
            <w:pPr>
              <w:autoSpaceDE w:val="0"/>
              <w:jc w:val="center"/>
              <w:cnfStyle w:val="000000100000"/>
            </w:pPr>
            <w:r>
              <w:t>182</w:t>
            </w:r>
          </w:p>
        </w:tc>
        <w:tc>
          <w:tcPr>
            <w:tcW w:w="2610" w:type="dxa"/>
          </w:tcPr>
          <w:p w:rsidR="00305726" w:rsidRPr="000D6500" w:rsidRDefault="00305726" w:rsidP="005F5D09">
            <w:pPr>
              <w:autoSpaceDE w:val="0"/>
              <w:jc w:val="center"/>
              <w:cnfStyle w:val="000000100000"/>
            </w:pPr>
            <w:r>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Saifamim</w:t>
            </w:r>
          </w:p>
        </w:tc>
        <w:tc>
          <w:tcPr>
            <w:tcW w:w="943" w:type="dxa"/>
          </w:tcPr>
          <w:p w:rsidR="00305726" w:rsidRPr="000D6500" w:rsidRDefault="00305726" w:rsidP="005F5D09">
            <w:pPr>
              <w:autoSpaceDE w:val="0"/>
              <w:jc w:val="center"/>
              <w:cnfStyle w:val="000000010000"/>
            </w:pPr>
            <w:r>
              <w:t>85</w:t>
            </w:r>
          </w:p>
        </w:tc>
        <w:tc>
          <w:tcPr>
            <w:tcW w:w="2610" w:type="dxa"/>
          </w:tcPr>
          <w:p w:rsidR="00305726" w:rsidRPr="000D6500" w:rsidRDefault="00305726" w:rsidP="005F5D09">
            <w:pPr>
              <w:autoSpaceDE w:val="0"/>
              <w:jc w:val="center"/>
              <w:cnfStyle w:val="000000010000"/>
            </w:pPr>
            <w:r w:rsidRPr="000D6500">
              <w:t>mijlocie</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Amis Impex</w:t>
            </w:r>
          </w:p>
        </w:tc>
        <w:tc>
          <w:tcPr>
            <w:tcW w:w="943" w:type="dxa"/>
          </w:tcPr>
          <w:p w:rsidR="00305726" w:rsidRPr="000D6500" w:rsidRDefault="00305726" w:rsidP="005F5D09">
            <w:pPr>
              <w:autoSpaceDE w:val="0"/>
              <w:jc w:val="center"/>
              <w:cnfStyle w:val="000000100000"/>
            </w:pPr>
            <w:r>
              <w:t>64</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Rowo</w:t>
            </w:r>
            <w:r>
              <w:t xml:space="preserve"> (lemn)</w:t>
            </w:r>
          </w:p>
        </w:tc>
        <w:tc>
          <w:tcPr>
            <w:tcW w:w="943" w:type="dxa"/>
          </w:tcPr>
          <w:p w:rsidR="00305726" w:rsidRPr="000D6500" w:rsidRDefault="00305726" w:rsidP="005F5D09">
            <w:pPr>
              <w:autoSpaceDE w:val="0"/>
              <w:jc w:val="center"/>
              <w:cnfStyle w:val="000000010000"/>
            </w:pPr>
            <w:r>
              <w:t>335</w:t>
            </w:r>
          </w:p>
        </w:tc>
        <w:tc>
          <w:tcPr>
            <w:tcW w:w="2610" w:type="dxa"/>
          </w:tcPr>
          <w:p w:rsidR="00305726" w:rsidRPr="000D6500" w:rsidRDefault="00305726" w:rsidP="005F5D09">
            <w:pPr>
              <w:autoSpaceDE w:val="0"/>
              <w:jc w:val="center"/>
              <w:cnfStyle w:val="000000010000"/>
            </w:pPr>
            <w:r>
              <w:t>m</w:t>
            </w:r>
            <w:r w:rsidRPr="000D6500">
              <w:t>are</w:t>
            </w:r>
            <w:r>
              <w:t xml:space="preserve"> </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Remex</w:t>
            </w:r>
          </w:p>
        </w:tc>
        <w:tc>
          <w:tcPr>
            <w:tcW w:w="943" w:type="dxa"/>
          </w:tcPr>
          <w:p w:rsidR="00305726" w:rsidRPr="000D6500" w:rsidRDefault="00305726" w:rsidP="005F5D09">
            <w:pPr>
              <w:autoSpaceDE w:val="0"/>
              <w:jc w:val="center"/>
              <w:cnfStyle w:val="000000100000"/>
            </w:pPr>
            <w:r>
              <w:t>91</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Inter Mark</w:t>
            </w:r>
            <w:r>
              <w:t xml:space="preserve"> (PAL)</w:t>
            </w:r>
          </w:p>
        </w:tc>
        <w:tc>
          <w:tcPr>
            <w:tcW w:w="943" w:type="dxa"/>
          </w:tcPr>
          <w:p w:rsidR="00305726" w:rsidRPr="000D6500" w:rsidRDefault="00305726" w:rsidP="005F5D09">
            <w:pPr>
              <w:autoSpaceDE w:val="0"/>
              <w:jc w:val="center"/>
              <w:cnfStyle w:val="000000010000"/>
            </w:pPr>
            <w:r>
              <w:t>7</w:t>
            </w:r>
          </w:p>
        </w:tc>
        <w:tc>
          <w:tcPr>
            <w:tcW w:w="2610" w:type="dxa"/>
          </w:tcPr>
          <w:p w:rsidR="00305726" w:rsidRPr="000D6500" w:rsidRDefault="00305726" w:rsidP="005F5D09">
            <w:pPr>
              <w:autoSpaceDE w:val="0"/>
              <w:jc w:val="center"/>
              <w:cnfStyle w:val="000000010000"/>
            </w:pPr>
            <w:r>
              <w:t>m</w:t>
            </w:r>
            <w:r w:rsidRPr="000D6500">
              <w:t>ică</w:t>
            </w:r>
            <w:r>
              <w:t xml:space="preserve"> </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Mobinarta</w:t>
            </w:r>
          </w:p>
        </w:tc>
        <w:tc>
          <w:tcPr>
            <w:tcW w:w="943" w:type="dxa"/>
          </w:tcPr>
          <w:p w:rsidR="00305726" w:rsidRPr="000D6500" w:rsidRDefault="00305726" w:rsidP="005F5D09">
            <w:pPr>
              <w:autoSpaceDE w:val="0"/>
              <w:jc w:val="center"/>
              <w:cnfStyle w:val="000000100000"/>
            </w:pPr>
            <w:r>
              <w:t>85</w:t>
            </w:r>
          </w:p>
        </w:tc>
        <w:tc>
          <w:tcPr>
            <w:tcW w:w="2610" w:type="dxa"/>
          </w:tcPr>
          <w:p w:rsidR="00305726" w:rsidRPr="000D6500" w:rsidRDefault="00305726" w:rsidP="005F5D09">
            <w:pPr>
              <w:autoSpaceDE w:val="0"/>
              <w:jc w:val="center"/>
              <w:cnfStyle w:val="000000100000"/>
            </w:pPr>
            <w:r w:rsidRPr="000D6500">
              <w:t>mijlocie</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F27D8E" w:rsidRDefault="00305726" w:rsidP="005F5D09">
            <w:pPr>
              <w:autoSpaceDE w:val="0"/>
              <w:jc w:val="center"/>
              <w:cnfStyle w:val="000000010000"/>
            </w:pPr>
            <w:r w:rsidRPr="00F27D8E">
              <w:t>Timural Group(mic mobilier, jucării din lemn)</w:t>
            </w:r>
          </w:p>
        </w:tc>
        <w:tc>
          <w:tcPr>
            <w:tcW w:w="943" w:type="dxa"/>
          </w:tcPr>
          <w:p w:rsidR="00305726" w:rsidRPr="00F27D8E" w:rsidRDefault="00305726" w:rsidP="005F5D09">
            <w:pPr>
              <w:autoSpaceDE w:val="0"/>
              <w:jc w:val="center"/>
              <w:cnfStyle w:val="000000010000"/>
            </w:pPr>
            <w:r w:rsidRPr="00F27D8E">
              <w:t>22</w:t>
            </w:r>
          </w:p>
        </w:tc>
        <w:tc>
          <w:tcPr>
            <w:tcW w:w="2610" w:type="dxa"/>
          </w:tcPr>
          <w:p w:rsidR="00305726" w:rsidRPr="00F27D8E" w:rsidRDefault="00305726" w:rsidP="005F5D09">
            <w:pPr>
              <w:autoSpaceDE w:val="0"/>
              <w:jc w:val="center"/>
              <w:cnfStyle w:val="000000010000"/>
            </w:pPr>
            <w:r w:rsidRPr="00F27D8E">
              <w:t xml:space="preserve">mică </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rsidRPr="000D6500">
              <w:t>Xilomob</w:t>
            </w:r>
          </w:p>
        </w:tc>
        <w:tc>
          <w:tcPr>
            <w:tcW w:w="943" w:type="dxa"/>
          </w:tcPr>
          <w:p w:rsidR="00305726" w:rsidRPr="000D6500" w:rsidRDefault="00305726" w:rsidP="005F5D09">
            <w:pPr>
              <w:autoSpaceDE w:val="0"/>
              <w:jc w:val="center"/>
              <w:cnfStyle w:val="000000100000"/>
            </w:pPr>
            <w:r>
              <w:t>25</w:t>
            </w:r>
          </w:p>
        </w:tc>
        <w:tc>
          <w:tcPr>
            <w:tcW w:w="2610" w:type="dxa"/>
          </w:tcPr>
          <w:p w:rsidR="00305726" w:rsidRPr="000D6500" w:rsidRDefault="00305726" w:rsidP="005F5D09">
            <w:pPr>
              <w:autoSpaceDE w:val="0"/>
              <w:jc w:val="center"/>
              <w:cnfStyle w:val="000000100000"/>
            </w:pPr>
            <w:r w:rsidRPr="000D6500">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010000"/>
            </w:pPr>
            <w:r w:rsidRPr="000D6500">
              <w:t>Nett Front</w:t>
            </w:r>
          </w:p>
        </w:tc>
        <w:tc>
          <w:tcPr>
            <w:tcW w:w="943" w:type="dxa"/>
          </w:tcPr>
          <w:p w:rsidR="00305726" w:rsidRPr="000D6500" w:rsidRDefault="00305726" w:rsidP="005F5D09">
            <w:pPr>
              <w:autoSpaceDE w:val="0"/>
              <w:jc w:val="center"/>
              <w:cnfStyle w:val="000000010000"/>
            </w:pPr>
            <w:r>
              <w:t>41</w:t>
            </w:r>
          </w:p>
        </w:tc>
        <w:tc>
          <w:tcPr>
            <w:tcW w:w="2610" w:type="dxa"/>
          </w:tcPr>
          <w:p w:rsidR="00305726" w:rsidRPr="000D6500" w:rsidRDefault="00305726" w:rsidP="005F5D09">
            <w:pPr>
              <w:autoSpaceDE w:val="0"/>
              <w:jc w:val="center"/>
              <w:cnfStyle w:val="000000010000"/>
            </w:pPr>
            <w:r w:rsidRPr="000D6500">
              <w:t>mică</w:t>
            </w:r>
          </w:p>
        </w:tc>
      </w:tr>
      <w:tr w:rsidR="00305726" w:rsidTr="005F5D09">
        <w:trPr>
          <w:cnfStyle w:val="000000100000"/>
        </w:trPr>
        <w:tc>
          <w:tcPr>
            <w:cnfStyle w:val="001000000000"/>
            <w:tcW w:w="2232" w:type="dxa"/>
            <w:vMerge w:val="restart"/>
          </w:tcPr>
          <w:p w:rsidR="00305726" w:rsidRPr="000D6500" w:rsidRDefault="00305726" w:rsidP="005F5D09">
            <w:pPr>
              <w:autoSpaceDE w:val="0"/>
              <w:jc w:val="center"/>
            </w:pPr>
            <w:r w:rsidRPr="000D6500">
              <w:t>Sibiu</w:t>
            </w:r>
          </w:p>
        </w:tc>
        <w:tc>
          <w:tcPr>
            <w:tcW w:w="2753" w:type="dxa"/>
          </w:tcPr>
          <w:p w:rsidR="00305726" w:rsidRPr="000D6500" w:rsidRDefault="00305726" w:rsidP="005F5D09">
            <w:pPr>
              <w:autoSpaceDE w:val="0"/>
              <w:jc w:val="center"/>
              <w:cnfStyle w:val="000000100000"/>
            </w:pPr>
            <w:r w:rsidRPr="000D6500">
              <w:t>Smeralda</w:t>
            </w:r>
          </w:p>
        </w:tc>
        <w:tc>
          <w:tcPr>
            <w:tcW w:w="943" w:type="dxa"/>
          </w:tcPr>
          <w:p w:rsidR="00305726" w:rsidRPr="000D6500" w:rsidRDefault="00305726" w:rsidP="005F5D09">
            <w:pPr>
              <w:autoSpaceDE w:val="0"/>
              <w:jc w:val="center"/>
              <w:cnfStyle w:val="000000100000"/>
            </w:pPr>
            <w:r>
              <w:t>20</w:t>
            </w:r>
          </w:p>
        </w:tc>
        <w:tc>
          <w:tcPr>
            <w:tcW w:w="2610" w:type="dxa"/>
          </w:tcPr>
          <w:p w:rsidR="00305726" w:rsidRPr="000D6500" w:rsidRDefault="00305726" w:rsidP="005F5D09">
            <w:pPr>
              <w:autoSpaceDE w:val="0"/>
              <w:jc w:val="center"/>
              <w:cnfStyle w:val="000000100000"/>
            </w:pPr>
            <w:r w:rsidRPr="000D6500">
              <w:t>mică</w:t>
            </w:r>
          </w:p>
        </w:tc>
      </w:tr>
      <w:tr w:rsidR="00305726" w:rsidTr="005F5D09">
        <w:trPr>
          <w:cnfStyle w:val="00000001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jc w:val="center"/>
              <w:cnfStyle w:val="000000010000"/>
            </w:pPr>
            <w:r w:rsidRPr="000D6500">
              <w:rPr>
                <w:rFonts w:ascii="Calibri" w:hAnsi="Calibri"/>
                <w:color w:val="000000"/>
              </w:rPr>
              <w:t>Peresta International</w:t>
            </w:r>
          </w:p>
        </w:tc>
        <w:tc>
          <w:tcPr>
            <w:tcW w:w="943" w:type="dxa"/>
          </w:tcPr>
          <w:p w:rsidR="00305726" w:rsidRPr="000D6500" w:rsidRDefault="00305726" w:rsidP="005F5D09">
            <w:pPr>
              <w:autoSpaceDE w:val="0"/>
              <w:jc w:val="center"/>
              <w:cnfStyle w:val="000000010000"/>
            </w:pPr>
            <w:r>
              <w:t>22</w:t>
            </w:r>
          </w:p>
        </w:tc>
        <w:tc>
          <w:tcPr>
            <w:tcW w:w="2610" w:type="dxa"/>
          </w:tcPr>
          <w:p w:rsidR="00305726" w:rsidRPr="000D6500" w:rsidRDefault="00305726" w:rsidP="005F5D09">
            <w:pPr>
              <w:autoSpaceDE w:val="0"/>
              <w:jc w:val="center"/>
              <w:cnfStyle w:val="000000010000"/>
            </w:pPr>
            <w:r w:rsidRPr="000D6500">
              <w:t>mică</w:t>
            </w:r>
          </w:p>
        </w:tc>
      </w:tr>
      <w:tr w:rsidR="00305726" w:rsidTr="005F5D09">
        <w:trPr>
          <w:cnfStyle w:val="000000100000"/>
        </w:trPr>
        <w:tc>
          <w:tcPr>
            <w:cnfStyle w:val="001000000000"/>
            <w:tcW w:w="2232" w:type="dxa"/>
            <w:vMerge/>
          </w:tcPr>
          <w:p w:rsidR="00305726" w:rsidRPr="000D6500" w:rsidRDefault="00305726" w:rsidP="005F5D09">
            <w:pPr>
              <w:autoSpaceDE w:val="0"/>
              <w:jc w:val="center"/>
            </w:pPr>
          </w:p>
        </w:tc>
        <w:tc>
          <w:tcPr>
            <w:tcW w:w="2753" w:type="dxa"/>
          </w:tcPr>
          <w:p w:rsidR="00305726" w:rsidRPr="000D6500" w:rsidRDefault="00305726" w:rsidP="005F5D09">
            <w:pPr>
              <w:autoSpaceDE w:val="0"/>
              <w:jc w:val="center"/>
              <w:cnfStyle w:val="000000100000"/>
            </w:pPr>
            <w:r>
              <w:t>Sibel Impex</w:t>
            </w:r>
          </w:p>
        </w:tc>
        <w:tc>
          <w:tcPr>
            <w:tcW w:w="943" w:type="dxa"/>
          </w:tcPr>
          <w:p w:rsidR="00305726" w:rsidRPr="000D6500" w:rsidRDefault="00305726" w:rsidP="005F5D09">
            <w:pPr>
              <w:autoSpaceDE w:val="0"/>
              <w:jc w:val="center"/>
              <w:cnfStyle w:val="000000100000"/>
            </w:pPr>
            <w:r>
              <w:t>17</w:t>
            </w:r>
          </w:p>
        </w:tc>
        <w:tc>
          <w:tcPr>
            <w:tcW w:w="2610" w:type="dxa"/>
          </w:tcPr>
          <w:p w:rsidR="00305726" w:rsidRPr="000D6500" w:rsidRDefault="00305726" w:rsidP="005F5D09">
            <w:pPr>
              <w:autoSpaceDE w:val="0"/>
              <w:jc w:val="center"/>
              <w:cnfStyle w:val="000000100000"/>
            </w:pPr>
            <w:r w:rsidRPr="000D6500">
              <w:t>mică</w:t>
            </w:r>
          </w:p>
        </w:tc>
      </w:tr>
    </w:tbl>
    <w:p w:rsidR="00305726" w:rsidRDefault="00305726" w:rsidP="00305726">
      <w:pPr>
        <w:autoSpaceDE w:val="0"/>
        <w:spacing w:after="0"/>
        <w:rPr>
          <w:b/>
        </w:rPr>
      </w:pPr>
      <w:r>
        <w:rPr>
          <w:b/>
        </w:rPr>
        <w:tab/>
        <w:t xml:space="preserve">Sursa: </w:t>
      </w:r>
      <w:r w:rsidRPr="00C6010F">
        <w:t>ANAF</w:t>
      </w:r>
    </w:p>
    <w:p w:rsidR="00305726" w:rsidRDefault="00305726" w:rsidP="00305726">
      <w:pPr>
        <w:autoSpaceDE w:val="0"/>
        <w:spacing w:after="0"/>
        <w:jc w:val="center"/>
        <w:rPr>
          <w:b/>
        </w:rPr>
      </w:pPr>
    </w:p>
    <w:p w:rsidR="00305726" w:rsidRPr="004B17D7" w:rsidRDefault="00305726" w:rsidP="00305726">
      <w:pPr>
        <w:spacing w:after="0"/>
        <w:ind w:right="-19"/>
        <w:jc w:val="both"/>
        <w:rPr>
          <w:rFonts w:cs="Arial"/>
          <w:sz w:val="24"/>
          <w:szCs w:val="24"/>
          <w:lang w:eastAsia="ar-SA"/>
        </w:rPr>
      </w:pPr>
      <w:r w:rsidRPr="00666C29">
        <w:rPr>
          <w:rFonts w:cs="Arial"/>
          <w:b/>
          <w:sz w:val="24"/>
          <w:szCs w:val="24"/>
          <w:lang w:eastAsia="ar-SA"/>
        </w:rPr>
        <w:t>Un subdomeniu</w:t>
      </w:r>
      <w:r w:rsidRPr="004B17D7">
        <w:rPr>
          <w:rFonts w:cs="Arial"/>
          <w:sz w:val="24"/>
          <w:szCs w:val="24"/>
          <w:lang w:eastAsia="ar-SA"/>
        </w:rPr>
        <w:t xml:space="preserve"> în care Regiunea Centru deține un cert avantaj este cel al </w:t>
      </w:r>
      <w:r w:rsidRPr="00666C29">
        <w:rPr>
          <w:rFonts w:cs="Arial"/>
          <w:b/>
          <w:sz w:val="24"/>
          <w:szCs w:val="24"/>
          <w:lang w:eastAsia="ar-SA"/>
        </w:rPr>
        <w:t>instrumentelor muzicale din lemn</w:t>
      </w:r>
      <w:r>
        <w:rPr>
          <w:rFonts w:cs="Arial"/>
          <w:sz w:val="24"/>
          <w:szCs w:val="24"/>
          <w:lang w:eastAsia="ar-SA"/>
        </w:rPr>
        <w:t xml:space="preserve"> (CAEN 3220)</w:t>
      </w:r>
      <w:r w:rsidRPr="004B17D7">
        <w:rPr>
          <w:rFonts w:cs="Arial"/>
          <w:sz w:val="24"/>
          <w:szCs w:val="24"/>
          <w:lang w:eastAsia="ar-SA"/>
        </w:rPr>
        <w:t xml:space="preserve">. În județul Mureș, în </w:t>
      </w:r>
      <w:r>
        <w:rPr>
          <w:rFonts w:cs="Arial"/>
          <w:sz w:val="24"/>
          <w:szCs w:val="24"/>
          <w:lang w:eastAsia="ar-SA"/>
        </w:rPr>
        <w:t xml:space="preserve">zona </w:t>
      </w:r>
      <w:r w:rsidRPr="004B17D7">
        <w:rPr>
          <w:rFonts w:cs="Arial"/>
          <w:sz w:val="24"/>
          <w:szCs w:val="24"/>
          <w:lang w:eastAsia="ar-SA"/>
        </w:rPr>
        <w:t>municipiul</w:t>
      </w:r>
      <w:r>
        <w:rPr>
          <w:rFonts w:cs="Arial"/>
          <w:sz w:val="24"/>
          <w:szCs w:val="24"/>
          <w:lang w:eastAsia="ar-SA"/>
        </w:rPr>
        <w:t>ui</w:t>
      </w:r>
      <w:r w:rsidRPr="004B17D7">
        <w:rPr>
          <w:rFonts w:cs="Arial"/>
          <w:sz w:val="24"/>
          <w:szCs w:val="24"/>
          <w:lang w:eastAsia="ar-SA"/>
        </w:rPr>
        <w:t xml:space="preserve"> Reghin</w:t>
      </w:r>
      <w:r>
        <w:rPr>
          <w:rFonts w:cs="Arial"/>
          <w:sz w:val="24"/>
          <w:szCs w:val="24"/>
          <w:lang w:eastAsia="ar-SA"/>
        </w:rPr>
        <w:t>,</w:t>
      </w:r>
      <w:r w:rsidRPr="004B17D7">
        <w:rPr>
          <w:rFonts w:cs="Arial"/>
          <w:sz w:val="24"/>
          <w:szCs w:val="24"/>
          <w:lang w:eastAsia="ar-SA"/>
        </w:rPr>
        <w:t xml:space="preserve"> se conturează deja o grupare de firme specializate în domeniul fabricării instrumentelor muzicale (în total, cca 600 salariați lucrează în acest domeniu de nișă), însă firme mici producătoare de instrumente muzicale funcționează și în alte județe ale Regiunii Centru (ex. Brașov)</w:t>
      </w:r>
      <w:r>
        <w:rPr>
          <w:rFonts w:cs="Arial"/>
          <w:sz w:val="24"/>
          <w:szCs w:val="24"/>
          <w:lang w:eastAsia="ar-SA"/>
        </w:rPr>
        <w:t xml:space="preserve">. </w:t>
      </w:r>
    </w:p>
    <w:p w:rsidR="00305726" w:rsidRPr="00CB6EA9" w:rsidRDefault="00305726" w:rsidP="00305726">
      <w:pPr>
        <w:pStyle w:val="Titlu2"/>
        <w:rPr>
          <w:color w:val="336699"/>
          <w:sz w:val="24"/>
          <w:szCs w:val="24"/>
        </w:rPr>
      </w:pPr>
      <w:r w:rsidRPr="00CB6EA9">
        <w:rPr>
          <w:color w:val="336699"/>
          <w:sz w:val="24"/>
          <w:szCs w:val="24"/>
        </w:rPr>
        <w:t xml:space="preserve">Exporturile regionale  </w:t>
      </w:r>
    </w:p>
    <w:p w:rsidR="00305726" w:rsidRPr="004863A9" w:rsidRDefault="00305726" w:rsidP="00305726">
      <w:pPr>
        <w:autoSpaceDE w:val="0"/>
        <w:spacing w:after="0"/>
        <w:jc w:val="both"/>
        <w:rPr>
          <w:sz w:val="24"/>
          <w:szCs w:val="24"/>
        </w:rPr>
      </w:pPr>
      <w:r w:rsidRPr="006B61EC">
        <w:rPr>
          <w:sz w:val="24"/>
          <w:szCs w:val="24"/>
        </w:rPr>
        <w:t xml:space="preserve">Exporturile </w:t>
      </w:r>
      <w:r w:rsidRPr="003F2ABA">
        <w:rPr>
          <w:sz w:val="24"/>
          <w:szCs w:val="24"/>
        </w:rPr>
        <w:t xml:space="preserve">de lemn prelucrat și de mobilier la nivel regional în 2015 au însumat </w:t>
      </w:r>
      <w:r w:rsidRPr="006B61EC">
        <w:rPr>
          <w:b/>
          <w:sz w:val="24"/>
          <w:szCs w:val="24"/>
        </w:rPr>
        <w:t>1,07  miliarde euro, r</w:t>
      </w:r>
      <w:r w:rsidRPr="003F2ABA">
        <w:rPr>
          <w:b/>
          <w:sz w:val="24"/>
          <w:szCs w:val="24"/>
        </w:rPr>
        <w:t>eprezentând 14,1% din totalul exporturilor regionale</w:t>
      </w:r>
      <w:r w:rsidRPr="003F2ABA">
        <w:rPr>
          <w:sz w:val="24"/>
          <w:szCs w:val="24"/>
        </w:rPr>
        <w:t xml:space="preserve"> comparativ cu 7,3% la nivel național. În județul Alba cele 2 grupe de mărfuri dețin peste 47% din totalul exporturilor județene, iar în județul Harghita aproape 32%. </w:t>
      </w:r>
      <w:r>
        <w:rPr>
          <w:sz w:val="24"/>
          <w:szCs w:val="24"/>
        </w:rPr>
        <w:t>Repartizarea între cele două grupe de mărfuri este dezechilibrată, în</w:t>
      </w:r>
      <w:r w:rsidRPr="003F2ABA">
        <w:rPr>
          <w:sz w:val="24"/>
          <w:szCs w:val="24"/>
        </w:rPr>
        <w:t xml:space="preserve"> 2015</w:t>
      </w:r>
      <w:r>
        <w:rPr>
          <w:sz w:val="24"/>
          <w:szCs w:val="24"/>
        </w:rPr>
        <w:t>,</w:t>
      </w:r>
      <w:r w:rsidRPr="003F2ABA">
        <w:rPr>
          <w:sz w:val="24"/>
          <w:szCs w:val="24"/>
        </w:rPr>
        <w:t xml:space="preserve"> grupa produselor din lemn (exclusiv mobilă), reprezenta peste 70% din exportul cumulat la nivel regional pe cele 2 grupe majore de mărfuri</w:t>
      </w:r>
      <w:r>
        <w:rPr>
          <w:sz w:val="24"/>
          <w:szCs w:val="24"/>
        </w:rPr>
        <w:t xml:space="preserve">, iar în județul Alba valoarea exporturilor de produse din lemn depășește de 10 ori valoarea exporturilor județene de mobilă. Aceste date statistice arată </w:t>
      </w:r>
      <w:r w:rsidRPr="004863A9">
        <w:rPr>
          <w:sz w:val="24"/>
          <w:szCs w:val="24"/>
        </w:rPr>
        <w:t xml:space="preserve">că ponderea produselor cu un grad înalt de prelucrare și cu o valoare adăugată mare, încă redusă, va </w:t>
      </w:r>
      <w:r w:rsidRPr="004863A9">
        <w:rPr>
          <w:sz w:val="24"/>
          <w:szCs w:val="24"/>
        </w:rPr>
        <w:lastRenderedPageBreak/>
        <w:t>trebui să crească în perioada următoare pentru a face din sectorul lemnului un vector al dezvoltării inteligente.</w:t>
      </w:r>
    </w:p>
    <w:p w:rsidR="00305726" w:rsidRPr="000F394B" w:rsidRDefault="00305726" w:rsidP="00305726">
      <w:pPr>
        <w:autoSpaceDE w:val="0"/>
        <w:spacing w:after="0"/>
        <w:jc w:val="center"/>
        <w:rPr>
          <w:b/>
          <w:sz w:val="24"/>
          <w:szCs w:val="24"/>
        </w:rPr>
      </w:pPr>
      <w:r w:rsidRPr="000F394B">
        <w:rPr>
          <w:b/>
          <w:sz w:val="24"/>
          <w:szCs w:val="24"/>
        </w:rPr>
        <w:t>Tab. 6 Valoarea exporturilor de produse din lemn și de mobilier în anul 2015</w:t>
      </w:r>
    </w:p>
    <w:p w:rsidR="00305726" w:rsidRPr="000F394B" w:rsidRDefault="00305726" w:rsidP="00305726">
      <w:pPr>
        <w:pStyle w:val="Listparagraf"/>
        <w:tabs>
          <w:tab w:val="left" w:pos="1886"/>
          <w:tab w:val="left" w:pos="6210"/>
        </w:tabs>
        <w:autoSpaceDE w:val="0"/>
        <w:spacing w:after="0"/>
        <w:ind w:left="6552" w:right="-18"/>
        <w:jc w:val="right"/>
      </w:pPr>
      <w:r w:rsidRPr="000F394B">
        <w:t>-Mii euro-</w:t>
      </w:r>
    </w:p>
    <w:tbl>
      <w:tblPr>
        <w:tblStyle w:val="Umbriremedie1-Accentuare3"/>
        <w:tblW w:w="9711" w:type="dxa"/>
        <w:tblLook w:val="04A0"/>
      </w:tblPr>
      <w:tblGrid>
        <w:gridCol w:w="1580"/>
        <w:gridCol w:w="1078"/>
        <w:gridCol w:w="1051"/>
        <w:gridCol w:w="997"/>
        <w:gridCol w:w="997"/>
        <w:gridCol w:w="1017"/>
        <w:gridCol w:w="1026"/>
        <w:gridCol w:w="968"/>
        <w:gridCol w:w="997"/>
      </w:tblGrid>
      <w:tr w:rsidR="00305726" w:rsidRPr="000F394B" w:rsidTr="005F5D09">
        <w:trPr>
          <w:cnfStyle w:val="100000000000"/>
        </w:trPr>
        <w:tc>
          <w:tcPr>
            <w:cnfStyle w:val="001000000000"/>
            <w:tcW w:w="1580" w:type="dxa"/>
          </w:tcPr>
          <w:p w:rsidR="00305726" w:rsidRPr="000F394B" w:rsidRDefault="00305726" w:rsidP="005F5D09">
            <w:pPr>
              <w:autoSpaceDE w:val="0"/>
              <w:spacing w:line="276" w:lineRule="auto"/>
              <w:jc w:val="center"/>
              <w:rPr>
                <w:sz w:val="20"/>
                <w:szCs w:val="20"/>
              </w:rPr>
            </w:pPr>
          </w:p>
        </w:tc>
        <w:tc>
          <w:tcPr>
            <w:tcW w:w="1078" w:type="dxa"/>
          </w:tcPr>
          <w:p w:rsidR="00305726" w:rsidRPr="000F394B" w:rsidRDefault="00305726" w:rsidP="005F5D09">
            <w:pPr>
              <w:autoSpaceDE w:val="0"/>
              <w:jc w:val="center"/>
              <w:cnfStyle w:val="100000000000"/>
              <w:rPr>
                <w:b w:val="0"/>
                <w:sz w:val="20"/>
                <w:szCs w:val="20"/>
              </w:rPr>
            </w:pPr>
            <w:r w:rsidRPr="000F394B">
              <w:rPr>
                <w:sz w:val="20"/>
                <w:szCs w:val="20"/>
              </w:rPr>
              <w:t>România</w:t>
            </w:r>
          </w:p>
        </w:tc>
        <w:tc>
          <w:tcPr>
            <w:tcW w:w="1051"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Regiunea Centru</w:t>
            </w:r>
          </w:p>
        </w:tc>
        <w:tc>
          <w:tcPr>
            <w:tcW w:w="997"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Alba</w:t>
            </w:r>
          </w:p>
        </w:tc>
        <w:tc>
          <w:tcPr>
            <w:tcW w:w="997"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Brașov</w:t>
            </w:r>
          </w:p>
        </w:tc>
        <w:tc>
          <w:tcPr>
            <w:tcW w:w="1017"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Covasna</w:t>
            </w:r>
          </w:p>
        </w:tc>
        <w:tc>
          <w:tcPr>
            <w:tcW w:w="1026"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Harghita</w:t>
            </w:r>
          </w:p>
        </w:tc>
        <w:tc>
          <w:tcPr>
            <w:tcW w:w="968"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Mureș</w:t>
            </w:r>
          </w:p>
        </w:tc>
        <w:tc>
          <w:tcPr>
            <w:tcW w:w="997"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Sibiu</w:t>
            </w:r>
          </w:p>
        </w:tc>
      </w:tr>
      <w:tr w:rsidR="00305726" w:rsidRPr="000F394B" w:rsidTr="005F5D09">
        <w:trPr>
          <w:cnfStyle w:val="000000100000"/>
        </w:trPr>
        <w:tc>
          <w:tcPr>
            <w:cnfStyle w:val="001000000000"/>
            <w:tcW w:w="1580" w:type="dxa"/>
          </w:tcPr>
          <w:p w:rsidR="00305726" w:rsidRPr="00666C29" w:rsidRDefault="00305726" w:rsidP="005F5D09">
            <w:pPr>
              <w:autoSpaceDE w:val="0"/>
              <w:spacing w:line="276" w:lineRule="auto"/>
            </w:pPr>
            <w:r w:rsidRPr="00666C29">
              <w:t>Total produse din lemn și mobilă</w:t>
            </w:r>
          </w:p>
        </w:tc>
        <w:tc>
          <w:tcPr>
            <w:tcW w:w="1078" w:type="dxa"/>
          </w:tcPr>
          <w:p w:rsidR="00305726" w:rsidRDefault="00305726" w:rsidP="005F5D09">
            <w:pPr>
              <w:jc w:val="right"/>
              <w:cnfStyle w:val="000000100000"/>
              <w:rPr>
                <w:rFonts w:ascii="Calibri" w:hAnsi="Calibri"/>
                <w:color w:val="000000"/>
              </w:rPr>
            </w:pPr>
            <w:r>
              <w:rPr>
                <w:rFonts w:ascii="Calibri" w:hAnsi="Calibri"/>
                <w:color w:val="000000"/>
              </w:rPr>
              <w:t>4004237</w:t>
            </w:r>
          </w:p>
        </w:tc>
        <w:tc>
          <w:tcPr>
            <w:tcW w:w="1051" w:type="dxa"/>
          </w:tcPr>
          <w:p w:rsidR="00305726" w:rsidRDefault="00305726" w:rsidP="005F5D09">
            <w:pPr>
              <w:jc w:val="right"/>
              <w:cnfStyle w:val="000000100000"/>
              <w:rPr>
                <w:rFonts w:ascii="Calibri" w:hAnsi="Calibri"/>
                <w:color w:val="000000"/>
              </w:rPr>
            </w:pPr>
            <w:r>
              <w:rPr>
                <w:rFonts w:ascii="Calibri" w:hAnsi="Calibri"/>
                <w:color w:val="000000"/>
              </w:rPr>
              <w:t>1079410</w:t>
            </w:r>
          </w:p>
        </w:tc>
        <w:tc>
          <w:tcPr>
            <w:tcW w:w="997" w:type="dxa"/>
          </w:tcPr>
          <w:p w:rsidR="00305726" w:rsidRDefault="00305726" w:rsidP="005F5D09">
            <w:pPr>
              <w:jc w:val="right"/>
              <w:cnfStyle w:val="000000100000"/>
              <w:rPr>
                <w:rFonts w:ascii="Calibri" w:hAnsi="Calibri"/>
                <w:color w:val="000000"/>
              </w:rPr>
            </w:pPr>
            <w:r>
              <w:rPr>
                <w:rFonts w:ascii="Calibri" w:hAnsi="Calibri"/>
                <w:color w:val="000000"/>
              </w:rPr>
              <w:t>485344</w:t>
            </w:r>
          </w:p>
        </w:tc>
        <w:tc>
          <w:tcPr>
            <w:tcW w:w="997" w:type="dxa"/>
          </w:tcPr>
          <w:p w:rsidR="00305726" w:rsidRDefault="00305726" w:rsidP="005F5D09">
            <w:pPr>
              <w:jc w:val="right"/>
              <w:cnfStyle w:val="000000100000"/>
              <w:rPr>
                <w:rFonts w:ascii="Calibri" w:hAnsi="Calibri"/>
                <w:color w:val="000000"/>
              </w:rPr>
            </w:pPr>
            <w:r>
              <w:rPr>
                <w:rFonts w:ascii="Calibri" w:hAnsi="Calibri"/>
                <w:color w:val="000000"/>
              </w:rPr>
              <w:t>177369</w:t>
            </w:r>
          </w:p>
        </w:tc>
        <w:tc>
          <w:tcPr>
            <w:tcW w:w="1017" w:type="dxa"/>
          </w:tcPr>
          <w:p w:rsidR="00305726" w:rsidRDefault="00305726" w:rsidP="005F5D09">
            <w:pPr>
              <w:jc w:val="right"/>
              <w:cnfStyle w:val="000000100000"/>
              <w:rPr>
                <w:rFonts w:ascii="Calibri" w:hAnsi="Calibri"/>
                <w:color w:val="000000"/>
              </w:rPr>
            </w:pPr>
            <w:r>
              <w:rPr>
                <w:rFonts w:ascii="Calibri" w:hAnsi="Calibri"/>
                <w:color w:val="000000"/>
              </w:rPr>
              <w:t>22623</w:t>
            </w:r>
          </w:p>
        </w:tc>
        <w:tc>
          <w:tcPr>
            <w:tcW w:w="1026" w:type="dxa"/>
          </w:tcPr>
          <w:p w:rsidR="00305726" w:rsidRDefault="00305726" w:rsidP="005F5D09">
            <w:pPr>
              <w:jc w:val="right"/>
              <w:cnfStyle w:val="000000100000"/>
              <w:rPr>
                <w:rFonts w:ascii="Calibri" w:hAnsi="Calibri"/>
                <w:color w:val="000000"/>
              </w:rPr>
            </w:pPr>
            <w:r>
              <w:rPr>
                <w:rFonts w:ascii="Calibri" w:hAnsi="Calibri"/>
                <w:color w:val="000000"/>
              </w:rPr>
              <w:t>96924</w:t>
            </w:r>
          </w:p>
        </w:tc>
        <w:tc>
          <w:tcPr>
            <w:tcW w:w="968" w:type="dxa"/>
          </w:tcPr>
          <w:p w:rsidR="00305726" w:rsidRDefault="00305726" w:rsidP="005F5D09">
            <w:pPr>
              <w:jc w:val="right"/>
              <w:cnfStyle w:val="000000100000"/>
              <w:rPr>
                <w:rFonts w:ascii="Calibri" w:hAnsi="Calibri"/>
                <w:color w:val="000000"/>
              </w:rPr>
            </w:pPr>
            <w:r>
              <w:rPr>
                <w:rFonts w:ascii="Calibri" w:hAnsi="Calibri"/>
                <w:color w:val="000000"/>
              </w:rPr>
              <w:t>175025</w:t>
            </w:r>
          </w:p>
        </w:tc>
        <w:tc>
          <w:tcPr>
            <w:tcW w:w="997" w:type="dxa"/>
          </w:tcPr>
          <w:p w:rsidR="00305726" w:rsidRDefault="00305726" w:rsidP="005F5D09">
            <w:pPr>
              <w:jc w:val="right"/>
              <w:cnfStyle w:val="000000100000"/>
              <w:rPr>
                <w:rFonts w:ascii="Calibri" w:hAnsi="Calibri"/>
                <w:color w:val="000000"/>
              </w:rPr>
            </w:pPr>
            <w:r>
              <w:rPr>
                <w:rFonts w:ascii="Calibri" w:hAnsi="Calibri"/>
                <w:color w:val="000000"/>
              </w:rPr>
              <w:t>122125</w:t>
            </w:r>
          </w:p>
        </w:tc>
      </w:tr>
      <w:tr w:rsidR="00305726" w:rsidRPr="000F394B" w:rsidTr="005F5D09">
        <w:trPr>
          <w:cnfStyle w:val="000000010000"/>
        </w:trPr>
        <w:tc>
          <w:tcPr>
            <w:cnfStyle w:val="001000000000"/>
            <w:tcW w:w="1580" w:type="dxa"/>
          </w:tcPr>
          <w:p w:rsidR="00305726" w:rsidRPr="00666C29" w:rsidRDefault="00305726" w:rsidP="005F5D09">
            <w:pPr>
              <w:autoSpaceDE w:val="0"/>
              <w:spacing w:line="276" w:lineRule="auto"/>
            </w:pPr>
            <w:r w:rsidRPr="00666C29">
              <w:t>Produse din lemn</w:t>
            </w:r>
          </w:p>
        </w:tc>
        <w:tc>
          <w:tcPr>
            <w:tcW w:w="1078" w:type="dxa"/>
          </w:tcPr>
          <w:p w:rsidR="00305726" w:rsidRPr="000F394B" w:rsidRDefault="00305726" w:rsidP="005F5D09">
            <w:pPr>
              <w:jc w:val="right"/>
              <w:cnfStyle w:val="000000010000"/>
              <w:rPr>
                <w:rFonts w:ascii="Calibri" w:hAnsi="Calibri"/>
              </w:rPr>
            </w:pPr>
            <w:r w:rsidRPr="000F394B">
              <w:rPr>
                <w:rFonts w:ascii="Calibri" w:hAnsi="Calibri"/>
              </w:rPr>
              <w:t>1802876</w:t>
            </w:r>
          </w:p>
        </w:tc>
        <w:tc>
          <w:tcPr>
            <w:tcW w:w="1051" w:type="dxa"/>
          </w:tcPr>
          <w:p w:rsidR="00305726" w:rsidRPr="000F394B" w:rsidRDefault="00305726" w:rsidP="005F5D09">
            <w:pPr>
              <w:jc w:val="right"/>
              <w:cnfStyle w:val="000000010000"/>
              <w:rPr>
                <w:rFonts w:ascii="Calibri" w:hAnsi="Calibri"/>
              </w:rPr>
            </w:pPr>
            <w:r w:rsidRPr="000F394B">
              <w:rPr>
                <w:rFonts w:ascii="Calibri" w:hAnsi="Calibri"/>
              </w:rPr>
              <w:t>770840</w:t>
            </w:r>
          </w:p>
        </w:tc>
        <w:tc>
          <w:tcPr>
            <w:tcW w:w="997" w:type="dxa"/>
          </w:tcPr>
          <w:p w:rsidR="00305726" w:rsidRPr="000F394B" w:rsidRDefault="00305726" w:rsidP="005F5D09">
            <w:pPr>
              <w:jc w:val="right"/>
              <w:cnfStyle w:val="000000010000"/>
              <w:rPr>
                <w:rFonts w:ascii="Calibri" w:hAnsi="Calibri"/>
              </w:rPr>
            </w:pPr>
            <w:r w:rsidRPr="000F394B">
              <w:rPr>
                <w:rFonts w:ascii="Calibri" w:hAnsi="Calibri"/>
              </w:rPr>
              <w:t>442036</w:t>
            </w:r>
          </w:p>
        </w:tc>
        <w:tc>
          <w:tcPr>
            <w:tcW w:w="997" w:type="dxa"/>
          </w:tcPr>
          <w:p w:rsidR="00305726" w:rsidRPr="000F394B" w:rsidRDefault="00305726" w:rsidP="005F5D09">
            <w:pPr>
              <w:jc w:val="right"/>
              <w:cnfStyle w:val="000000010000"/>
              <w:rPr>
                <w:rFonts w:ascii="Calibri" w:hAnsi="Calibri"/>
              </w:rPr>
            </w:pPr>
            <w:r w:rsidRPr="000F394B">
              <w:rPr>
                <w:rFonts w:ascii="Calibri" w:hAnsi="Calibri"/>
              </w:rPr>
              <w:t>150769</w:t>
            </w:r>
          </w:p>
        </w:tc>
        <w:tc>
          <w:tcPr>
            <w:tcW w:w="1017" w:type="dxa"/>
          </w:tcPr>
          <w:p w:rsidR="00305726" w:rsidRPr="000F394B" w:rsidRDefault="00305726" w:rsidP="005F5D09">
            <w:pPr>
              <w:jc w:val="right"/>
              <w:cnfStyle w:val="000000010000"/>
              <w:rPr>
                <w:rFonts w:ascii="Calibri" w:hAnsi="Calibri"/>
              </w:rPr>
            </w:pPr>
            <w:r w:rsidRPr="000F394B">
              <w:rPr>
                <w:rFonts w:ascii="Calibri" w:hAnsi="Calibri"/>
              </w:rPr>
              <w:t>15249</w:t>
            </w:r>
          </w:p>
        </w:tc>
        <w:tc>
          <w:tcPr>
            <w:tcW w:w="1026" w:type="dxa"/>
          </w:tcPr>
          <w:p w:rsidR="00305726" w:rsidRPr="000F394B" w:rsidRDefault="00305726" w:rsidP="005F5D09">
            <w:pPr>
              <w:jc w:val="right"/>
              <w:cnfStyle w:val="000000010000"/>
              <w:rPr>
                <w:rFonts w:ascii="Calibri" w:hAnsi="Calibri"/>
              </w:rPr>
            </w:pPr>
            <w:r w:rsidRPr="000F394B">
              <w:rPr>
                <w:rFonts w:ascii="Calibri" w:hAnsi="Calibri"/>
              </w:rPr>
              <w:t>50131</w:t>
            </w:r>
          </w:p>
        </w:tc>
        <w:tc>
          <w:tcPr>
            <w:tcW w:w="968" w:type="dxa"/>
          </w:tcPr>
          <w:p w:rsidR="00305726" w:rsidRPr="000F394B" w:rsidRDefault="00305726" w:rsidP="005F5D09">
            <w:pPr>
              <w:jc w:val="right"/>
              <w:cnfStyle w:val="000000010000"/>
              <w:rPr>
                <w:rFonts w:ascii="Calibri" w:hAnsi="Calibri"/>
              </w:rPr>
            </w:pPr>
            <w:r w:rsidRPr="000F394B">
              <w:rPr>
                <w:rFonts w:ascii="Calibri" w:hAnsi="Calibri"/>
              </w:rPr>
              <w:t>97442</w:t>
            </w:r>
          </w:p>
        </w:tc>
        <w:tc>
          <w:tcPr>
            <w:tcW w:w="997" w:type="dxa"/>
          </w:tcPr>
          <w:p w:rsidR="00305726" w:rsidRPr="000F394B" w:rsidRDefault="00305726" w:rsidP="005F5D09">
            <w:pPr>
              <w:jc w:val="right"/>
              <w:cnfStyle w:val="000000010000"/>
              <w:rPr>
                <w:rFonts w:ascii="Calibri" w:hAnsi="Calibri"/>
              </w:rPr>
            </w:pPr>
            <w:r w:rsidRPr="000F394B">
              <w:rPr>
                <w:rFonts w:ascii="Calibri" w:hAnsi="Calibri"/>
              </w:rPr>
              <w:t>15213</w:t>
            </w:r>
          </w:p>
        </w:tc>
      </w:tr>
      <w:tr w:rsidR="00305726" w:rsidRPr="000F394B" w:rsidTr="005F5D09">
        <w:trPr>
          <w:cnfStyle w:val="000000100000"/>
        </w:trPr>
        <w:tc>
          <w:tcPr>
            <w:cnfStyle w:val="001000000000"/>
            <w:tcW w:w="1580" w:type="dxa"/>
          </w:tcPr>
          <w:p w:rsidR="00305726" w:rsidRPr="00666C29" w:rsidRDefault="00305726" w:rsidP="005F5D09">
            <w:pPr>
              <w:autoSpaceDE w:val="0"/>
              <w:spacing w:line="276" w:lineRule="auto"/>
            </w:pPr>
            <w:r w:rsidRPr="00666C29">
              <w:t>Mobilă</w:t>
            </w:r>
          </w:p>
        </w:tc>
        <w:tc>
          <w:tcPr>
            <w:tcW w:w="1078" w:type="dxa"/>
          </w:tcPr>
          <w:p w:rsidR="00305726" w:rsidRPr="000F394B" w:rsidRDefault="00305726" w:rsidP="005F5D09">
            <w:pPr>
              <w:jc w:val="right"/>
              <w:cnfStyle w:val="000000100000"/>
              <w:rPr>
                <w:rFonts w:ascii="Calibri" w:hAnsi="Calibri"/>
              </w:rPr>
            </w:pPr>
            <w:r w:rsidRPr="000F394B">
              <w:rPr>
                <w:rFonts w:ascii="Calibri" w:hAnsi="Calibri"/>
              </w:rPr>
              <w:t>2201361</w:t>
            </w:r>
          </w:p>
        </w:tc>
        <w:tc>
          <w:tcPr>
            <w:tcW w:w="1051" w:type="dxa"/>
          </w:tcPr>
          <w:p w:rsidR="00305726" w:rsidRPr="000F394B" w:rsidRDefault="00305726" w:rsidP="005F5D09">
            <w:pPr>
              <w:jc w:val="right"/>
              <w:cnfStyle w:val="000000100000"/>
              <w:rPr>
                <w:rFonts w:ascii="Calibri" w:hAnsi="Calibri"/>
              </w:rPr>
            </w:pPr>
            <w:r w:rsidRPr="000F394B">
              <w:rPr>
                <w:rFonts w:ascii="Calibri" w:hAnsi="Calibri"/>
              </w:rPr>
              <w:t>308570</w:t>
            </w:r>
          </w:p>
        </w:tc>
        <w:tc>
          <w:tcPr>
            <w:tcW w:w="997" w:type="dxa"/>
          </w:tcPr>
          <w:p w:rsidR="00305726" w:rsidRPr="000F394B" w:rsidRDefault="00305726" w:rsidP="005F5D09">
            <w:pPr>
              <w:jc w:val="right"/>
              <w:cnfStyle w:val="000000100000"/>
              <w:rPr>
                <w:rFonts w:ascii="Calibri" w:hAnsi="Calibri"/>
              </w:rPr>
            </w:pPr>
            <w:r w:rsidRPr="000F394B">
              <w:rPr>
                <w:rFonts w:ascii="Calibri" w:hAnsi="Calibri"/>
              </w:rPr>
              <w:t>43308</w:t>
            </w:r>
          </w:p>
        </w:tc>
        <w:tc>
          <w:tcPr>
            <w:tcW w:w="997" w:type="dxa"/>
          </w:tcPr>
          <w:p w:rsidR="00305726" w:rsidRPr="000F394B" w:rsidRDefault="00305726" w:rsidP="005F5D09">
            <w:pPr>
              <w:jc w:val="right"/>
              <w:cnfStyle w:val="000000100000"/>
              <w:rPr>
                <w:rFonts w:ascii="Calibri" w:hAnsi="Calibri"/>
              </w:rPr>
            </w:pPr>
            <w:r w:rsidRPr="000F394B">
              <w:rPr>
                <w:rFonts w:ascii="Calibri" w:hAnsi="Calibri"/>
              </w:rPr>
              <w:t>26600</w:t>
            </w:r>
          </w:p>
        </w:tc>
        <w:tc>
          <w:tcPr>
            <w:tcW w:w="1017" w:type="dxa"/>
          </w:tcPr>
          <w:p w:rsidR="00305726" w:rsidRPr="000F394B" w:rsidRDefault="00305726" w:rsidP="005F5D09">
            <w:pPr>
              <w:jc w:val="right"/>
              <w:cnfStyle w:val="000000100000"/>
              <w:rPr>
                <w:rFonts w:ascii="Calibri" w:hAnsi="Calibri"/>
              </w:rPr>
            </w:pPr>
            <w:r w:rsidRPr="000F394B">
              <w:rPr>
                <w:rFonts w:ascii="Calibri" w:hAnsi="Calibri"/>
              </w:rPr>
              <w:t>7374</w:t>
            </w:r>
          </w:p>
        </w:tc>
        <w:tc>
          <w:tcPr>
            <w:tcW w:w="1026" w:type="dxa"/>
          </w:tcPr>
          <w:p w:rsidR="00305726" w:rsidRPr="000F394B" w:rsidRDefault="00305726" w:rsidP="005F5D09">
            <w:pPr>
              <w:jc w:val="right"/>
              <w:cnfStyle w:val="000000100000"/>
              <w:rPr>
                <w:rFonts w:ascii="Calibri" w:hAnsi="Calibri"/>
              </w:rPr>
            </w:pPr>
            <w:r w:rsidRPr="000F394B">
              <w:rPr>
                <w:rFonts w:ascii="Calibri" w:hAnsi="Calibri"/>
              </w:rPr>
              <w:t>46793</w:t>
            </w:r>
          </w:p>
        </w:tc>
        <w:tc>
          <w:tcPr>
            <w:tcW w:w="968" w:type="dxa"/>
          </w:tcPr>
          <w:p w:rsidR="00305726" w:rsidRPr="000F394B" w:rsidRDefault="00305726" w:rsidP="005F5D09">
            <w:pPr>
              <w:jc w:val="right"/>
              <w:cnfStyle w:val="000000100000"/>
              <w:rPr>
                <w:rFonts w:ascii="Calibri" w:hAnsi="Calibri"/>
              </w:rPr>
            </w:pPr>
            <w:r w:rsidRPr="000F394B">
              <w:rPr>
                <w:rFonts w:ascii="Calibri" w:hAnsi="Calibri"/>
              </w:rPr>
              <w:t>77583</w:t>
            </w:r>
          </w:p>
        </w:tc>
        <w:tc>
          <w:tcPr>
            <w:tcW w:w="997" w:type="dxa"/>
          </w:tcPr>
          <w:p w:rsidR="00305726" w:rsidRPr="000F394B" w:rsidRDefault="00305726" w:rsidP="005F5D09">
            <w:pPr>
              <w:jc w:val="right"/>
              <w:cnfStyle w:val="000000100000"/>
              <w:rPr>
                <w:rFonts w:ascii="Calibri" w:hAnsi="Calibri"/>
              </w:rPr>
            </w:pPr>
            <w:r w:rsidRPr="000F394B">
              <w:rPr>
                <w:rFonts w:ascii="Calibri" w:hAnsi="Calibri"/>
              </w:rPr>
              <w:t>106912</w:t>
            </w:r>
          </w:p>
        </w:tc>
      </w:tr>
    </w:tbl>
    <w:p w:rsidR="00305726" w:rsidRPr="000F394B" w:rsidRDefault="00305726" w:rsidP="00305726">
      <w:pPr>
        <w:autoSpaceDE w:val="0"/>
        <w:spacing w:after="0"/>
      </w:pPr>
      <w:r w:rsidRPr="000F394B">
        <w:rPr>
          <w:b/>
        </w:rPr>
        <w:t xml:space="preserve">Sursa: </w:t>
      </w:r>
      <w:r w:rsidRPr="000F394B">
        <w:t>Institutul Național de Statistică</w:t>
      </w:r>
    </w:p>
    <w:p w:rsidR="00305726" w:rsidRDefault="00305726" w:rsidP="00305726">
      <w:pPr>
        <w:autoSpaceDE w:val="0"/>
        <w:spacing w:after="0"/>
        <w:rPr>
          <w:sz w:val="24"/>
          <w:szCs w:val="24"/>
          <w:highlight w:val="yellow"/>
        </w:rPr>
      </w:pPr>
    </w:p>
    <w:p w:rsidR="00305726" w:rsidRDefault="00305726" w:rsidP="00305726">
      <w:pPr>
        <w:autoSpaceDE w:val="0"/>
        <w:spacing w:after="0"/>
        <w:rPr>
          <w:sz w:val="24"/>
          <w:szCs w:val="24"/>
          <w:highlight w:val="yellow"/>
        </w:rPr>
      </w:pPr>
      <w:r w:rsidRPr="00E009B8">
        <w:rPr>
          <w:noProof/>
          <w:sz w:val="24"/>
          <w:szCs w:val="24"/>
        </w:rPr>
        <w:drawing>
          <wp:inline distT="0" distB="0" distL="0" distR="0">
            <wp:extent cx="5424218" cy="3243532"/>
            <wp:effectExtent l="19050" t="0" r="24082" b="0"/>
            <wp:docPr id="12"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05726" w:rsidRPr="00861FC2" w:rsidRDefault="00305726" w:rsidP="00305726">
      <w:pPr>
        <w:autoSpaceDE w:val="0"/>
        <w:spacing w:after="0"/>
        <w:rPr>
          <w:b/>
          <w:sz w:val="24"/>
          <w:szCs w:val="24"/>
        </w:rPr>
      </w:pPr>
      <w:r w:rsidRPr="00861FC2">
        <w:rPr>
          <w:b/>
          <w:sz w:val="24"/>
          <w:szCs w:val="24"/>
        </w:rPr>
        <w:t>Fig. 4</w:t>
      </w:r>
    </w:p>
    <w:p w:rsidR="00305726" w:rsidRPr="000F394B" w:rsidRDefault="00305726" w:rsidP="00305726">
      <w:pPr>
        <w:autoSpaceDE w:val="0"/>
        <w:spacing w:after="0"/>
        <w:jc w:val="center"/>
        <w:rPr>
          <w:b/>
          <w:sz w:val="24"/>
          <w:szCs w:val="24"/>
        </w:rPr>
      </w:pPr>
      <w:r w:rsidRPr="000F394B">
        <w:rPr>
          <w:b/>
          <w:sz w:val="24"/>
          <w:szCs w:val="24"/>
        </w:rPr>
        <w:t>Tab. 7 Ponderea exporturilor de produse din lemn și de mobilier în anul 2015</w:t>
      </w:r>
    </w:p>
    <w:p w:rsidR="00305726" w:rsidRPr="000F394B" w:rsidRDefault="00305726" w:rsidP="00305726">
      <w:pPr>
        <w:autoSpaceDE w:val="0"/>
        <w:spacing w:after="0"/>
      </w:pPr>
      <w:r w:rsidRPr="000F394B">
        <w:tab/>
      </w:r>
      <w:r w:rsidRPr="000F394B">
        <w:tab/>
      </w:r>
      <w:r w:rsidRPr="000F394B">
        <w:tab/>
      </w:r>
      <w:r w:rsidRPr="000F394B">
        <w:tab/>
      </w:r>
      <w:r w:rsidRPr="000F394B">
        <w:tab/>
      </w:r>
      <w:r w:rsidRPr="000F394B">
        <w:tab/>
      </w:r>
      <w:r w:rsidRPr="000F394B">
        <w:tab/>
      </w:r>
      <w:r w:rsidRPr="000F394B">
        <w:tab/>
      </w:r>
      <w:r w:rsidRPr="000F394B">
        <w:tab/>
      </w:r>
      <w:r w:rsidRPr="000F394B">
        <w:tab/>
      </w:r>
      <w:r w:rsidRPr="000F394B">
        <w:tab/>
      </w:r>
      <w:r w:rsidRPr="000F394B">
        <w:tab/>
        <w:t>-%-</w:t>
      </w:r>
    </w:p>
    <w:tbl>
      <w:tblPr>
        <w:tblStyle w:val="Umbriremedie1-Accentuare3"/>
        <w:tblW w:w="9711" w:type="dxa"/>
        <w:tblLook w:val="04A0"/>
      </w:tblPr>
      <w:tblGrid>
        <w:gridCol w:w="1770"/>
        <w:gridCol w:w="953"/>
        <w:gridCol w:w="1059"/>
        <w:gridCol w:w="934"/>
        <w:gridCol w:w="993"/>
        <w:gridCol w:w="1034"/>
        <w:gridCol w:w="1041"/>
        <w:gridCol w:w="984"/>
        <w:gridCol w:w="943"/>
      </w:tblGrid>
      <w:tr w:rsidR="00305726" w:rsidRPr="000F394B" w:rsidTr="005F5D09">
        <w:trPr>
          <w:cnfStyle w:val="100000000000"/>
        </w:trPr>
        <w:tc>
          <w:tcPr>
            <w:cnfStyle w:val="001000000000"/>
            <w:tcW w:w="1770" w:type="dxa"/>
          </w:tcPr>
          <w:p w:rsidR="00305726" w:rsidRPr="000F394B" w:rsidRDefault="00305726" w:rsidP="005F5D09">
            <w:pPr>
              <w:autoSpaceDE w:val="0"/>
              <w:spacing w:line="276" w:lineRule="auto"/>
              <w:jc w:val="center"/>
              <w:rPr>
                <w:b w:val="0"/>
                <w:sz w:val="20"/>
                <w:szCs w:val="20"/>
              </w:rPr>
            </w:pPr>
          </w:p>
        </w:tc>
        <w:tc>
          <w:tcPr>
            <w:tcW w:w="953" w:type="dxa"/>
          </w:tcPr>
          <w:p w:rsidR="00305726" w:rsidRPr="000F394B" w:rsidRDefault="00305726" w:rsidP="005F5D09">
            <w:pPr>
              <w:autoSpaceDE w:val="0"/>
              <w:jc w:val="center"/>
              <w:cnfStyle w:val="100000000000"/>
              <w:rPr>
                <w:b w:val="0"/>
                <w:sz w:val="20"/>
                <w:szCs w:val="20"/>
              </w:rPr>
            </w:pPr>
            <w:r w:rsidRPr="000F394B">
              <w:rPr>
                <w:sz w:val="20"/>
                <w:szCs w:val="20"/>
              </w:rPr>
              <w:t>România</w:t>
            </w:r>
          </w:p>
        </w:tc>
        <w:tc>
          <w:tcPr>
            <w:tcW w:w="1059"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Regiunea Centru</w:t>
            </w:r>
          </w:p>
        </w:tc>
        <w:tc>
          <w:tcPr>
            <w:tcW w:w="934"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Alba</w:t>
            </w:r>
          </w:p>
        </w:tc>
        <w:tc>
          <w:tcPr>
            <w:tcW w:w="993"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Brașov</w:t>
            </w:r>
          </w:p>
        </w:tc>
        <w:tc>
          <w:tcPr>
            <w:tcW w:w="1034"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Covasna</w:t>
            </w:r>
          </w:p>
        </w:tc>
        <w:tc>
          <w:tcPr>
            <w:tcW w:w="1041"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Harghita</w:t>
            </w:r>
          </w:p>
        </w:tc>
        <w:tc>
          <w:tcPr>
            <w:tcW w:w="984"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Mureș</w:t>
            </w:r>
          </w:p>
        </w:tc>
        <w:tc>
          <w:tcPr>
            <w:tcW w:w="943" w:type="dxa"/>
          </w:tcPr>
          <w:p w:rsidR="00305726" w:rsidRPr="000F394B" w:rsidRDefault="00305726" w:rsidP="005F5D09">
            <w:pPr>
              <w:autoSpaceDE w:val="0"/>
              <w:spacing w:line="276" w:lineRule="auto"/>
              <w:jc w:val="center"/>
              <w:cnfStyle w:val="100000000000"/>
              <w:rPr>
                <w:b w:val="0"/>
                <w:sz w:val="20"/>
                <w:szCs w:val="20"/>
              </w:rPr>
            </w:pPr>
            <w:r w:rsidRPr="000F394B">
              <w:rPr>
                <w:sz w:val="20"/>
                <w:szCs w:val="20"/>
              </w:rPr>
              <w:t>Sibiu</w:t>
            </w:r>
          </w:p>
        </w:tc>
      </w:tr>
      <w:tr w:rsidR="00305726" w:rsidRPr="000F394B" w:rsidTr="005F5D09">
        <w:trPr>
          <w:cnfStyle w:val="000000100000"/>
        </w:trPr>
        <w:tc>
          <w:tcPr>
            <w:cnfStyle w:val="001000000000"/>
            <w:tcW w:w="1770" w:type="dxa"/>
          </w:tcPr>
          <w:p w:rsidR="00305726" w:rsidRPr="000F394B" w:rsidRDefault="00305726" w:rsidP="005F5D09">
            <w:pPr>
              <w:autoSpaceDE w:val="0"/>
              <w:spacing w:line="276" w:lineRule="auto"/>
              <w:rPr>
                <w:sz w:val="20"/>
                <w:szCs w:val="20"/>
              </w:rPr>
            </w:pPr>
            <w:r w:rsidRPr="000F394B">
              <w:rPr>
                <w:sz w:val="20"/>
                <w:szCs w:val="20"/>
              </w:rPr>
              <w:t>Total produse din lemn și mobilă</w:t>
            </w:r>
          </w:p>
        </w:tc>
        <w:tc>
          <w:tcPr>
            <w:tcW w:w="953" w:type="dxa"/>
          </w:tcPr>
          <w:p w:rsidR="00305726" w:rsidRDefault="00305726" w:rsidP="005F5D09">
            <w:pPr>
              <w:jc w:val="right"/>
              <w:cnfStyle w:val="000000100000"/>
              <w:rPr>
                <w:rFonts w:ascii="Calibri" w:hAnsi="Calibri"/>
                <w:color w:val="000000"/>
              </w:rPr>
            </w:pPr>
            <w:r>
              <w:rPr>
                <w:rFonts w:ascii="Calibri" w:hAnsi="Calibri"/>
                <w:color w:val="000000"/>
              </w:rPr>
              <w:t>7,3</w:t>
            </w:r>
          </w:p>
        </w:tc>
        <w:tc>
          <w:tcPr>
            <w:tcW w:w="1059" w:type="dxa"/>
          </w:tcPr>
          <w:p w:rsidR="00305726" w:rsidRDefault="00305726" w:rsidP="005F5D09">
            <w:pPr>
              <w:jc w:val="right"/>
              <w:cnfStyle w:val="000000100000"/>
              <w:rPr>
                <w:rFonts w:ascii="Calibri" w:hAnsi="Calibri"/>
                <w:color w:val="000000"/>
              </w:rPr>
            </w:pPr>
            <w:r>
              <w:rPr>
                <w:rFonts w:ascii="Calibri" w:hAnsi="Calibri"/>
                <w:color w:val="000000"/>
              </w:rPr>
              <w:t>14,1</w:t>
            </w:r>
          </w:p>
        </w:tc>
        <w:tc>
          <w:tcPr>
            <w:tcW w:w="934" w:type="dxa"/>
          </w:tcPr>
          <w:p w:rsidR="00305726" w:rsidRDefault="00305726" w:rsidP="005F5D09">
            <w:pPr>
              <w:jc w:val="right"/>
              <w:cnfStyle w:val="000000100000"/>
              <w:rPr>
                <w:rFonts w:ascii="Calibri" w:hAnsi="Calibri"/>
                <w:color w:val="000000"/>
              </w:rPr>
            </w:pPr>
            <w:r>
              <w:rPr>
                <w:rFonts w:ascii="Calibri" w:hAnsi="Calibri"/>
                <w:color w:val="000000"/>
              </w:rPr>
              <w:t>47,4</w:t>
            </w:r>
          </w:p>
        </w:tc>
        <w:tc>
          <w:tcPr>
            <w:tcW w:w="993" w:type="dxa"/>
          </w:tcPr>
          <w:p w:rsidR="00305726" w:rsidRDefault="00305726" w:rsidP="005F5D09">
            <w:pPr>
              <w:jc w:val="right"/>
              <w:cnfStyle w:val="000000100000"/>
              <w:rPr>
                <w:rFonts w:ascii="Calibri" w:hAnsi="Calibri"/>
                <w:color w:val="000000"/>
              </w:rPr>
            </w:pPr>
            <w:r>
              <w:rPr>
                <w:rFonts w:ascii="Calibri" w:hAnsi="Calibri"/>
                <w:color w:val="000000"/>
              </w:rPr>
              <w:t>6,4</w:t>
            </w:r>
          </w:p>
        </w:tc>
        <w:tc>
          <w:tcPr>
            <w:tcW w:w="1034" w:type="dxa"/>
          </w:tcPr>
          <w:p w:rsidR="00305726" w:rsidRDefault="00305726" w:rsidP="005F5D09">
            <w:pPr>
              <w:jc w:val="right"/>
              <w:cnfStyle w:val="000000100000"/>
              <w:rPr>
                <w:rFonts w:ascii="Calibri" w:hAnsi="Calibri"/>
                <w:color w:val="000000"/>
              </w:rPr>
            </w:pPr>
            <w:r>
              <w:rPr>
                <w:rFonts w:ascii="Calibri" w:hAnsi="Calibri"/>
                <w:color w:val="000000"/>
              </w:rPr>
              <w:t>7,7</w:t>
            </w:r>
          </w:p>
        </w:tc>
        <w:tc>
          <w:tcPr>
            <w:tcW w:w="1041" w:type="dxa"/>
          </w:tcPr>
          <w:p w:rsidR="00305726" w:rsidRDefault="00305726" w:rsidP="005F5D09">
            <w:pPr>
              <w:jc w:val="right"/>
              <w:cnfStyle w:val="000000100000"/>
              <w:rPr>
                <w:rFonts w:ascii="Calibri" w:hAnsi="Calibri"/>
                <w:color w:val="000000"/>
              </w:rPr>
            </w:pPr>
            <w:r>
              <w:rPr>
                <w:rFonts w:ascii="Calibri" w:hAnsi="Calibri"/>
                <w:color w:val="000000"/>
              </w:rPr>
              <w:t>31,9</w:t>
            </w:r>
          </w:p>
        </w:tc>
        <w:tc>
          <w:tcPr>
            <w:tcW w:w="984" w:type="dxa"/>
          </w:tcPr>
          <w:p w:rsidR="00305726" w:rsidRDefault="00305726" w:rsidP="005F5D09">
            <w:pPr>
              <w:jc w:val="right"/>
              <w:cnfStyle w:val="000000100000"/>
              <w:rPr>
                <w:rFonts w:ascii="Calibri" w:hAnsi="Calibri"/>
                <w:color w:val="000000"/>
              </w:rPr>
            </w:pPr>
            <w:r>
              <w:rPr>
                <w:rFonts w:ascii="Calibri" w:hAnsi="Calibri"/>
                <w:color w:val="000000"/>
              </w:rPr>
              <w:t>18,7</w:t>
            </w:r>
          </w:p>
        </w:tc>
        <w:tc>
          <w:tcPr>
            <w:tcW w:w="943" w:type="dxa"/>
          </w:tcPr>
          <w:p w:rsidR="00305726" w:rsidRDefault="00305726" w:rsidP="005F5D09">
            <w:pPr>
              <w:jc w:val="right"/>
              <w:cnfStyle w:val="000000100000"/>
              <w:rPr>
                <w:rFonts w:ascii="Calibri" w:hAnsi="Calibri"/>
                <w:color w:val="000000"/>
              </w:rPr>
            </w:pPr>
            <w:r>
              <w:rPr>
                <w:rFonts w:ascii="Calibri" w:hAnsi="Calibri"/>
                <w:color w:val="000000"/>
              </w:rPr>
              <w:t>5,3</w:t>
            </w:r>
          </w:p>
        </w:tc>
      </w:tr>
      <w:tr w:rsidR="00305726" w:rsidRPr="000F394B" w:rsidTr="005F5D09">
        <w:trPr>
          <w:cnfStyle w:val="000000010000"/>
        </w:trPr>
        <w:tc>
          <w:tcPr>
            <w:cnfStyle w:val="001000000000"/>
            <w:tcW w:w="1770" w:type="dxa"/>
          </w:tcPr>
          <w:p w:rsidR="00305726" w:rsidRPr="000F394B" w:rsidRDefault="00305726" w:rsidP="005F5D09">
            <w:pPr>
              <w:autoSpaceDE w:val="0"/>
              <w:spacing w:line="276" w:lineRule="auto"/>
              <w:rPr>
                <w:sz w:val="20"/>
                <w:szCs w:val="20"/>
              </w:rPr>
            </w:pPr>
            <w:r w:rsidRPr="000F394B">
              <w:rPr>
                <w:sz w:val="20"/>
                <w:szCs w:val="20"/>
              </w:rPr>
              <w:t>Produse din lemn</w:t>
            </w:r>
          </w:p>
        </w:tc>
        <w:tc>
          <w:tcPr>
            <w:tcW w:w="953" w:type="dxa"/>
          </w:tcPr>
          <w:p w:rsidR="00305726" w:rsidRDefault="00305726" w:rsidP="005F5D09">
            <w:pPr>
              <w:jc w:val="right"/>
              <w:cnfStyle w:val="000000010000"/>
              <w:rPr>
                <w:rFonts w:ascii="Calibri" w:hAnsi="Calibri"/>
                <w:color w:val="000000"/>
              </w:rPr>
            </w:pPr>
            <w:r>
              <w:rPr>
                <w:rFonts w:ascii="Calibri" w:hAnsi="Calibri"/>
                <w:color w:val="000000"/>
              </w:rPr>
              <w:t>3,3</w:t>
            </w:r>
          </w:p>
        </w:tc>
        <w:tc>
          <w:tcPr>
            <w:tcW w:w="1059" w:type="dxa"/>
          </w:tcPr>
          <w:p w:rsidR="00305726" w:rsidRDefault="00305726" w:rsidP="005F5D09">
            <w:pPr>
              <w:jc w:val="right"/>
              <w:cnfStyle w:val="000000010000"/>
              <w:rPr>
                <w:rFonts w:ascii="Calibri" w:hAnsi="Calibri"/>
                <w:color w:val="000000"/>
              </w:rPr>
            </w:pPr>
            <w:r>
              <w:rPr>
                <w:rFonts w:ascii="Calibri" w:hAnsi="Calibri"/>
                <w:color w:val="000000"/>
              </w:rPr>
              <w:t>10,1</w:t>
            </w:r>
          </w:p>
        </w:tc>
        <w:tc>
          <w:tcPr>
            <w:tcW w:w="934" w:type="dxa"/>
          </w:tcPr>
          <w:p w:rsidR="00305726" w:rsidRDefault="00305726" w:rsidP="005F5D09">
            <w:pPr>
              <w:jc w:val="right"/>
              <w:cnfStyle w:val="000000010000"/>
              <w:rPr>
                <w:rFonts w:ascii="Calibri" w:hAnsi="Calibri"/>
                <w:color w:val="000000"/>
              </w:rPr>
            </w:pPr>
            <w:r>
              <w:rPr>
                <w:rFonts w:ascii="Calibri" w:hAnsi="Calibri"/>
                <w:color w:val="000000"/>
              </w:rPr>
              <w:t>43,2</w:t>
            </w:r>
          </w:p>
        </w:tc>
        <w:tc>
          <w:tcPr>
            <w:tcW w:w="993" w:type="dxa"/>
          </w:tcPr>
          <w:p w:rsidR="00305726" w:rsidRDefault="00305726" w:rsidP="005F5D09">
            <w:pPr>
              <w:jc w:val="right"/>
              <w:cnfStyle w:val="000000010000"/>
              <w:rPr>
                <w:rFonts w:ascii="Calibri" w:hAnsi="Calibri"/>
                <w:color w:val="000000"/>
              </w:rPr>
            </w:pPr>
            <w:r>
              <w:rPr>
                <w:rFonts w:ascii="Calibri" w:hAnsi="Calibri"/>
                <w:color w:val="000000"/>
              </w:rPr>
              <w:t>5,4</w:t>
            </w:r>
          </w:p>
        </w:tc>
        <w:tc>
          <w:tcPr>
            <w:tcW w:w="1034" w:type="dxa"/>
          </w:tcPr>
          <w:p w:rsidR="00305726" w:rsidRDefault="00305726" w:rsidP="005F5D09">
            <w:pPr>
              <w:jc w:val="right"/>
              <w:cnfStyle w:val="000000010000"/>
              <w:rPr>
                <w:rFonts w:ascii="Calibri" w:hAnsi="Calibri"/>
                <w:color w:val="000000"/>
              </w:rPr>
            </w:pPr>
            <w:r>
              <w:rPr>
                <w:rFonts w:ascii="Calibri" w:hAnsi="Calibri"/>
                <w:color w:val="000000"/>
              </w:rPr>
              <w:t>5,2</w:t>
            </w:r>
          </w:p>
        </w:tc>
        <w:tc>
          <w:tcPr>
            <w:tcW w:w="1041" w:type="dxa"/>
          </w:tcPr>
          <w:p w:rsidR="00305726" w:rsidRDefault="00305726" w:rsidP="005F5D09">
            <w:pPr>
              <w:jc w:val="right"/>
              <w:cnfStyle w:val="000000010000"/>
              <w:rPr>
                <w:rFonts w:ascii="Calibri" w:hAnsi="Calibri"/>
                <w:color w:val="000000"/>
              </w:rPr>
            </w:pPr>
            <w:r>
              <w:rPr>
                <w:rFonts w:ascii="Calibri" w:hAnsi="Calibri"/>
                <w:color w:val="000000"/>
              </w:rPr>
              <w:t>16,5</w:t>
            </w:r>
          </w:p>
        </w:tc>
        <w:tc>
          <w:tcPr>
            <w:tcW w:w="984" w:type="dxa"/>
          </w:tcPr>
          <w:p w:rsidR="00305726" w:rsidRDefault="00305726" w:rsidP="005F5D09">
            <w:pPr>
              <w:jc w:val="right"/>
              <w:cnfStyle w:val="000000010000"/>
              <w:rPr>
                <w:rFonts w:ascii="Calibri" w:hAnsi="Calibri"/>
                <w:color w:val="000000"/>
              </w:rPr>
            </w:pPr>
            <w:r>
              <w:rPr>
                <w:rFonts w:ascii="Calibri" w:hAnsi="Calibri"/>
                <w:color w:val="000000"/>
              </w:rPr>
              <w:t>10,4</w:t>
            </w:r>
          </w:p>
        </w:tc>
        <w:tc>
          <w:tcPr>
            <w:tcW w:w="943" w:type="dxa"/>
          </w:tcPr>
          <w:p w:rsidR="00305726" w:rsidRDefault="00305726" w:rsidP="005F5D09">
            <w:pPr>
              <w:jc w:val="right"/>
              <w:cnfStyle w:val="000000010000"/>
              <w:rPr>
                <w:rFonts w:ascii="Calibri" w:hAnsi="Calibri"/>
                <w:color w:val="000000"/>
              </w:rPr>
            </w:pPr>
            <w:r>
              <w:rPr>
                <w:rFonts w:ascii="Calibri" w:hAnsi="Calibri"/>
                <w:color w:val="000000"/>
              </w:rPr>
              <w:t>0,7</w:t>
            </w:r>
          </w:p>
        </w:tc>
      </w:tr>
      <w:tr w:rsidR="00305726" w:rsidRPr="000F394B" w:rsidTr="005F5D09">
        <w:trPr>
          <w:cnfStyle w:val="000000100000"/>
        </w:trPr>
        <w:tc>
          <w:tcPr>
            <w:cnfStyle w:val="001000000000"/>
            <w:tcW w:w="1770" w:type="dxa"/>
          </w:tcPr>
          <w:p w:rsidR="00305726" w:rsidRPr="000F394B" w:rsidRDefault="00305726" w:rsidP="005F5D09">
            <w:pPr>
              <w:autoSpaceDE w:val="0"/>
              <w:spacing w:line="276" w:lineRule="auto"/>
              <w:rPr>
                <w:sz w:val="20"/>
                <w:szCs w:val="20"/>
              </w:rPr>
            </w:pPr>
            <w:r w:rsidRPr="000F394B">
              <w:rPr>
                <w:sz w:val="20"/>
                <w:szCs w:val="20"/>
              </w:rPr>
              <w:t>Mobilă</w:t>
            </w:r>
          </w:p>
        </w:tc>
        <w:tc>
          <w:tcPr>
            <w:tcW w:w="953" w:type="dxa"/>
          </w:tcPr>
          <w:p w:rsidR="00305726" w:rsidRDefault="00305726" w:rsidP="005F5D09">
            <w:pPr>
              <w:jc w:val="right"/>
              <w:cnfStyle w:val="000000100000"/>
              <w:rPr>
                <w:rFonts w:ascii="Calibri" w:hAnsi="Calibri"/>
                <w:color w:val="000000"/>
              </w:rPr>
            </w:pPr>
            <w:r>
              <w:rPr>
                <w:rFonts w:ascii="Calibri" w:hAnsi="Calibri"/>
                <w:color w:val="000000"/>
              </w:rPr>
              <w:t>4,0</w:t>
            </w:r>
          </w:p>
        </w:tc>
        <w:tc>
          <w:tcPr>
            <w:tcW w:w="1059" w:type="dxa"/>
          </w:tcPr>
          <w:p w:rsidR="00305726" w:rsidRDefault="00305726" w:rsidP="005F5D09">
            <w:pPr>
              <w:jc w:val="right"/>
              <w:cnfStyle w:val="000000100000"/>
              <w:rPr>
                <w:rFonts w:ascii="Calibri" w:hAnsi="Calibri"/>
                <w:color w:val="000000"/>
              </w:rPr>
            </w:pPr>
            <w:r>
              <w:rPr>
                <w:rFonts w:ascii="Calibri" w:hAnsi="Calibri"/>
                <w:color w:val="000000"/>
              </w:rPr>
              <w:t>4,0</w:t>
            </w:r>
          </w:p>
        </w:tc>
        <w:tc>
          <w:tcPr>
            <w:tcW w:w="934" w:type="dxa"/>
          </w:tcPr>
          <w:p w:rsidR="00305726" w:rsidRDefault="00305726" w:rsidP="005F5D09">
            <w:pPr>
              <w:jc w:val="right"/>
              <w:cnfStyle w:val="000000100000"/>
              <w:rPr>
                <w:rFonts w:ascii="Calibri" w:hAnsi="Calibri"/>
                <w:color w:val="000000"/>
              </w:rPr>
            </w:pPr>
            <w:r>
              <w:rPr>
                <w:rFonts w:ascii="Calibri" w:hAnsi="Calibri"/>
                <w:color w:val="000000"/>
              </w:rPr>
              <w:t>4,2</w:t>
            </w:r>
          </w:p>
        </w:tc>
        <w:tc>
          <w:tcPr>
            <w:tcW w:w="993" w:type="dxa"/>
          </w:tcPr>
          <w:p w:rsidR="00305726" w:rsidRDefault="00305726" w:rsidP="005F5D09">
            <w:pPr>
              <w:jc w:val="right"/>
              <w:cnfStyle w:val="000000100000"/>
              <w:rPr>
                <w:rFonts w:ascii="Calibri" w:hAnsi="Calibri"/>
                <w:color w:val="000000"/>
              </w:rPr>
            </w:pPr>
            <w:r>
              <w:rPr>
                <w:rFonts w:ascii="Calibri" w:hAnsi="Calibri"/>
                <w:color w:val="000000"/>
              </w:rPr>
              <w:t>1,0</w:t>
            </w:r>
          </w:p>
        </w:tc>
        <w:tc>
          <w:tcPr>
            <w:tcW w:w="1034" w:type="dxa"/>
          </w:tcPr>
          <w:p w:rsidR="00305726" w:rsidRDefault="00305726" w:rsidP="005F5D09">
            <w:pPr>
              <w:jc w:val="right"/>
              <w:cnfStyle w:val="000000100000"/>
              <w:rPr>
                <w:rFonts w:ascii="Calibri" w:hAnsi="Calibri"/>
                <w:color w:val="000000"/>
              </w:rPr>
            </w:pPr>
            <w:r>
              <w:rPr>
                <w:rFonts w:ascii="Calibri" w:hAnsi="Calibri"/>
                <w:color w:val="000000"/>
              </w:rPr>
              <w:t>2,5</w:t>
            </w:r>
          </w:p>
        </w:tc>
        <w:tc>
          <w:tcPr>
            <w:tcW w:w="1041" w:type="dxa"/>
          </w:tcPr>
          <w:p w:rsidR="00305726" w:rsidRDefault="00305726" w:rsidP="005F5D09">
            <w:pPr>
              <w:jc w:val="right"/>
              <w:cnfStyle w:val="000000100000"/>
              <w:rPr>
                <w:rFonts w:ascii="Calibri" w:hAnsi="Calibri"/>
                <w:color w:val="000000"/>
              </w:rPr>
            </w:pPr>
            <w:r>
              <w:rPr>
                <w:rFonts w:ascii="Calibri" w:hAnsi="Calibri"/>
                <w:color w:val="000000"/>
              </w:rPr>
              <w:t>15,4</w:t>
            </w:r>
          </w:p>
        </w:tc>
        <w:tc>
          <w:tcPr>
            <w:tcW w:w="984" w:type="dxa"/>
          </w:tcPr>
          <w:p w:rsidR="00305726" w:rsidRDefault="00305726" w:rsidP="005F5D09">
            <w:pPr>
              <w:jc w:val="right"/>
              <w:cnfStyle w:val="000000100000"/>
              <w:rPr>
                <w:rFonts w:ascii="Calibri" w:hAnsi="Calibri"/>
                <w:color w:val="000000"/>
              </w:rPr>
            </w:pPr>
            <w:r>
              <w:rPr>
                <w:rFonts w:ascii="Calibri" w:hAnsi="Calibri"/>
                <w:color w:val="000000"/>
              </w:rPr>
              <w:t>8,3</w:t>
            </w:r>
          </w:p>
        </w:tc>
        <w:tc>
          <w:tcPr>
            <w:tcW w:w="943" w:type="dxa"/>
          </w:tcPr>
          <w:p w:rsidR="00305726" w:rsidRDefault="00305726" w:rsidP="005F5D09">
            <w:pPr>
              <w:jc w:val="right"/>
              <w:cnfStyle w:val="000000100000"/>
              <w:rPr>
                <w:rFonts w:ascii="Calibri" w:hAnsi="Calibri"/>
                <w:color w:val="000000"/>
              </w:rPr>
            </w:pPr>
            <w:r>
              <w:rPr>
                <w:rFonts w:ascii="Calibri" w:hAnsi="Calibri"/>
                <w:color w:val="000000"/>
              </w:rPr>
              <w:t>4,6</w:t>
            </w:r>
          </w:p>
        </w:tc>
      </w:tr>
    </w:tbl>
    <w:p w:rsidR="00305726" w:rsidRDefault="00305726" w:rsidP="00305726">
      <w:pPr>
        <w:spacing w:before="240"/>
        <w:rPr>
          <w:b/>
          <w:sz w:val="24"/>
          <w:szCs w:val="24"/>
        </w:rPr>
      </w:pPr>
    </w:p>
    <w:p w:rsidR="00305726" w:rsidRDefault="00305726" w:rsidP="00305726">
      <w:pPr>
        <w:spacing w:before="240"/>
        <w:rPr>
          <w:b/>
          <w:sz w:val="24"/>
          <w:szCs w:val="24"/>
        </w:rPr>
      </w:pPr>
    </w:p>
    <w:p w:rsidR="00305726" w:rsidRDefault="00305726" w:rsidP="00305726">
      <w:pPr>
        <w:spacing w:before="240"/>
        <w:rPr>
          <w:b/>
          <w:sz w:val="24"/>
          <w:szCs w:val="24"/>
        </w:rPr>
      </w:pPr>
      <w:r>
        <w:rPr>
          <w:b/>
          <w:noProof/>
          <w:sz w:val="24"/>
          <w:szCs w:val="24"/>
        </w:rPr>
        <w:lastRenderedPageBreak/>
        <w:drawing>
          <wp:inline distT="0" distB="0" distL="0" distR="0">
            <wp:extent cx="5426602" cy="2993366"/>
            <wp:effectExtent l="19050" t="0" r="21698" b="0"/>
            <wp:docPr id="13"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05726" w:rsidRDefault="00305726" w:rsidP="00305726">
      <w:pPr>
        <w:spacing w:before="240"/>
        <w:rPr>
          <w:b/>
          <w:sz w:val="24"/>
          <w:szCs w:val="24"/>
        </w:rPr>
      </w:pPr>
      <w:r>
        <w:rPr>
          <w:b/>
          <w:sz w:val="24"/>
          <w:szCs w:val="24"/>
        </w:rPr>
        <w:t>Fig. 5</w:t>
      </w:r>
    </w:p>
    <w:p w:rsidR="00305726" w:rsidRPr="00CB6EA9" w:rsidRDefault="00305726" w:rsidP="00305726">
      <w:pPr>
        <w:spacing w:before="240"/>
        <w:jc w:val="center"/>
        <w:rPr>
          <w:b/>
        </w:rPr>
      </w:pPr>
      <w:r w:rsidRPr="00CB6EA9">
        <w:rPr>
          <w:b/>
        </w:rPr>
        <w:t>Tab. 8 Evoluția exportului de produse de lemn și de mobilier</w:t>
      </w:r>
    </w:p>
    <w:p w:rsidR="00305726" w:rsidRPr="00CB6EA9" w:rsidRDefault="00305726" w:rsidP="00305726">
      <w:pPr>
        <w:spacing w:before="240" w:after="0"/>
        <w:jc w:val="right"/>
        <w:rPr>
          <w:b/>
        </w:rPr>
      </w:pPr>
      <w:r w:rsidRPr="00CB6EA9">
        <w:rPr>
          <w:b/>
        </w:rPr>
        <w:t>-mii euro-</w:t>
      </w:r>
    </w:p>
    <w:tbl>
      <w:tblPr>
        <w:tblStyle w:val="Umbriremedie1-Accentuare3"/>
        <w:tblW w:w="9288" w:type="dxa"/>
        <w:tblLook w:val="04A0"/>
      </w:tblPr>
      <w:tblGrid>
        <w:gridCol w:w="1366"/>
        <w:gridCol w:w="2937"/>
        <w:gridCol w:w="997"/>
        <w:gridCol w:w="997"/>
        <w:gridCol w:w="997"/>
        <w:gridCol w:w="997"/>
        <w:gridCol w:w="997"/>
      </w:tblGrid>
      <w:tr w:rsidR="00305726" w:rsidRPr="00C512B1" w:rsidTr="005F5D09">
        <w:trPr>
          <w:cnfStyle w:val="100000000000"/>
          <w:trHeight w:val="300"/>
        </w:trPr>
        <w:tc>
          <w:tcPr>
            <w:cnfStyle w:val="001000000000"/>
            <w:tcW w:w="1366" w:type="dxa"/>
            <w:noWrap/>
            <w:hideMark/>
          </w:tcPr>
          <w:p w:rsidR="00305726" w:rsidRPr="00C512B1" w:rsidRDefault="00305726" w:rsidP="005F5D09">
            <w:pPr>
              <w:rPr>
                <w:rFonts w:ascii="Calibri" w:eastAsia="Times New Roman" w:hAnsi="Calibri" w:cs="Times New Roman"/>
                <w:color w:val="000000"/>
              </w:rPr>
            </w:pPr>
          </w:p>
        </w:tc>
        <w:tc>
          <w:tcPr>
            <w:tcW w:w="3454" w:type="dxa"/>
            <w:hideMark/>
          </w:tcPr>
          <w:p w:rsidR="00305726" w:rsidRPr="00C512B1" w:rsidRDefault="00305726" w:rsidP="005F5D09">
            <w:pPr>
              <w:jc w:val="center"/>
              <w:cnfStyle w:val="100000000000"/>
              <w:rPr>
                <w:rFonts w:ascii="Calibri" w:eastAsia="Times New Roman" w:hAnsi="Calibri" w:cs="Times New Roman"/>
                <w:color w:val="000000"/>
              </w:rPr>
            </w:pPr>
          </w:p>
        </w:tc>
        <w:tc>
          <w:tcPr>
            <w:tcW w:w="810" w:type="dxa"/>
            <w:noWrap/>
            <w:hideMark/>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2011</w:t>
            </w:r>
          </w:p>
        </w:tc>
        <w:tc>
          <w:tcPr>
            <w:tcW w:w="990" w:type="dxa"/>
            <w:noWrap/>
            <w:hideMark/>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2012</w:t>
            </w:r>
          </w:p>
        </w:tc>
        <w:tc>
          <w:tcPr>
            <w:tcW w:w="900" w:type="dxa"/>
            <w:noWrap/>
            <w:hideMark/>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2013</w:t>
            </w:r>
          </w:p>
        </w:tc>
        <w:tc>
          <w:tcPr>
            <w:tcW w:w="884" w:type="dxa"/>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2014</w:t>
            </w:r>
          </w:p>
        </w:tc>
        <w:tc>
          <w:tcPr>
            <w:tcW w:w="884" w:type="dxa"/>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2015</w:t>
            </w:r>
          </w:p>
        </w:tc>
      </w:tr>
      <w:tr w:rsidR="00305726" w:rsidRPr="00C512B1" w:rsidTr="005F5D09">
        <w:trPr>
          <w:cnfStyle w:val="000000100000"/>
          <w:trHeight w:val="300"/>
        </w:trPr>
        <w:tc>
          <w:tcPr>
            <w:cnfStyle w:val="001000000000"/>
            <w:tcW w:w="1366" w:type="dxa"/>
            <w:vMerge w:val="restart"/>
            <w:hideMark/>
          </w:tcPr>
          <w:p w:rsidR="00305726" w:rsidRPr="00D71C2F" w:rsidRDefault="00305726" w:rsidP="005F5D09">
            <w:pPr>
              <w:jc w:val="center"/>
              <w:rPr>
                <w:rFonts w:ascii="Calibri" w:eastAsia="Times New Roman" w:hAnsi="Calibri" w:cs="Times New Roman"/>
                <w:bCs w:val="0"/>
                <w:color w:val="000000"/>
              </w:rPr>
            </w:pPr>
            <w:r w:rsidRPr="00D71C2F">
              <w:rPr>
                <w:rFonts w:ascii="Calibri" w:eastAsia="Times New Roman" w:hAnsi="Calibri" w:cs="Times New Roman"/>
                <w:bCs w:val="0"/>
                <w:color w:val="000000"/>
              </w:rPr>
              <w:t>România</w:t>
            </w:r>
          </w:p>
          <w:p w:rsidR="00305726" w:rsidRPr="00D71C2F"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1452699</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1613795</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1880267</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1855214</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1802876</w:t>
            </w:r>
          </w:p>
        </w:tc>
      </w:tr>
      <w:tr w:rsidR="00305726" w:rsidRPr="00C512B1" w:rsidTr="005F5D09">
        <w:trPr>
          <w:cnfStyle w:val="000000010000"/>
          <w:trHeight w:val="291"/>
        </w:trPr>
        <w:tc>
          <w:tcPr>
            <w:cnfStyle w:val="001000000000"/>
            <w:tcW w:w="1366" w:type="dxa"/>
            <w:vMerge/>
            <w:hideMark/>
          </w:tcPr>
          <w:p w:rsidR="00305726" w:rsidRPr="00D71C2F"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1483856</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1564261</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1824835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2032355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2201361</w:t>
            </w:r>
          </w:p>
        </w:tc>
      </w:tr>
      <w:tr w:rsidR="00305726" w:rsidRPr="00C512B1" w:rsidTr="005F5D09">
        <w:trPr>
          <w:cnfStyle w:val="000000100000"/>
          <w:trHeight w:val="336"/>
        </w:trPr>
        <w:tc>
          <w:tcPr>
            <w:cnfStyle w:val="001000000000"/>
            <w:tcW w:w="1366" w:type="dxa"/>
            <w:vMerge w:val="restart"/>
            <w:hideMark/>
          </w:tcPr>
          <w:p w:rsidR="00305726" w:rsidRPr="00D71C2F" w:rsidRDefault="00305726" w:rsidP="005F5D09">
            <w:pPr>
              <w:jc w:val="center"/>
              <w:rPr>
                <w:rFonts w:ascii="Calibri" w:eastAsia="Times New Roman" w:hAnsi="Calibri" w:cs="Times New Roman"/>
                <w:color w:val="000000"/>
              </w:rPr>
            </w:pPr>
            <w:r w:rsidRPr="00D71C2F">
              <w:rPr>
                <w:rFonts w:ascii="Calibri" w:eastAsia="Times New Roman" w:hAnsi="Calibri" w:cs="Times New Roman"/>
                <w:color w:val="000000"/>
              </w:rPr>
              <w:t>R</w:t>
            </w:r>
            <w:r w:rsidRPr="00D71C2F">
              <w:rPr>
                <w:rFonts w:ascii="Calibri" w:eastAsia="Times New Roman" w:hAnsi="Calibri" w:cs="Times New Roman"/>
                <w:bCs w:val="0"/>
                <w:color w:val="000000"/>
              </w:rPr>
              <w:t xml:space="preserve">egiunea </w:t>
            </w:r>
            <w:r w:rsidRPr="00D71C2F">
              <w:rPr>
                <w:rFonts w:ascii="Calibri" w:eastAsia="Times New Roman" w:hAnsi="Calibri" w:cs="Times New Roman"/>
                <w:color w:val="000000"/>
              </w:rPr>
              <w:t>C</w:t>
            </w:r>
            <w:r w:rsidRPr="00D71C2F">
              <w:rPr>
                <w:rFonts w:ascii="Calibri" w:eastAsia="Times New Roman" w:hAnsi="Calibri" w:cs="Times New Roman"/>
                <w:bCs w:val="0"/>
                <w:color w:val="000000"/>
              </w:rPr>
              <w:t>entru</w:t>
            </w: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646961</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714754</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856019</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840609</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770840</w:t>
            </w:r>
          </w:p>
        </w:tc>
      </w:tr>
      <w:tr w:rsidR="00305726" w:rsidRPr="00C512B1" w:rsidTr="005F5D09">
        <w:trPr>
          <w:cnfStyle w:val="000000010000"/>
          <w:trHeight w:val="255"/>
        </w:trPr>
        <w:tc>
          <w:tcPr>
            <w:cnfStyle w:val="001000000000"/>
            <w:tcW w:w="1366" w:type="dxa"/>
            <w:vMerge/>
            <w:hideMark/>
          </w:tcPr>
          <w:p w:rsidR="00305726" w:rsidRPr="00C512B1" w:rsidRDefault="00305726" w:rsidP="005F5D09">
            <w:pP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222964</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223248</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242381</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274714</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308570</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Alba</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425442</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448095</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521545</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499097</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442036</w:t>
            </w:r>
          </w:p>
        </w:tc>
      </w:tr>
      <w:tr w:rsidR="00305726" w:rsidRPr="00C512B1" w:rsidTr="005F5D09">
        <w:trPr>
          <w:cnfStyle w:val="000000010000"/>
          <w:trHeight w:val="273"/>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34361</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34421</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44667</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38865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43308</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Pr>
                <w:rFonts w:ascii="Calibri" w:eastAsia="Times New Roman" w:hAnsi="Calibri" w:cs="Times New Roman"/>
                <w:color w:val="000000"/>
              </w:rPr>
              <w:t>Braș</w:t>
            </w:r>
            <w:r w:rsidRPr="00C512B1">
              <w:rPr>
                <w:rFonts w:ascii="Calibri" w:eastAsia="Times New Roman" w:hAnsi="Calibri" w:cs="Times New Roman"/>
                <w:color w:val="000000"/>
              </w:rPr>
              <w:t>ov</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107593</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139049</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168066</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163691</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150769</w:t>
            </w:r>
          </w:p>
        </w:tc>
      </w:tr>
      <w:tr w:rsidR="00305726" w:rsidRPr="00C512B1" w:rsidTr="005F5D09">
        <w:trPr>
          <w:cnfStyle w:val="000000010000"/>
          <w:trHeight w:val="291"/>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25356</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31375</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29827</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24161</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26600</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Covasna</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9924</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8659</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11517</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15921</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15249</w:t>
            </w:r>
          </w:p>
        </w:tc>
      </w:tr>
      <w:tr w:rsidR="00305726" w:rsidRPr="00C512B1" w:rsidTr="005F5D09">
        <w:trPr>
          <w:cnfStyle w:val="000000010000"/>
          <w:trHeight w:val="291"/>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8056</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7670</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6584</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6694</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7374</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Harghita</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36834</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35672</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43844</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47824</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50131</w:t>
            </w:r>
          </w:p>
        </w:tc>
      </w:tr>
      <w:tr w:rsidR="00305726" w:rsidRPr="00C512B1" w:rsidTr="005F5D09">
        <w:trPr>
          <w:cnfStyle w:val="000000010000"/>
          <w:trHeight w:val="246"/>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39681</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38432</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42389</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52792</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46793</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Mure</w:t>
            </w:r>
            <w:r>
              <w:rPr>
                <w:rFonts w:ascii="Calibri" w:eastAsia="Times New Roman" w:hAnsi="Calibri" w:cs="Times New Roman"/>
                <w:color w:val="000000"/>
              </w:rPr>
              <w:t>ș</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47397</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59241</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90460</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96199</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97442</w:t>
            </w:r>
          </w:p>
        </w:tc>
      </w:tr>
      <w:tr w:rsidR="00305726" w:rsidRPr="00C512B1" w:rsidTr="005F5D09">
        <w:trPr>
          <w:cnfStyle w:val="000000010000"/>
          <w:trHeight w:val="300"/>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65458</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66892</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68055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73307</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77583</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Sibiu</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19771</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24038</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20587</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17877</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15213</w:t>
            </w:r>
          </w:p>
        </w:tc>
      </w:tr>
      <w:tr w:rsidR="00305726" w:rsidRPr="00C512B1" w:rsidTr="005F5D09">
        <w:trPr>
          <w:cnfStyle w:val="000000010000"/>
          <w:trHeight w:val="255"/>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50052</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44458</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50859</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78895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106912</w:t>
            </w:r>
          </w:p>
        </w:tc>
      </w:tr>
    </w:tbl>
    <w:p w:rsidR="00305726" w:rsidRPr="00CB6EA9" w:rsidRDefault="00305726" w:rsidP="00305726">
      <w:pPr>
        <w:spacing w:before="240"/>
        <w:jc w:val="center"/>
        <w:rPr>
          <w:b/>
        </w:rPr>
      </w:pPr>
      <w:r w:rsidRPr="00CB6EA9">
        <w:rPr>
          <w:b/>
        </w:rPr>
        <w:lastRenderedPageBreak/>
        <w:t>Tab. 9 Evoluția ponderii produselor din lemn și a mobilierului în totalul exporturilor</w:t>
      </w:r>
    </w:p>
    <w:p w:rsidR="00305726" w:rsidRPr="00CB6EA9" w:rsidRDefault="00305726" w:rsidP="00305726">
      <w:pPr>
        <w:spacing w:before="240" w:after="0"/>
        <w:jc w:val="right"/>
        <w:rPr>
          <w:b/>
        </w:rPr>
      </w:pPr>
      <w:r w:rsidRPr="00CB6EA9">
        <w:rPr>
          <w:b/>
        </w:rPr>
        <w:t>-%-</w:t>
      </w:r>
    </w:p>
    <w:tbl>
      <w:tblPr>
        <w:tblStyle w:val="Umbriremedie1-Accentuare3"/>
        <w:tblW w:w="9288" w:type="dxa"/>
        <w:tblLook w:val="04A0"/>
      </w:tblPr>
      <w:tblGrid>
        <w:gridCol w:w="1366"/>
        <w:gridCol w:w="3454"/>
        <w:gridCol w:w="810"/>
        <w:gridCol w:w="990"/>
        <w:gridCol w:w="900"/>
        <w:gridCol w:w="884"/>
        <w:gridCol w:w="884"/>
      </w:tblGrid>
      <w:tr w:rsidR="00305726" w:rsidRPr="00C512B1" w:rsidTr="005F5D09">
        <w:trPr>
          <w:cnfStyle w:val="100000000000"/>
          <w:trHeight w:val="300"/>
        </w:trPr>
        <w:tc>
          <w:tcPr>
            <w:cnfStyle w:val="001000000000"/>
            <w:tcW w:w="1366" w:type="dxa"/>
            <w:noWrap/>
            <w:hideMark/>
          </w:tcPr>
          <w:p w:rsidR="00305726" w:rsidRPr="00C512B1" w:rsidRDefault="00305726" w:rsidP="005F5D09">
            <w:pPr>
              <w:rPr>
                <w:rFonts w:ascii="Calibri" w:eastAsia="Times New Roman" w:hAnsi="Calibri" w:cs="Times New Roman"/>
                <w:color w:val="000000"/>
              </w:rPr>
            </w:pPr>
          </w:p>
        </w:tc>
        <w:tc>
          <w:tcPr>
            <w:tcW w:w="3454" w:type="dxa"/>
            <w:hideMark/>
          </w:tcPr>
          <w:p w:rsidR="00305726" w:rsidRPr="00C512B1" w:rsidRDefault="00305726" w:rsidP="005F5D09">
            <w:pPr>
              <w:jc w:val="center"/>
              <w:cnfStyle w:val="100000000000"/>
              <w:rPr>
                <w:rFonts w:ascii="Calibri" w:eastAsia="Times New Roman" w:hAnsi="Calibri" w:cs="Times New Roman"/>
                <w:color w:val="000000"/>
              </w:rPr>
            </w:pPr>
          </w:p>
        </w:tc>
        <w:tc>
          <w:tcPr>
            <w:tcW w:w="810" w:type="dxa"/>
            <w:noWrap/>
            <w:hideMark/>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2011</w:t>
            </w:r>
          </w:p>
        </w:tc>
        <w:tc>
          <w:tcPr>
            <w:tcW w:w="990" w:type="dxa"/>
            <w:noWrap/>
            <w:hideMark/>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2012</w:t>
            </w:r>
          </w:p>
        </w:tc>
        <w:tc>
          <w:tcPr>
            <w:tcW w:w="900" w:type="dxa"/>
            <w:noWrap/>
            <w:hideMark/>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2013</w:t>
            </w:r>
          </w:p>
        </w:tc>
        <w:tc>
          <w:tcPr>
            <w:tcW w:w="884" w:type="dxa"/>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2014</w:t>
            </w:r>
          </w:p>
        </w:tc>
        <w:tc>
          <w:tcPr>
            <w:tcW w:w="884" w:type="dxa"/>
          </w:tcPr>
          <w:p w:rsidR="00305726" w:rsidRPr="00C512B1" w:rsidRDefault="00305726" w:rsidP="005F5D09">
            <w:pPr>
              <w:jc w:val="right"/>
              <w:cnfStyle w:val="100000000000"/>
              <w:rPr>
                <w:rFonts w:ascii="Calibri" w:eastAsia="Times New Roman" w:hAnsi="Calibri" w:cs="Times New Roman"/>
              </w:rPr>
            </w:pPr>
            <w:r>
              <w:rPr>
                <w:rFonts w:ascii="Calibri" w:eastAsia="Times New Roman" w:hAnsi="Calibri" w:cs="Times New Roman"/>
              </w:rPr>
              <w:t>2015</w:t>
            </w:r>
          </w:p>
        </w:tc>
      </w:tr>
      <w:tr w:rsidR="00305726" w:rsidRPr="00C512B1" w:rsidTr="005F5D09">
        <w:trPr>
          <w:cnfStyle w:val="000000100000"/>
          <w:trHeight w:val="300"/>
        </w:trPr>
        <w:tc>
          <w:tcPr>
            <w:cnfStyle w:val="001000000000"/>
            <w:tcW w:w="1366" w:type="dxa"/>
            <w:vMerge w:val="restart"/>
            <w:hideMark/>
          </w:tcPr>
          <w:p w:rsidR="00305726" w:rsidRPr="00D71C2F" w:rsidRDefault="00305726" w:rsidP="005F5D09">
            <w:pPr>
              <w:jc w:val="center"/>
              <w:rPr>
                <w:rFonts w:ascii="Calibri" w:eastAsia="Times New Roman" w:hAnsi="Calibri" w:cs="Times New Roman"/>
                <w:bCs w:val="0"/>
                <w:color w:val="000000"/>
              </w:rPr>
            </w:pPr>
            <w:r w:rsidRPr="00D71C2F">
              <w:rPr>
                <w:rFonts w:ascii="Calibri" w:eastAsia="Times New Roman" w:hAnsi="Calibri" w:cs="Times New Roman"/>
                <w:bCs w:val="0"/>
                <w:color w:val="000000"/>
              </w:rPr>
              <w:t>România</w:t>
            </w:r>
          </w:p>
          <w:p w:rsidR="00305726" w:rsidRPr="00D71C2F"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3,2</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3,6</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3,8</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3,5</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3,3</w:t>
            </w:r>
          </w:p>
        </w:tc>
      </w:tr>
      <w:tr w:rsidR="00305726" w:rsidRPr="00C512B1" w:rsidTr="005F5D09">
        <w:trPr>
          <w:cnfStyle w:val="000000010000"/>
          <w:trHeight w:val="291"/>
        </w:trPr>
        <w:tc>
          <w:tcPr>
            <w:cnfStyle w:val="001000000000"/>
            <w:tcW w:w="1366" w:type="dxa"/>
            <w:vMerge/>
            <w:hideMark/>
          </w:tcPr>
          <w:p w:rsidR="00305726" w:rsidRPr="00D71C2F"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3,3</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3,5</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3,7</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3,9</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4,0</w:t>
            </w:r>
          </w:p>
        </w:tc>
      </w:tr>
      <w:tr w:rsidR="00305726" w:rsidRPr="00C512B1" w:rsidTr="005F5D09">
        <w:trPr>
          <w:cnfStyle w:val="000000100000"/>
          <w:trHeight w:val="336"/>
        </w:trPr>
        <w:tc>
          <w:tcPr>
            <w:cnfStyle w:val="001000000000"/>
            <w:tcW w:w="1366" w:type="dxa"/>
            <w:vMerge w:val="restart"/>
            <w:hideMark/>
          </w:tcPr>
          <w:p w:rsidR="00305726" w:rsidRPr="00D71C2F" w:rsidRDefault="00305726" w:rsidP="005F5D09">
            <w:pPr>
              <w:jc w:val="center"/>
              <w:rPr>
                <w:rFonts w:ascii="Calibri" w:eastAsia="Times New Roman" w:hAnsi="Calibri" w:cs="Times New Roman"/>
                <w:color w:val="000000"/>
              </w:rPr>
            </w:pPr>
            <w:r w:rsidRPr="00D71C2F">
              <w:rPr>
                <w:rFonts w:ascii="Calibri" w:eastAsia="Times New Roman" w:hAnsi="Calibri" w:cs="Times New Roman"/>
                <w:color w:val="000000"/>
              </w:rPr>
              <w:t>R</w:t>
            </w:r>
            <w:r w:rsidRPr="00D71C2F">
              <w:rPr>
                <w:rFonts w:ascii="Calibri" w:eastAsia="Times New Roman" w:hAnsi="Calibri" w:cs="Times New Roman"/>
                <w:bCs w:val="0"/>
                <w:color w:val="000000"/>
              </w:rPr>
              <w:t xml:space="preserve">egiunea </w:t>
            </w:r>
            <w:r w:rsidRPr="00D71C2F">
              <w:rPr>
                <w:rFonts w:ascii="Calibri" w:eastAsia="Times New Roman" w:hAnsi="Calibri" w:cs="Times New Roman"/>
                <w:color w:val="000000"/>
              </w:rPr>
              <w:t>C</w:t>
            </w:r>
            <w:r w:rsidRPr="00D71C2F">
              <w:rPr>
                <w:rFonts w:ascii="Calibri" w:eastAsia="Times New Roman" w:hAnsi="Calibri" w:cs="Times New Roman"/>
                <w:bCs w:val="0"/>
                <w:color w:val="000000"/>
              </w:rPr>
              <w:t>entru</w:t>
            </w: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11,2</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11,8</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12,6</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11,3</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10,1</w:t>
            </w:r>
          </w:p>
        </w:tc>
      </w:tr>
      <w:tr w:rsidR="00305726" w:rsidRPr="00C512B1" w:rsidTr="005F5D09">
        <w:trPr>
          <w:cnfStyle w:val="000000010000"/>
          <w:trHeight w:val="255"/>
        </w:trPr>
        <w:tc>
          <w:tcPr>
            <w:cnfStyle w:val="001000000000"/>
            <w:tcW w:w="1366" w:type="dxa"/>
            <w:vMerge/>
            <w:hideMark/>
          </w:tcPr>
          <w:p w:rsidR="00305726" w:rsidRPr="00C512B1" w:rsidRDefault="00305726" w:rsidP="005F5D09">
            <w:pP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3,8</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3,7</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3,6</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3,7</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4,0</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Alba</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47,9</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49,4</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48,5</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39,4</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43,2</w:t>
            </w:r>
          </w:p>
        </w:tc>
      </w:tr>
      <w:tr w:rsidR="00305726" w:rsidRPr="00C512B1" w:rsidTr="005F5D09">
        <w:trPr>
          <w:cnfStyle w:val="000000010000"/>
          <w:trHeight w:val="273"/>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3,9</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3,8</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4,2</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3,1</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4,2</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Pr>
                <w:rFonts w:ascii="Calibri" w:eastAsia="Times New Roman" w:hAnsi="Calibri" w:cs="Times New Roman"/>
                <w:color w:val="000000"/>
              </w:rPr>
              <w:t>Braș</w:t>
            </w:r>
            <w:r w:rsidRPr="00C512B1">
              <w:rPr>
                <w:rFonts w:ascii="Calibri" w:eastAsia="Times New Roman" w:hAnsi="Calibri" w:cs="Times New Roman"/>
                <w:color w:val="000000"/>
              </w:rPr>
              <w:t>ov</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5,9</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7,1</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7,4</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6,6</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5,4</w:t>
            </w:r>
          </w:p>
        </w:tc>
      </w:tr>
      <w:tr w:rsidR="00305726" w:rsidRPr="00C512B1" w:rsidTr="005F5D09">
        <w:trPr>
          <w:cnfStyle w:val="000000010000"/>
          <w:trHeight w:val="291"/>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1,4</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1,6</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1,3</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1,0</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1,0</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Covasna</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3,6</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3,2</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3,7</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4,5</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5,2</w:t>
            </w:r>
          </w:p>
        </w:tc>
      </w:tr>
      <w:tr w:rsidR="00305726" w:rsidRPr="00C512B1" w:rsidTr="005F5D09">
        <w:trPr>
          <w:cnfStyle w:val="000000010000"/>
          <w:trHeight w:val="291"/>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2,9</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2,8</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2,1</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1,9</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2,5</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Harghita</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13,3</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13,3</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14,6</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15,4</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16,5</w:t>
            </w:r>
          </w:p>
        </w:tc>
      </w:tr>
      <w:tr w:rsidR="00305726" w:rsidRPr="00C512B1" w:rsidTr="005F5D09">
        <w:trPr>
          <w:cnfStyle w:val="000000010000"/>
          <w:trHeight w:val="246"/>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14,3</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14,3</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14,1</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17,0</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15,4</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Mure</w:t>
            </w:r>
            <w:r>
              <w:rPr>
                <w:rFonts w:ascii="Calibri" w:eastAsia="Times New Roman" w:hAnsi="Calibri" w:cs="Times New Roman"/>
                <w:color w:val="000000"/>
              </w:rPr>
              <w:t>ș</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6,3</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7,4</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10,9</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11,1</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10,4</w:t>
            </w:r>
          </w:p>
        </w:tc>
      </w:tr>
      <w:tr w:rsidR="00305726" w:rsidRPr="00C512B1" w:rsidTr="005F5D09">
        <w:trPr>
          <w:cnfStyle w:val="000000010000"/>
          <w:trHeight w:val="300"/>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8,7</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8,3</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8,2</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8,5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8,3</w:t>
            </w:r>
          </w:p>
        </w:tc>
      </w:tr>
      <w:tr w:rsidR="00305726" w:rsidRPr="00C512B1" w:rsidTr="005F5D09">
        <w:trPr>
          <w:cnfStyle w:val="000000100000"/>
          <w:trHeight w:val="300"/>
        </w:trPr>
        <w:tc>
          <w:tcPr>
            <w:cnfStyle w:val="001000000000"/>
            <w:tcW w:w="1366" w:type="dxa"/>
            <w:vMerge w:val="restart"/>
            <w:hideMark/>
          </w:tcPr>
          <w:p w:rsidR="00305726" w:rsidRPr="00C512B1" w:rsidRDefault="00305726" w:rsidP="005F5D09">
            <w:pPr>
              <w:jc w:val="center"/>
              <w:rPr>
                <w:rFonts w:ascii="Calibri" w:eastAsia="Times New Roman" w:hAnsi="Calibri" w:cs="Times New Roman"/>
                <w:b w:val="0"/>
                <w:bCs w:val="0"/>
                <w:color w:val="000000"/>
              </w:rPr>
            </w:pPr>
            <w:r w:rsidRPr="00C512B1">
              <w:rPr>
                <w:rFonts w:ascii="Calibri" w:eastAsia="Times New Roman" w:hAnsi="Calibri" w:cs="Times New Roman"/>
                <w:color w:val="000000"/>
              </w:rPr>
              <w:t>Sibiu</w:t>
            </w:r>
          </w:p>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100000"/>
              <w:rPr>
                <w:rFonts w:ascii="Calibri" w:eastAsia="Times New Roman" w:hAnsi="Calibri" w:cs="Times New Roman"/>
                <w:b/>
                <w:bCs/>
                <w:color w:val="000000"/>
              </w:rPr>
            </w:pPr>
            <w:r w:rsidRPr="00C512B1">
              <w:rPr>
                <w:rFonts w:ascii="Calibri" w:eastAsia="Times New Roman" w:hAnsi="Calibri" w:cs="Times New Roman"/>
                <w:b/>
                <w:bCs/>
                <w:color w:val="000000"/>
              </w:rPr>
              <w:t xml:space="preserve"> Produse din lemn, exclusiv mobilier</w:t>
            </w:r>
          </w:p>
        </w:tc>
        <w:tc>
          <w:tcPr>
            <w:tcW w:w="810" w:type="dxa"/>
            <w:noWrap/>
            <w:hideMark/>
          </w:tcPr>
          <w:p w:rsidR="00305726" w:rsidRDefault="00305726" w:rsidP="005F5D09">
            <w:pPr>
              <w:jc w:val="right"/>
              <w:cnfStyle w:val="000000100000"/>
              <w:rPr>
                <w:rFonts w:ascii="Calibri" w:hAnsi="Calibri"/>
                <w:color w:val="000000"/>
              </w:rPr>
            </w:pPr>
            <w:r>
              <w:rPr>
                <w:rFonts w:ascii="Calibri" w:hAnsi="Calibri"/>
                <w:color w:val="000000"/>
              </w:rPr>
              <w:t>1,1</w:t>
            </w:r>
          </w:p>
        </w:tc>
        <w:tc>
          <w:tcPr>
            <w:tcW w:w="990" w:type="dxa"/>
            <w:noWrap/>
            <w:hideMark/>
          </w:tcPr>
          <w:p w:rsidR="00305726" w:rsidRDefault="00305726" w:rsidP="005F5D09">
            <w:pPr>
              <w:jc w:val="right"/>
              <w:cnfStyle w:val="000000100000"/>
              <w:rPr>
                <w:rFonts w:ascii="Calibri" w:hAnsi="Calibri"/>
                <w:color w:val="000000"/>
              </w:rPr>
            </w:pPr>
            <w:r>
              <w:rPr>
                <w:rFonts w:ascii="Calibri" w:hAnsi="Calibri"/>
                <w:color w:val="000000"/>
              </w:rPr>
              <w:t>1,3</w:t>
            </w:r>
          </w:p>
        </w:tc>
        <w:tc>
          <w:tcPr>
            <w:tcW w:w="900" w:type="dxa"/>
            <w:noWrap/>
            <w:hideMark/>
          </w:tcPr>
          <w:p w:rsidR="00305726" w:rsidRDefault="00305726" w:rsidP="005F5D09">
            <w:pPr>
              <w:jc w:val="right"/>
              <w:cnfStyle w:val="000000100000"/>
              <w:rPr>
                <w:rFonts w:ascii="Calibri" w:hAnsi="Calibri"/>
                <w:color w:val="000000"/>
              </w:rPr>
            </w:pPr>
            <w:r>
              <w:rPr>
                <w:rFonts w:ascii="Calibri" w:hAnsi="Calibri"/>
                <w:color w:val="000000"/>
              </w:rPr>
              <w:t>1,0</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0,8</w:t>
            </w:r>
          </w:p>
        </w:tc>
        <w:tc>
          <w:tcPr>
            <w:tcW w:w="884" w:type="dxa"/>
          </w:tcPr>
          <w:p w:rsidR="00305726" w:rsidRDefault="00305726" w:rsidP="005F5D09">
            <w:pPr>
              <w:jc w:val="right"/>
              <w:cnfStyle w:val="000000100000"/>
              <w:rPr>
                <w:rFonts w:ascii="Calibri" w:hAnsi="Calibri"/>
                <w:color w:val="000000"/>
              </w:rPr>
            </w:pPr>
            <w:r>
              <w:rPr>
                <w:rFonts w:ascii="Calibri" w:hAnsi="Calibri"/>
                <w:color w:val="000000"/>
              </w:rPr>
              <w:t>0,7</w:t>
            </w:r>
          </w:p>
        </w:tc>
      </w:tr>
      <w:tr w:rsidR="00305726" w:rsidRPr="00C512B1" w:rsidTr="005F5D09">
        <w:trPr>
          <w:cnfStyle w:val="000000010000"/>
          <w:trHeight w:val="255"/>
        </w:trPr>
        <w:tc>
          <w:tcPr>
            <w:cnfStyle w:val="001000000000"/>
            <w:tcW w:w="1366" w:type="dxa"/>
            <w:vMerge/>
            <w:hideMark/>
          </w:tcPr>
          <w:p w:rsidR="00305726" w:rsidRPr="00C512B1" w:rsidRDefault="00305726" w:rsidP="005F5D09">
            <w:pPr>
              <w:jc w:val="center"/>
              <w:rPr>
                <w:rFonts w:ascii="Calibri" w:eastAsia="Times New Roman" w:hAnsi="Calibri" w:cs="Times New Roman"/>
                <w:color w:val="000000"/>
              </w:rPr>
            </w:pPr>
          </w:p>
        </w:tc>
        <w:tc>
          <w:tcPr>
            <w:tcW w:w="3454" w:type="dxa"/>
            <w:hideMark/>
          </w:tcPr>
          <w:p w:rsidR="00305726" w:rsidRPr="00C512B1" w:rsidRDefault="00305726" w:rsidP="005F5D09">
            <w:pPr>
              <w:cnfStyle w:val="000000010000"/>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C512B1">
              <w:rPr>
                <w:rFonts w:ascii="Calibri" w:eastAsia="Times New Roman" w:hAnsi="Calibri" w:cs="Times New Roman"/>
                <w:b/>
                <w:bCs/>
                <w:color w:val="000000"/>
              </w:rPr>
              <w:t>Mobila</w:t>
            </w:r>
          </w:p>
        </w:tc>
        <w:tc>
          <w:tcPr>
            <w:tcW w:w="810" w:type="dxa"/>
            <w:noWrap/>
            <w:hideMark/>
          </w:tcPr>
          <w:p w:rsidR="00305726" w:rsidRDefault="00305726" w:rsidP="005F5D09">
            <w:pPr>
              <w:jc w:val="right"/>
              <w:cnfStyle w:val="000000010000"/>
              <w:rPr>
                <w:rFonts w:ascii="Calibri" w:hAnsi="Calibri"/>
                <w:color w:val="000000"/>
              </w:rPr>
            </w:pPr>
            <w:r>
              <w:rPr>
                <w:rFonts w:ascii="Calibri" w:hAnsi="Calibri"/>
                <w:color w:val="000000"/>
              </w:rPr>
              <w:t>2,8</w:t>
            </w:r>
          </w:p>
        </w:tc>
        <w:tc>
          <w:tcPr>
            <w:tcW w:w="990" w:type="dxa"/>
            <w:noWrap/>
            <w:hideMark/>
          </w:tcPr>
          <w:p w:rsidR="00305726" w:rsidRDefault="00305726" w:rsidP="005F5D09">
            <w:pPr>
              <w:jc w:val="right"/>
              <w:cnfStyle w:val="000000010000"/>
              <w:rPr>
                <w:rFonts w:ascii="Calibri" w:hAnsi="Calibri"/>
                <w:color w:val="000000"/>
              </w:rPr>
            </w:pPr>
            <w:r>
              <w:rPr>
                <w:rFonts w:ascii="Calibri" w:hAnsi="Calibri"/>
                <w:color w:val="000000"/>
              </w:rPr>
              <w:t>2,4</w:t>
            </w:r>
          </w:p>
        </w:tc>
        <w:tc>
          <w:tcPr>
            <w:tcW w:w="900" w:type="dxa"/>
            <w:noWrap/>
            <w:hideMark/>
          </w:tcPr>
          <w:p w:rsidR="00305726" w:rsidRDefault="00305726" w:rsidP="005F5D09">
            <w:pPr>
              <w:jc w:val="right"/>
              <w:cnfStyle w:val="000000010000"/>
              <w:rPr>
                <w:rFonts w:ascii="Calibri" w:hAnsi="Calibri"/>
                <w:color w:val="000000"/>
              </w:rPr>
            </w:pPr>
            <w:r>
              <w:rPr>
                <w:rFonts w:ascii="Calibri" w:hAnsi="Calibri"/>
                <w:color w:val="000000"/>
              </w:rPr>
              <w:t>2,5</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3,6</w:t>
            </w:r>
          </w:p>
        </w:tc>
        <w:tc>
          <w:tcPr>
            <w:tcW w:w="884" w:type="dxa"/>
          </w:tcPr>
          <w:p w:rsidR="00305726" w:rsidRDefault="00305726" w:rsidP="005F5D09">
            <w:pPr>
              <w:jc w:val="right"/>
              <w:cnfStyle w:val="000000010000"/>
              <w:rPr>
                <w:rFonts w:ascii="Calibri" w:hAnsi="Calibri"/>
                <w:color w:val="000000"/>
              </w:rPr>
            </w:pPr>
            <w:r>
              <w:rPr>
                <w:rFonts w:ascii="Calibri" w:hAnsi="Calibri"/>
                <w:color w:val="000000"/>
              </w:rPr>
              <w:t>4,6</w:t>
            </w:r>
          </w:p>
        </w:tc>
      </w:tr>
    </w:tbl>
    <w:p w:rsidR="00305726" w:rsidRDefault="00305726" w:rsidP="00305726">
      <w:pPr>
        <w:pStyle w:val="Titlu3"/>
      </w:pPr>
    </w:p>
    <w:p w:rsidR="00305726" w:rsidRPr="00305726" w:rsidRDefault="00305726" w:rsidP="00305726">
      <w:pPr>
        <w:pStyle w:val="Titlu3"/>
      </w:pPr>
      <w:r w:rsidRPr="004F0654">
        <w:t>Indicele de specializare a exporturilor</w:t>
      </w:r>
    </w:p>
    <w:p w:rsidR="00305726" w:rsidRPr="004F0654" w:rsidRDefault="00305726" w:rsidP="00305726">
      <w:pPr>
        <w:jc w:val="both"/>
        <w:rPr>
          <w:rStyle w:val="apple-converted-space"/>
          <w:sz w:val="24"/>
          <w:szCs w:val="24"/>
          <w:shd w:val="clear" w:color="auto" w:fill="FFFFFF"/>
        </w:rPr>
      </w:pPr>
      <w:r w:rsidRPr="004F0654">
        <w:rPr>
          <w:sz w:val="24"/>
          <w:szCs w:val="24"/>
        </w:rPr>
        <w:t>La nivel internațional, un indicator frecvent utilizat este</w:t>
      </w:r>
      <w:r w:rsidRPr="004F0654">
        <w:rPr>
          <w:b/>
          <w:sz w:val="24"/>
          <w:szCs w:val="24"/>
        </w:rPr>
        <w:t xml:space="preserve"> Indicele avantajului comparativ RCA (revealed comparative advantage sau indicele Balassa). </w:t>
      </w:r>
      <w:r w:rsidRPr="004F0654">
        <w:rPr>
          <w:sz w:val="24"/>
          <w:szCs w:val="24"/>
        </w:rPr>
        <w:t xml:space="preserve">Acest indicator </w:t>
      </w:r>
      <w:r w:rsidRPr="004F0654">
        <w:rPr>
          <w:b/>
          <w:sz w:val="24"/>
          <w:szCs w:val="24"/>
        </w:rPr>
        <w:t xml:space="preserve"> </w:t>
      </w:r>
      <w:r w:rsidRPr="004F0654">
        <w:rPr>
          <w:sz w:val="24"/>
          <w:szCs w:val="24"/>
        </w:rPr>
        <w:t xml:space="preserve">servește la determinarea avantajului / dezavantajului relativ pe care îl deține o țară îl are în comerțul internațional pentru o anumită clasă de bunuri și servicii. Dacă valoarea indicatorului este supraunitară țara respectivă are un avantaj comparativ,  iar dacă este subunitară, există un dezavantaj comparativ pentru respectiva clasă de bunuri și servicii. Aplicat în cadrul unei analize la nivelul unei singure țări, indicele Balassa nu are aceeași relevanță, însă pornind de la formula de calcul al indicelui RCA, s-a construit un </w:t>
      </w:r>
      <w:r w:rsidRPr="004F0654">
        <w:rPr>
          <w:b/>
          <w:sz w:val="24"/>
          <w:szCs w:val="24"/>
        </w:rPr>
        <w:t>indice de specializare sectorială a exporturilor (ISSE),</w:t>
      </w:r>
      <w:r w:rsidRPr="004F0654">
        <w:rPr>
          <w:sz w:val="24"/>
          <w:szCs w:val="24"/>
        </w:rPr>
        <w:t xml:space="preserve"> având următoarea formulă  </w:t>
      </w:r>
      <w:r w:rsidRPr="004F0654">
        <w:rPr>
          <w:b/>
          <w:sz w:val="24"/>
          <w:szCs w:val="24"/>
          <w:shd w:val="clear" w:color="auto" w:fill="FFFFFF"/>
        </w:rPr>
        <w:t>ISSE</w:t>
      </w:r>
      <w:r w:rsidRPr="004F0654">
        <w:rPr>
          <w:b/>
          <w:sz w:val="24"/>
          <w:szCs w:val="24"/>
          <w:bdr w:val="none" w:sz="0" w:space="0" w:color="auto" w:frame="1"/>
          <w:shd w:val="clear" w:color="auto" w:fill="FFFFFF"/>
          <w:vertAlign w:val="subscript"/>
        </w:rPr>
        <w:t>ij</w:t>
      </w:r>
      <w:r w:rsidRPr="004F0654">
        <w:rPr>
          <w:rStyle w:val="apple-converted-space"/>
          <w:sz w:val="24"/>
          <w:szCs w:val="24"/>
          <w:shd w:val="clear" w:color="auto" w:fill="FFFFFF"/>
        </w:rPr>
        <w:t> </w:t>
      </w:r>
      <w:r w:rsidRPr="004F0654">
        <w:rPr>
          <w:b/>
          <w:sz w:val="24"/>
          <w:szCs w:val="24"/>
          <w:shd w:val="clear" w:color="auto" w:fill="FFFFFF"/>
        </w:rPr>
        <w:t>= (x</w:t>
      </w:r>
      <w:r w:rsidRPr="004F0654">
        <w:rPr>
          <w:b/>
          <w:sz w:val="24"/>
          <w:szCs w:val="24"/>
          <w:bdr w:val="none" w:sz="0" w:space="0" w:color="auto" w:frame="1"/>
          <w:shd w:val="clear" w:color="auto" w:fill="FFFFFF"/>
          <w:vertAlign w:val="subscript"/>
        </w:rPr>
        <w:t>ij</w:t>
      </w:r>
      <w:r w:rsidRPr="004F0654">
        <w:rPr>
          <w:b/>
          <w:sz w:val="24"/>
          <w:szCs w:val="24"/>
          <w:shd w:val="clear" w:color="auto" w:fill="FFFFFF"/>
        </w:rPr>
        <w:t>/X</w:t>
      </w:r>
      <w:r w:rsidRPr="004F0654">
        <w:rPr>
          <w:b/>
          <w:sz w:val="24"/>
          <w:szCs w:val="24"/>
          <w:bdr w:val="none" w:sz="0" w:space="0" w:color="auto" w:frame="1"/>
          <w:shd w:val="clear" w:color="auto" w:fill="FFFFFF"/>
          <w:vertAlign w:val="subscript"/>
        </w:rPr>
        <w:t>it</w:t>
      </w:r>
      <w:r w:rsidRPr="004F0654">
        <w:rPr>
          <w:b/>
          <w:sz w:val="24"/>
          <w:szCs w:val="24"/>
          <w:shd w:val="clear" w:color="auto" w:fill="FFFFFF"/>
        </w:rPr>
        <w:t>) / (x</w:t>
      </w:r>
      <w:r w:rsidRPr="004F0654">
        <w:rPr>
          <w:b/>
          <w:sz w:val="24"/>
          <w:szCs w:val="24"/>
          <w:bdr w:val="none" w:sz="0" w:space="0" w:color="auto" w:frame="1"/>
          <w:shd w:val="clear" w:color="auto" w:fill="FFFFFF"/>
          <w:vertAlign w:val="subscript"/>
        </w:rPr>
        <w:t>nj</w:t>
      </w:r>
      <w:r w:rsidRPr="004F0654">
        <w:rPr>
          <w:b/>
          <w:sz w:val="24"/>
          <w:szCs w:val="24"/>
          <w:shd w:val="clear" w:color="auto" w:fill="FFFFFF"/>
        </w:rPr>
        <w:t>/Xn</w:t>
      </w:r>
      <w:r w:rsidRPr="004F0654">
        <w:rPr>
          <w:b/>
          <w:sz w:val="24"/>
          <w:szCs w:val="24"/>
          <w:bdr w:val="none" w:sz="0" w:space="0" w:color="auto" w:frame="1"/>
          <w:shd w:val="clear" w:color="auto" w:fill="FFFFFF"/>
          <w:vertAlign w:val="subscript"/>
        </w:rPr>
        <w:t>t</w:t>
      </w:r>
      <w:r w:rsidRPr="004F0654">
        <w:rPr>
          <w:b/>
          <w:sz w:val="24"/>
          <w:szCs w:val="24"/>
          <w:shd w:val="clear" w:color="auto" w:fill="FFFFFF"/>
        </w:rPr>
        <w:t>)</w:t>
      </w:r>
      <w:r w:rsidRPr="004F0654">
        <w:rPr>
          <w:sz w:val="24"/>
          <w:szCs w:val="24"/>
          <w:shd w:val="clear" w:color="auto" w:fill="FFFFFF"/>
        </w:rPr>
        <w:t>, unde x</w:t>
      </w:r>
      <w:r w:rsidRPr="004F0654">
        <w:rPr>
          <w:sz w:val="24"/>
          <w:szCs w:val="24"/>
          <w:bdr w:val="none" w:sz="0" w:space="0" w:color="auto" w:frame="1"/>
          <w:shd w:val="clear" w:color="auto" w:fill="FFFFFF"/>
          <w:vertAlign w:val="subscript"/>
        </w:rPr>
        <w:t>ij</w:t>
      </w:r>
      <w:r w:rsidRPr="004F0654">
        <w:rPr>
          <w:rStyle w:val="apple-converted-space"/>
          <w:sz w:val="24"/>
          <w:szCs w:val="24"/>
          <w:shd w:val="clear" w:color="auto" w:fill="FFFFFF"/>
        </w:rPr>
        <w:t> </w:t>
      </w:r>
      <w:r w:rsidRPr="004F0654">
        <w:rPr>
          <w:sz w:val="24"/>
          <w:szCs w:val="24"/>
          <w:shd w:val="clear" w:color="auto" w:fill="FFFFFF"/>
        </w:rPr>
        <w:t>și x</w:t>
      </w:r>
      <w:r w:rsidRPr="004F0654">
        <w:rPr>
          <w:sz w:val="24"/>
          <w:szCs w:val="24"/>
          <w:shd w:val="clear" w:color="auto" w:fill="FFFFFF"/>
          <w:vertAlign w:val="subscript"/>
        </w:rPr>
        <w:t>n</w:t>
      </w:r>
      <w:r w:rsidRPr="004F0654">
        <w:rPr>
          <w:sz w:val="24"/>
          <w:szCs w:val="24"/>
          <w:bdr w:val="none" w:sz="0" w:space="0" w:color="auto" w:frame="1"/>
          <w:shd w:val="clear" w:color="auto" w:fill="FFFFFF"/>
          <w:vertAlign w:val="subscript"/>
        </w:rPr>
        <w:t>j</w:t>
      </w:r>
      <w:r w:rsidRPr="004F0654">
        <w:rPr>
          <w:rStyle w:val="apple-converted-space"/>
          <w:sz w:val="24"/>
          <w:szCs w:val="24"/>
          <w:shd w:val="clear" w:color="auto" w:fill="FFFFFF"/>
        </w:rPr>
        <w:t xml:space="preserve"> reprezintă exporturile Regiunii i de mărfuri aparținând grupei j respectiv exportul național de produse aparținând grupei j, iar </w:t>
      </w:r>
      <w:r w:rsidRPr="004F0654">
        <w:rPr>
          <w:sz w:val="24"/>
          <w:szCs w:val="24"/>
          <w:shd w:val="clear" w:color="auto" w:fill="FFFFFF"/>
        </w:rPr>
        <w:t>X</w:t>
      </w:r>
      <w:r w:rsidRPr="004F0654">
        <w:rPr>
          <w:sz w:val="24"/>
          <w:szCs w:val="24"/>
          <w:bdr w:val="none" w:sz="0" w:space="0" w:color="auto" w:frame="1"/>
          <w:shd w:val="clear" w:color="auto" w:fill="FFFFFF"/>
          <w:vertAlign w:val="subscript"/>
        </w:rPr>
        <w:t>it</w:t>
      </w:r>
      <w:r w:rsidRPr="004F0654">
        <w:rPr>
          <w:rStyle w:val="apple-converted-space"/>
          <w:sz w:val="24"/>
          <w:szCs w:val="24"/>
          <w:shd w:val="clear" w:color="auto" w:fill="FFFFFF"/>
        </w:rPr>
        <w:t> și</w:t>
      </w:r>
      <w:r w:rsidRPr="004F0654">
        <w:rPr>
          <w:sz w:val="24"/>
          <w:szCs w:val="24"/>
          <w:shd w:val="clear" w:color="auto" w:fill="FFFFFF"/>
        </w:rPr>
        <w:t xml:space="preserve"> X</w:t>
      </w:r>
      <w:r w:rsidRPr="004F0654">
        <w:rPr>
          <w:sz w:val="24"/>
          <w:szCs w:val="24"/>
          <w:shd w:val="clear" w:color="auto" w:fill="FFFFFF"/>
          <w:vertAlign w:val="subscript"/>
        </w:rPr>
        <w:t>n</w:t>
      </w:r>
      <w:r w:rsidRPr="004F0654">
        <w:rPr>
          <w:sz w:val="24"/>
          <w:szCs w:val="24"/>
          <w:bdr w:val="none" w:sz="0" w:space="0" w:color="auto" w:frame="1"/>
          <w:shd w:val="clear" w:color="auto" w:fill="FFFFFF"/>
          <w:vertAlign w:val="subscript"/>
        </w:rPr>
        <w:t>t</w:t>
      </w:r>
      <w:r w:rsidRPr="004F0654">
        <w:rPr>
          <w:rStyle w:val="apple-converted-space"/>
          <w:sz w:val="24"/>
          <w:szCs w:val="24"/>
          <w:shd w:val="clear" w:color="auto" w:fill="FFFFFF"/>
        </w:rPr>
        <w:t xml:space="preserve"> reprezintă exportul total regional respectiv exportul total național. Acest indice arată în ce măsură ponderea la nivel regional/județean a exporturilor unei grupe de mărfuri depășește sau, dimpotrivă, este inferioară ponderii deținută de respectiva grupă de mărfuri în cadrul exporturilor realizate la nivel național.  </w:t>
      </w:r>
    </w:p>
    <w:p w:rsidR="00305726" w:rsidRPr="004F0654" w:rsidRDefault="00305726" w:rsidP="00305726">
      <w:pPr>
        <w:jc w:val="both"/>
        <w:rPr>
          <w:b/>
          <w:sz w:val="24"/>
          <w:szCs w:val="24"/>
        </w:rPr>
      </w:pPr>
      <w:r w:rsidRPr="004F0654">
        <w:rPr>
          <w:rStyle w:val="apple-converted-space"/>
          <w:sz w:val="24"/>
          <w:szCs w:val="24"/>
          <w:shd w:val="clear" w:color="auto" w:fill="FFFFFF"/>
        </w:rPr>
        <w:lastRenderedPageBreak/>
        <w:t xml:space="preserve">În cazul Regiunii Centru, indicele de specializare a exporturilor pentru sectorul </w:t>
      </w:r>
      <w:r>
        <w:rPr>
          <w:rStyle w:val="apple-converted-space"/>
          <w:sz w:val="24"/>
          <w:szCs w:val="24"/>
          <w:shd w:val="clear" w:color="auto" w:fill="FFFFFF"/>
        </w:rPr>
        <w:t>lemn și mobilă</w:t>
      </w:r>
      <w:r w:rsidRPr="004F0654">
        <w:rPr>
          <w:rStyle w:val="apple-converted-space"/>
          <w:sz w:val="24"/>
          <w:szCs w:val="24"/>
          <w:shd w:val="clear" w:color="auto" w:fill="FFFFFF"/>
        </w:rPr>
        <w:t xml:space="preserve"> în anul 201</w:t>
      </w:r>
      <w:r>
        <w:rPr>
          <w:rStyle w:val="apple-converted-space"/>
          <w:sz w:val="24"/>
          <w:szCs w:val="24"/>
          <w:shd w:val="clear" w:color="auto" w:fill="FFFFFF"/>
        </w:rPr>
        <w:t>5</w:t>
      </w:r>
      <w:r w:rsidRPr="004F0654">
        <w:rPr>
          <w:rStyle w:val="apple-converted-space"/>
          <w:sz w:val="24"/>
          <w:szCs w:val="24"/>
          <w:shd w:val="clear" w:color="auto" w:fill="FFFFFF"/>
        </w:rPr>
        <w:t xml:space="preserve"> a fost de 1,</w:t>
      </w:r>
      <w:r>
        <w:rPr>
          <w:rStyle w:val="apple-converted-space"/>
          <w:sz w:val="24"/>
          <w:szCs w:val="24"/>
          <w:shd w:val="clear" w:color="auto" w:fill="FFFFFF"/>
        </w:rPr>
        <w:t>9</w:t>
      </w:r>
      <w:r w:rsidRPr="004F0654">
        <w:rPr>
          <w:rStyle w:val="apple-converted-space"/>
          <w:sz w:val="24"/>
          <w:szCs w:val="24"/>
          <w:shd w:val="clear" w:color="auto" w:fill="FFFFFF"/>
        </w:rPr>
        <w:t xml:space="preserve"> și, ca urmare, putem vorbi de o anumită prevalență a </w:t>
      </w:r>
      <w:r>
        <w:rPr>
          <w:rStyle w:val="apple-converted-space"/>
          <w:sz w:val="24"/>
          <w:szCs w:val="24"/>
          <w:shd w:val="clear" w:color="auto" w:fill="FFFFFF"/>
        </w:rPr>
        <w:t>acestui sector</w:t>
      </w:r>
      <w:r w:rsidRPr="004F0654">
        <w:rPr>
          <w:rStyle w:val="apple-converted-space"/>
          <w:sz w:val="24"/>
          <w:szCs w:val="24"/>
          <w:shd w:val="clear" w:color="auto" w:fill="FFFFFF"/>
        </w:rPr>
        <w:t xml:space="preserve"> comparativ cu situația la nivel național. Detaliind analiza la nivelul Regiunii Centru, se remarcă faptul că trei  județe înregistrează o valoare supraunitară a indicelui de specializare sectorială  a exporturilor pentru sectorul </w:t>
      </w:r>
      <w:r>
        <w:rPr>
          <w:rStyle w:val="apple-converted-space"/>
          <w:sz w:val="24"/>
          <w:szCs w:val="24"/>
          <w:shd w:val="clear" w:color="auto" w:fill="FFFFFF"/>
        </w:rPr>
        <w:t>lemn și mobilă</w:t>
      </w:r>
      <w:r w:rsidRPr="004F0654">
        <w:rPr>
          <w:rStyle w:val="apple-converted-space"/>
          <w:sz w:val="24"/>
          <w:szCs w:val="24"/>
          <w:shd w:val="clear" w:color="auto" w:fill="FFFFFF"/>
        </w:rPr>
        <w:t xml:space="preserve">  (Alba, </w:t>
      </w:r>
      <w:r>
        <w:rPr>
          <w:rStyle w:val="apple-converted-space"/>
          <w:sz w:val="24"/>
          <w:szCs w:val="24"/>
          <w:shd w:val="clear" w:color="auto" w:fill="FFFFFF"/>
        </w:rPr>
        <w:t>Harghita, Mureș</w:t>
      </w:r>
      <w:r w:rsidRPr="004F0654">
        <w:rPr>
          <w:rStyle w:val="apple-converted-space"/>
          <w:sz w:val="24"/>
          <w:szCs w:val="24"/>
          <w:shd w:val="clear" w:color="auto" w:fill="FFFFFF"/>
        </w:rPr>
        <w:t xml:space="preserve">). Aceste cifre sunt în concordanță cu celelalte date statistice și conturează o anumită specializare  în domeniul industriei </w:t>
      </w:r>
      <w:r>
        <w:rPr>
          <w:rStyle w:val="apple-converted-space"/>
          <w:sz w:val="24"/>
          <w:szCs w:val="24"/>
          <w:shd w:val="clear" w:color="auto" w:fill="FFFFFF"/>
        </w:rPr>
        <w:t>lemnului și mobilei</w:t>
      </w:r>
      <w:r w:rsidRPr="004F0654">
        <w:rPr>
          <w:rStyle w:val="apple-converted-space"/>
          <w:sz w:val="24"/>
          <w:szCs w:val="24"/>
          <w:shd w:val="clear" w:color="auto" w:fill="FFFFFF"/>
        </w:rPr>
        <w:t xml:space="preserve"> a celor trei județe menționate anterior.</w:t>
      </w:r>
    </w:p>
    <w:p w:rsidR="00305726" w:rsidRPr="004F0654" w:rsidRDefault="00305726" w:rsidP="00305726">
      <w:pPr>
        <w:jc w:val="center"/>
        <w:rPr>
          <w:b/>
          <w:sz w:val="24"/>
          <w:szCs w:val="24"/>
        </w:rPr>
      </w:pPr>
      <w:r>
        <w:rPr>
          <w:b/>
          <w:sz w:val="24"/>
          <w:szCs w:val="24"/>
        </w:rPr>
        <w:t>Tab. 10</w:t>
      </w:r>
      <w:r w:rsidRPr="004F0654">
        <w:rPr>
          <w:b/>
          <w:sz w:val="24"/>
          <w:szCs w:val="24"/>
        </w:rPr>
        <w:t xml:space="preserve"> Indicele de specializare a exporturilor pentru sectorul industriei </w:t>
      </w:r>
      <w:r>
        <w:rPr>
          <w:b/>
          <w:sz w:val="24"/>
          <w:szCs w:val="24"/>
        </w:rPr>
        <w:t>lemnului și mobilei</w:t>
      </w:r>
    </w:p>
    <w:tbl>
      <w:tblPr>
        <w:tblStyle w:val="Umbriremedie1-Accentuare3"/>
        <w:tblW w:w="7699" w:type="dxa"/>
        <w:jc w:val="center"/>
        <w:tblLayout w:type="fixed"/>
        <w:tblLook w:val="04A0"/>
      </w:tblPr>
      <w:tblGrid>
        <w:gridCol w:w="1949"/>
        <w:gridCol w:w="1150"/>
        <w:gridCol w:w="1150"/>
        <w:gridCol w:w="1150"/>
        <w:gridCol w:w="1150"/>
        <w:gridCol w:w="1150"/>
      </w:tblGrid>
      <w:tr w:rsidR="00305726" w:rsidRPr="005B1BC3" w:rsidTr="005F5D09">
        <w:trPr>
          <w:cnfStyle w:val="100000000000"/>
          <w:trHeight w:val="705"/>
          <w:jc w:val="center"/>
        </w:trPr>
        <w:tc>
          <w:tcPr>
            <w:cnfStyle w:val="001000000000"/>
            <w:tcW w:w="1949" w:type="dxa"/>
            <w:noWrap/>
            <w:hideMark/>
          </w:tcPr>
          <w:p w:rsidR="00305726" w:rsidRPr="00D71C2F" w:rsidRDefault="00305726" w:rsidP="005F5D09">
            <w:pPr>
              <w:spacing w:line="276" w:lineRule="auto"/>
              <w:jc w:val="center"/>
              <w:rPr>
                <w:rFonts w:eastAsia="Times New Roman" w:cs="Times New Roman"/>
                <w:color w:val="auto"/>
              </w:rPr>
            </w:pPr>
          </w:p>
        </w:tc>
        <w:tc>
          <w:tcPr>
            <w:tcW w:w="1150" w:type="dxa"/>
          </w:tcPr>
          <w:p w:rsidR="00305726" w:rsidRPr="00D71C2F" w:rsidRDefault="00305726" w:rsidP="005F5D09">
            <w:pPr>
              <w:jc w:val="center"/>
              <w:cnfStyle w:val="100000000000"/>
              <w:rPr>
                <w:color w:val="auto"/>
              </w:rPr>
            </w:pPr>
            <w:r w:rsidRPr="00D71C2F">
              <w:rPr>
                <w:color w:val="auto"/>
              </w:rPr>
              <w:t>2011</w:t>
            </w:r>
          </w:p>
        </w:tc>
        <w:tc>
          <w:tcPr>
            <w:tcW w:w="1150" w:type="dxa"/>
            <w:noWrap/>
            <w:hideMark/>
          </w:tcPr>
          <w:p w:rsidR="00305726" w:rsidRPr="00D71C2F" w:rsidRDefault="00305726" w:rsidP="005F5D09">
            <w:pPr>
              <w:jc w:val="center"/>
              <w:cnfStyle w:val="100000000000"/>
              <w:rPr>
                <w:color w:val="auto"/>
              </w:rPr>
            </w:pPr>
            <w:r w:rsidRPr="00D71C2F">
              <w:rPr>
                <w:color w:val="auto"/>
              </w:rPr>
              <w:t>2012</w:t>
            </w:r>
          </w:p>
        </w:tc>
        <w:tc>
          <w:tcPr>
            <w:tcW w:w="1150" w:type="dxa"/>
            <w:noWrap/>
            <w:hideMark/>
          </w:tcPr>
          <w:p w:rsidR="00305726" w:rsidRPr="00D71C2F" w:rsidRDefault="00305726" w:rsidP="005F5D09">
            <w:pPr>
              <w:jc w:val="center"/>
              <w:cnfStyle w:val="100000000000"/>
              <w:rPr>
                <w:color w:val="auto"/>
              </w:rPr>
            </w:pPr>
            <w:r w:rsidRPr="00D71C2F">
              <w:rPr>
                <w:color w:val="auto"/>
              </w:rPr>
              <w:t>2013</w:t>
            </w:r>
          </w:p>
        </w:tc>
        <w:tc>
          <w:tcPr>
            <w:tcW w:w="1150" w:type="dxa"/>
            <w:noWrap/>
            <w:hideMark/>
          </w:tcPr>
          <w:p w:rsidR="00305726" w:rsidRPr="00D71C2F" w:rsidRDefault="00305726" w:rsidP="005F5D09">
            <w:pPr>
              <w:jc w:val="center"/>
              <w:cnfStyle w:val="100000000000"/>
              <w:rPr>
                <w:color w:val="auto"/>
              </w:rPr>
            </w:pPr>
            <w:r w:rsidRPr="00D71C2F">
              <w:rPr>
                <w:color w:val="auto"/>
              </w:rPr>
              <w:t>2014</w:t>
            </w:r>
          </w:p>
        </w:tc>
        <w:tc>
          <w:tcPr>
            <w:tcW w:w="1150" w:type="dxa"/>
          </w:tcPr>
          <w:p w:rsidR="00305726" w:rsidRPr="00D71C2F" w:rsidRDefault="00305726" w:rsidP="005F5D09">
            <w:pPr>
              <w:jc w:val="center"/>
              <w:cnfStyle w:val="100000000000"/>
              <w:rPr>
                <w:color w:val="auto"/>
              </w:rPr>
            </w:pPr>
            <w:r w:rsidRPr="00D71C2F">
              <w:rPr>
                <w:color w:val="auto"/>
              </w:rPr>
              <w:t>2015</w:t>
            </w:r>
          </w:p>
        </w:tc>
      </w:tr>
      <w:tr w:rsidR="00305726" w:rsidRPr="005B1BC3" w:rsidTr="005F5D09">
        <w:trPr>
          <w:cnfStyle w:val="000000100000"/>
          <w:trHeight w:val="300"/>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Regiunea Centru</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2,3</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2,2</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2,2</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2,0</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1,9</w:t>
            </w:r>
          </w:p>
        </w:tc>
      </w:tr>
      <w:tr w:rsidR="00305726" w:rsidRPr="005B1BC3" w:rsidTr="005F5D09">
        <w:trPr>
          <w:cnfStyle w:val="000000010000"/>
          <w:trHeight w:val="300"/>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Alba</w:t>
            </w:r>
          </w:p>
        </w:tc>
        <w:tc>
          <w:tcPr>
            <w:tcW w:w="1150" w:type="dxa"/>
          </w:tcPr>
          <w:p w:rsidR="00305726" w:rsidRPr="00D71C2F" w:rsidRDefault="00305726" w:rsidP="005F5D09">
            <w:pPr>
              <w:jc w:val="right"/>
              <w:cnfStyle w:val="000000010000"/>
              <w:rPr>
                <w:rFonts w:ascii="Calibri" w:hAnsi="Calibri"/>
              </w:rPr>
            </w:pPr>
            <w:r w:rsidRPr="00D71C2F">
              <w:rPr>
                <w:rFonts w:ascii="Calibri" w:hAnsi="Calibri"/>
              </w:rPr>
              <w:t>8,0</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7,5</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7,0</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5,7</w:t>
            </w:r>
          </w:p>
        </w:tc>
        <w:tc>
          <w:tcPr>
            <w:tcW w:w="1150" w:type="dxa"/>
          </w:tcPr>
          <w:p w:rsidR="00305726" w:rsidRPr="00D71C2F" w:rsidRDefault="00305726" w:rsidP="005F5D09">
            <w:pPr>
              <w:jc w:val="right"/>
              <w:cnfStyle w:val="000000010000"/>
              <w:rPr>
                <w:rFonts w:ascii="Calibri" w:hAnsi="Calibri"/>
              </w:rPr>
            </w:pPr>
            <w:r w:rsidRPr="00D71C2F">
              <w:rPr>
                <w:rFonts w:ascii="Calibri" w:hAnsi="Calibri"/>
              </w:rPr>
              <w:t>6,5</w:t>
            </w:r>
          </w:p>
        </w:tc>
      </w:tr>
      <w:tr w:rsidR="00305726" w:rsidRPr="005B1BC3" w:rsidTr="005F5D09">
        <w:trPr>
          <w:cnfStyle w:val="000000100000"/>
          <w:trHeight w:val="300"/>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Brașov</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1,5</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1,5</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1,5</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1,3</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1,3</w:t>
            </w:r>
          </w:p>
        </w:tc>
      </w:tr>
      <w:tr w:rsidR="00305726" w:rsidRPr="005B1BC3" w:rsidTr="005F5D09">
        <w:trPr>
          <w:cnfStyle w:val="000000010000"/>
          <w:trHeight w:val="300"/>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Covasna</w:t>
            </w:r>
          </w:p>
        </w:tc>
        <w:tc>
          <w:tcPr>
            <w:tcW w:w="1150" w:type="dxa"/>
          </w:tcPr>
          <w:p w:rsidR="00305726" w:rsidRPr="00D71C2F" w:rsidRDefault="00305726" w:rsidP="005F5D09">
            <w:pPr>
              <w:jc w:val="right"/>
              <w:cnfStyle w:val="000000010000"/>
              <w:rPr>
                <w:rFonts w:ascii="Calibri" w:hAnsi="Calibri"/>
              </w:rPr>
            </w:pPr>
            <w:r w:rsidRPr="00D71C2F">
              <w:rPr>
                <w:rFonts w:ascii="Calibri" w:hAnsi="Calibri"/>
              </w:rPr>
              <w:t>1,0</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0,8</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0,8</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0,9</w:t>
            </w:r>
          </w:p>
        </w:tc>
        <w:tc>
          <w:tcPr>
            <w:tcW w:w="1150" w:type="dxa"/>
          </w:tcPr>
          <w:p w:rsidR="00305726" w:rsidRPr="00D71C2F" w:rsidRDefault="00305726" w:rsidP="005F5D09">
            <w:pPr>
              <w:jc w:val="right"/>
              <w:cnfStyle w:val="000000010000"/>
              <w:rPr>
                <w:rFonts w:ascii="Calibri" w:hAnsi="Calibri"/>
              </w:rPr>
            </w:pPr>
            <w:r w:rsidRPr="00D71C2F">
              <w:rPr>
                <w:rFonts w:ascii="Calibri" w:hAnsi="Calibri"/>
              </w:rPr>
              <w:t>1,0</w:t>
            </w:r>
          </w:p>
        </w:tc>
      </w:tr>
      <w:tr w:rsidR="00305726" w:rsidRPr="005B1BC3" w:rsidTr="005F5D09">
        <w:trPr>
          <w:cnfStyle w:val="000000100000"/>
          <w:trHeight w:val="300"/>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Harghita</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4,3</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3,9</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3,8</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4,4</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4,4</w:t>
            </w:r>
          </w:p>
        </w:tc>
      </w:tr>
      <w:tr w:rsidR="00305726" w:rsidRPr="005B1BC3" w:rsidTr="005F5D09">
        <w:trPr>
          <w:cnfStyle w:val="000000010000"/>
          <w:trHeight w:val="300"/>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Mureș</w:t>
            </w:r>
          </w:p>
        </w:tc>
        <w:tc>
          <w:tcPr>
            <w:tcW w:w="1150" w:type="dxa"/>
          </w:tcPr>
          <w:p w:rsidR="00305726" w:rsidRPr="00D71C2F" w:rsidRDefault="00305726" w:rsidP="005F5D09">
            <w:pPr>
              <w:jc w:val="right"/>
              <w:cnfStyle w:val="000000010000"/>
              <w:rPr>
                <w:rFonts w:ascii="Calibri" w:hAnsi="Calibri"/>
              </w:rPr>
            </w:pPr>
            <w:r w:rsidRPr="00D71C2F">
              <w:rPr>
                <w:rFonts w:ascii="Calibri" w:hAnsi="Calibri"/>
              </w:rPr>
              <w:t>2,3</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2,2</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2,6</w:t>
            </w:r>
          </w:p>
        </w:tc>
        <w:tc>
          <w:tcPr>
            <w:tcW w:w="1150" w:type="dxa"/>
            <w:noWrap/>
            <w:hideMark/>
          </w:tcPr>
          <w:p w:rsidR="00305726" w:rsidRPr="00D71C2F" w:rsidRDefault="00305726" w:rsidP="005F5D09">
            <w:pPr>
              <w:jc w:val="right"/>
              <w:cnfStyle w:val="000000010000"/>
              <w:rPr>
                <w:rFonts w:ascii="Calibri" w:hAnsi="Calibri"/>
              </w:rPr>
            </w:pPr>
            <w:r w:rsidRPr="00D71C2F">
              <w:rPr>
                <w:rFonts w:ascii="Calibri" w:hAnsi="Calibri"/>
              </w:rPr>
              <w:t>2,6</w:t>
            </w:r>
          </w:p>
        </w:tc>
        <w:tc>
          <w:tcPr>
            <w:tcW w:w="1150" w:type="dxa"/>
          </w:tcPr>
          <w:p w:rsidR="00305726" w:rsidRPr="00D71C2F" w:rsidRDefault="00305726" w:rsidP="005F5D09">
            <w:pPr>
              <w:jc w:val="right"/>
              <w:cnfStyle w:val="000000010000"/>
              <w:rPr>
                <w:rFonts w:ascii="Calibri" w:hAnsi="Calibri"/>
              </w:rPr>
            </w:pPr>
            <w:r w:rsidRPr="00D71C2F">
              <w:rPr>
                <w:rFonts w:ascii="Calibri" w:hAnsi="Calibri"/>
              </w:rPr>
              <w:t>2,5</w:t>
            </w:r>
          </w:p>
        </w:tc>
      </w:tr>
      <w:tr w:rsidR="00305726" w:rsidRPr="005B1BC3" w:rsidTr="005F5D09">
        <w:trPr>
          <w:cnfStyle w:val="000000100000"/>
          <w:trHeight w:val="315"/>
          <w:jc w:val="center"/>
        </w:trPr>
        <w:tc>
          <w:tcPr>
            <w:cnfStyle w:val="001000000000"/>
            <w:tcW w:w="1949" w:type="dxa"/>
            <w:noWrap/>
            <w:hideMark/>
          </w:tcPr>
          <w:p w:rsidR="00305726" w:rsidRPr="00D71C2F" w:rsidRDefault="00305726" w:rsidP="005F5D09">
            <w:pPr>
              <w:spacing w:line="276" w:lineRule="auto"/>
              <w:rPr>
                <w:rFonts w:eastAsia="Times New Roman" w:cs="Times New Roman"/>
              </w:rPr>
            </w:pPr>
            <w:r w:rsidRPr="00D71C2F">
              <w:rPr>
                <w:rFonts w:eastAsia="Times New Roman" w:cs="Times New Roman"/>
              </w:rPr>
              <w:t>Sibiu</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0,6</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0,5</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0,5</w:t>
            </w:r>
          </w:p>
        </w:tc>
        <w:tc>
          <w:tcPr>
            <w:tcW w:w="1150" w:type="dxa"/>
            <w:noWrap/>
            <w:hideMark/>
          </w:tcPr>
          <w:p w:rsidR="00305726" w:rsidRPr="00D71C2F" w:rsidRDefault="00305726" w:rsidP="005F5D09">
            <w:pPr>
              <w:jc w:val="right"/>
              <w:cnfStyle w:val="000000100000"/>
              <w:rPr>
                <w:rFonts w:ascii="Calibri" w:hAnsi="Calibri"/>
              </w:rPr>
            </w:pPr>
            <w:r w:rsidRPr="00D71C2F">
              <w:rPr>
                <w:rFonts w:ascii="Calibri" w:hAnsi="Calibri"/>
              </w:rPr>
              <w:t>0,6</w:t>
            </w:r>
          </w:p>
        </w:tc>
        <w:tc>
          <w:tcPr>
            <w:tcW w:w="1150" w:type="dxa"/>
          </w:tcPr>
          <w:p w:rsidR="00305726" w:rsidRPr="00D71C2F" w:rsidRDefault="00305726" w:rsidP="005F5D09">
            <w:pPr>
              <w:jc w:val="right"/>
              <w:cnfStyle w:val="000000100000"/>
              <w:rPr>
                <w:rFonts w:ascii="Calibri" w:hAnsi="Calibri"/>
              </w:rPr>
            </w:pPr>
            <w:r w:rsidRPr="00D71C2F">
              <w:rPr>
                <w:rFonts w:ascii="Calibri" w:hAnsi="Calibri"/>
              </w:rPr>
              <w:t>0,7</w:t>
            </w:r>
          </w:p>
        </w:tc>
      </w:tr>
    </w:tbl>
    <w:p w:rsidR="00305726" w:rsidRPr="00D71C2F" w:rsidRDefault="00305726" w:rsidP="00305726">
      <w:pPr>
        <w:rPr>
          <w:b/>
        </w:rPr>
      </w:pPr>
      <w:r w:rsidRPr="000B2713">
        <w:rPr>
          <w:b/>
          <w:color w:val="FF0000"/>
          <w:sz w:val="24"/>
          <w:szCs w:val="24"/>
        </w:rPr>
        <w:tab/>
      </w:r>
      <w:r w:rsidRPr="00D71C2F">
        <w:rPr>
          <w:b/>
        </w:rPr>
        <w:t>Calcule proprii pe baza datelor INS</w:t>
      </w:r>
    </w:p>
    <w:p w:rsidR="00305726" w:rsidRPr="006B61EC" w:rsidRDefault="00305726" w:rsidP="00305726">
      <w:pPr>
        <w:pStyle w:val="Titlu2"/>
        <w:rPr>
          <w:color w:val="336699"/>
          <w:sz w:val="24"/>
          <w:szCs w:val="24"/>
        </w:rPr>
      </w:pPr>
      <w:r w:rsidRPr="006B61EC">
        <w:rPr>
          <w:color w:val="336699"/>
          <w:sz w:val="24"/>
          <w:szCs w:val="24"/>
        </w:rPr>
        <w:t>Resursele umane</w:t>
      </w:r>
    </w:p>
    <w:p w:rsidR="00305726" w:rsidRPr="003A334C" w:rsidRDefault="00305726" w:rsidP="00305726">
      <w:pPr>
        <w:jc w:val="both"/>
        <w:rPr>
          <w:sz w:val="24"/>
          <w:szCs w:val="24"/>
        </w:rPr>
      </w:pPr>
      <w:r w:rsidRPr="003A334C">
        <w:rPr>
          <w:sz w:val="24"/>
          <w:szCs w:val="24"/>
        </w:rPr>
        <w:t xml:space="preserve">În anul 2014, numărul de salariați din industria de prelucrare a lemnului și din cea a  mobilei a fost de </w:t>
      </w:r>
      <w:r>
        <w:rPr>
          <w:sz w:val="24"/>
          <w:szCs w:val="24"/>
        </w:rPr>
        <w:t xml:space="preserve">aproape </w:t>
      </w:r>
      <w:r w:rsidRPr="003A334C">
        <w:rPr>
          <w:b/>
          <w:sz w:val="24"/>
          <w:szCs w:val="24"/>
        </w:rPr>
        <w:t>28 mii persoane, reprezentând 14,7% din numărul de salariați din industria prelucrătoare</w:t>
      </w:r>
      <w:r w:rsidRPr="003A334C">
        <w:rPr>
          <w:sz w:val="24"/>
          <w:szCs w:val="24"/>
        </w:rPr>
        <w:t xml:space="preserve"> </w:t>
      </w:r>
      <w:r w:rsidRPr="003C7332">
        <w:rPr>
          <w:sz w:val="24"/>
          <w:szCs w:val="24"/>
        </w:rPr>
        <w:t>și 12,9% din</w:t>
      </w:r>
      <w:r w:rsidRPr="003A334C">
        <w:rPr>
          <w:sz w:val="24"/>
          <w:szCs w:val="24"/>
        </w:rPr>
        <w:t xml:space="preserve"> totalul salariaților din industrie la nivel regional. În județe precum Covasna, Harghita și Mureș aceste ponderi sunt chiar mai mari, depășind 20% sau chiar 30% din totalul forței de muncă din industria prelucrătoare. Datele statistice amintite mai sus arată că industria lemnului rămâne vitală pentru economia regiunii, însă dezvoltarea sa viitoare trebuie să țină cont de toate exigențele unei dezvoltări durabile a regiunii, reducând cât mai mult impactul negativ asupra mediului înconjurător. </w:t>
      </w:r>
    </w:p>
    <w:p w:rsidR="00305726" w:rsidRPr="00D71C2F" w:rsidRDefault="00305726" w:rsidP="00305726">
      <w:pPr>
        <w:spacing w:after="0"/>
        <w:jc w:val="center"/>
        <w:rPr>
          <w:b/>
        </w:rPr>
      </w:pPr>
      <w:r w:rsidRPr="00D71C2F">
        <w:rPr>
          <w:b/>
        </w:rPr>
        <w:t>Tab. 11 Ponderea industriei lemnului și a mobilei în totalul salariaților din industria prelucrătoare</w:t>
      </w:r>
    </w:p>
    <w:p w:rsidR="00305726" w:rsidRPr="00D71C2F" w:rsidRDefault="00305726" w:rsidP="00305726">
      <w:pPr>
        <w:spacing w:after="0"/>
        <w:jc w:val="center"/>
        <w:rPr>
          <w:b/>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71C2F">
        <w:rPr>
          <w:b/>
        </w:rPr>
        <w:t>-%-</w:t>
      </w:r>
    </w:p>
    <w:tbl>
      <w:tblPr>
        <w:tblStyle w:val="Umbriremedie1-Accentuare3"/>
        <w:tblW w:w="9090" w:type="dxa"/>
        <w:tblLook w:val="04A0"/>
      </w:tblPr>
      <w:tblGrid>
        <w:gridCol w:w="2610"/>
        <w:gridCol w:w="2160"/>
        <w:gridCol w:w="1980"/>
        <w:gridCol w:w="2340"/>
      </w:tblGrid>
      <w:tr w:rsidR="00305726" w:rsidRPr="00285B5A" w:rsidTr="005F5D09">
        <w:trPr>
          <w:cnfStyle w:val="100000000000"/>
          <w:trHeight w:val="148"/>
        </w:trPr>
        <w:tc>
          <w:tcPr>
            <w:cnfStyle w:val="001000000000"/>
            <w:tcW w:w="2610" w:type="dxa"/>
          </w:tcPr>
          <w:p w:rsidR="00305726" w:rsidRPr="00285B5A" w:rsidRDefault="00305726" w:rsidP="005F5D09">
            <w:pPr>
              <w:jc w:val="both"/>
              <w:rPr>
                <w:b w:val="0"/>
                <w:bCs w:val="0"/>
                <w:sz w:val="20"/>
                <w:szCs w:val="20"/>
              </w:rPr>
            </w:pPr>
          </w:p>
        </w:tc>
        <w:tc>
          <w:tcPr>
            <w:tcW w:w="2160" w:type="dxa"/>
          </w:tcPr>
          <w:p w:rsidR="00305726" w:rsidRPr="00285B5A" w:rsidRDefault="00305726" w:rsidP="005F5D09">
            <w:pPr>
              <w:jc w:val="center"/>
              <w:cnfStyle w:val="100000000000"/>
              <w:rPr>
                <w:b w:val="0"/>
                <w:bCs w:val="0"/>
                <w:sz w:val="20"/>
                <w:szCs w:val="20"/>
              </w:rPr>
            </w:pPr>
            <w:r>
              <w:rPr>
                <w:sz w:val="20"/>
                <w:szCs w:val="20"/>
              </w:rPr>
              <w:t>2010</w:t>
            </w:r>
          </w:p>
        </w:tc>
        <w:tc>
          <w:tcPr>
            <w:tcW w:w="1980" w:type="dxa"/>
          </w:tcPr>
          <w:p w:rsidR="00305726" w:rsidRPr="00285B5A" w:rsidRDefault="00305726" w:rsidP="005F5D09">
            <w:pPr>
              <w:jc w:val="center"/>
              <w:cnfStyle w:val="100000000000"/>
              <w:rPr>
                <w:b w:val="0"/>
                <w:bCs w:val="0"/>
                <w:sz w:val="20"/>
                <w:szCs w:val="20"/>
              </w:rPr>
            </w:pPr>
            <w:r>
              <w:rPr>
                <w:sz w:val="20"/>
                <w:szCs w:val="20"/>
              </w:rPr>
              <w:t>2012</w:t>
            </w:r>
          </w:p>
        </w:tc>
        <w:tc>
          <w:tcPr>
            <w:tcW w:w="2340" w:type="dxa"/>
          </w:tcPr>
          <w:p w:rsidR="00305726" w:rsidRDefault="00305726" w:rsidP="005F5D09">
            <w:pPr>
              <w:jc w:val="center"/>
              <w:cnfStyle w:val="100000000000"/>
              <w:rPr>
                <w:b w:val="0"/>
                <w:bCs w:val="0"/>
                <w:sz w:val="20"/>
                <w:szCs w:val="20"/>
              </w:rPr>
            </w:pPr>
            <w:r>
              <w:rPr>
                <w:sz w:val="20"/>
                <w:szCs w:val="20"/>
              </w:rPr>
              <w:t>2014</w:t>
            </w:r>
          </w:p>
          <w:p w:rsidR="00305726" w:rsidRPr="00285B5A" w:rsidRDefault="00305726" w:rsidP="005F5D09">
            <w:pPr>
              <w:jc w:val="center"/>
              <w:cnfStyle w:val="100000000000"/>
              <w:rPr>
                <w:b w:val="0"/>
                <w:bCs w:val="0"/>
                <w:sz w:val="20"/>
                <w:szCs w:val="20"/>
              </w:rPr>
            </w:pPr>
          </w:p>
        </w:tc>
      </w:tr>
      <w:tr w:rsidR="00305726" w:rsidRPr="00285B5A" w:rsidTr="005F5D09">
        <w:trPr>
          <w:cnfStyle w:val="000000100000"/>
          <w:trHeight w:val="148"/>
        </w:trPr>
        <w:tc>
          <w:tcPr>
            <w:cnfStyle w:val="001000000000"/>
            <w:tcW w:w="2610" w:type="dxa"/>
          </w:tcPr>
          <w:p w:rsidR="00305726" w:rsidRPr="00285B5A" w:rsidRDefault="00305726" w:rsidP="005F5D09">
            <w:pPr>
              <w:jc w:val="both"/>
              <w:rPr>
                <w:b w:val="0"/>
                <w:bCs w:val="0"/>
                <w:sz w:val="20"/>
                <w:szCs w:val="20"/>
              </w:rPr>
            </w:pPr>
            <w:r>
              <w:rPr>
                <w:sz w:val="20"/>
                <w:szCs w:val="20"/>
              </w:rPr>
              <w:t>România</w:t>
            </w:r>
          </w:p>
        </w:tc>
        <w:tc>
          <w:tcPr>
            <w:tcW w:w="2160" w:type="dxa"/>
          </w:tcPr>
          <w:p w:rsidR="00305726" w:rsidRDefault="00305726" w:rsidP="005F5D09">
            <w:pPr>
              <w:jc w:val="right"/>
              <w:cnfStyle w:val="000000100000"/>
              <w:rPr>
                <w:rFonts w:ascii="Calibri" w:hAnsi="Calibri"/>
                <w:color w:val="000000"/>
              </w:rPr>
            </w:pPr>
            <w:r>
              <w:rPr>
                <w:rFonts w:ascii="Calibri" w:hAnsi="Calibri"/>
                <w:color w:val="000000"/>
              </w:rPr>
              <w:t>10,2</w:t>
            </w:r>
          </w:p>
        </w:tc>
        <w:tc>
          <w:tcPr>
            <w:tcW w:w="1980" w:type="dxa"/>
          </w:tcPr>
          <w:p w:rsidR="00305726" w:rsidRDefault="00305726" w:rsidP="005F5D09">
            <w:pPr>
              <w:jc w:val="right"/>
              <w:cnfStyle w:val="000000100000"/>
              <w:rPr>
                <w:rFonts w:ascii="Calibri" w:hAnsi="Calibri"/>
                <w:color w:val="000000"/>
              </w:rPr>
            </w:pPr>
            <w:r>
              <w:rPr>
                <w:rFonts w:ascii="Calibri" w:hAnsi="Calibri"/>
                <w:color w:val="000000"/>
              </w:rPr>
              <w:t>10,3</w:t>
            </w:r>
          </w:p>
        </w:tc>
        <w:tc>
          <w:tcPr>
            <w:tcW w:w="2340" w:type="dxa"/>
          </w:tcPr>
          <w:p w:rsidR="00305726" w:rsidRDefault="00305726" w:rsidP="005F5D09">
            <w:pPr>
              <w:jc w:val="right"/>
              <w:cnfStyle w:val="000000100000"/>
              <w:rPr>
                <w:rFonts w:ascii="Calibri" w:hAnsi="Calibri"/>
                <w:color w:val="000000"/>
              </w:rPr>
            </w:pPr>
            <w:r>
              <w:rPr>
                <w:rFonts w:ascii="Calibri" w:hAnsi="Calibri"/>
                <w:color w:val="000000"/>
              </w:rPr>
              <w:t>10,1</w:t>
            </w:r>
          </w:p>
        </w:tc>
      </w:tr>
      <w:tr w:rsidR="00305726" w:rsidRPr="00285B5A" w:rsidTr="005F5D09">
        <w:trPr>
          <w:cnfStyle w:val="00000001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Regiunea Centru</w:t>
            </w:r>
          </w:p>
        </w:tc>
        <w:tc>
          <w:tcPr>
            <w:tcW w:w="2160" w:type="dxa"/>
          </w:tcPr>
          <w:p w:rsidR="00305726" w:rsidRPr="001C5586" w:rsidRDefault="00305726" w:rsidP="005F5D09">
            <w:pPr>
              <w:jc w:val="right"/>
              <w:cnfStyle w:val="000000010000"/>
              <w:rPr>
                <w:rFonts w:ascii="Calibri" w:hAnsi="Calibri"/>
                <w:b/>
                <w:color w:val="000000"/>
              </w:rPr>
            </w:pPr>
            <w:r w:rsidRPr="001C5586">
              <w:rPr>
                <w:rFonts w:ascii="Calibri" w:hAnsi="Calibri"/>
                <w:b/>
                <w:color w:val="000000"/>
              </w:rPr>
              <w:t>16,0</w:t>
            </w:r>
          </w:p>
        </w:tc>
        <w:tc>
          <w:tcPr>
            <w:tcW w:w="1980" w:type="dxa"/>
          </w:tcPr>
          <w:p w:rsidR="00305726" w:rsidRPr="001C5586" w:rsidRDefault="00305726" w:rsidP="005F5D09">
            <w:pPr>
              <w:jc w:val="right"/>
              <w:cnfStyle w:val="000000010000"/>
              <w:rPr>
                <w:rFonts w:ascii="Calibri" w:hAnsi="Calibri"/>
                <w:b/>
                <w:color w:val="000000"/>
              </w:rPr>
            </w:pPr>
            <w:r w:rsidRPr="001C5586">
              <w:rPr>
                <w:rFonts w:ascii="Calibri" w:hAnsi="Calibri"/>
                <w:b/>
                <w:color w:val="000000"/>
              </w:rPr>
              <w:t>15,5</w:t>
            </w:r>
          </w:p>
        </w:tc>
        <w:tc>
          <w:tcPr>
            <w:tcW w:w="2340" w:type="dxa"/>
          </w:tcPr>
          <w:p w:rsidR="00305726" w:rsidRPr="001C5586" w:rsidRDefault="00305726" w:rsidP="005F5D09">
            <w:pPr>
              <w:jc w:val="right"/>
              <w:cnfStyle w:val="000000010000"/>
              <w:rPr>
                <w:rFonts w:ascii="Calibri" w:hAnsi="Calibri"/>
                <w:b/>
                <w:color w:val="000000"/>
              </w:rPr>
            </w:pPr>
            <w:r w:rsidRPr="001C5586">
              <w:rPr>
                <w:rFonts w:ascii="Calibri" w:hAnsi="Calibri"/>
                <w:b/>
                <w:color w:val="000000"/>
              </w:rPr>
              <w:t>14,7</w:t>
            </w:r>
          </w:p>
        </w:tc>
      </w:tr>
      <w:tr w:rsidR="00305726" w:rsidRPr="00285B5A" w:rsidTr="005F5D09">
        <w:trPr>
          <w:cnfStyle w:val="00000010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Alba</w:t>
            </w:r>
          </w:p>
        </w:tc>
        <w:tc>
          <w:tcPr>
            <w:tcW w:w="2160" w:type="dxa"/>
          </w:tcPr>
          <w:p w:rsidR="00305726" w:rsidRDefault="00305726" w:rsidP="005F5D09">
            <w:pPr>
              <w:jc w:val="right"/>
              <w:cnfStyle w:val="000000100000"/>
              <w:rPr>
                <w:rFonts w:ascii="Calibri" w:hAnsi="Calibri"/>
                <w:color w:val="000000"/>
              </w:rPr>
            </w:pPr>
            <w:r>
              <w:rPr>
                <w:rFonts w:ascii="Calibri" w:hAnsi="Calibri"/>
                <w:color w:val="000000"/>
              </w:rPr>
              <w:t>15,0</w:t>
            </w:r>
          </w:p>
        </w:tc>
        <w:tc>
          <w:tcPr>
            <w:tcW w:w="1980" w:type="dxa"/>
          </w:tcPr>
          <w:p w:rsidR="00305726" w:rsidRDefault="00305726" w:rsidP="005F5D09">
            <w:pPr>
              <w:jc w:val="right"/>
              <w:cnfStyle w:val="000000100000"/>
              <w:rPr>
                <w:rFonts w:ascii="Calibri" w:hAnsi="Calibri"/>
                <w:color w:val="000000"/>
              </w:rPr>
            </w:pPr>
            <w:r>
              <w:rPr>
                <w:rFonts w:ascii="Calibri" w:hAnsi="Calibri"/>
                <w:color w:val="000000"/>
              </w:rPr>
              <w:t>13,6</w:t>
            </w:r>
          </w:p>
        </w:tc>
        <w:tc>
          <w:tcPr>
            <w:tcW w:w="2340" w:type="dxa"/>
          </w:tcPr>
          <w:p w:rsidR="00305726" w:rsidRDefault="00305726" w:rsidP="005F5D09">
            <w:pPr>
              <w:jc w:val="right"/>
              <w:cnfStyle w:val="000000100000"/>
              <w:rPr>
                <w:rFonts w:ascii="Calibri" w:hAnsi="Calibri"/>
                <w:color w:val="000000"/>
              </w:rPr>
            </w:pPr>
            <w:r>
              <w:rPr>
                <w:rFonts w:ascii="Calibri" w:hAnsi="Calibri"/>
                <w:color w:val="000000"/>
              </w:rPr>
              <w:t>13,0</w:t>
            </w:r>
          </w:p>
        </w:tc>
      </w:tr>
      <w:tr w:rsidR="00305726" w:rsidRPr="00285B5A" w:rsidTr="005F5D09">
        <w:trPr>
          <w:cnfStyle w:val="00000001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Brașov</w:t>
            </w:r>
          </w:p>
        </w:tc>
        <w:tc>
          <w:tcPr>
            <w:tcW w:w="2160" w:type="dxa"/>
          </w:tcPr>
          <w:p w:rsidR="00305726" w:rsidRDefault="00305726" w:rsidP="005F5D09">
            <w:pPr>
              <w:jc w:val="right"/>
              <w:cnfStyle w:val="000000010000"/>
              <w:rPr>
                <w:rFonts w:ascii="Calibri" w:hAnsi="Calibri"/>
                <w:color w:val="000000"/>
              </w:rPr>
            </w:pPr>
            <w:r>
              <w:rPr>
                <w:rFonts w:ascii="Calibri" w:hAnsi="Calibri"/>
                <w:color w:val="000000"/>
              </w:rPr>
              <w:t>7,6</w:t>
            </w:r>
          </w:p>
        </w:tc>
        <w:tc>
          <w:tcPr>
            <w:tcW w:w="1980" w:type="dxa"/>
          </w:tcPr>
          <w:p w:rsidR="00305726" w:rsidRDefault="00305726" w:rsidP="005F5D09">
            <w:pPr>
              <w:jc w:val="right"/>
              <w:cnfStyle w:val="000000010000"/>
              <w:rPr>
                <w:rFonts w:ascii="Calibri" w:hAnsi="Calibri"/>
                <w:color w:val="000000"/>
              </w:rPr>
            </w:pPr>
            <w:r>
              <w:rPr>
                <w:rFonts w:ascii="Calibri" w:hAnsi="Calibri"/>
                <w:color w:val="000000"/>
              </w:rPr>
              <w:t>6,5</w:t>
            </w:r>
          </w:p>
        </w:tc>
        <w:tc>
          <w:tcPr>
            <w:tcW w:w="2340" w:type="dxa"/>
          </w:tcPr>
          <w:p w:rsidR="00305726" w:rsidRDefault="00305726" w:rsidP="005F5D09">
            <w:pPr>
              <w:jc w:val="right"/>
              <w:cnfStyle w:val="000000010000"/>
              <w:rPr>
                <w:rFonts w:ascii="Calibri" w:hAnsi="Calibri"/>
                <w:color w:val="000000"/>
              </w:rPr>
            </w:pPr>
            <w:r>
              <w:rPr>
                <w:rFonts w:ascii="Calibri" w:hAnsi="Calibri"/>
                <w:color w:val="000000"/>
              </w:rPr>
              <w:t>6,8</w:t>
            </w:r>
          </w:p>
        </w:tc>
      </w:tr>
      <w:tr w:rsidR="00305726" w:rsidRPr="00285B5A" w:rsidTr="005F5D09">
        <w:trPr>
          <w:cnfStyle w:val="00000010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Covasna</w:t>
            </w:r>
          </w:p>
        </w:tc>
        <w:tc>
          <w:tcPr>
            <w:tcW w:w="2160" w:type="dxa"/>
          </w:tcPr>
          <w:p w:rsidR="00305726" w:rsidRDefault="00305726" w:rsidP="005F5D09">
            <w:pPr>
              <w:jc w:val="right"/>
              <w:cnfStyle w:val="000000100000"/>
              <w:rPr>
                <w:rFonts w:ascii="Calibri" w:hAnsi="Calibri"/>
                <w:color w:val="000000"/>
              </w:rPr>
            </w:pPr>
            <w:r>
              <w:rPr>
                <w:rFonts w:ascii="Calibri" w:hAnsi="Calibri"/>
                <w:color w:val="000000"/>
              </w:rPr>
              <w:t>35,5</w:t>
            </w:r>
          </w:p>
        </w:tc>
        <w:tc>
          <w:tcPr>
            <w:tcW w:w="1980" w:type="dxa"/>
          </w:tcPr>
          <w:p w:rsidR="00305726" w:rsidRDefault="00305726" w:rsidP="005F5D09">
            <w:pPr>
              <w:jc w:val="right"/>
              <w:cnfStyle w:val="000000100000"/>
              <w:rPr>
                <w:rFonts w:ascii="Calibri" w:hAnsi="Calibri"/>
                <w:color w:val="000000"/>
              </w:rPr>
            </w:pPr>
            <w:r>
              <w:rPr>
                <w:rFonts w:ascii="Calibri" w:hAnsi="Calibri"/>
                <w:color w:val="000000"/>
              </w:rPr>
              <w:t>35,3</w:t>
            </w:r>
          </w:p>
        </w:tc>
        <w:tc>
          <w:tcPr>
            <w:tcW w:w="2340" w:type="dxa"/>
          </w:tcPr>
          <w:p w:rsidR="00305726" w:rsidRDefault="00305726" w:rsidP="005F5D09">
            <w:pPr>
              <w:jc w:val="right"/>
              <w:cnfStyle w:val="000000100000"/>
              <w:rPr>
                <w:rFonts w:ascii="Calibri" w:hAnsi="Calibri"/>
                <w:color w:val="000000"/>
              </w:rPr>
            </w:pPr>
            <w:r>
              <w:rPr>
                <w:rFonts w:ascii="Calibri" w:hAnsi="Calibri"/>
                <w:color w:val="000000"/>
              </w:rPr>
              <w:t>28,7</w:t>
            </w:r>
          </w:p>
        </w:tc>
      </w:tr>
      <w:tr w:rsidR="00305726" w:rsidRPr="00285B5A" w:rsidTr="005F5D09">
        <w:trPr>
          <w:cnfStyle w:val="00000001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Harghita</w:t>
            </w:r>
          </w:p>
        </w:tc>
        <w:tc>
          <w:tcPr>
            <w:tcW w:w="2160" w:type="dxa"/>
          </w:tcPr>
          <w:p w:rsidR="00305726" w:rsidRDefault="00305726" w:rsidP="005F5D09">
            <w:pPr>
              <w:jc w:val="right"/>
              <w:cnfStyle w:val="000000010000"/>
              <w:rPr>
                <w:rFonts w:ascii="Calibri" w:hAnsi="Calibri"/>
                <w:color w:val="000000"/>
              </w:rPr>
            </w:pPr>
            <w:r>
              <w:rPr>
                <w:rFonts w:ascii="Calibri" w:hAnsi="Calibri"/>
                <w:color w:val="000000"/>
              </w:rPr>
              <w:t>28,8</w:t>
            </w:r>
          </w:p>
        </w:tc>
        <w:tc>
          <w:tcPr>
            <w:tcW w:w="1980" w:type="dxa"/>
          </w:tcPr>
          <w:p w:rsidR="00305726" w:rsidRDefault="00305726" w:rsidP="005F5D09">
            <w:pPr>
              <w:jc w:val="right"/>
              <w:cnfStyle w:val="000000010000"/>
              <w:rPr>
                <w:rFonts w:ascii="Calibri" w:hAnsi="Calibri"/>
                <w:color w:val="000000"/>
              </w:rPr>
            </w:pPr>
            <w:r>
              <w:rPr>
                <w:rFonts w:ascii="Calibri" w:hAnsi="Calibri"/>
                <w:color w:val="000000"/>
              </w:rPr>
              <w:t>33,1</w:t>
            </w:r>
          </w:p>
        </w:tc>
        <w:tc>
          <w:tcPr>
            <w:tcW w:w="2340" w:type="dxa"/>
          </w:tcPr>
          <w:p w:rsidR="00305726" w:rsidRDefault="00305726" w:rsidP="005F5D09">
            <w:pPr>
              <w:jc w:val="right"/>
              <w:cnfStyle w:val="000000010000"/>
              <w:rPr>
                <w:rFonts w:ascii="Calibri" w:hAnsi="Calibri"/>
                <w:color w:val="000000"/>
              </w:rPr>
            </w:pPr>
            <w:r>
              <w:rPr>
                <w:rFonts w:ascii="Calibri" w:hAnsi="Calibri"/>
                <w:color w:val="000000"/>
              </w:rPr>
              <w:t>33,9</w:t>
            </w:r>
          </w:p>
        </w:tc>
      </w:tr>
      <w:tr w:rsidR="00305726" w:rsidRPr="00285B5A" w:rsidTr="005F5D09">
        <w:trPr>
          <w:cnfStyle w:val="00000010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Mureș</w:t>
            </w:r>
          </w:p>
        </w:tc>
        <w:tc>
          <w:tcPr>
            <w:tcW w:w="2160" w:type="dxa"/>
          </w:tcPr>
          <w:p w:rsidR="00305726" w:rsidRDefault="00305726" w:rsidP="005F5D09">
            <w:pPr>
              <w:jc w:val="right"/>
              <w:cnfStyle w:val="000000100000"/>
              <w:rPr>
                <w:rFonts w:ascii="Calibri" w:hAnsi="Calibri"/>
                <w:color w:val="000000"/>
              </w:rPr>
            </w:pPr>
            <w:r>
              <w:rPr>
                <w:rFonts w:ascii="Calibri" w:hAnsi="Calibri"/>
                <w:color w:val="000000"/>
              </w:rPr>
              <w:t>22,8</w:t>
            </w:r>
          </w:p>
        </w:tc>
        <w:tc>
          <w:tcPr>
            <w:tcW w:w="1980" w:type="dxa"/>
          </w:tcPr>
          <w:p w:rsidR="00305726" w:rsidRDefault="00305726" w:rsidP="005F5D09">
            <w:pPr>
              <w:jc w:val="right"/>
              <w:cnfStyle w:val="000000100000"/>
              <w:rPr>
                <w:rFonts w:ascii="Calibri" w:hAnsi="Calibri"/>
                <w:color w:val="000000"/>
              </w:rPr>
            </w:pPr>
            <w:r>
              <w:rPr>
                <w:rFonts w:ascii="Calibri" w:hAnsi="Calibri"/>
                <w:color w:val="000000"/>
              </w:rPr>
              <w:t>21,3</w:t>
            </w:r>
          </w:p>
        </w:tc>
        <w:tc>
          <w:tcPr>
            <w:tcW w:w="2340" w:type="dxa"/>
          </w:tcPr>
          <w:p w:rsidR="00305726" w:rsidRDefault="00305726" w:rsidP="005F5D09">
            <w:pPr>
              <w:jc w:val="right"/>
              <w:cnfStyle w:val="000000100000"/>
              <w:rPr>
                <w:rFonts w:ascii="Calibri" w:hAnsi="Calibri"/>
                <w:color w:val="000000"/>
              </w:rPr>
            </w:pPr>
            <w:r>
              <w:rPr>
                <w:rFonts w:ascii="Calibri" w:hAnsi="Calibri"/>
                <w:color w:val="000000"/>
              </w:rPr>
              <w:t>22,0</w:t>
            </w:r>
          </w:p>
        </w:tc>
      </w:tr>
      <w:tr w:rsidR="00305726" w:rsidRPr="00285B5A" w:rsidTr="005F5D09">
        <w:trPr>
          <w:cnfStyle w:val="000000010000"/>
          <w:trHeight w:hRule="exact" w:val="288"/>
        </w:trPr>
        <w:tc>
          <w:tcPr>
            <w:cnfStyle w:val="001000000000"/>
            <w:tcW w:w="2610" w:type="dxa"/>
          </w:tcPr>
          <w:p w:rsidR="00305726" w:rsidRPr="00A04FB3" w:rsidRDefault="00305726" w:rsidP="005F5D09">
            <w:pPr>
              <w:spacing w:line="276" w:lineRule="auto"/>
              <w:jc w:val="both"/>
              <w:rPr>
                <w:b w:val="0"/>
                <w:bCs w:val="0"/>
                <w:sz w:val="20"/>
                <w:szCs w:val="20"/>
              </w:rPr>
            </w:pPr>
            <w:r w:rsidRPr="00A04FB3">
              <w:rPr>
                <w:sz w:val="20"/>
                <w:szCs w:val="20"/>
              </w:rPr>
              <w:t>Sibiu</w:t>
            </w:r>
          </w:p>
        </w:tc>
        <w:tc>
          <w:tcPr>
            <w:tcW w:w="2160" w:type="dxa"/>
          </w:tcPr>
          <w:p w:rsidR="00305726" w:rsidRDefault="00305726" w:rsidP="005F5D09">
            <w:pPr>
              <w:jc w:val="right"/>
              <w:cnfStyle w:val="000000010000"/>
              <w:rPr>
                <w:rFonts w:ascii="Calibri" w:hAnsi="Calibri"/>
                <w:color w:val="000000"/>
              </w:rPr>
            </w:pPr>
            <w:r>
              <w:rPr>
                <w:rFonts w:ascii="Calibri" w:hAnsi="Calibri"/>
                <w:color w:val="000000"/>
              </w:rPr>
              <w:t>4,3</w:t>
            </w:r>
          </w:p>
        </w:tc>
        <w:tc>
          <w:tcPr>
            <w:tcW w:w="1980" w:type="dxa"/>
          </w:tcPr>
          <w:p w:rsidR="00305726" w:rsidRDefault="00305726" w:rsidP="005F5D09">
            <w:pPr>
              <w:jc w:val="right"/>
              <w:cnfStyle w:val="000000010000"/>
              <w:rPr>
                <w:rFonts w:ascii="Calibri" w:hAnsi="Calibri"/>
                <w:color w:val="000000"/>
              </w:rPr>
            </w:pPr>
            <w:r>
              <w:rPr>
                <w:rFonts w:ascii="Calibri" w:hAnsi="Calibri"/>
                <w:color w:val="000000"/>
              </w:rPr>
              <w:t>5,2</w:t>
            </w:r>
          </w:p>
        </w:tc>
        <w:tc>
          <w:tcPr>
            <w:tcW w:w="2340" w:type="dxa"/>
          </w:tcPr>
          <w:p w:rsidR="00305726" w:rsidRDefault="00305726" w:rsidP="005F5D09">
            <w:pPr>
              <w:jc w:val="right"/>
              <w:cnfStyle w:val="000000010000"/>
              <w:rPr>
                <w:rFonts w:ascii="Calibri" w:hAnsi="Calibri"/>
                <w:color w:val="000000"/>
              </w:rPr>
            </w:pPr>
            <w:r>
              <w:rPr>
                <w:rFonts w:ascii="Calibri" w:hAnsi="Calibri"/>
                <w:color w:val="000000"/>
              </w:rPr>
              <w:t>4,2</w:t>
            </w:r>
          </w:p>
        </w:tc>
      </w:tr>
    </w:tbl>
    <w:p w:rsidR="00305726" w:rsidRPr="009B6E0B" w:rsidRDefault="00305726" w:rsidP="00305726">
      <w:pPr>
        <w:spacing w:after="0"/>
        <w:rPr>
          <w:rFonts w:cs="Calibri"/>
          <w:sz w:val="20"/>
          <w:szCs w:val="20"/>
        </w:rPr>
      </w:pPr>
      <w:r w:rsidRPr="00285B5A">
        <w:rPr>
          <w:rFonts w:cs="Calibri"/>
          <w:b/>
          <w:sz w:val="20"/>
          <w:szCs w:val="20"/>
        </w:rPr>
        <w:t>Sursa:</w:t>
      </w:r>
      <w:r w:rsidRPr="00285B5A">
        <w:rPr>
          <w:rFonts w:cs="Calibri"/>
          <w:sz w:val="20"/>
          <w:szCs w:val="20"/>
        </w:rPr>
        <w:t xml:space="preserve"> Institutul Național de Statistică</w:t>
      </w:r>
    </w:p>
    <w:p w:rsidR="00305726" w:rsidRPr="003A334C" w:rsidRDefault="00305726" w:rsidP="00305726">
      <w:pPr>
        <w:jc w:val="both"/>
        <w:rPr>
          <w:sz w:val="24"/>
          <w:szCs w:val="24"/>
        </w:rPr>
      </w:pPr>
      <w:r w:rsidRPr="003A334C">
        <w:rPr>
          <w:sz w:val="24"/>
          <w:szCs w:val="24"/>
        </w:rPr>
        <w:lastRenderedPageBreak/>
        <w:t>Industria de prelucrare a lemnului a traversat o perioadă dificilă în perioada 2008-2010, multe firme fiind nevoite să-și restrângă sau chiar să-și suspende activitatea</w:t>
      </w:r>
      <w:r>
        <w:rPr>
          <w:sz w:val="24"/>
          <w:szCs w:val="24"/>
        </w:rPr>
        <w:t>.</w:t>
      </w:r>
      <w:r w:rsidRPr="003A334C">
        <w:rPr>
          <w:sz w:val="24"/>
          <w:szCs w:val="24"/>
        </w:rPr>
        <w:t xml:space="preserve"> Criza economică și financiară a condus la o contractare severă a cererii interne și externe, atât în ce privește cheresteaua și lemnul utilizat în construcții cât și în ce privește mobilierul și alte produse  ale industriei lemnului. În doar 2 ani, între 2008 și 2010, în industria de profil s-au pierdut cca 9100 locuri de muncă la nivelul Regiunii Centru, (-26% din efectivul </w:t>
      </w:r>
      <w:r>
        <w:rPr>
          <w:sz w:val="24"/>
          <w:szCs w:val="24"/>
        </w:rPr>
        <w:t>de salariați înregistrat în</w:t>
      </w:r>
      <w:r w:rsidRPr="003A334C">
        <w:rPr>
          <w:sz w:val="24"/>
          <w:szCs w:val="24"/>
        </w:rPr>
        <w:t xml:space="preserve"> 2008). În aceeași perioadă, la nivelul totalului economiei regionale, s-a înregistrat o scădere a numărului de salariați de 13,5% , iar la nivelul industriei regionale scăderea numărului de salariați a fost de 22,4 %, Anii 2011-2014 înregistrează o redresare moderată a producției industriale și o creștere ușoară a numărului de salariați, inclusiv în activitatea de prelucrare a lemnului și a producției de mobilă. </w:t>
      </w:r>
      <w:r>
        <w:rPr>
          <w:sz w:val="24"/>
          <w:szCs w:val="24"/>
        </w:rPr>
        <w:t xml:space="preserve">În 2014, efectivele cumulate de salariați din cele 2 ramuri industriale (27237) au depășit valoarea minimă înregistrată în 2010 (25945 salariați). </w:t>
      </w:r>
      <w:r w:rsidRPr="003A334C">
        <w:rPr>
          <w:sz w:val="24"/>
          <w:szCs w:val="24"/>
        </w:rPr>
        <w:t xml:space="preserve">Trebuie menționat faptul că această redresare are loc într-un context economic european dificil, marcat încă de criza economică declanșată în anul 2008.  </w:t>
      </w:r>
    </w:p>
    <w:p w:rsidR="00305726" w:rsidRDefault="00305726" w:rsidP="00305726">
      <w:pPr>
        <w:spacing w:after="0"/>
        <w:jc w:val="center"/>
        <w:rPr>
          <w:b/>
          <w:sz w:val="24"/>
          <w:szCs w:val="24"/>
        </w:rPr>
      </w:pPr>
      <w:r>
        <w:rPr>
          <w:b/>
          <w:sz w:val="24"/>
          <w:szCs w:val="24"/>
        </w:rPr>
        <w:t xml:space="preserve">Tab. 12 </w:t>
      </w:r>
      <w:r w:rsidRPr="00A23705">
        <w:rPr>
          <w:b/>
          <w:sz w:val="24"/>
          <w:szCs w:val="24"/>
        </w:rPr>
        <w:t xml:space="preserve">Evoluția numărului de salariați </w:t>
      </w:r>
      <w:r>
        <w:rPr>
          <w:b/>
          <w:sz w:val="24"/>
          <w:szCs w:val="24"/>
        </w:rPr>
        <w:t>în domeniul prelucrării lemnului și a mobilei</w:t>
      </w:r>
    </w:p>
    <w:p w:rsidR="00305726" w:rsidRPr="006B1179" w:rsidRDefault="00305726" w:rsidP="00305726">
      <w:pPr>
        <w:spacing w:after="0"/>
        <w:jc w:val="center"/>
        <w:rPr>
          <w:b/>
          <w:sz w:val="24"/>
          <w:szCs w:val="24"/>
        </w:rPr>
      </w:pPr>
      <w:r>
        <w:rPr>
          <w:b/>
          <w:sz w:val="24"/>
          <w:szCs w:val="24"/>
        </w:rPr>
        <w:t xml:space="preserve"> </w:t>
      </w:r>
      <w:r w:rsidRPr="00A23705">
        <w:rPr>
          <w:b/>
          <w:sz w:val="24"/>
          <w:szCs w:val="24"/>
        </w:rPr>
        <w:t xml:space="preserve">în perioada </w:t>
      </w:r>
      <w:r>
        <w:rPr>
          <w:b/>
          <w:sz w:val="24"/>
          <w:szCs w:val="24"/>
        </w:rPr>
        <w:t>2010-2014</w:t>
      </w:r>
    </w:p>
    <w:tbl>
      <w:tblPr>
        <w:tblStyle w:val="Umbriremedie1-Accentuare3"/>
        <w:tblW w:w="11224" w:type="dxa"/>
        <w:tblInd w:w="-972" w:type="dxa"/>
        <w:tblLook w:val="04A0"/>
      </w:tblPr>
      <w:tblGrid>
        <w:gridCol w:w="1126"/>
        <w:gridCol w:w="703"/>
        <w:gridCol w:w="622"/>
        <w:gridCol w:w="789"/>
        <w:gridCol w:w="771"/>
        <w:gridCol w:w="789"/>
        <w:gridCol w:w="723"/>
        <w:gridCol w:w="703"/>
        <w:gridCol w:w="703"/>
        <w:gridCol w:w="622"/>
        <w:gridCol w:w="707"/>
        <w:gridCol w:w="771"/>
        <w:gridCol w:w="789"/>
        <w:gridCol w:w="703"/>
        <w:gridCol w:w="703"/>
      </w:tblGrid>
      <w:tr w:rsidR="00305726" w:rsidRPr="006B1179" w:rsidTr="005F5D09">
        <w:trPr>
          <w:cnfStyle w:val="100000000000"/>
          <w:trHeight w:val="276"/>
        </w:trPr>
        <w:tc>
          <w:tcPr>
            <w:cnfStyle w:val="001000000000"/>
            <w:tcW w:w="1126" w:type="dxa"/>
            <w:vMerge w:val="restart"/>
            <w:noWrap/>
            <w:hideMark/>
          </w:tcPr>
          <w:p w:rsidR="00305726" w:rsidRPr="006B1179" w:rsidRDefault="00305726" w:rsidP="005F5D09">
            <w:pPr>
              <w:spacing w:line="276" w:lineRule="auto"/>
              <w:jc w:val="center"/>
              <w:rPr>
                <w:rFonts w:cs="Calibri"/>
                <w:b w:val="0"/>
                <w:bCs w:val="0"/>
                <w:color w:val="000000"/>
                <w:sz w:val="16"/>
                <w:szCs w:val="16"/>
              </w:rPr>
            </w:pPr>
            <w:r w:rsidRPr="006B1179">
              <w:rPr>
                <w:rFonts w:cs="Calibri"/>
                <w:color w:val="000000"/>
                <w:sz w:val="16"/>
                <w:szCs w:val="16"/>
              </w:rPr>
              <w:t> </w:t>
            </w:r>
          </w:p>
        </w:tc>
        <w:tc>
          <w:tcPr>
            <w:tcW w:w="5100" w:type="dxa"/>
            <w:gridSpan w:val="7"/>
            <w:noWrap/>
            <w:hideMark/>
          </w:tcPr>
          <w:p w:rsidR="00305726" w:rsidRPr="006B1179" w:rsidRDefault="00305726" w:rsidP="005F5D09">
            <w:pPr>
              <w:spacing w:line="276" w:lineRule="auto"/>
              <w:jc w:val="center"/>
              <w:cnfStyle w:val="100000000000"/>
              <w:rPr>
                <w:rFonts w:cs="Calibri"/>
                <w:b w:val="0"/>
                <w:bCs w:val="0"/>
                <w:color w:val="000000"/>
                <w:sz w:val="16"/>
                <w:szCs w:val="16"/>
              </w:rPr>
            </w:pPr>
            <w:r w:rsidRPr="006B1179">
              <w:rPr>
                <w:rFonts w:cs="Calibri"/>
                <w:color w:val="000000"/>
                <w:sz w:val="16"/>
                <w:szCs w:val="16"/>
              </w:rPr>
              <w:t>2010</w:t>
            </w:r>
          </w:p>
        </w:tc>
        <w:tc>
          <w:tcPr>
            <w:tcW w:w="4998" w:type="dxa"/>
            <w:gridSpan w:val="7"/>
            <w:noWrap/>
            <w:hideMark/>
          </w:tcPr>
          <w:p w:rsidR="00305726" w:rsidRPr="006B1179" w:rsidRDefault="00305726" w:rsidP="005F5D09">
            <w:pPr>
              <w:spacing w:line="276" w:lineRule="auto"/>
              <w:jc w:val="center"/>
              <w:cnfStyle w:val="100000000000"/>
              <w:rPr>
                <w:rFonts w:cs="Calibri"/>
                <w:b w:val="0"/>
                <w:bCs w:val="0"/>
                <w:color w:val="000000"/>
                <w:sz w:val="16"/>
                <w:szCs w:val="16"/>
              </w:rPr>
            </w:pPr>
            <w:r>
              <w:rPr>
                <w:rFonts w:cs="Calibri"/>
                <w:color w:val="000000"/>
                <w:sz w:val="16"/>
                <w:szCs w:val="16"/>
              </w:rPr>
              <w:t>2011</w:t>
            </w:r>
          </w:p>
        </w:tc>
      </w:tr>
      <w:tr w:rsidR="00305726" w:rsidRPr="006B1179" w:rsidTr="005F5D09">
        <w:trPr>
          <w:cnfStyle w:val="000000100000"/>
          <w:trHeight w:val="276"/>
        </w:trPr>
        <w:tc>
          <w:tcPr>
            <w:cnfStyle w:val="001000000000"/>
            <w:tcW w:w="1126" w:type="dxa"/>
            <w:vMerge/>
            <w:hideMark/>
          </w:tcPr>
          <w:p w:rsidR="00305726" w:rsidRPr="006B1179" w:rsidRDefault="00305726" w:rsidP="005F5D09">
            <w:pPr>
              <w:spacing w:line="276" w:lineRule="auto"/>
              <w:rPr>
                <w:rFonts w:cs="Calibri"/>
                <w:b w:val="0"/>
                <w:bCs w:val="0"/>
                <w:color w:val="000000"/>
                <w:sz w:val="16"/>
                <w:szCs w:val="16"/>
              </w:rPr>
            </w:pPr>
          </w:p>
        </w:tc>
        <w:tc>
          <w:tcPr>
            <w:tcW w:w="703"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Centru</w:t>
            </w:r>
          </w:p>
        </w:tc>
        <w:tc>
          <w:tcPr>
            <w:tcW w:w="622"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Alba</w:t>
            </w:r>
          </w:p>
        </w:tc>
        <w:tc>
          <w:tcPr>
            <w:tcW w:w="789"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Brașov</w:t>
            </w:r>
          </w:p>
        </w:tc>
        <w:tc>
          <w:tcPr>
            <w:tcW w:w="771"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Covasna</w:t>
            </w:r>
          </w:p>
        </w:tc>
        <w:tc>
          <w:tcPr>
            <w:tcW w:w="789"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Harghita</w:t>
            </w:r>
          </w:p>
        </w:tc>
        <w:tc>
          <w:tcPr>
            <w:tcW w:w="723"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Mureș</w:t>
            </w:r>
          </w:p>
        </w:tc>
        <w:tc>
          <w:tcPr>
            <w:tcW w:w="703"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Sibiu</w:t>
            </w:r>
          </w:p>
        </w:tc>
        <w:tc>
          <w:tcPr>
            <w:tcW w:w="703"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Centru</w:t>
            </w:r>
          </w:p>
        </w:tc>
        <w:tc>
          <w:tcPr>
            <w:tcW w:w="622"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Alba</w:t>
            </w:r>
          </w:p>
        </w:tc>
        <w:tc>
          <w:tcPr>
            <w:tcW w:w="707"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Brașov</w:t>
            </w:r>
          </w:p>
        </w:tc>
        <w:tc>
          <w:tcPr>
            <w:tcW w:w="771"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Covasna</w:t>
            </w:r>
          </w:p>
        </w:tc>
        <w:tc>
          <w:tcPr>
            <w:tcW w:w="789"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Harghita</w:t>
            </w:r>
          </w:p>
        </w:tc>
        <w:tc>
          <w:tcPr>
            <w:tcW w:w="703"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Mureș</w:t>
            </w:r>
          </w:p>
        </w:tc>
        <w:tc>
          <w:tcPr>
            <w:tcW w:w="703" w:type="dxa"/>
            <w:noWrap/>
            <w:hideMark/>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Sibiu</w:t>
            </w:r>
          </w:p>
        </w:tc>
      </w:tr>
      <w:tr w:rsidR="00305726" w:rsidRPr="006B1179" w:rsidTr="005F5D09">
        <w:trPr>
          <w:cnfStyle w:val="000000010000"/>
          <w:trHeight w:val="276"/>
        </w:trPr>
        <w:tc>
          <w:tcPr>
            <w:cnfStyle w:val="001000000000"/>
            <w:tcW w:w="112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Total economie</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552197</w:t>
            </w:r>
          </w:p>
        </w:tc>
        <w:tc>
          <w:tcPr>
            <w:tcW w:w="622" w:type="dxa"/>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74577</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145465</w:t>
            </w:r>
          </w:p>
        </w:tc>
        <w:tc>
          <w:tcPr>
            <w:tcW w:w="771"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40858</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59403</w:t>
            </w:r>
          </w:p>
        </w:tc>
        <w:tc>
          <w:tcPr>
            <w:tcW w:w="72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122832</w:t>
            </w:r>
          </w:p>
        </w:tc>
        <w:tc>
          <w:tcPr>
            <w:tcW w:w="703" w:type="dxa"/>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109062</w:t>
            </w:r>
          </w:p>
        </w:tc>
        <w:tc>
          <w:tcPr>
            <w:tcW w:w="703" w:type="dxa"/>
            <w:noWrap/>
            <w:hideMark/>
          </w:tcPr>
          <w:p w:rsidR="00305726" w:rsidRPr="0042320F" w:rsidRDefault="00305726" w:rsidP="005F5D09">
            <w:pPr>
              <w:spacing w:line="276" w:lineRule="auto"/>
              <w:jc w:val="center"/>
              <w:cnfStyle w:val="000000010000"/>
              <w:rPr>
                <w:rFonts w:ascii="Calibri" w:hAnsi="Calibri"/>
                <w:color w:val="000000"/>
                <w:sz w:val="16"/>
                <w:szCs w:val="16"/>
              </w:rPr>
            </w:pPr>
            <w:r w:rsidRPr="0042320F">
              <w:rPr>
                <w:rFonts w:ascii="Calibri" w:hAnsi="Calibri"/>
                <w:color w:val="000000"/>
                <w:sz w:val="16"/>
                <w:szCs w:val="16"/>
              </w:rPr>
              <w:t>546445</w:t>
            </w:r>
          </w:p>
        </w:tc>
        <w:tc>
          <w:tcPr>
            <w:tcW w:w="622"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73983</w:t>
            </w:r>
          </w:p>
        </w:tc>
        <w:tc>
          <w:tcPr>
            <w:tcW w:w="707" w:type="dxa"/>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145274</w:t>
            </w:r>
          </w:p>
        </w:tc>
        <w:tc>
          <w:tcPr>
            <w:tcW w:w="771"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41964</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59506</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114551</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111167</w:t>
            </w:r>
          </w:p>
        </w:tc>
      </w:tr>
      <w:tr w:rsidR="00305726" w:rsidRPr="006B1179" w:rsidTr="005F5D09">
        <w:trPr>
          <w:cnfStyle w:val="000000100000"/>
          <w:trHeight w:val="276"/>
        </w:trPr>
        <w:tc>
          <w:tcPr>
            <w:cnfStyle w:val="001000000000"/>
            <w:tcW w:w="112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Total industrie</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188274</w:t>
            </w:r>
          </w:p>
        </w:tc>
        <w:tc>
          <w:tcPr>
            <w:tcW w:w="622"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27415</w:t>
            </w:r>
          </w:p>
        </w:tc>
        <w:tc>
          <w:tcPr>
            <w:tcW w:w="789"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44295</w:t>
            </w:r>
          </w:p>
        </w:tc>
        <w:tc>
          <w:tcPr>
            <w:tcW w:w="771"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16141</w:t>
            </w:r>
          </w:p>
        </w:tc>
        <w:tc>
          <w:tcPr>
            <w:tcW w:w="789"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22196</w:t>
            </w:r>
          </w:p>
        </w:tc>
        <w:tc>
          <w:tcPr>
            <w:tcW w:w="723"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38898</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39329</w:t>
            </w:r>
          </w:p>
        </w:tc>
        <w:tc>
          <w:tcPr>
            <w:tcW w:w="703" w:type="dxa"/>
            <w:noWrap/>
            <w:hideMark/>
          </w:tcPr>
          <w:p w:rsidR="00305726" w:rsidRPr="0042320F" w:rsidRDefault="00305726" w:rsidP="005F5D09">
            <w:pPr>
              <w:spacing w:line="276" w:lineRule="auto"/>
              <w:jc w:val="center"/>
              <w:cnfStyle w:val="000000100000"/>
              <w:rPr>
                <w:rFonts w:ascii="Calibri" w:hAnsi="Calibri"/>
                <w:color w:val="000000"/>
                <w:sz w:val="16"/>
                <w:szCs w:val="16"/>
              </w:rPr>
            </w:pPr>
            <w:r w:rsidRPr="0042320F">
              <w:rPr>
                <w:rFonts w:ascii="Calibri" w:hAnsi="Calibri"/>
                <w:color w:val="000000"/>
                <w:sz w:val="16"/>
                <w:szCs w:val="16"/>
              </w:rPr>
              <w:t>196787</w:t>
            </w:r>
          </w:p>
        </w:tc>
        <w:tc>
          <w:tcPr>
            <w:tcW w:w="622"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29650</w:t>
            </w:r>
          </w:p>
        </w:tc>
        <w:tc>
          <w:tcPr>
            <w:tcW w:w="707"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46420</w:t>
            </w:r>
          </w:p>
        </w:tc>
        <w:tc>
          <w:tcPr>
            <w:tcW w:w="771"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16916</w:t>
            </w:r>
          </w:p>
        </w:tc>
        <w:tc>
          <w:tcPr>
            <w:tcW w:w="789"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21598</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40079</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42124</w:t>
            </w:r>
          </w:p>
        </w:tc>
      </w:tr>
      <w:tr w:rsidR="00305726" w:rsidRPr="006B1179" w:rsidTr="005F5D09">
        <w:trPr>
          <w:cnfStyle w:val="000000010000"/>
          <w:trHeight w:val="276"/>
        </w:trPr>
        <w:tc>
          <w:tcPr>
            <w:cnfStyle w:val="001000000000"/>
            <w:tcW w:w="112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Ind</w:t>
            </w:r>
            <w:r>
              <w:rPr>
                <w:rFonts w:cs="Calibri"/>
                <w:color w:val="000000"/>
                <w:sz w:val="16"/>
                <w:szCs w:val="16"/>
              </w:rPr>
              <w:t>.</w:t>
            </w:r>
            <w:r w:rsidRPr="006B1179">
              <w:rPr>
                <w:rFonts w:cs="Calibri"/>
                <w:color w:val="000000"/>
                <w:sz w:val="16"/>
                <w:szCs w:val="16"/>
              </w:rPr>
              <w:t xml:space="preserve"> prelucrătoare</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162076</w:t>
            </w:r>
          </w:p>
        </w:tc>
        <w:tc>
          <w:tcPr>
            <w:tcW w:w="622"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23952</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38501</w:t>
            </w:r>
          </w:p>
        </w:tc>
        <w:tc>
          <w:tcPr>
            <w:tcW w:w="771"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14477</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19597</w:t>
            </w:r>
          </w:p>
        </w:tc>
        <w:tc>
          <w:tcPr>
            <w:tcW w:w="72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31441</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34108</w:t>
            </w:r>
          </w:p>
        </w:tc>
        <w:tc>
          <w:tcPr>
            <w:tcW w:w="703" w:type="dxa"/>
            <w:noWrap/>
            <w:hideMark/>
          </w:tcPr>
          <w:p w:rsidR="00305726" w:rsidRPr="0042320F" w:rsidRDefault="00305726" w:rsidP="005F5D09">
            <w:pPr>
              <w:spacing w:line="276" w:lineRule="auto"/>
              <w:jc w:val="center"/>
              <w:cnfStyle w:val="000000010000"/>
              <w:rPr>
                <w:rFonts w:ascii="Calibri" w:hAnsi="Calibri"/>
                <w:color w:val="000000"/>
                <w:sz w:val="16"/>
                <w:szCs w:val="16"/>
              </w:rPr>
            </w:pPr>
            <w:r w:rsidRPr="0042320F">
              <w:rPr>
                <w:rFonts w:ascii="Calibri" w:hAnsi="Calibri"/>
                <w:color w:val="000000"/>
                <w:sz w:val="16"/>
                <w:szCs w:val="16"/>
              </w:rPr>
              <w:t>170950</w:t>
            </w:r>
          </w:p>
        </w:tc>
        <w:tc>
          <w:tcPr>
            <w:tcW w:w="622"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26320</w:t>
            </w:r>
          </w:p>
        </w:tc>
        <w:tc>
          <w:tcPr>
            <w:tcW w:w="707"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40650</w:t>
            </w:r>
          </w:p>
        </w:tc>
        <w:tc>
          <w:tcPr>
            <w:tcW w:w="771"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15320</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19098</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32771</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36791</w:t>
            </w:r>
          </w:p>
        </w:tc>
      </w:tr>
      <w:tr w:rsidR="00305726" w:rsidRPr="006B1179" w:rsidTr="005F5D09">
        <w:trPr>
          <w:cnfStyle w:val="000000100000"/>
          <w:trHeight w:val="238"/>
        </w:trPr>
        <w:tc>
          <w:tcPr>
            <w:cnfStyle w:val="001000000000"/>
            <w:tcW w:w="112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Ind</w:t>
            </w:r>
            <w:r>
              <w:rPr>
                <w:rFonts w:cs="Calibri"/>
                <w:color w:val="000000"/>
                <w:sz w:val="16"/>
                <w:szCs w:val="16"/>
              </w:rPr>
              <w:t>.</w:t>
            </w:r>
            <w:r w:rsidRPr="006B1179">
              <w:rPr>
                <w:rFonts w:cs="Calibri"/>
                <w:color w:val="000000"/>
                <w:sz w:val="16"/>
                <w:szCs w:val="16"/>
              </w:rPr>
              <w:t xml:space="preserve"> lemnului</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15883</w:t>
            </w:r>
          </w:p>
        </w:tc>
        <w:tc>
          <w:tcPr>
            <w:tcW w:w="622"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1768</w:t>
            </w:r>
          </w:p>
        </w:tc>
        <w:tc>
          <w:tcPr>
            <w:tcW w:w="789"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2401</w:t>
            </w:r>
          </w:p>
        </w:tc>
        <w:tc>
          <w:tcPr>
            <w:tcW w:w="771"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4645</w:t>
            </w:r>
          </w:p>
        </w:tc>
        <w:tc>
          <w:tcPr>
            <w:tcW w:w="789"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3680</w:t>
            </w:r>
          </w:p>
        </w:tc>
        <w:tc>
          <w:tcPr>
            <w:tcW w:w="723"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2606</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sidRPr="006B1179">
              <w:rPr>
                <w:rFonts w:cs="Calibri"/>
                <w:color w:val="000000"/>
                <w:sz w:val="16"/>
                <w:szCs w:val="16"/>
              </w:rPr>
              <w:t>783</w:t>
            </w:r>
          </w:p>
        </w:tc>
        <w:tc>
          <w:tcPr>
            <w:tcW w:w="703" w:type="dxa"/>
            <w:noWrap/>
            <w:hideMark/>
          </w:tcPr>
          <w:p w:rsidR="00305726" w:rsidRPr="0042320F" w:rsidRDefault="00305726" w:rsidP="005F5D09">
            <w:pPr>
              <w:spacing w:line="276" w:lineRule="auto"/>
              <w:jc w:val="center"/>
              <w:cnfStyle w:val="000000100000"/>
              <w:rPr>
                <w:rFonts w:ascii="Calibri" w:hAnsi="Calibri"/>
                <w:color w:val="000000"/>
                <w:sz w:val="16"/>
                <w:szCs w:val="16"/>
              </w:rPr>
            </w:pPr>
            <w:r w:rsidRPr="0042320F">
              <w:rPr>
                <w:rFonts w:ascii="Calibri" w:hAnsi="Calibri"/>
                <w:color w:val="000000"/>
                <w:sz w:val="16"/>
                <w:szCs w:val="16"/>
              </w:rPr>
              <w:t>16794</w:t>
            </w:r>
          </w:p>
        </w:tc>
        <w:tc>
          <w:tcPr>
            <w:tcW w:w="622"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2083</w:t>
            </w:r>
          </w:p>
        </w:tc>
        <w:tc>
          <w:tcPr>
            <w:tcW w:w="707"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2717</w:t>
            </w:r>
          </w:p>
        </w:tc>
        <w:tc>
          <w:tcPr>
            <w:tcW w:w="771"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5084</w:t>
            </w:r>
          </w:p>
        </w:tc>
        <w:tc>
          <w:tcPr>
            <w:tcW w:w="789"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3381</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2587</w:t>
            </w:r>
          </w:p>
        </w:tc>
        <w:tc>
          <w:tcPr>
            <w:tcW w:w="703" w:type="dxa"/>
            <w:noWrap/>
            <w:hideMark/>
          </w:tcPr>
          <w:p w:rsidR="00305726" w:rsidRPr="006B1179" w:rsidRDefault="00305726" w:rsidP="005F5D09">
            <w:pPr>
              <w:spacing w:line="276" w:lineRule="auto"/>
              <w:jc w:val="center"/>
              <w:cnfStyle w:val="000000100000"/>
              <w:rPr>
                <w:rFonts w:cs="Calibri"/>
                <w:color w:val="000000"/>
                <w:sz w:val="16"/>
                <w:szCs w:val="16"/>
              </w:rPr>
            </w:pPr>
            <w:r>
              <w:rPr>
                <w:rFonts w:cs="Calibri"/>
                <w:color w:val="000000"/>
                <w:sz w:val="16"/>
                <w:szCs w:val="16"/>
              </w:rPr>
              <w:t>942</w:t>
            </w:r>
          </w:p>
        </w:tc>
      </w:tr>
      <w:tr w:rsidR="00305726" w:rsidRPr="006B1179" w:rsidTr="005F5D09">
        <w:trPr>
          <w:cnfStyle w:val="000000010000"/>
          <w:trHeight w:val="276"/>
        </w:trPr>
        <w:tc>
          <w:tcPr>
            <w:cnfStyle w:val="001000000000"/>
            <w:tcW w:w="112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Fabr</w:t>
            </w:r>
            <w:r>
              <w:rPr>
                <w:rFonts w:cs="Calibri"/>
                <w:color w:val="000000"/>
                <w:sz w:val="16"/>
                <w:szCs w:val="16"/>
              </w:rPr>
              <w:t>.</w:t>
            </w:r>
            <w:r w:rsidRPr="006B1179">
              <w:rPr>
                <w:rFonts w:cs="Calibri"/>
                <w:color w:val="000000"/>
                <w:sz w:val="16"/>
                <w:szCs w:val="16"/>
              </w:rPr>
              <w:t xml:space="preserve"> mobilei</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10062</w:t>
            </w:r>
          </w:p>
        </w:tc>
        <w:tc>
          <w:tcPr>
            <w:tcW w:w="622"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1835</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507</w:t>
            </w:r>
          </w:p>
        </w:tc>
        <w:tc>
          <w:tcPr>
            <w:tcW w:w="771"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497</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1972</w:t>
            </w:r>
          </w:p>
        </w:tc>
        <w:tc>
          <w:tcPr>
            <w:tcW w:w="72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4551</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sidRPr="006B1179">
              <w:rPr>
                <w:rFonts w:cs="Calibri"/>
                <w:color w:val="000000"/>
                <w:sz w:val="16"/>
                <w:szCs w:val="16"/>
              </w:rPr>
              <w:t>700</w:t>
            </w:r>
          </w:p>
        </w:tc>
        <w:tc>
          <w:tcPr>
            <w:tcW w:w="703" w:type="dxa"/>
            <w:noWrap/>
            <w:hideMark/>
          </w:tcPr>
          <w:p w:rsidR="00305726" w:rsidRPr="0042320F" w:rsidRDefault="00305726" w:rsidP="005F5D09">
            <w:pPr>
              <w:spacing w:line="276" w:lineRule="auto"/>
              <w:jc w:val="center"/>
              <w:cnfStyle w:val="000000010000"/>
              <w:rPr>
                <w:rFonts w:ascii="Calibri" w:hAnsi="Calibri"/>
                <w:color w:val="000000"/>
                <w:sz w:val="16"/>
                <w:szCs w:val="16"/>
              </w:rPr>
            </w:pPr>
            <w:r w:rsidRPr="0042320F">
              <w:rPr>
                <w:rFonts w:ascii="Calibri" w:hAnsi="Calibri"/>
                <w:color w:val="000000"/>
                <w:sz w:val="16"/>
                <w:szCs w:val="16"/>
              </w:rPr>
              <w:t>10127</w:t>
            </w:r>
          </w:p>
        </w:tc>
        <w:tc>
          <w:tcPr>
            <w:tcW w:w="622"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1850</w:t>
            </w:r>
          </w:p>
        </w:tc>
        <w:tc>
          <w:tcPr>
            <w:tcW w:w="707"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38</w:t>
            </w:r>
          </w:p>
        </w:tc>
        <w:tc>
          <w:tcPr>
            <w:tcW w:w="771"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456</w:t>
            </w:r>
          </w:p>
        </w:tc>
        <w:tc>
          <w:tcPr>
            <w:tcW w:w="789"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2330</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4637</w:t>
            </w:r>
          </w:p>
        </w:tc>
        <w:tc>
          <w:tcPr>
            <w:tcW w:w="703" w:type="dxa"/>
            <w:noWrap/>
            <w:hideMark/>
          </w:tcPr>
          <w:p w:rsidR="00305726" w:rsidRPr="006B1179" w:rsidRDefault="00305726" w:rsidP="005F5D09">
            <w:pPr>
              <w:spacing w:line="276" w:lineRule="auto"/>
              <w:jc w:val="center"/>
              <w:cnfStyle w:val="000000010000"/>
              <w:rPr>
                <w:rFonts w:cs="Calibri"/>
                <w:color w:val="000000"/>
                <w:sz w:val="16"/>
                <w:szCs w:val="16"/>
              </w:rPr>
            </w:pPr>
            <w:r>
              <w:rPr>
                <w:rFonts w:cs="Calibri"/>
                <w:color w:val="000000"/>
                <w:sz w:val="16"/>
                <w:szCs w:val="16"/>
              </w:rPr>
              <w:t>816</w:t>
            </w:r>
          </w:p>
        </w:tc>
      </w:tr>
    </w:tbl>
    <w:p w:rsidR="00305726" w:rsidRDefault="00305726" w:rsidP="00305726">
      <w:pPr>
        <w:spacing w:after="0"/>
        <w:rPr>
          <w:rFonts w:cs="Calibri"/>
          <w:b/>
          <w:sz w:val="24"/>
          <w:szCs w:val="24"/>
        </w:rPr>
      </w:pPr>
      <w:r w:rsidRPr="000C001A">
        <w:rPr>
          <w:b/>
        </w:rPr>
        <w:t xml:space="preserve">Sursa: </w:t>
      </w:r>
      <w:r>
        <w:t>Institutul Național de Statistică</w:t>
      </w:r>
    </w:p>
    <w:tbl>
      <w:tblPr>
        <w:tblStyle w:val="Umbriremedie1-Accentuare3"/>
        <w:tblW w:w="11269" w:type="dxa"/>
        <w:tblInd w:w="-972" w:type="dxa"/>
        <w:tblLook w:val="04A0"/>
      </w:tblPr>
      <w:tblGrid>
        <w:gridCol w:w="1131"/>
        <w:gridCol w:w="703"/>
        <w:gridCol w:w="622"/>
        <w:gridCol w:w="703"/>
        <w:gridCol w:w="758"/>
        <w:gridCol w:w="775"/>
        <w:gridCol w:w="703"/>
        <w:gridCol w:w="703"/>
        <w:gridCol w:w="746"/>
        <w:gridCol w:w="696"/>
        <w:gridCol w:w="716"/>
        <w:gridCol w:w="758"/>
        <w:gridCol w:w="775"/>
        <w:gridCol w:w="703"/>
        <w:gridCol w:w="777"/>
      </w:tblGrid>
      <w:tr w:rsidR="00305726" w:rsidRPr="006B1179" w:rsidTr="005F5D09">
        <w:trPr>
          <w:cnfStyle w:val="100000000000"/>
          <w:trHeight w:val="276"/>
        </w:trPr>
        <w:tc>
          <w:tcPr>
            <w:cnfStyle w:val="001000000000"/>
            <w:tcW w:w="1131" w:type="dxa"/>
            <w:vMerge w:val="restart"/>
            <w:noWrap/>
            <w:hideMark/>
          </w:tcPr>
          <w:p w:rsidR="00305726" w:rsidRPr="006B1179" w:rsidRDefault="00305726" w:rsidP="005F5D09">
            <w:pPr>
              <w:spacing w:line="276" w:lineRule="auto"/>
              <w:jc w:val="center"/>
              <w:rPr>
                <w:rFonts w:cs="Calibri"/>
                <w:b w:val="0"/>
                <w:bCs w:val="0"/>
                <w:color w:val="000000"/>
                <w:sz w:val="16"/>
                <w:szCs w:val="16"/>
              </w:rPr>
            </w:pPr>
            <w:r w:rsidRPr="006B1179">
              <w:rPr>
                <w:rFonts w:cs="Calibri"/>
                <w:color w:val="000000"/>
                <w:sz w:val="16"/>
                <w:szCs w:val="16"/>
              </w:rPr>
              <w:t> </w:t>
            </w:r>
          </w:p>
        </w:tc>
        <w:tc>
          <w:tcPr>
            <w:tcW w:w="4967" w:type="dxa"/>
            <w:gridSpan w:val="7"/>
            <w:noWrap/>
            <w:hideMark/>
          </w:tcPr>
          <w:p w:rsidR="00305726" w:rsidRPr="006B1179" w:rsidRDefault="00305726" w:rsidP="005F5D09">
            <w:pPr>
              <w:spacing w:line="276" w:lineRule="auto"/>
              <w:jc w:val="center"/>
              <w:cnfStyle w:val="100000000000"/>
              <w:rPr>
                <w:rFonts w:cs="Calibri"/>
                <w:b w:val="0"/>
                <w:bCs w:val="0"/>
                <w:color w:val="000000"/>
                <w:sz w:val="16"/>
                <w:szCs w:val="16"/>
              </w:rPr>
            </w:pPr>
            <w:r>
              <w:rPr>
                <w:rFonts w:cs="Calibri"/>
                <w:color w:val="000000"/>
                <w:sz w:val="16"/>
                <w:szCs w:val="16"/>
              </w:rPr>
              <w:t>2012</w:t>
            </w:r>
          </w:p>
        </w:tc>
        <w:tc>
          <w:tcPr>
            <w:tcW w:w="5171" w:type="dxa"/>
            <w:gridSpan w:val="7"/>
          </w:tcPr>
          <w:p w:rsidR="00305726" w:rsidRDefault="00305726" w:rsidP="005F5D09">
            <w:pPr>
              <w:jc w:val="center"/>
              <w:cnfStyle w:val="100000000000"/>
              <w:rPr>
                <w:rFonts w:cs="Calibri"/>
                <w:b w:val="0"/>
                <w:bCs w:val="0"/>
                <w:color w:val="000000"/>
                <w:sz w:val="16"/>
                <w:szCs w:val="16"/>
              </w:rPr>
            </w:pPr>
            <w:r>
              <w:rPr>
                <w:rFonts w:cs="Calibri"/>
                <w:color w:val="000000"/>
                <w:sz w:val="16"/>
                <w:szCs w:val="16"/>
              </w:rPr>
              <w:t>2013</w:t>
            </w:r>
          </w:p>
        </w:tc>
      </w:tr>
      <w:tr w:rsidR="00305726" w:rsidRPr="006B1179" w:rsidTr="005F5D09">
        <w:trPr>
          <w:cnfStyle w:val="000000100000"/>
          <w:trHeight w:val="276"/>
        </w:trPr>
        <w:tc>
          <w:tcPr>
            <w:cnfStyle w:val="001000000000"/>
            <w:tcW w:w="1131" w:type="dxa"/>
            <w:vMerge/>
            <w:hideMark/>
          </w:tcPr>
          <w:p w:rsidR="00305726" w:rsidRPr="006B1179" w:rsidRDefault="00305726" w:rsidP="005F5D09">
            <w:pPr>
              <w:spacing w:line="276" w:lineRule="auto"/>
              <w:rPr>
                <w:rFonts w:cs="Calibri"/>
                <w:b w:val="0"/>
                <w:bCs w:val="0"/>
                <w:color w:val="000000"/>
                <w:sz w:val="16"/>
                <w:szCs w:val="16"/>
              </w:rPr>
            </w:pPr>
          </w:p>
        </w:tc>
        <w:tc>
          <w:tcPr>
            <w:tcW w:w="703"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Centru</w:t>
            </w:r>
          </w:p>
        </w:tc>
        <w:tc>
          <w:tcPr>
            <w:tcW w:w="622"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Alba</w:t>
            </w:r>
          </w:p>
        </w:tc>
        <w:tc>
          <w:tcPr>
            <w:tcW w:w="703"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Brașov</w:t>
            </w:r>
          </w:p>
        </w:tc>
        <w:tc>
          <w:tcPr>
            <w:tcW w:w="758"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Covasna</w:t>
            </w:r>
          </w:p>
        </w:tc>
        <w:tc>
          <w:tcPr>
            <w:tcW w:w="775"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Harghita</w:t>
            </w:r>
          </w:p>
        </w:tc>
        <w:tc>
          <w:tcPr>
            <w:tcW w:w="703"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Mureș</w:t>
            </w:r>
          </w:p>
        </w:tc>
        <w:tc>
          <w:tcPr>
            <w:tcW w:w="703" w:type="dxa"/>
            <w:noWrap/>
            <w:hideMark/>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Sibiu</w:t>
            </w:r>
          </w:p>
        </w:tc>
        <w:tc>
          <w:tcPr>
            <w:tcW w:w="746"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Centru</w:t>
            </w:r>
          </w:p>
        </w:tc>
        <w:tc>
          <w:tcPr>
            <w:tcW w:w="696"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Alba</w:t>
            </w:r>
          </w:p>
        </w:tc>
        <w:tc>
          <w:tcPr>
            <w:tcW w:w="716"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Brașov</w:t>
            </w:r>
          </w:p>
        </w:tc>
        <w:tc>
          <w:tcPr>
            <w:tcW w:w="758"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Covasna</w:t>
            </w:r>
          </w:p>
        </w:tc>
        <w:tc>
          <w:tcPr>
            <w:tcW w:w="775"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Harghita</w:t>
            </w:r>
          </w:p>
        </w:tc>
        <w:tc>
          <w:tcPr>
            <w:tcW w:w="703"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Mureș</w:t>
            </w:r>
          </w:p>
        </w:tc>
        <w:tc>
          <w:tcPr>
            <w:tcW w:w="777" w:type="dxa"/>
          </w:tcPr>
          <w:p w:rsidR="00305726" w:rsidRPr="006B1179" w:rsidRDefault="00305726" w:rsidP="005F5D09">
            <w:pPr>
              <w:spacing w:line="276" w:lineRule="auto"/>
              <w:cnfStyle w:val="000000100000"/>
              <w:rPr>
                <w:rFonts w:cs="Calibri"/>
                <w:color w:val="000000"/>
                <w:sz w:val="16"/>
                <w:szCs w:val="16"/>
              </w:rPr>
            </w:pPr>
            <w:r w:rsidRPr="006B1179">
              <w:rPr>
                <w:rFonts w:cs="Calibri"/>
                <w:color w:val="000000"/>
                <w:sz w:val="16"/>
                <w:szCs w:val="16"/>
              </w:rPr>
              <w:t>Sibiu</w:t>
            </w:r>
          </w:p>
        </w:tc>
      </w:tr>
      <w:tr w:rsidR="00305726" w:rsidRPr="00277804" w:rsidTr="005F5D09">
        <w:trPr>
          <w:cnfStyle w:val="000000010000"/>
          <w:trHeight w:val="276"/>
        </w:trPr>
        <w:tc>
          <w:tcPr>
            <w:cnfStyle w:val="001000000000"/>
            <w:tcW w:w="1131" w:type="dxa"/>
            <w:noWrap/>
            <w:hideMark/>
          </w:tcPr>
          <w:p w:rsidR="00305726" w:rsidRPr="00277804" w:rsidRDefault="00305726" w:rsidP="005F5D09">
            <w:pPr>
              <w:spacing w:line="276" w:lineRule="auto"/>
              <w:rPr>
                <w:rFonts w:cs="Calibri"/>
                <w:b w:val="0"/>
                <w:bCs w:val="0"/>
                <w:color w:val="000000"/>
                <w:sz w:val="16"/>
                <w:szCs w:val="16"/>
              </w:rPr>
            </w:pPr>
            <w:r w:rsidRPr="00277804">
              <w:rPr>
                <w:rFonts w:cs="Calibri"/>
                <w:color w:val="000000"/>
                <w:sz w:val="16"/>
                <w:szCs w:val="16"/>
              </w:rPr>
              <w:t>Total economie</w:t>
            </w:r>
          </w:p>
        </w:tc>
        <w:tc>
          <w:tcPr>
            <w:tcW w:w="703" w:type="dxa"/>
            <w:noWrap/>
            <w:hideMark/>
          </w:tcPr>
          <w:p w:rsidR="00305726" w:rsidRPr="00277804" w:rsidRDefault="00305726" w:rsidP="005F5D09">
            <w:pPr>
              <w:jc w:val="center"/>
              <w:cnfStyle w:val="000000010000"/>
              <w:rPr>
                <w:color w:val="000000"/>
                <w:sz w:val="16"/>
                <w:szCs w:val="16"/>
              </w:rPr>
            </w:pPr>
            <w:r w:rsidRPr="00277804">
              <w:rPr>
                <w:color w:val="000000"/>
                <w:sz w:val="16"/>
                <w:szCs w:val="16"/>
              </w:rPr>
              <w:t>567851</w:t>
            </w:r>
          </w:p>
        </w:tc>
        <w:tc>
          <w:tcPr>
            <w:tcW w:w="622"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77467</w:t>
            </w:r>
          </w:p>
        </w:tc>
        <w:tc>
          <w:tcPr>
            <w:tcW w:w="703" w:type="dxa"/>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151324</w:t>
            </w:r>
          </w:p>
        </w:tc>
        <w:tc>
          <w:tcPr>
            <w:tcW w:w="758"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44533</w:t>
            </w:r>
          </w:p>
        </w:tc>
        <w:tc>
          <w:tcPr>
            <w:tcW w:w="775"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62478</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115815</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116234</w:t>
            </w:r>
          </w:p>
        </w:tc>
        <w:tc>
          <w:tcPr>
            <w:tcW w:w="746" w:type="dxa"/>
          </w:tcPr>
          <w:p w:rsidR="00305726" w:rsidRPr="00277804" w:rsidRDefault="00305726" w:rsidP="005F5D09">
            <w:pPr>
              <w:jc w:val="right"/>
              <w:cnfStyle w:val="000000010000"/>
              <w:rPr>
                <w:color w:val="000000"/>
                <w:sz w:val="16"/>
                <w:szCs w:val="16"/>
              </w:rPr>
            </w:pPr>
            <w:r w:rsidRPr="00277804">
              <w:rPr>
                <w:color w:val="000000"/>
                <w:sz w:val="16"/>
                <w:szCs w:val="16"/>
              </w:rPr>
              <w:t>573807</w:t>
            </w:r>
          </w:p>
        </w:tc>
        <w:tc>
          <w:tcPr>
            <w:tcW w:w="696" w:type="dxa"/>
          </w:tcPr>
          <w:p w:rsidR="00305726" w:rsidRPr="00277804" w:rsidRDefault="00305726" w:rsidP="005F5D09">
            <w:pPr>
              <w:jc w:val="right"/>
              <w:cnfStyle w:val="000000010000"/>
              <w:rPr>
                <w:color w:val="000000"/>
                <w:sz w:val="16"/>
                <w:szCs w:val="16"/>
              </w:rPr>
            </w:pPr>
            <w:r w:rsidRPr="00277804">
              <w:rPr>
                <w:color w:val="000000"/>
                <w:sz w:val="16"/>
                <w:szCs w:val="16"/>
              </w:rPr>
              <w:t>77320</w:t>
            </w:r>
          </w:p>
        </w:tc>
        <w:tc>
          <w:tcPr>
            <w:tcW w:w="716" w:type="dxa"/>
          </w:tcPr>
          <w:p w:rsidR="00305726" w:rsidRPr="00277804" w:rsidRDefault="00305726" w:rsidP="005F5D09">
            <w:pPr>
              <w:jc w:val="right"/>
              <w:cnfStyle w:val="000000010000"/>
              <w:rPr>
                <w:color w:val="000000"/>
                <w:sz w:val="16"/>
                <w:szCs w:val="16"/>
              </w:rPr>
            </w:pPr>
            <w:r w:rsidRPr="00277804">
              <w:rPr>
                <w:color w:val="000000"/>
                <w:sz w:val="16"/>
                <w:szCs w:val="16"/>
              </w:rPr>
              <w:t>154690</w:t>
            </w:r>
          </w:p>
        </w:tc>
        <w:tc>
          <w:tcPr>
            <w:tcW w:w="758" w:type="dxa"/>
          </w:tcPr>
          <w:p w:rsidR="00305726" w:rsidRPr="00277804" w:rsidRDefault="00305726" w:rsidP="005F5D09">
            <w:pPr>
              <w:jc w:val="right"/>
              <w:cnfStyle w:val="000000010000"/>
              <w:rPr>
                <w:color w:val="000000"/>
                <w:sz w:val="16"/>
                <w:szCs w:val="16"/>
              </w:rPr>
            </w:pPr>
            <w:r w:rsidRPr="00277804">
              <w:rPr>
                <w:color w:val="000000"/>
                <w:sz w:val="16"/>
                <w:szCs w:val="16"/>
              </w:rPr>
              <w:t>44666</w:t>
            </w:r>
          </w:p>
        </w:tc>
        <w:tc>
          <w:tcPr>
            <w:tcW w:w="775" w:type="dxa"/>
          </w:tcPr>
          <w:p w:rsidR="00305726" w:rsidRPr="00277804" w:rsidRDefault="00305726" w:rsidP="005F5D09">
            <w:pPr>
              <w:jc w:val="right"/>
              <w:cnfStyle w:val="000000010000"/>
              <w:rPr>
                <w:color w:val="000000"/>
                <w:sz w:val="16"/>
                <w:szCs w:val="16"/>
              </w:rPr>
            </w:pPr>
            <w:r w:rsidRPr="00277804">
              <w:rPr>
                <w:color w:val="000000"/>
                <w:sz w:val="16"/>
                <w:szCs w:val="16"/>
              </w:rPr>
              <w:t>61050</w:t>
            </w:r>
          </w:p>
        </w:tc>
        <w:tc>
          <w:tcPr>
            <w:tcW w:w="703" w:type="dxa"/>
          </w:tcPr>
          <w:p w:rsidR="00305726" w:rsidRPr="00277804" w:rsidRDefault="00305726" w:rsidP="005F5D09">
            <w:pPr>
              <w:jc w:val="right"/>
              <w:cnfStyle w:val="000000010000"/>
              <w:rPr>
                <w:color w:val="000000"/>
                <w:sz w:val="16"/>
                <w:szCs w:val="16"/>
              </w:rPr>
            </w:pPr>
            <w:r w:rsidRPr="00277804">
              <w:rPr>
                <w:color w:val="000000"/>
                <w:sz w:val="16"/>
                <w:szCs w:val="16"/>
              </w:rPr>
              <w:t>117940</w:t>
            </w:r>
          </w:p>
        </w:tc>
        <w:tc>
          <w:tcPr>
            <w:tcW w:w="777" w:type="dxa"/>
          </w:tcPr>
          <w:p w:rsidR="00305726" w:rsidRPr="00277804" w:rsidRDefault="00305726" w:rsidP="005F5D09">
            <w:pPr>
              <w:jc w:val="right"/>
              <w:cnfStyle w:val="000000010000"/>
              <w:rPr>
                <w:color w:val="000000"/>
                <w:sz w:val="16"/>
                <w:szCs w:val="16"/>
              </w:rPr>
            </w:pPr>
            <w:r w:rsidRPr="00277804">
              <w:rPr>
                <w:color w:val="000000"/>
                <w:sz w:val="16"/>
                <w:szCs w:val="16"/>
              </w:rPr>
              <w:t>118141</w:t>
            </w:r>
          </w:p>
        </w:tc>
      </w:tr>
      <w:tr w:rsidR="00305726" w:rsidRPr="00277804" w:rsidTr="005F5D09">
        <w:trPr>
          <w:cnfStyle w:val="000000100000"/>
          <w:trHeight w:val="276"/>
        </w:trPr>
        <w:tc>
          <w:tcPr>
            <w:cnfStyle w:val="001000000000"/>
            <w:tcW w:w="1131" w:type="dxa"/>
            <w:noWrap/>
            <w:hideMark/>
          </w:tcPr>
          <w:p w:rsidR="00305726" w:rsidRPr="00277804" w:rsidRDefault="00305726" w:rsidP="005F5D09">
            <w:pPr>
              <w:spacing w:line="276" w:lineRule="auto"/>
              <w:rPr>
                <w:rFonts w:cs="Calibri"/>
                <w:b w:val="0"/>
                <w:bCs w:val="0"/>
                <w:color w:val="000000"/>
                <w:sz w:val="16"/>
                <w:szCs w:val="16"/>
              </w:rPr>
            </w:pPr>
            <w:r w:rsidRPr="00277804">
              <w:rPr>
                <w:rFonts w:cs="Calibri"/>
                <w:color w:val="000000"/>
                <w:sz w:val="16"/>
                <w:szCs w:val="16"/>
              </w:rPr>
              <w:t>Total industrie</w:t>
            </w:r>
          </w:p>
        </w:tc>
        <w:tc>
          <w:tcPr>
            <w:tcW w:w="703" w:type="dxa"/>
            <w:noWrap/>
            <w:hideMark/>
          </w:tcPr>
          <w:p w:rsidR="00305726" w:rsidRPr="00277804" w:rsidRDefault="00305726" w:rsidP="005F5D09">
            <w:pPr>
              <w:jc w:val="center"/>
              <w:cnfStyle w:val="000000100000"/>
              <w:rPr>
                <w:color w:val="000000"/>
                <w:sz w:val="16"/>
                <w:szCs w:val="16"/>
              </w:rPr>
            </w:pPr>
            <w:r w:rsidRPr="00277804">
              <w:rPr>
                <w:color w:val="000000"/>
                <w:sz w:val="16"/>
                <w:szCs w:val="16"/>
              </w:rPr>
              <w:t>207061</w:t>
            </w:r>
          </w:p>
        </w:tc>
        <w:tc>
          <w:tcPr>
            <w:tcW w:w="622"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31456</w:t>
            </w:r>
          </w:p>
        </w:tc>
        <w:tc>
          <w:tcPr>
            <w:tcW w:w="703"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49531</w:t>
            </w:r>
          </w:p>
        </w:tc>
        <w:tc>
          <w:tcPr>
            <w:tcW w:w="758"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17294</w:t>
            </w:r>
          </w:p>
        </w:tc>
        <w:tc>
          <w:tcPr>
            <w:tcW w:w="775"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22597</w:t>
            </w:r>
          </w:p>
        </w:tc>
        <w:tc>
          <w:tcPr>
            <w:tcW w:w="703"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40772</w:t>
            </w:r>
          </w:p>
        </w:tc>
        <w:tc>
          <w:tcPr>
            <w:tcW w:w="703"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45411</w:t>
            </w:r>
          </w:p>
        </w:tc>
        <w:tc>
          <w:tcPr>
            <w:tcW w:w="746" w:type="dxa"/>
          </w:tcPr>
          <w:p w:rsidR="00305726" w:rsidRPr="00277804" w:rsidRDefault="00305726" w:rsidP="005F5D09">
            <w:pPr>
              <w:jc w:val="right"/>
              <w:cnfStyle w:val="000000100000"/>
              <w:rPr>
                <w:color w:val="000000"/>
                <w:sz w:val="16"/>
                <w:szCs w:val="16"/>
              </w:rPr>
            </w:pPr>
            <w:r w:rsidRPr="00277804">
              <w:rPr>
                <w:color w:val="000000"/>
                <w:sz w:val="16"/>
                <w:szCs w:val="16"/>
              </w:rPr>
              <w:t>209311</w:t>
            </w:r>
          </w:p>
        </w:tc>
        <w:tc>
          <w:tcPr>
            <w:tcW w:w="696" w:type="dxa"/>
          </w:tcPr>
          <w:p w:rsidR="00305726" w:rsidRPr="00277804" w:rsidRDefault="00305726" w:rsidP="005F5D09">
            <w:pPr>
              <w:jc w:val="right"/>
              <w:cnfStyle w:val="000000100000"/>
              <w:rPr>
                <w:color w:val="000000"/>
                <w:sz w:val="16"/>
                <w:szCs w:val="16"/>
              </w:rPr>
            </w:pPr>
            <w:r w:rsidRPr="00277804">
              <w:rPr>
                <w:color w:val="000000"/>
                <w:sz w:val="16"/>
                <w:szCs w:val="16"/>
              </w:rPr>
              <w:t>31564</w:t>
            </w:r>
          </w:p>
        </w:tc>
        <w:tc>
          <w:tcPr>
            <w:tcW w:w="716" w:type="dxa"/>
          </w:tcPr>
          <w:p w:rsidR="00305726" w:rsidRPr="00277804" w:rsidRDefault="00305726" w:rsidP="005F5D09">
            <w:pPr>
              <w:jc w:val="right"/>
              <w:cnfStyle w:val="000000100000"/>
              <w:rPr>
                <w:color w:val="000000"/>
                <w:sz w:val="16"/>
                <w:szCs w:val="16"/>
              </w:rPr>
            </w:pPr>
            <w:r w:rsidRPr="00277804">
              <w:rPr>
                <w:color w:val="000000"/>
                <w:sz w:val="16"/>
                <w:szCs w:val="16"/>
              </w:rPr>
              <w:t>52133</w:t>
            </w:r>
          </w:p>
        </w:tc>
        <w:tc>
          <w:tcPr>
            <w:tcW w:w="758" w:type="dxa"/>
          </w:tcPr>
          <w:p w:rsidR="00305726" w:rsidRPr="00277804" w:rsidRDefault="00305726" w:rsidP="005F5D09">
            <w:pPr>
              <w:jc w:val="right"/>
              <w:cnfStyle w:val="000000100000"/>
              <w:rPr>
                <w:color w:val="000000"/>
                <w:sz w:val="16"/>
                <w:szCs w:val="16"/>
              </w:rPr>
            </w:pPr>
            <w:r w:rsidRPr="00277804">
              <w:rPr>
                <w:color w:val="000000"/>
                <w:sz w:val="16"/>
                <w:szCs w:val="16"/>
              </w:rPr>
              <w:t>17754</w:t>
            </w:r>
          </w:p>
        </w:tc>
        <w:tc>
          <w:tcPr>
            <w:tcW w:w="775" w:type="dxa"/>
          </w:tcPr>
          <w:p w:rsidR="00305726" w:rsidRPr="00277804" w:rsidRDefault="00305726" w:rsidP="005F5D09">
            <w:pPr>
              <w:jc w:val="right"/>
              <w:cnfStyle w:val="000000100000"/>
              <w:rPr>
                <w:color w:val="000000"/>
                <w:sz w:val="16"/>
                <w:szCs w:val="16"/>
              </w:rPr>
            </w:pPr>
            <w:r w:rsidRPr="00277804">
              <w:rPr>
                <w:color w:val="000000"/>
                <w:sz w:val="16"/>
                <w:szCs w:val="16"/>
              </w:rPr>
              <w:t>21525</w:t>
            </w:r>
          </w:p>
        </w:tc>
        <w:tc>
          <w:tcPr>
            <w:tcW w:w="703" w:type="dxa"/>
          </w:tcPr>
          <w:p w:rsidR="00305726" w:rsidRPr="00277804" w:rsidRDefault="00305726" w:rsidP="005F5D09">
            <w:pPr>
              <w:jc w:val="right"/>
              <w:cnfStyle w:val="000000100000"/>
              <w:rPr>
                <w:color w:val="000000"/>
                <w:sz w:val="16"/>
                <w:szCs w:val="16"/>
              </w:rPr>
            </w:pPr>
            <w:r w:rsidRPr="00277804">
              <w:rPr>
                <w:color w:val="000000"/>
                <w:sz w:val="16"/>
                <w:szCs w:val="16"/>
              </w:rPr>
              <w:t>40251</w:t>
            </w:r>
          </w:p>
        </w:tc>
        <w:tc>
          <w:tcPr>
            <w:tcW w:w="777" w:type="dxa"/>
          </w:tcPr>
          <w:p w:rsidR="00305726" w:rsidRPr="00277804" w:rsidRDefault="00305726" w:rsidP="005F5D09">
            <w:pPr>
              <w:jc w:val="right"/>
              <w:cnfStyle w:val="000000100000"/>
              <w:rPr>
                <w:color w:val="000000"/>
                <w:sz w:val="16"/>
                <w:szCs w:val="16"/>
              </w:rPr>
            </w:pPr>
            <w:r w:rsidRPr="00277804">
              <w:rPr>
                <w:color w:val="000000"/>
                <w:sz w:val="16"/>
                <w:szCs w:val="16"/>
              </w:rPr>
              <w:t>46084</w:t>
            </w:r>
          </w:p>
        </w:tc>
      </w:tr>
      <w:tr w:rsidR="00305726" w:rsidRPr="00277804" w:rsidTr="005F5D09">
        <w:trPr>
          <w:cnfStyle w:val="000000010000"/>
          <w:trHeight w:val="276"/>
        </w:trPr>
        <w:tc>
          <w:tcPr>
            <w:cnfStyle w:val="001000000000"/>
            <w:tcW w:w="1131" w:type="dxa"/>
            <w:noWrap/>
            <w:hideMark/>
          </w:tcPr>
          <w:p w:rsidR="00305726" w:rsidRPr="00277804" w:rsidRDefault="00305726" w:rsidP="005F5D09">
            <w:pPr>
              <w:spacing w:line="276" w:lineRule="auto"/>
              <w:rPr>
                <w:rFonts w:cs="Calibri"/>
                <w:b w:val="0"/>
                <w:bCs w:val="0"/>
                <w:color w:val="000000"/>
                <w:sz w:val="16"/>
                <w:szCs w:val="16"/>
              </w:rPr>
            </w:pPr>
            <w:r w:rsidRPr="00277804">
              <w:rPr>
                <w:rFonts w:cs="Calibri"/>
                <w:color w:val="000000"/>
                <w:sz w:val="16"/>
                <w:szCs w:val="16"/>
              </w:rPr>
              <w:t>Ind. prelucrătoare</w:t>
            </w:r>
          </w:p>
        </w:tc>
        <w:tc>
          <w:tcPr>
            <w:tcW w:w="703" w:type="dxa"/>
            <w:noWrap/>
            <w:hideMark/>
          </w:tcPr>
          <w:p w:rsidR="00305726" w:rsidRPr="00277804" w:rsidRDefault="00305726" w:rsidP="005F5D09">
            <w:pPr>
              <w:jc w:val="center"/>
              <w:cnfStyle w:val="000000010000"/>
              <w:rPr>
                <w:color w:val="000000"/>
                <w:sz w:val="16"/>
                <w:szCs w:val="16"/>
              </w:rPr>
            </w:pPr>
            <w:r w:rsidRPr="00277804">
              <w:rPr>
                <w:color w:val="000000"/>
                <w:sz w:val="16"/>
                <w:szCs w:val="16"/>
              </w:rPr>
              <w:t>180569</w:t>
            </w:r>
          </w:p>
        </w:tc>
        <w:tc>
          <w:tcPr>
            <w:tcW w:w="622"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27869</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43692</w:t>
            </w:r>
          </w:p>
        </w:tc>
        <w:tc>
          <w:tcPr>
            <w:tcW w:w="758"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15541</w:t>
            </w:r>
          </w:p>
        </w:tc>
        <w:tc>
          <w:tcPr>
            <w:tcW w:w="775"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20079</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33350</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40038</w:t>
            </w:r>
          </w:p>
        </w:tc>
        <w:tc>
          <w:tcPr>
            <w:tcW w:w="746" w:type="dxa"/>
          </w:tcPr>
          <w:p w:rsidR="00305726" w:rsidRPr="00277804" w:rsidRDefault="00305726" w:rsidP="005F5D09">
            <w:pPr>
              <w:jc w:val="right"/>
              <w:cnfStyle w:val="000000010000"/>
              <w:rPr>
                <w:color w:val="000000"/>
                <w:sz w:val="16"/>
                <w:szCs w:val="16"/>
              </w:rPr>
            </w:pPr>
            <w:r w:rsidRPr="00277804">
              <w:rPr>
                <w:color w:val="000000"/>
                <w:sz w:val="16"/>
                <w:szCs w:val="16"/>
              </w:rPr>
              <w:t>184105</w:t>
            </w:r>
          </w:p>
        </w:tc>
        <w:tc>
          <w:tcPr>
            <w:tcW w:w="696" w:type="dxa"/>
          </w:tcPr>
          <w:p w:rsidR="00305726" w:rsidRPr="00277804" w:rsidRDefault="00305726" w:rsidP="005F5D09">
            <w:pPr>
              <w:jc w:val="right"/>
              <w:cnfStyle w:val="000000010000"/>
              <w:rPr>
                <w:color w:val="000000"/>
                <w:sz w:val="16"/>
                <w:szCs w:val="16"/>
              </w:rPr>
            </w:pPr>
            <w:r w:rsidRPr="00277804">
              <w:rPr>
                <w:color w:val="000000"/>
                <w:sz w:val="16"/>
                <w:szCs w:val="16"/>
              </w:rPr>
              <w:t>28207</w:t>
            </w:r>
          </w:p>
        </w:tc>
        <w:tc>
          <w:tcPr>
            <w:tcW w:w="716" w:type="dxa"/>
          </w:tcPr>
          <w:p w:rsidR="00305726" w:rsidRPr="00277804" w:rsidRDefault="00305726" w:rsidP="005F5D09">
            <w:pPr>
              <w:jc w:val="right"/>
              <w:cnfStyle w:val="000000010000"/>
              <w:rPr>
                <w:color w:val="000000"/>
                <w:sz w:val="16"/>
                <w:szCs w:val="16"/>
              </w:rPr>
            </w:pPr>
            <w:r w:rsidRPr="00277804">
              <w:rPr>
                <w:color w:val="000000"/>
                <w:sz w:val="16"/>
                <w:szCs w:val="16"/>
              </w:rPr>
              <w:t>46490</w:t>
            </w:r>
          </w:p>
        </w:tc>
        <w:tc>
          <w:tcPr>
            <w:tcW w:w="758" w:type="dxa"/>
          </w:tcPr>
          <w:p w:rsidR="00305726" w:rsidRPr="00277804" w:rsidRDefault="00305726" w:rsidP="005F5D09">
            <w:pPr>
              <w:jc w:val="right"/>
              <w:cnfStyle w:val="000000010000"/>
              <w:rPr>
                <w:color w:val="000000"/>
                <w:sz w:val="16"/>
                <w:szCs w:val="16"/>
              </w:rPr>
            </w:pPr>
            <w:r w:rsidRPr="00277804">
              <w:rPr>
                <w:color w:val="000000"/>
                <w:sz w:val="16"/>
                <w:szCs w:val="16"/>
              </w:rPr>
              <w:t>16308</w:t>
            </w:r>
          </w:p>
        </w:tc>
        <w:tc>
          <w:tcPr>
            <w:tcW w:w="775" w:type="dxa"/>
          </w:tcPr>
          <w:p w:rsidR="00305726" w:rsidRPr="00277804" w:rsidRDefault="00305726" w:rsidP="005F5D09">
            <w:pPr>
              <w:jc w:val="right"/>
              <w:cnfStyle w:val="000000010000"/>
              <w:rPr>
                <w:color w:val="000000"/>
                <w:sz w:val="16"/>
                <w:szCs w:val="16"/>
              </w:rPr>
            </w:pPr>
            <w:r w:rsidRPr="00277804">
              <w:rPr>
                <w:color w:val="000000"/>
                <w:sz w:val="16"/>
                <w:szCs w:val="16"/>
              </w:rPr>
              <w:t>19009</w:t>
            </w:r>
          </w:p>
        </w:tc>
        <w:tc>
          <w:tcPr>
            <w:tcW w:w="703" w:type="dxa"/>
          </w:tcPr>
          <w:p w:rsidR="00305726" w:rsidRPr="00277804" w:rsidRDefault="00305726" w:rsidP="005F5D09">
            <w:pPr>
              <w:jc w:val="right"/>
              <w:cnfStyle w:val="000000010000"/>
              <w:rPr>
                <w:color w:val="000000"/>
                <w:sz w:val="16"/>
                <w:szCs w:val="16"/>
              </w:rPr>
            </w:pPr>
            <w:r w:rsidRPr="00277804">
              <w:rPr>
                <w:color w:val="000000"/>
                <w:sz w:val="16"/>
                <w:szCs w:val="16"/>
              </w:rPr>
              <w:t>33309</w:t>
            </w:r>
          </w:p>
        </w:tc>
        <w:tc>
          <w:tcPr>
            <w:tcW w:w="777" w:type="dxa"/>
          </w:tcPr>
          <w:p w:rsidR="00305726" w:rsidRPr="00277804" w:rsidRDefault="00305726" w:rsidP="005F5D09">
            <w:pPr>
              <w:jc w:val="right"/>
              <w:cnfStyle w:val="000000010000"/>
              <w:rPr>
                <w:color w:val="000000"/>
                <w:sz w:val="16"/>
                <w:szCs w:val="16"/>
              </w:rPr>
            </w:pPr>
            <w:r w:rsidRPr="00277804">
              <w:rPr>
                <w:color w:val="000000"/>
                <w:sz w:val="16"/>
                <w:szCs w:val="16"/>
              </w:rPr>
              <w:t>40782</w:t>
            </w:r>
          </w:p>
        </w:tc>
      </w:tr>
      <w:tr w:rsidR="00305726" w:rsidRPr="00277804" w:rsidTr="005F5D09">
        <w:trPr>
          <w:cnfStyle w:val="000000100000"/>
          <w:trHeight w:val="276"/>
        </w:trPr>
        <w:tc>
          <w:tcPr>
            <w:cnfStyle w:val="001000000000"/>
            <w:tcW w:w="1131" w:type="dxa"/>
            <w:noWrap/>
            <w:hideMark/>
          </w:tcPr>
          <w:p w:rsidR="00305726" w:rsidRPr="00277804" w:rsidRDefault="00305726" w:rsidP="005F5D09">
            <w:pPr>
              <w:spacing w:line="276" w:lineRule="auto"/>
              <w:rPr>
                <w:rFonts w:cs="Calibri"/>
                <w:b w:val="0"/>
                <w:bCs w:val="0"/>
                <w:color w:val="000000"/>
                <w:sz w:val="16"/>
                <w:szCs w:val="16"/>
              </w:rPr>
            </w:pPr>
            <w:r w:rsidRPr="00277804">
              <w:rPr>
                <w:rFonts w:cs="Calibri"/>
                <w:color w:val="000000"/>
                <w:sz w:val="16"/>
                <w:szCs w:val="16"/>
              </w:rPr>
              <w:t>Ind. lemnului</w:t>
            </w:r>
          </w:p>
        </w:tc>
        <w:tc>
          <w:tcPr>
            <w:tcW w:w="703" w:type="dxa"/>
            <w:noWrap/>
            <w:hideMark/>
          </w:tcPr>
          <w:p w:rsidR="00305726" w:rsidRPr="00277804" w:rsidRDefault="00305726" w:rsidP="005F5D09">
            <w:pPr>
              <w:jc w:val="center"/>
              <w:cnfStyle w:val="000000100000"/>
              <w:rPr>
                <w:color w:val="000000"/>
                <w:sz w:val="16"/>
                <w:szCs w:val="16"/>
              </w:rPr>
            </w:pPr>
            <w:r w:rsidRPr="00277804">
              <w:rPr>
                <w:color w:val="000000"/>
                <w:sz w:val="16"/>
                <w:szCs w:val="16"/>
              </w:rPr>
              <w:t>17299</w:t>
            </w:r>
          </w:p>
        </w:tc>
        <w:tc>
          <w:tcPr>
            <w:tcW w:w="622"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1928</w:t>
            </w:r>
          </w:p>
        </w:tc>
        <w:tc>
          <w:tcPr>
            <w:tcW w:w="703"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2834</w:t>
            </w:r>
          </w:p>
        </w:tc>
        <w:tc>
          <w:tcPr>
            <w:tcW w:w="758"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4935</w:t>
            </w:r>
          </w:p>
        </w:tc>
        <w:tc>
          <w:tcPr>
            <w:tcW w:w="775"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4168</w:t>
            </w:r>
          </w:p>
        </w:tc>
        <w:tc>
          <w:tcPr>
            <w:tcW w:w="703"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2272</w:t>
            </w:r>
          </w:p>
        </w:tc>
        <w:tc>
          <w:tcPr>
            <w:tcW w:w="703" w:type="dxa"/>
            <w:noWrap/>
            <w:hideMark/>
          </w:tcPr>
          <w:p w:rsidR="00305726" w:rsidRPr="00277804" w:rsidRDefault="00305726" w:rsidP="005F5D09">
            <w:pPr>
              <w:jc w:val="center"/>
              <w:cnfStyle w:val="000000100000"/>
              <w:rPr>
                <w:rFonts w:cs="Calibri"/>
                <w:color w:val="000000"/>
                <w:sz w:val="16"/>
                <w:szCs w:val="16"/>
              </w:rPr>
            </w:pPr>
            <w:r w:rsidRPr="00277804">
              <w:rPr>
                <w:rFonts w:cs="Calibri"/>
                <w:color w:val="000000"/>
                <w:sz w:val="16"/>
                <w:szCs w:val="16"/>
              </w:rPr>
              <w:t>1162</w:t>
            </w:r>
          </w:p>
        </w:tc>
        <w:tc>
          <w:tcPr>
            <w:tcW w:w="746" w:type="dxa"/>
          </w:tcPr>
          <w:p w:rsidR="00305726" w:rsidRPr="00277804" w:rsidRDefault="00305726" w:rsidP="005F5D09">
            <w:pPr>
              <w:jc w:val="right"/>
              <w:cnfStyle w:val="000000100000"/>
              <w:rPr>
                <w:color w:val="000000"/>
                <w:sz w:val="16"/>
                <w:szCs w:val="16"/>
              </w:rPr>
            </w:pPr>
            <w:r w:rsidRPr="00277804">
              <w:rPr>
                <w:color w:val="000000"/>
                <w:sz w:val="16"/>
                <w:szCs w:val="16"/>
              </w:rPr>
              <w:t>18041</w:t>
            </w:r>
          </w:p>
        </w:tc>
        <w:tc>
          <w:tcPr>
            <w:tcW w:w="696" w:type="dxa"/>
          </w:tcPr>
          <w:p w:rsidR="00305726" w:rsidRPr="00277804" w:rsidRDefault="00305726" w:rsidP="005F5D09">
            <w:pPr>
              <w:jc w:val="right"/>
              <w:cnfStyle w:val="000000100000"/>
              <w:rPr>
                <w:color w:val="000000"/>
                <w:sz w:val="16"/>
                <w:szCs w:val="16"/>
              </w:rPr>
            </w:pPr>
            <w:r w:rsidRPr="00277804">
              <w:rPr>
                <w:color w:val="000000"/>
                <w:sz w:val="16"/>
                <w:szCs w:val="16"/>
              </w:rPr>
              <w:t>2030</w:t>
            </w:r>
          </w:p>
        </w:tc>
        <w:tc>
          <w:tcPr>
            <w:tcW w:w="716" w:type="dxa"/>
          </w:tcPr>
          <w:p w:rsidR="00305726" w:rsidRPr="00277804" w:rsidRDefault="00305726" w:rsidP="005F5D09">
            <w:pPr>
              <w:jc w:val="right"/>
              <w:cnfStyle w:val="000000100000"/>
              <w:rPr>
                <w:color w:val="000000"/>
                <w:sz w:val="16"/>
                <w:szCs w:val="16"/>
              </w:rPr>
            </w:pPr>
            <w:r w:rsidRPr="00277804">
              <w:rPr>
                <w:color w:val="000000"/>
                <w:sz w:val="16"/>
                <w:szCs w:val="16"/>
              </w:rPr>
              <w:t>3077</w:t>
            </w:r>
          </w:p>
        </w:tc>
        <w:tc>
          <w:tcPr>
            <w:tcW w:w="758" w:type="dxa"/>
          </w:tcPr>
          <w:p w:rsidR="00305726" w:rsidRPr="00277804" w:rsidRDefault="00305726" w:rsidP="005F5D09">
            <w:pPr>
              <w:jc w:val="right"/>
              <w:cnfStyle w:val="000000100000"/>
              <w:rPr>
                <w:color w:val="000000"/>
                <w:sz w:val="16"/>
                <w:szCs w:val="16"/>
              </w:rPr>
            </w:pPr>
            <w:r w:rsidRPr="00277804">
              <w:rPr>
                <w:color w:val="000000"/>
                <w:sz w:val="16"/>
                <w:szCs w:val="16"/>
              </w:rPr>
              <w:t>5222</w:t>
            </w:r>
          </w:p>
        </w:tc>
        <w:tc>
          <w:tcPr>
            <w:tcW w:w="775" w:type="dxa"/>
          </w:tcPr>
          <w:p w:rsidR="00305726" w:rsidRPr="00277804" w:rsidRDefault="00305726" w:rsidP="005F5D09">
            <w:pPr>
              <w:jc w:val="right"/>
              <w:cnfStyle w:val="000000100000"/>
              <w:rPr>
                <w:color w:val="000000"/>
                <w:sz w:val="16"/>
                <w:szCs w:val="16"/>
              </w:rPr>
            </w:pPr>
            <w:r w:rsidRPr="00277804">
              <w:rPr>
                <w:color w:val="000000"/>
                <w:sz w:val="16"/>
                <w:szCs w:val="16"/>
              </w:rPr>
              <w:t>4042</w:t>
            </w:r>
          </w:p>
        </w:tc>
        <w:tc>
          <w:tcPr>
            <w:tcW w:w="703" w:type="dxa"/>
          </w:tcPr>
          <w:p w:rsidR="00305726" w:rsidRPr="00277804" w:rsidRDefault="00305726" w:rsidP="005F5D09">
            <w:pPr>
              <w:jc w:val="right"/>
              <w:cnfStyle w:val="000000100000"/>
              <w:rPr>
                <w:color w:val="000000"/>
                <w:sz w:val="16"/>
                <w:szCs w:val="16"/>
              </w:rPr>
            </w:pPr>
            <w:r w:rsidRPr="00277804">
              <w:rPr>
                <w:color w:val="000000"/>
                <w:sz w:val="16"/>
                <w:szCs w:val="16"/>
              </w:rPr>
              <w:t>2561</w:t>
            </w:r>
          </w:p>
        </w:tc>
        <w:tc>
          <w:tcPr>
            <w:tcW w:w="777" w:type="dxa"/>
          </w:tcPr>
          <w:p w:rsidR="00305726" w:rsidRPr="00277804" w:rsidRDefault="00305726" w:rsidP="005F5D09">
            <w:pPr>
              <w:jc w:val="right"/>
              <w:cnfStyle w:val="000000100000"/>
              <w:rPr>
                <w:color w:val="000000"/>
                <w:sz w:val="16"/>
                <w:szCs w:val="16"/>
              </w:rPr>
            </w:pPr>
            <w:r w:rsidRPr="00277804">
              <w:rPr>
                <w:color w:val="000000"/>
                <w:sz w:val="16"/>
                <w:szCs w:val="16"/>
              </w:rPr>
              <w:t>1109</w:t>
            </w:r>
          </w:p>
        </w:tc>
      </w:tr>
      <w:tr w:rsidR="00305726" w:rsidRPr="00277804" w:rsidTr="005F5D09">
        <w:trPr>
          <w:cnfStyle w:val="000000010000"/>
          <w:trHeight w:val="276"/>
        </w:trPr>
        <w:tc>
          <w:tcPr>
            <w:cnfStyle w:val="001000000000"/>
            <w:tcW w:w="1131" w:type="dxa"/>
            <w:noWrap/>
            <w:hideMark/>
          </w:tcPr>
          <w:p w:rsidR="00305726" w:rsidRPr="00277804" w:rsidRDefault="00305726" w:rsidP="005F5D09">
            <w:pPr>
              <w:spacing w:line="276" w:lineRule="auto"/>
              <w:rPr>
                <w:rFonts w:cs="Calibri"/>
                <w:b w:val="0"/>
                <w:bCs w:val="0"/>
                <w:color w:val="000000"/>
                <w:sz w:val="16"/>
                <w:szCs w:val="16"/>
              </w:rPr>
            </w:pPr>
            <w:r w:rsidRPr="00277804">
              <w:rPr>
                <w:rFonts w:cs="Calibri"/>
                <w:color w:val="000000"/>
                <w:sz w:val="16"/>
                <w:szCs w:val="16"/>
              </w:rPr>
              <w:t>Fabr.</w:t>
            </w:r>
            <w:r>
              <w:rPr>
                <w:rFonts w:cs="Calibri"/>
                <w:color w:val="000000"/>
                <w:sz w:val="16"/>
                <w:szCs w:val="16"/>
              </w:rPr>
              <w:t xml:space="preserve"> m</w:t>
            </w:r>
            <w:r w:rsidRPr="00277804">
              <w:rPr>
                <w:rFonts w:cs="Calibri"/>
                <w:color w:val="000000"/>
                <w:sz w:val="16"/>
                <w:szCs w:val="16"/>
              </w:rPr>
              <w:t>obilei</w:t>
            </w:r>
          </w:p>
        </w:tc>
        <w:tc>
          <w:tcPr>
            <w:tcW w:w="703" w:type="dxa"/>
            <w:noWrap/>
            <w:hideMark/>
          </w:tcPr>
          <w:p w:rsidR="00305726" w:rsidRPr="00277804" w:rsidRDefault="00305726" w:rsidP="005F5D09">
            <w:pPr>
              <w:jc w:val="center"/>
              <w:cnfStyle w:val="000000010000"/>
              <w:rPr>
                <w:color w:val="000000"/>
                <w:sz w:val="16"/>
                <w:szCs w:val="16"/>
              </w:rPr>
            </w:pPr>
            <w:r w:rsidRPr="00277804">
              <w:rPr>
                <w:color w:val="000000"/>
                <w:sz w:val="16"/>
                <w:szCs w:val="16"/>
              </w:rPr>
              <w:t>10648</w:t>
            </w:r>
          </w:p>
        </w:tc>
        <w:tc>
          <w:tcPr>
            <w:tcW w:w="622"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1868</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14</w:t>
            </w:r>
          </w:p>
        </w:tc>
        <w:tc>
          <w:tcPr>
            <w:tcW w:w="758"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545</w:t>
            </w:r>
          </w:p>
        </w:tc>
        <w:tc>
          <w:tcPr>
            <w:tcW w:w="775"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2486</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4831</w:t>
            </w:r>
          </w:p>
        </w:tc>
        <w:tc>
          <w:tcPr>
            <w:tcW w:w="703" w:type="dxa"/>
            <w:noWrap/>
            <w:hideMark/>
          </w:tcPr>
          <w:p w:rsidR="00305726" w:rsidRPr="00277804" w:rsidRDefault="00305726" w:rsidP="005F5D09">
            <w:pPr>
              <w:jc w:val="center"/>
              <w:cnfStyle w:val="000000010000"/>
              <w:rPr>
                <w:rFonts w:cs="Calibri"/>
                <w:color w:val="000000"/>
                <w:sz w:val="16"/>
                <w:szCs w:val="16"/>
              </w:rPr>
            </w:pPr>
            <w:r w:rsidRPr="00277804">
              <w:rPr>
                <w:rFonts w:cs="Calibri"/>
                <w:color w:val="000000"/>
                <w:sz w:val="16"/>
                <w:szCs w:val="16"/>
              </w:rPr>
              <w:t>904</w:t>
            </w:r>
          </w:p>
        </w:tc>
        <w:tc>
          <w:tcPr>
            <w:tcW w:w="746" w:type="dxa"/>
          </w:tcPr>
          <w:p w:rsidR="00305726" w:rsidRPr="00277804" w:rsidRDefault="00305726" w:rsidP="005F5D09">
            <w:pPr>
              <w:jc w:val="right"/>
              <w:cnfStyle w:val="000000010000"/>
              <w:rPr>
                <w:color w:val="000000"/>
                <w:sz w:val="16"/>
                <w:szCs w:val="16"/>
              </w:rPr>
            </w:pPr>
            <w:r w:rsidRPr="00277804">
              <w:rPr>
                <w:color w:val="000000"/>
                <w:sz w:val="16"/>
                <w:szCs w:val="16"/>
              </w:rPr>
              <w:t>10738</w:t>
            </w:r>
          </w:p>
        </w:tc>
        <w:tc>
          <w:tcPr>
            <w:tcW w:w="696" w:type="dxa"/>
          </w:tcPr>
          <w:p w:rsidR="00305726" w:rsidRPr="00277804" w:rsidRDefault="00305726" w:rsidP="005F5D09">
            <w:pPr>
              <w:jc w:val="right"/>
              <w:cnfStyle w:val="000000010000"/>
              <w:rPr>
                <w:color w:val="000000"/>
                <w:sz w:val="16"/>
                <w:szCs w:val="16"/>
              </w:rPr>
            </w:pPr>
            <w:r w:rsidRPr="00277804">
              <w:rPr>
                <w:color w:val="000000"/>
                <w:sz w:val="16"/>
                <w:szCs w:val="16"/>
              </w:rPr>
              <w:t>1998</w:t>
            </w:r>
          </w:p>
        </w:tc>
        <w:tc>
          <w:tcPr>
            <w:tcW w:w="716" w:type="dxa"/>
          </w:tcPr>
          <w:p w:rsidR="00305726" w:rsidRPr="00277804" w:rsidRDefault="00305726" w:rsidP="005F5D09">
            <w:pPr>
              <w:jc w:val="right"/>
              <w:cnfStyle w:val="000000010000"/>
              <w:rPr>
                <w:color w:val="000000"/>
                <w:sz w:val="16"/>
                <w:szCs w:val="16"/>
              </w:rPr>
            </w:pPr>
            <w:r w:rsidRPr="00277804">
              <w:rPr>
                <w:color w:val="000000"/>
                <w:sz w:val="16"/>
                <w:szCs w:val="16"/>
              </w:rPr>
              <w:t>172</w:t>
            </w:r>
          </w:p>
        </w:tc>
        <w:tc>
          <w:tcPr>
            <w:tcW w:w="758" w:type="dxa"/>
          </w:tcPr>
          <w:p w:rsidR="00305726" w:rsidRPr="00277804" w:rsidRDefault="00305726" w:rsidP="005F5D09">
            <w:pPr>
              <w:jc w:val="right"/>
              <w:cnfStyle w:val="000000010000"/>
              <w:rPr>
                <w:color w:val="000000"/>
                <w:sz w:val="16"/>
                <w:szCs w:val="16"/>
              </w:rPr>
            </w:pPr>
            <w:r w:rsidRPr="00277804">
              <w:rPr>
                <w:color w:val="000000"/>
                <w:sz w:val="16"/>
                <w:szCs w:val="16"/>
              </w:rPr>
              <w:t>510</w:t>
            </w:r>
          </w:p>
        </w:tc>
        <w:tc>
          <w:tcPr>
            <w:tcW w:w="775" w:type="dxa"/>
          </w:tcPr>
          <w:p w:rsidR="00305726" w:rsidRPr="00277804" w:rsidRDefault="00305726" w:rsidP="005F5D09">
            <w:pPr>
              <w:jc w:val="right"/>
              <w:cnfStyle w:val="000000010000"/>
              <w:rPr>
                <w:color w:val="000000"/>
                <w:sz w:val="16"/>
                <w:szCs w:val="16"/>
              </w:rPr>
            </w:pPr>
            <w:r w:rsidRPr="00277804">
              <w:rPr>
                <w:color w:val="000000"/>
                <w:sz w:val="16"/>
                <w:szCs w:val="16"/>
              </w:rPr>
              <w:t>2591</w:t>
            </w:r>
          </w:p>
        </w:tc>
        <w:tc>
          <w:tcPr>
            <w:tcW w:w="703" w:type="dxa"/>
          </w:tcPr>
          <w:p w:rsidR="00305726" w:rsidRPr="00277804" w:rsidRDefault="00305726" w:rsidP="005F5D09">
            <w:pPr>
              <w:jc w:val="right"/>
              <w:cnfStyle w:val="000000010000"/>
              <w:rPr>
                <w:color w:val="000000"/>
                <w:sz w:val="16"/>
                <w:szCs w:val="16"/>
              </w:rPr>
            </w:pPr>
            <w:r w:rsidRPr="00277804">
              <w:rPr>
                <w:color w:val="000000"/>
                <w:sz w:val="16"/>
                <w:szCs w:val="16"/>
              </w:rPr>
              <w:t>4630</w:t>
            </w:r>
          </w:p>
        </w:tc>
        <w:tc>
          <w:tcPr>
            <w:tcW w:w="777" w:type="dxa"/>
          </w:tcPr>
          <w:p w:rsidR="00305726" w:rsidRPr="00277804" w:rsidRDefault="00305726" w:rsidP="005F5D09">
            <w:pPr>
              <w:jc w:val="right"/>
              <w:cnfStyle w:val="000000010000"/>
              <w:rPr>
                <w:color w:val="000000"/>
                <w:sz w:val="16"/>
                <w:szCs w:val="16"/>
              </w:rPr>
            </w:pPr>
            <w:r w:rsidRPr="00277804">
              <w:rPr>
                <w:color w:val="000000"/>
                <w:sz w:val="16"/>
                <w:szCs w:val="16"/>
              </w:rPr>
              <w:t>837</w:t>
            </w:r>
          </w:p>
        </w:tc>
      </w:tr>
    </w:tbl>
    <w:p w:rsidR="00305726" w:rsidRPr="006B1179" w:rsidRDefault="00305726" w:rsidP="00305726">
      <w:pPr>
        <w:spacing w:after="0"/>
      </w:pPr>
      <w:r w:rsidRPr="000C001A">
        <w:rPr>
          <w:b/>
        </w:rPr>
        <w:t xml:space="preserve">Sursa: </w:t>
      </w:r>
      <w:r>
        <w:t>Institutul Național de Statistică</w:t>
      </w:r>
    </w:p>
    <w:tbl>
      <w:tblPr>
        <w:tblStyle w:val="Umbriremedie1-Accentuare3"/>
        <w:tblW w:w="8215" w:type="dxa"/>
        <w:tblLook w:val="04A0"/>
      </w:tblPr>
      <w:tblGrid>
        <w:gridCol w:w="1306"/>
        <w:gridCol w:w="986"/>
        <w:gridCol w:w="986"/>
        <w:gridCol w:w="986"/>
        <w:gridCol w:w="987"/>
        <w:gridCol w:w="987"/>
        <w:gridCol w:w="987"/>
        <w:gridCol w:w="990"/>
      </w:tblGrid>
      <w:tr w:rsidR="00305726" w:rsidRPr="006B1179" w:rsidTr="005F5D09">
        <w:trPr>
          <w:cnfStyle w:val="100000000000"/>
          <w:trHeight w:val="301"/>
        </w:trPr>
        <w:tc>
          <w:tcPr>
            <w:cnfStyle w:val="001000000000"/>
            <w:tcW w:w="1306" w:type="dxa"/>
            <w:vMerge w:val="restart"/>
            <w:noWrap/>
            <w:hideMark/>
          </w:tcPr>
          <w:p w:rsidR="00305726" w:rsidRPr="006B1179" w:rsidRDefault="00305726" w:rsidP="005F5D09">
            <w:pPr>
              <w:spacing w:line="276" w:lineRule="auto"/>
              <w:jc w:val="center"/>
              <w:rPr>
                <w:rFonts w:cs="Calibri"/>
                <w:b w:val="0"/>
                <w:bCs w:val="0"/>
                <w:color w:val="000000"/>
                <w:sz w:val="16"/>
                <w:szCs w:val="16"/>
              </w:rPr>
            </w:pPr>
            <w:r w:rsidRPr="006B1179">
              <w:rPr>
                <w:rFonts w:cs="Calibri"/>
                <w:color w:val="000000"/>
                <w:sz w:val="16"/>
                <w:szCs w:val="16"/>
              </w:rPr>
              <w:t> </w:t>
            </w:r>
          </w:p>
        </w:tc>
        <w:tc>
          <w:tcPr>
            <w:tcW w:w="6909" w:type="dxa"/>
            <w:gridSpan w:val="7"/>
          </w:tcPr>
          <w:p w:rsidR="00305726" w:rsidRPr="00577D9E" w:rsidRDefault="00305726" w:rsidP="005F5D09">
            <w:pPr>
              <w:jc w:val="center"/>
              <w:cnfStyle w:val="100000000000"/>
              <w:rPr>
                <w:rFonts w:cs="Calibri"/>
                <w:b w:val="0"/>
                <w:bCs w:val="0"/>
                <w:color w:val="000000"/>
                <w:sz w:val="16"/>
                <w:szCs w:val="16"/>
              </w:rPr>
            </w:pPr>
            <w:r w:rsidRPr="00577D9E">
              <w:rPr>
                <w:rFonts w:cs="Calibri"/>
                <w:color w:val="000000"/>
                <w:sz w:val="16"/>
                <w:szCs w:val="16"/>
              </w:rPr>
              <w:t>2014</w:t>
            </w:r>
          </w:p>
        </w:tc>
      </w:tr>
      <w:tr w:rsidR="00305726" w:rsidRPr="006B1179" w:rsidTr="005F5D09">
        <w:trPr>
          <w:cnfStyle w:val="000000100000"/>
          <w:trHeight w:val="301"/>
        </w:trPr>
        <w:tc>
          <w:tcPr>
            <w:cnfStyle w:val="001000000000"/>
            <w:tcW w:w="1306" w:type="dxa"/>
            <w:vMerge/>
            <w:hideMark/>
          </w:tcPr>
          <w:p w:rsidR="00305726" w:rsidRPr="006B1179" w:rsidRDefault="00305726" w:rsidP="005F5D09">
            <w:pPr>
              <w:spacing w:line="276" w:lineRule="auto"/>
              <w:rPr>
                <w:rFonts w:cs="Calibri"/>
                <w:b w:val="0"/>
                <w:bCs w:val="0"/>
                <w:color w:val="000000"/>
                <w:sz w:val="16"/>
                <w:szCs w:val="16"/>
              </w:rPr>
            </w:pPr>
          </w:p>
        </w:tc>
        <w:tc>
          <w:tcPr>
            <w:tcW w:w="986"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Centru</w:t>
            </w:r>
          </w:p>
        </w:tc>
        <w:tc>
          <w:tcPr>
            <w:tcW w:w="986"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Alba</w:t>
            </w:r>
          </w:p>
        </w:tc>
        <w:tc>
          <w:tcPr>
            <w:tcW w:w="986"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Brașov</w:t>
            </w:r>
          </w:p>
        </w:tc>
        <w:tc>
          <w:tcPr>
            <w:tcW w:w="987"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Covasna</w:t>
            </w:r>
          </w:p>
        </w:tc>
        <w:tc>
          <w:tcPr>
            <w:tcW w:w="987"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Harghita</w:t>
            </w:r>
          </w:p>
        </w:tc>
        <w:tc>
          <w:tcPr>
            <w:tcW w:w="987"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Mureș</w:t>
            </w:r>
          </w:p>
        </w:tc>
        <w:tc>
          <w:tcPr>
            <w:tcW w:w="990" w:type="dxa"/>
          </w:tcPr>
          <w:p w:rsidR="00305726" w:rsidRPr="00577D9E" w:rsidRDefault="00305726" w:rsidP="005F5D09">
            <w:pPr>
              <w:spacing w:line="276" w:lineRule="auto"/>
              <w:cnfStyle w:val="000000100000"/>
              <w:rPr>
                <w:rFonts w:cs="Calibri"/>
                <w:b/>
                <w:color w:val="000000"/>
                <w:sz w:val="16"/>
                <w:szCs w:val="16"/>
              </w:rPr>
            </w:pPr>
            <w:r w:rsidRPr="00577D9E">
              <w:rPr>
                <w:rFonts w:cs="Calibri"/>
                <w:b/>
                <w:color w:val="000000"/>
                <w:sz w:val="16"/>
                <w:szCs w:val="16"/>
              </w:rPr>
              <w:t>Sibiu</w:t>
            </w:r>
          </w:p>
        </w:tc>
      </w:tr>
      <w:tr w:rsidR="00305726" w:rsidRPr="006B1179" w:rsidTr="005F5D09">
        <w:trPr>
          <w:cnfStyle w:val="000000010000"/>
          <w:trHeight w:val="301"/>
        </w:trPr>
        <w:tc>
          <w:tcPr>
            <w:cnfStyle w:val="001000000000"/>
            <w:tcW w:w="130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Total economie</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579874</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79006</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157160</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45355</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59700</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118991</w:t>
            </w:r>
          </w:p>
        </w:tc>
        <w:tc>
          <w:tcPr>
            <w:tcW w:w="990"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119662</w:t>
            </w:r>
          </w:p>
        </w:tc>
      </w:tr>
      <w:tr w:rsidR="00305726" w:rsidRPr="006B1179" w:rsidTr="005F5D09">
        <w:trPr>
          <w:cnfStyle w:val="000000100000"/>
          <w:trHeight w:val="301"/>
        </w:trPr>
        <w:tc>
          <w:tcPr>
            <w:cnfStyle w:val="001000000000"/>
            <w:tcW w:w="130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Total industrie</w:t>
            </w:r>
          </w:p>
        </w:tc>
        <w:tc>
          <w:tcPr>
            <w:tcW w:w="986"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210676</w:t>
            </w:r>
          </w:p>
        </w:tc>
        <w:tc>
          <w:tcPr>
            <w:tcW w:w="986"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32184</w:t>
            </w:r>
          </w:p>
        </w:tc>
        <w:tc>
          <w:tcPr>
            <w:tcW w:w="986"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52149</w:t>
            </w:r>
          </w:p>
        </w:tc>
        <w:tc>
          <w:tcPr>
            <w:tcW w:w="987"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18727</w:t>
            </w:r>
          </w:p>
        </w:tc>
        <w:tc>
          <w:tcPr>
            <w:tcW w:w="987"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21134</w:t>
            </w:r>
          </w:p>
        </w:tc>
        <w:tc>
          <w:tcPr>
            <w:tcW w:w="987"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40282</w:t>
            </w:r>
          </w:p>
        </w:tc>
        <w:tc>
          <w:tcPr>
            <w:tcW w:w="990"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46200</w:t>
            </w:r>
          </w:p>
        </w:tc>
      </w:tr>
      <w:tr w:rsidR="00305726" w:rsidRPr="006B1179" w:rsidTr="005F5D09">
        <w:trPr>
          <w:cnfStyle w:val="000000010000"/>
          <w:trHeight w:val="301"/>
        </w:trPr>
        <w:tc>
          <w:tcPr>
            <w:cnfStyle w:val="001000000000"/>
            <w:tcW w:w="130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Ind</w:t>
            </w:r>
            <w:r>
              <w:rPr>
                <w:rFonts w:cs="Calibri"/>
                <w:color w:val="000000"/>
                <w:sz w:val="16"/>
                <w:szCs w:val="16"/>
              </w:rPr>
              <w:t>.</w:t>
            </w:r>
            <w:r w:rsidRPr="006B1179">
              <w:rPr>
                <w:rFonts w:cs="Calibri"/>
                <w:color w:val="000000"/>
                <w:sz w:val="16"/>
                <w:szCs w:val="16"/>
              </w:rPr>
              <w:t xml:space="preserve"> prelucrătoare</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185170</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28462</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46335</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17275</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18744</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33365</w:t>
            </w:r>
          </w:p>
        </w:tc>
        <w:tc>
          <w:tcPr>
            <w:tcW w:w="990"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40989</w:t>
            </w:r>
          </w:p>
        </w:tc>
      </w:tr>
      <w:tr w:rsidR="00305726" w:rsidRPr="006B1179" w:rsidTr="005F5D09">
        <w:trPr>
          <w:cnfStyle w:val="000000100000"/>
          <w:trHeight w:val="259"/>
        </w:trPr>
        <w:tc>
          <w:tcPr>
            <w:cnfStyle w:val="001000000000"/>
            <w:tcW w:w="130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Ind</w:t>
            </w:r>
            <w:r>
              <w:rPr>
                <w:rFonts w:cs="Calibri"/>
                <w:color w:val="000000"/>
                <w:sz w:val="16"/>
                <w:szCs w:val="16"/>
              </w:rPr>
              <w:t>.</w:t>
            </w:r>
            <w:r w:rsidRPr="006B1179">
              <w:rPr>
                <w:rFonts w:cs="Calibri"/>
                <w:color w:val="000000"/>
                <w:sz w:val="16"/>
                <w:szCs w:val="16"/>
              </w:rPr>
              <w:t xml:space="preserve"> lemnului</w:t>
            </w:r>
          </w:p>
        </w:tc>
        <w:tc>
          <w:tcPr>
            <w:tcW w:w="986"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16752</w:t>
            </w:r>
          </w:p>
        </w:tc>
        <w:tc>
          <w:tcPr>
            <w:tcW w:w="986"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1995</w:t>
            </w:r>
          </w:p>
        </w:tc>
        <w:tc>
          <w:tcPr>
            <w:tcW w:w="986"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3055</w:t>
            </w:r>
          </w:p>
        </w:tc>
        <w:tc>
          <w:tcPr>
            <w:tcW w:w="987"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4407</w:t>
            </w:r>
          </w:p>
        </w:tc>
        <w:tc>
          <w:tcPr>
            <w:tcW w:w="987"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3801</w:t>
            </w:r>
          </w:p>
        </w:tc>
        <w:tc>
          <w:tcPr>
            <w:tcW w:w="987"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2640</w:t>
            </w:r>
          </w:p>
        </w:tc>
        <w:tc>
          <w:tcPr>
            <w:tcW w:w="990" w:type="dxa"/>
          </w:tcPr>
          <w:p w:rsidR="00305726" w:rsidRPr="00317CCA" w:rsidRDefault="00305726" w:rsidP="005F5D09">
            <w:pPr>
              <w:jc w:val="right"/>
              <w:cnfStyle w:val="000000100000"/>
              <w:rPr>
                <w:rFonts w:ascii="Calibri" w:hAnsi="Calibri"/>
                <w:color w:val="000000"/>
                <w:sz w:val="16"/>
                <w:szCs w:val="16"/>
              </w:rPr>
            </w:pPr>
            <w:r w:rsidRPr="00317CCA">
              <w:rPr>
                <w:rFonts w:ascii="Calibri" w:hAnsi="Calibri"/>
                <w:color w:val="000000"/>
                <w:sz w:val="16"/>
                <w:szCs w:val="16"/>
              </w:rPr>
              <w:t>854</w:t>
            </w:r>
          </w:p>
        </w:tc>
      </w:tr>
      <w:tr w:rsidR="00305726" w:rsidRPr="006B1179" w:rsidTr="005F5D09">
        <w:trPr>
          <w:cnfStyle w:val="000000010000"/>
          <w:trHeight w:val="301"/>
        </w:trPr>
        <w:tc>
          <w:tcPr>
            <w:cnfStyle w:val="001000000000"/>
            <w:tcW w:w="1306" w:type="dxa"/>
            <w:noWrap/>
            <w:hideMark/>
          </w:tcPr>
          <w:p w:rsidR="00305726" w:rsidRPr="006B1179" w:rsidRDefault="00305726" w:rsidP="005F5D09">
            <w:pPr>
              <w:spacing w:line="276" w:lineRule="auto"/>
              <w:rPr>
                <w:rFonts w:cs="Calibri"/>
                <w:b w:val="0"/>
                <w:bCs w:val="0"/>
                <w:color w:val="000000"/>
                <w:sz w:val="16"/>
                <w:szCs w:val="16"/>
              </w:rPr>
            </w:pPr>
            <w:r w:rsidRPr="006B1179">
              <w:rPr>
                <w:rFonts w:cs="Calibri"/>
                <w:color w:val="000000"/>
                <w:sz w:val="16"/>
                <w:szCs w:val="16"/>
              </w:rPr>
              <w:t>Fabr</w:t>
            </w:r>
            <w:r>
              <w:rPr>
                <w:rFonts w:cs="Calibri"/>
                <w:color w:val="000000"/>
                <w:sz w:val="16"/>
                <w:szCs w:val="16"/>
              </w:rPr>
              <w:t>.</w:t>
            </w:r>
            <w:r w:rsidRPr="006B1179">
              <w:rPr>
                <w:rFonts w:cs="Calibri"/>
                <w:color w:val="000000"/>
                <w:sz w:val="16"/>
                <w:szCs w:val="16"/>
              </w:rPr>
              <w:t xml:space="preserve"> mobilei</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10485</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1716</w:t>
            </w:r>
          </w:p>
        </w:tc>
        <w:tc>
          <w:tcPr>
            <w:tcW w:w="986"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104</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550</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2562</w:t>
            </w:r>
          </w:p>
        </w:tc>
        <w:tc>
          <w:tcPr>
            <w:tcW w:w="987"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4705</w:t>
            </w:r>
          </w:p>
        </w:tc>
        <w:tc>
          <w:tcPr>
            <w:tcW w:w="990" w:type="dxa"/>
          </w:tcPr>
          <w:p w:rsidR="00305726" w:rsidRPr="00317CCA" w:rsidRDefault="00305726" w:rsidP="005F5D09">
            <w:pPr>
              <w:jc w:val="right"/>
              <w:cnfStyle w:val="000000010000"/>
              <w:rPr>
                <w:rFonts w:ascii="Calibri" w:hAnsi="Calibri"/>
                <w:color w:val="000000"/>
                <w:sz w:val="16"/>
                <w:szCs w:val="16"/>
              </w:rPr>
            </w:pPr>
            <w:r w:rsidRPr="00317CCA">
              <w:rPr>
                <w:rFonts w:ascii="Calibri" w:hAnsi="Calibri"/>
                <w:color w:val="000000"/>
                <w:sz w:val="16"/>
                <w:szCs w:val="16"/>
              </w:rPr>
              <w:t>848</w:t>
            </w:r>
          </w:p>
        </w:tc>
      </w:tr>
    </w:tbl>
    <w:p w:rsidR="00305726" w:rsidRPr="006B61EC" w:rsidRDefault="00305726" w:rsidP="00305726">
      <w:pPr>
        <w:pStyle w:val="Titlu2"/>
        <w:rPr>
          <w:color w:val="336699"/>
          <w:sz w:val="24"/>
          <w:szCs w:val="24"/>
        </w:rPr>
      </w:pPr>
      <w:r w:rsidRPr="006B61EC">
        <w:rPr>
          <w:color w:val="336699"/>
          <w:sz w:val="24"/>
          <w:szCs w:val="24"/>
        </w:rPr>
        <w:lastRenderedPageBreak/>
        <w:t>Structuri regionale de sprijinire a afacerilor</w:t>
      </w:r>
    </w:p>
    <w:p w:rsidR="00305726" w:rsidRDefault="00305726" w:rsidP="00305726">
      <w:pPr>
        <w:autoSpaceDE w:val="0"/>
        <w:jc w:val="both"/>
        <w:rPr>
          <w:sz w:val="24"/>
          <w:szCs w:val="24"/>
        </w:rPr>
      </w:pPr>
      <w:r w:rsidRPr="00A04FB3">
        <w:rPr>
          <w:sz w:val="24"/>
          <w:szCs w:val="24"/>
        </w:rPr>
        <w:t xml:space="preserve">În ultima perioadă s-au pus bazele cooperării economice intra-sectoriale în cadrul unor structuri de tipul clusterelor economice sau al asociațiilor de producători. Funcționează deja la nivel regional </w:t>
      </w:r>
      <w:r w:rsidRPr="001C5586">
        <w:rPr>
          <w:sz w:val="24"/>
          <w:szCs w:val="24"/>
        </w:rPr>
        <w:t>două</w:t>
      </w:r>
      <w:r w:rsidRPr="001C5586">
        <w:rPr>
          <w:b/>
          <w:sz w:val="24"/>
          <w:szCs w:val="24"/>
        </w:rPr>
        <w:t xml:space="preserve"> </w:t>
      </w:r>
      <w:r w:rsidRPr="001135D8">
        <w:rPr>
          <w:b/>
          <w:sz w:val="24"/>
          <w:szCs w:val="24"/>
        </w:rPr>
        <w:t xml:space="preserve">clustere </w:t>
      </w:r>
      <w:r w:rsidRPr="001C5586">
        <w:rPr>
          <w:sz w:val="24"/>
          <w:szCs w:val="24"/>
        </w:rPr>
        <w:t>în domeniile industriei lemnului și al mobilei</w:t>
      </w:r>
      <w:r w:rsidRPr="0047118D">
        <w:rPr>
          <w:b/>
        </w:rPr>
        <w:t xml:space="preserve">: </w:t>
      </w:r>
      <w:r w:rsidRPr="001C5586">
        <w:rPr>
          <w:b/>
          <w:i/>
          <w:sz w:val="24"/>
          <w:szCs w:val="24"/>
        </w:rPr>
        <w:t xml:space="preserve">Clusterul regional al lemnului </w:t>
      </w:r>
      <w:r w:rsidRPr="001C5586">
        <w:rPr>
          <w:b/>
          <w:bCs/>
          <w:i/>
          <w:sz w:val="24"/>
          <w:szCs w:val="24"/>
        </w:rPr>
        <w:t xml:space="preserve">PRO WOOD </w:t>
      </w:r>
      <w:r w:rsidRPr="001C5586">
        <w:rPr>
          <w:b/>
          <w:bCs/>
          <w:sz w:val="24"/>
          <w:szCs w:val="24"/>
        </w:rPr>
        <w:t xml:space="preserve">și </w:t>
      </w:r>
      <w:r w:rsidRPr="001C5586">
        <w:rPr>
          <w:b/>
          <w:bCs/>
          <w:i/>
          <w:sz w:val="24"/>
          <w:szCs w:val="24"/>
        </w:rPr>
        <w:t>Clusterul REGIOFA,</w:t>
      </w:r>
      <w:r w:rsidRPr="002C6723">
        <w:rPr>
          <w:bCs/>
          <w:i/>
          <w:sz w:val="24"/>
          <w:szCs w:val="24"/>
        </w:rPr>
        <w:t xml:space="preserve"> </w:t>
      </w:r>
      <w:r w:rsidRPr="002C6723">
        <w:rPr>
          <w:bCs/>
          <w:sz w:val="24"/>
          <w:szCs w:val="24"/>
        </w:rPr>
        <w:t xml:space="preserve"> aceste structuri având menirea de a f</w:t>
      </w:r>
      <w:r w:rsidRPr="002C6723">
        <w:rPr>
          <w:sz w:val="24"/>
          <w:szCs w:val="24"/>
        </w:rPr>
        <w:t>acilita accesul</w:t>
      </w:r>
      <w:r w:rsidRPr="0047118D">
        <w:rPr>
          <w:sz w:val="24"/>
          <w:szCs w:val="24"/>
        </w:rPr>
        <w:t xml:space="preserve"> IMM-urilor la finanțare în vederea introducerii tehnologiilor noi de produc</w:t>
      </w:r>
      <w:r w:rsidRPr="00A04FB3">
        <w:rPr>
          <w:sz w:val="24"/>
          <w:szCs w:val="24"/>
        </w:rPr>
        <w:t>ție și achiziționării de utilaje moderne</w:t>
      </w:r>
      <w:r>
        <w:rPr>
          <w:sz w:val="24"/>
          <w:szCs w:val="24"/>
        </w:rPr>
        <w:t xml:space="preserve"> și de a contribui la c</w:t>
      </w:r>
      <w:r w:rsidRPr="00A04FB3">
        <w:rPr>
          <w:sz w:val="24"/>
          <w:szCs w:val="24"/>
        </w:rPr>
        <w:t>reșterea gradului de internaționalizare și participare a companiilor mici din industria mobilei la rețelele europene de cooperare  economică</w:t>
      </w:r>
      <w:r>
        <w:rPr>
          <w:sz w:val="24"/>
          <w:szCs w:val="24"/>
        </w:rPr>
        <w:t xml:space="preserve">. Sunt active și diverse </w:t>
      </w:r>
      <w:r w:rsidRPr="001C5586">
        <w:rPr>
          <w:b/>
          <w:sz w:val="24"/>
          <w:szCs w:val="24"/>
        </w:rPr>
        <w:t>alte structuri asociative profesionale</w:t>
      </w:r>
      <w:r>
        <w:rPr>
          <w:sz w:val="24"/>
          <w:szCs w:val="24"/>
        </w:rPr>
        <w:t xml:space="preserve"> (ex. Asociația lemnarilor KO-FA, asociații ale întreprinzătorilor locali, asociațiile proprietarilor de păduri, asociațiile administratorilor de păduri etc. </w:t>
      </w:r>
    </w:p>
    <w:p w:rsidR="00305726" w:rsidRPr="00CB6EA9" w:rsidRDefault="00305726" w:rsidP="00305726">
      <w:pPr>
        <w:pStyle w:val="Titlu2"/>
        <w:rPr>
          <w:color w:val="336699"/>
          <w:sz w:val="24"/>
          <w:szCs w:val="24"/>
        </w:rPr>
      </w:pPr>
      <w:r w:rsidRPr="00CB6EA9">
        <w:rPr>
          <w:color w:val="336699"/>
          <w:sz w:val="24"/>
          <w:szCs w:val="24"/>
        </w:rPr>
        <w:t>Formarea profesională</w:t>
      </w:r>
    </w:p>
    <w:p w:rsidR="00305726" w:rsidRPr="00BE7374" w:rsidRDefault="00305726" w:rsidP="00305726">
      <w:pPr>
        <w:autoSpaceDE w:val="0"/>
        <w:jc w:val="both"/>
        <w:rPr>
          <w:sz w:val="24"/>
          <w:szCs w:val="24"/>
        </w:rPr>
      </w:pPr>
      <w:r w:rsidRPr="00442547">
        <w:rPr>
          <w:sz w:val="24"/>
          <w:szCs w:val="24"/>
        </w:rPr>
        <w:t>Pregătirea forței de muncă se face pe plan regional</w:t>
      </w:r>
      <w:r w:rsidRPr="00BE7374">
        <w:rPr>
          <w:sz w:val="24"/>
          <w:szCs w:val="24"/>
        </w:rPr>
        <w:t xml:space="preserve">, </w:t>
      </w:r>
      <w:r>
        <w:rPr>
          <w:sz w:val="24"/>
          <w:szCs w:val="24"/>
        </w:rPr>
        <w:t>f</w:t>
      </w:r>
      <w:r w:rsidRPr="00BE7374">
        <w:rPr>
          <w:sz w:val="24"/>
          <w:szCs w:val="24"/>
        </w:rPr>
        <w:t xml:space="preserve">ormarea specialiștilor cu o înaltă calificare se face la </w:t>
      </w:r>
      <w:r w:rsidRPr="00442547">
        <w:rPr>
          <w:b/>
          <w:sz w:val="24"/>
          <w:szCs w:val="24"/>
        </w:rPr>
        <w:t>Universitatea Transilvania Brașov unde funcționează cele mai vechi și mai mari facultăți în domeniu din România</w:t>
      </w:r>
      <w:r w:rsidRPr="00BE7374">
        <w:rPr>
          <w:sz w:val="24"/>
          <w:szCs w:val="24"/>
        </w:rPr>
        <w:t xml:space="preserve"> (Facultatea de silvicultură și exploatare forestieră, respectiv Facultatea de ingineria lemnului)</w:t>
      </w:r>
      <w:r>
        <w:rPr>
          <w:sz w:val="24"/>
          <w:szCs w:val="24"/>
        </w:rPr>
        <w:t>,</w:t>
      </w:r>
      <w:r w:rsidRPr="00BE7374">
        <w:rPr>
          <w:sz w:val="24"/>
          <w:szCs w:val="24"/>
        </w:rPr>
        <w:t xml:space="preserve"> </w:t>
      </w:r>
      <w:r>
        <w:rPr>
          <w:sz w:val="24"/>
          <w:szCs w:val="24"/>
        </w:rPr>
        <w:t>iar specialiștii cu un nivel mediu de instruire sunt formați î</w:t>
      </w:r>
      <w:r w:rsidRPr="00BE7374">
        <w:rPr>
          <w:sz w:val="24"/>
          <w:szCs w:val="24"/>
        </w:rPr>
        <w:t>n cadrul celor 1</w:t>
      </w:r>
      <w:r>
        <w:rPr>
          <w:sz w:val="24"/>
          <w:szCs w:val="24"/>
        </w:rPr>
        <w:t xml:space="preserve">6 </w:t>
      </w:r>
      <w:r w:rsidRPr="00BE7374">
        <w:rPr>
          <w:sz w:val="24"/>
          <w:szCs w:val="24"/>
        </w:rPr>
        <w:t>licee cu profil integral sau parțial silvic</w:t>
      </w:r>
      <w:r>
        <w:rPr>
          <w:sz w:val="24"/>
          <w:szCs w:val="24"/>
        </w:rPr>
        <w:t xml:space="preserve"> sau industrial în domeniul lemnului</w:t>
      </w:r>
      <w:r w:rsidRPr="00BE7374">
        <w:rPr>
          <w:sz w:val="24"/>
          <w:szCs w:val="24"/>
        </w:rPr>
        <w:t xml:space="preserve">. </w:t>
      </w:r>
    </w:p>
    <w:p w:rsidR="00305726" w:rsidRPr="00BE7374" w:rsidRDefault="00305726" w:rsidP="00305726">
      <w:pPr>
        <w:autoSpaceDE w:val="0"/>
        <w:spacing w:after="0"/>
        <w:jc w:val="both"/>
        <w:rPr>
          <w:sz w:val="24"/>
          <w:szCs w:val="24"/>
        </w:rPr>
      </w:pPr>
      <w:r w:rsidRPr="00BE7374">
        <w:rPr>
          <w:sz w:val="24"/>
          <w:szCs w:val="24"/>
        </w:rPr>
        <w:t xml:space="preserve">Redăm </w:t>
      </w:r>
      <w:r>
        <w:rPr>
          <w:sz w:val="24"/>
          <w:szCs w:val="24"/>
        </w:rPr>
        <w:t>mai jos o listă a instituțiilor de învățământ din Regiunea Centru care formează personal specializat pentru industria lemnului:</w:t>
      </w:r>
    </w:p>
    <w:p w:rsidR="00305726" w:rsidRDefault="00305726" w:rsidP="00305726">
      <w:pPr>
        <w:pStyle w:val="Listparagraf"/>
        <w:numPr>
          <w:ilvl w:val="0"/>
          <w:numId w:val="18"/>
        </w:numPr>
        <w:autoSpaceDE w:val="0"/>
        <w:spacing w:after="0"/>
        <w:ind w:left="720"/>
        <w:jc w:val="both"/>
        <w:rPr>
          <w:sz w:val="24"/>
          <w:szCs w:val="24"/>
        </w:rPr>
      </w:pPr>
      <w:r w:rsidRPr="00710073">
        <w:rPr>
          <w:sz w:val="24"/>
          <w:szCs w:val="24"/>
        </w:rPr>
        <w:t>Instituții de învățământ</w:t>
      </w:r>
      <w:r>
        <w:rPr>
          <w:sz w:val="24"/>
          <w:szCs w:val="24"/>
        </w:rPr>
        <w:t xml:space="preserve"> universitar</w:t>
      </w:r>
      <w:r w:rsidRPr="00710073">
        <w:rPr>
          <w:sz w:val="24"/>
          <w:szCs w:val="24"/>
        </w:rPr>
        <w:t>:</w:t>
      </w:r>
    </w:p>
    <w:p w:rsidR="00305726" w:rsidRPr="009A3CFA" w:rsidRDefault="00305726" w:rsidP="00305726">
      <w:pPr>
        <w:pStyle w:val="Listparagraf"/>
        <w:numPr>
          <w:ilvl w:val="1"/>
          <w:numId w:val="18"/>
        </w:numPr>
        <w:autoSpaceDE w:val="0"/>
        <w:spacing w:after="0"/>
        <w:ind w:left="1440"/>
        <w:jc w:val="both"/>
        <w:rPr>
          <w:sz w:val="24"/>
          <w:szCs w:val="24"/>
        </w:rPr>
      </w:pPr>
      <w:r w:rsidRPr="009A3CFA">
        <w:rPr>
          <w:sz w:val="24"/>
          <w:szCs w:val="24"/>
        </w:rPr>
        <w:t>Facultatea de Silvicultură și Exploatări Forestier</w:t>
      </w:r>
      <w:r>
        <w:rPr>
          <w:sz w:val="24"/>
          <w:szCs w:val="24"/>
        </w:rPr>
        <w:t xml:space="preserve">e cuprinde 2 departamente: </w:t>
      </w:r>
      <w:r w:rsidRPr="009A3CFA">
        <w:rPr>
          <w:sz w:val="24"/>
          <w:szCs w:val="24"/>
        </w:rPr>
        <w:t xml:space="preserve">Silvicultură </w:t>
      </w:r>
      <w:r>
        <w:rPr>
          <w:sz w:val="24"/>
          <w:szCs w:val="24"/>
        </w:rPr>
        <w:t>respectiv Exploatări Forestiere,amenajarea pădurilor și măsurători terestre.</w:t>
      </w:r>
      <w:r w:rsidRPr="009A3CFA">
        <w:rPr>
          <w:sz w:val="24"/>
          <w:szCs w:val="24"/>
        </w:rPr>
        <w:t xml:space="preserve"> </w:t>
      </w:r>
      <w:r>
        <w:rPr>
          <w:sz w:val="24"/>
          <w:szCs w:val="24"/>
        </w:rPr>
        <w:t>Conform</w:t>
      </w:r>
      <w:r w:rsidRPr="009A3CFA">
        <w:rPr>
          <w:sz w:val="24"/>
          <w:szCs w:val="24"/>
        </w:rPr>
        <w:t xml:space="preserve"> </w:t>
      </w:r>
      <w:r>
        <w:rPr>
          <w:sz w:val="24"/>
          <w:szCs w:val="24"/>
        </w:rPr>
        <w:t xml:space="preserve">informațiilor afișate pe </w:t>
      </w:r>
      <w:r w:rsidRPr="009A3CFA">
        <w:rPr>
          <w:sz w:val="24"/>
          <w:szCs w:val="24"/>
        </w:rPr>
        <w:t xml:space="preserve">site-ului oficial al facultății, Facultatea de Silvicultură şi Exploatări Forestiere din Braşov a fost înfiinţată în 1948, continuând şi dezvoltând tradiţia învăţământului superior silvic înfiinţat la Bucureşti în 1883. Potrivit ultimei clasificări naţionale, programele de studii din Domeniul Silvicultură de la Facultatea din Braşov se încadrează în categoria de elită (A), din cele cinci categorii valorice: A - cel mai bun, E - cel mai slab. Recunoaşterea pe plan naţional şi internaţional a activităţii prestigioase a profesorilor facultăţii se reflectă şi în faptul că mulţi dintre aceştia au fost aleşi membri ai Academiei de </w:t>
      </w:r>
      <w:r>
        <w:rPr>
          <w:sz w:val="24"/>
          <w:szCs w:val="24"/>
        </w:rPr>
        <w:t>Ș</w:t>
      </w:r>
      <w:r w:rsidRPr="009A3CFA">
        <w:rPr>
          <w:sz w:val="24"/>
          <w:szCs w:val="24"/>
        </w:rPr>
        <w:t>tiinţe Agricole şi Silvice sau ai unor organizaţii internaţionale de profil.</w:t>
      </w:r>
    </w:p>
    <w:p w:rsidR="00305726" w:rsidRPr="00CA20B9" w:rsidRDefault="00305726" w:rsidP="00305726">
      <w:pPr>
        <w:pStyle w:val="Listparagraf"/>
        <w:numPr>
          <w:ilvl w:val="1"/>
          <w:numId w:val="18"/>
        </w:numPr>
        <w:autoSpaceDE w:val="0"/>
        <w:spacing w:after="0"/>
        <w:ind w:left="1440"/>
        <w:jc w:val="both"/>
        <w:rPr>
          <w:sz w:val="24"/>
          <w:szCs w:val="24"/>
        </w:rPr>
      </w:pPr>
      <w:r w:rsidRPr="00CA20B9">
        <w:rPr>
          <w:sz w:val="24"/>
          <w:szCs w:val="24"/>
        </w:rPr>
        <w:t xml:space="preserve">Facultatea de Ingineria Lemnului (2 centre de cercetări). </w:t>
      </w:r>
      <w:r>
        <w:rPr>
          <w:sz w:val="24"/>
          <w:szCs w:val="24"/>
        </w:rPr>
        <w:t>Conform site-ului oficial, facultatea oferă</w:t>
      </w:r>
      <w:r w:rsidRPr="00CA20B9">
        <w:rPr>
          <w:sz w:val="24"/>
          <w:szCs w:val="24"/>
        </w:rPr>
        <w:t xml:space="preserve"> 4 programe de studii – nivelul licență:  Ingineria si Designul Produselor Fin</w:t>
      </w:r>
      <w:r>
        <w:rPr>
          <w:sz w:val="24"/>
          <w:szCs w:val="24"/>
        </w:rPr>
        <w:t>ite din Lemn, Ingineria Prelucră</w:t>
      </w:r>
      <w:r w:rsidRPr="00CA20B9">
        <w:rPr>
          <w:sz w:val="24"/>
          <w:szCs w:val="24"/>
        </w:rPr>
        <w:t>rii Lemnului, Inginerie si Management Forestier  Ingineria Prelucr</w:t>
      </w:r>
      <w:r>
        <w:rPr>
          <w:sz w:val="24"/>
          <w:szCs w:val="24"/>
        </w:rPr>
        <w:t>ă</w:t>
      </w:r>
      <w:r w:rsidRPr="00CA20B9">
        <w:rPr>
          <w:sz w:val="24"/>
          <w:szCs w:val="24"/>
        </w:rPr>
        <w:t>rii Lemnului și programe master: Structuri Avansate din Lemn si Tehnologii Inovative, Eco-Design de Mobilier si Restaurare. Facultatea are ca preocup</w:t>
      </w:r>
      <w:r>
        <w:rPr>
          <w:sz w:val="24"/>
          <w:szCs w:val="24"/>
        </w:rPr>
        <w:t>are majora formarea de specialiș</w:t>
      </w:r>
      <w:r w:rsidRPr="00CA20B9">
        <w:rPr>
          <w:sz w:val="24"/>
          <w:szCs w:val="24"/>
        </w:rPr>
        <w:t xml:space="preserve">ti </w:t>
      </w:r>
      <w:r w:rsidRPr="00CA20B9">
        <w:rPr>
          <w:sz w:val="24"/>
          <w:szCs w:val="24"/>
        </w:rPr>
        <w:lastRenderedPageBreak/>
        <w:t>pentru sectorul de prelucrare a lemnului d</w:t>
      </w:r>
      <w:r>
        <w:rPr>
          <w:sz w:val="24"/>
          <w:szCs w:val="24"/>
        </w:rPr>
        <w:t>e stat si cel privat, nu numai î</w:t>
      </w:r>
      <w:r w:rsidRPr="00CA20B9">
        <w:rPr>
          <w:sz w:val="24"/>
          <w:szCs w:val="24"/>
        </w:rPr>
        <w:t xml:space="preserve">n domeniul tehnologic, ci </w:t>
      </w:r>
      <w:r>
        <w:rPr>
          <w:sz w:val="24"/>
          <w:szCs w:val="24"/>
        </w:rPr>
        <w:t>ș</w:t>
      </w:r>
      <w:r w:rsidRPr="00CA20B9">
        <w:rPr>
          <w:sz w:val="24"/>
          <w:szCs w:val="24"/>
        </w:rPr>
        <w:t xml:space="preserve">i </w:t>
      </w:r>
      <w:r>
        <w:rPr>
          <w:sz w:val="24"/>
          <w:szCs w:val="24"/>
        </w:rPr>
        <w:t>î</w:t>
      </w:r>
      <w:r w:rsidRPr="00CA20B9">
        <w:rPr>
          <w:sz w:val="24"/>
          <w:szCs w:val="24"/>
        </w:rPr>
        <w:t>n cel mecanic.</w:t>
      </w:r>
    </w:p>
    <w:p w:rsidR="00305726" w:rsidRDefault="00305726" w:rsidP="00305726">
      <w:pPr>
        <w:pStyle w:val="Listparagraf"/>
        <w:autoSpaceDE w:val="0"/>
        <w:spacing w:after="0"/>
        <w:ind w:left="1440"/>
        <w:jc w:val="both"/>
        <w:rPr>
          <w:sz w:val="24"/>
          <w:szCs w:val="24"/>
        </w:rPr>
      </w:pPr>
    </w:p>
    <w:p w:rsidR="00305726" w:rsidRDefault="00305726" w:rsidP="00305726">
      <w:pPr>
        <w:pStyle w:val="Listparagraf"/>
        <w:numPr>
          <w:ilvl w:val="0"/>
          <w:numId w:val="18"/>
        </w:numPr>
        <w:autoSpaceDE w:val="0"/>
        <w:spacing w:after="0"/>
        <w:ind w:left="720"/>
        <w:jc w:val="both"/>
        <w:rPr>
          <w:sz w:val="24"/>
          <w:szCs w:val="24"/>
        </w:rPr>
      </w:pPr>
      <w:r>
        <w:rPr>
          <w:sz w:val="24"/>
          <w:szCs w:val="24"/>
        </w:rPr>
        <w:t xml:space="preserve">Instituții de învățământ preuniversitar: </w:t>
      </w:r>
    </w:p>
    <w:p w:rsidR="00305726" w:rsidRPr="003C4182"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bCs/>
        </w:rPr>
        <w:t>Grup</w:t>
      </w:r>
      <w:r>
        <w:rPr>
          <w:rFonts w:asciiTheme="minorHAnsi" w:hAnsiTheme="minorHAnsi"/>
          <w:bCs/>
        </w:rPr>
        <w:t>ul</w:t>
      </w:r>
      <w:r w:rsidRPr="003C4182">
        <w:rPr>
          <w:rFonts w:asciiTheme="minorHAnsi" w:hAnsiTheme="minorHAnsi"/>
          <w:bCs/>
        </w:rPr>
        <w:t xml:space="preserve"> Şcolar Forestier C</w:t>
      </w:r>
      <w:r>
        <w:rPr>
          <w:rFonts w:asciiTheme="minorHAnsi" w:hAnsiTheme="minorHAnsi"/>
          <w:bCs/>
        </w:rPr>
        <w:t>â</w:t>
      </w:r>
      <w:r w:rsidRPr="003C4182">
        <w:rPr>
          <w:rFonts w:asciiTheme="minorHAnsi" w:hAnsiTheme="minorHAnsi"/>
          <w:bCs/>
        </w:rPr>
        <w:t>mpeni, jud. Alba</w:t>
      </w:r>
    </w:p>
    <w:p w:rsidR="00305726" w:rsidRPr="003C4182" w:rsidRDefault="00305726" w:rsidP="00305726">
      <w:pPr>
        <w:pStyle w:val="Default"/>
        <w:numPr>
          <w:ilvl w:val="0"/>
          <w:numId w:val="19"/>
        </w:numPr>
        <w:spacing w:line="276" w:lineRule="auto"/>
        <w:ind w:left="1440"/>
        <w:jc w:val="both"/>
        <w:rPr>
          <w:rFonts w:asciiTheme="minorHAnsi" w:hAnsiTheme="minorHAnsi"/>
          <w:bCs/>
        </w:rPr>
      </w:pPr>
      <w:r>
        <w:rPr>
          <w:rFonts w:asciiTheme="minorHAnsi" w:hAnsiTheme="minorHAnsi"/>
        </w:rPr>
        <w:t>Colegiul Tehnic Timotei Cipariu Blaj, Alba</w:t>
      </w:r>
    </w:p>
    <w:p w:rsidR="00305726" w:rsidRPr="00BD5A2A"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rPr>
        <w:t xml:space="preserve">Colegiul Tehnic "Alexandru Domşa;" Alba </w:t>
      </w:r>
    </w:p>
    <w:p w:rsidR="00305726" w:rsidRPr="003C4182"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bCs/>
        </w:rPr>
        <w:t>Grup</w:t>
      </w:r>
      <w:r>
        <w:rPr>
          <w:rFonts w:asciiTheme="minorHAnsi" w:hAnsiTheme="minorHAnsi"/>
          <w:bCs/>
        </w:rPr>
        <w:t>ul</w:t>
      </w:r>
      <w:r w:rsidRPr="003C4182">
        <w:rPr>
          <w:rFonts w:asciiTheme="minorHAnsi" w:hAnsiTheme="minorHAnsi"/>
          <w:bCs/>
        </w:rPr>
        <w:t xml:space="preserve"> Şcolar Silvic „Dr. Nicolae Rucăreanu”, Braşov</w:t>
      </w:r>
    </w:p>
    <w:p w:rsidR="00305726"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bCs/>
        </w:rPr>
        <w:t>Liceul teoretic „”Petru Rareş”, Feldioara</w:t>
      </w:r>
      <w:r>
        <w:rPr>
          <w:rFonts w:asciiTheme="minorHAnsi" w:hAnsiTheme="minorHAnsi"/>
          <w:bCs/>
        </w:rPr>
        <w:t>, Brașov</w:t>
      </w:r>
    </w:p>
    <w:p w:rsidR="00305726" w:rsidRDefault="00305726" w:rsidP="00305726">
      <w:pPr>
        <w:pStyle w:val="Listparagraf"/>
        <w:numPr>
          <w:ilvl w:val="0"/>
          <w:numId w:val="19"/>
        </w:numPr>
        <w:shd w:val="clear" w:color="auto" w:fill="FFFFFF"/>
        <w:spacing w:after="0"/>
        <w:ind w:left="1440"/>
        <w:jc w:val="both"/>
        <w:rPr>
          <w:rFonts w:eastAsia="Times New Roman" w:cs="Times New Roman"/>
          <w:color w:val="000000"/>
          <w:sz w:val="24"/>
          <w:szCs w:val="24"/>
        </w:rPr>
      </w:pPr>
      <w:r w:rsidRPr="005A2FF7">
        <w:rPr>
          <w:rFonts w:eastAsia="Times New Roman" w:cs="Times New Roman"/>
          <w:color w:val="000000"/>
          <w:sz w:val="24"/>
          <w:szCs w:val="24"/>
        </w:rPr>
        <w:t>Liceul Tehnologic "Körö</w:t>
      </w:r>
      <w:r>
        <w:rPr>
          <w:rFonts w:eastAsia="Times New Roman" w:cs="Times New Roman"/>
          <w:color w:val="000000"/>
          <w:sz w:val="24"/>
          <w:szCs w:val="24"/>
        </w:rPr>
        <w:t>s</w:t>
      </w:r>
      <w:r w:rsidRPr="005A2FF7">
        <w:rPr>
          <w:rFonts w:eastAsia="Times New Roman" w:cs="Times New Roman"/>
          <w:color w:val="000000"/>
          <w:sz w:val="24"/>
          <w:szCs w:val="24"/>
        </w:rPr>
        <w:t>i Cosma Sandor"</w:t>
      </w:r>
      <w:r>
        <w:rPr>
          <w:rFonts w:eastAsia="Times New Roman" w:cs="Times New Roman"/>
          <w:color w:val="000000"/>
          <w:sz w:val="24"/>
          <w:szCs w:val="24"/>
        </w:rPr>
        <w:t>,</w:t>
      </w:r>
      <w:r w:rsidRPr="005A2FF7">
        <w:rPr>
          <w:rFonts w:eastAsia="Times New Roman" w:cs="Times New Roman"/>
          <w:color w:val="000000"/>
          <w:sz w:val="24"/>
          <w:szCs w:val="24"/>
        </w:rPr>
        <w:t xml:space="preserve"> Covasna</w:t>
      </w:r>
    </w:p>
    <w:p w:rsidR="00305726" w:rsidRPr="003C4182" w:rsidRDefault="00305726" w:rsidP="00305726">
      <w:pPr>
        <w:pStyle w:val="Listparagraf"/>
        <w:numPr>
          <w:ilvl w:val="0"/>
          <w:numId w:val="19"/>
        </w:numPr>
        <w:shd w:val="clear" w:color="auto" w:fill="FFFFFF"/>
        <w:spacing w:after="0"/>
        <w:ind w:left="1440"/>
        <w:jc w:val="both"/>
        <w:rPr>
          <w:rFonts w:eastAsia="Times New Roman" w:cs="Times New Roman"/>
          <w:color w:val="000000"/>
          <w:sz w:val="24"/>
          <w:szCs w:val="24"/>
        </w:rPr>
      </w:pPr>
      <w:r w:rsidRPr="003C4182">
        <w:rPr>
          <w:rFonts w:eastAsia="Times New Roman" w:cs="Times New Roman"/>
          <w:color w:val="000000"/>
          <w:sz w:val="24"/>
          <w:szCs w:val="24"/>
        </w:rPr>
        <w:t>Liceul Tehnologic "Kós Károly" Sf. Gheorghe</w:t>
      </w:r>
      <w:r>
        <w:rPr>
          <w:rFonts w:eastAsia="Times New Roman" w:cs="Times New Roman"/>
          <w:color w:val="000000"/>
          <w:sz w:val="24"/>
          <w:szCs w:val="24"/>
        </w:rPr>
        <w:t>, Covasna</w:t>
      </w:r>
    </w:p>
    <w:p w:rsidR="00305726" w:rsidRPr="003C4182"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bCs/>
        </w:rPr>
        <w:t>Grup</w:t>
      </w:r>
      <w:r>
        <w:rPr>
          <w:rFonts w:asciiTheme="minorHAnsi" w:hAnsiTheme="minorHAnsi"/>
          <w:bCs/>
        </w:rPr>
        <w:t>ul</w:t>
      </w:r>
      <w:r w:rsidRPr="003C4182">
        <w:rPr>
          <w:rFonts w:asciiTheme="minorHAnsi" w:hAnsiTheme="minorHAnsi"/>
          <w:bCs/>
        </w:rPr>
        <w:t xml:space="preserve"> Şcolar Forestier „Venczel Jószef”, Miercurea Ciuc, jud. Harghita</w:t>
      </w:r>
    </w:p>
    <w:p w:rsidR="00305726"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bCs/>
        </w:rPr>
        <w:t>Colegiul Tehnic „Banyai Janos”, Odorheiu Secuiesc, Harghita</w:t>
      </w:r>
    </w:p>
    <w:p w:rsidR="00305726" w:rsidRPr="005A2FF7" w:rsidRDefault="00305726" w:rsidP="00305726">
      <w:pPr>
        <w:pStyle w:val="Default"/>
        <w:numPr>
          <w:ilvl w:val="0"/>
          <w:numId w:val="19"/>
        </w:numPr>
        <w:shd w:val="clear" w:color="auto" w:fill="FFFFFF"/>
        <w:spacing w:line="276" w:lineRule="auto"/>
        <w:ind w:left="1440"/>
        <w:jc w:val="both"/>
        <w:rPr>
          <w:rFonts w:asciiTheme="minorHAnsi" w:eastAsia="Times New Roman" w:hAnsiTheme="minorHAnsi"/>
        </w:rPr>
      </w:pPr>
      <w:r w:rsidRPr="005A2FF7">
        <w:rPr>
          <w:rFonts w:asciiTheme="minorHAnsi" w:hAnsiTheme="minorHAnsi"/>
          <w:shd w:val="clear" w:color="auto" w:fill="FFFFFF"/>
        </w:rPr>
        <w:t>Liceul Tehnologic "Zeyk Domokos" Cristuru Secuiesc</w:t>
      </w:r>
      <w:r>
        <w:rPr>
          <w:rFonts w:asciiTheme="minorHAnsi" w:hAnsiTheme="minorHAnsi"/>
          <w:shd w:val="clear" w:color="auto" w:fill="FFFFFF"/>
        </w:rPr>
        <w:t>, Harghita</w:t>
      </w:r>
    </w:p>
    <w:p w:rsidR="00305726" w:rsidRDefault="00305726" w:rsidP="00305726">
      <w:pPr>
        <w:pStyle w:val="Default"/>
        <w:numPr>
          <w:ilvl w:val="0"/>
          <w:numId w:val="19"/>
        </w:numPr>
        <w:spacing w:line="276" w:lineRule="auto"/>
        <w:ind w:left="1440"/>
        <w:jc w:val="both"/>
        <w:rPr>
          <w:rFonts w:asciiTheme="minorHAnsi" w:hAnsiTheme="minorHAnsi"/>
          <w:bCs/>
        </w:rPr>
      </w:pPr>
      <w:r w:rsidRPr="003C4182">
        <w:rPr>
          <w:rFonts w:asciiTheme="minorHAnsi" w:hAnsiTheme="minorHAnsi"/>
          <w:bCs/>
        </w:rPr>
        <w:t>Grup</w:t>
      </w:r>
      <w:r>
        <w:rPr>
          <w:rFonts w:asciiTheme="minorHAnsi" w:hAnsiTheme="minorHAnsi"/>
          <w:bCs/>
        </w:rPr>
        <w:t>ul</w:t>
      </w:r>
      <w:r w:rsidRPr="003C4182">
        <w:rPr>
          <w:rFonts w:asciiTheme="minorHAnsi" w:hAnsiTheme="minorHAnsi"/>
          <w:bCs/>
        </w:rPr>
        <w:t xml:space="preserve"> Şcolar „Ion Vlasiu”, Târgu Mureş</w:t>
      </w:r>
      <w:r>
        <w:rPr>
          <w:rFonts w:asciiTheme="minorHAnsi" w:hAnsiTheme="minorHAnsi"/>
          <w:bCs/>
        </w:rPr>
        <w:t>, Mureș</w:t>
      </w:r>
    </w:p>
    <w:p w:rsidR="00305726" w:rsidRDefault="00305726" w:rsidP="00305726">
      <w:pPr>
        <w:pStyle w:val="Default"/>
        <w:numPr>
          <w:ilvl w:val="0"/>
          <w:numId w:val="19"/>
        </w:numPr>
        <w:spacing w:line="276" w:lineRule="auto"/>
        <w:ind w:left="1440"/>
        <w:jc w:val="both"/>
        <w:rPr>
          <w:rFonts w:asciiTheme="minorHAnsi" w:hAnsiTheme="minorHAnsi"/>
          <w:bCs/>
        </w:rPr>
      </w:pPr>
      <w:r>
        <w:rPr>
          <w:rFonts w:asciiTheme="minorHAnsi" w:hAnsiTheme="minorHAnsi"/>
          <w:bCs/>
        </w:rPr>
        <w:t>Grupul Școlar ,, Lucian Blaga” Reghin, Mureș</w:t>
      </w:r>
    </w:p>
    <w:p w:rsidR="00305726" w:rsidRDefault="00305726" w:rsidP="00305726">
      <w:pPr>
        <w:pStyle w:val="Default"/>
        <w:numPr>
          <w:ilvl w:val="0"/>
          <w:numId w:val="19"/>
        </w:numPr>
        <w:spacing w:line="276" w:lineRule="auto"/>
        <w:ind w:left="1440"/>
        <w:jc w:val="both"/>
        <w:rPr>
          <w:rFonts w:asciiTheme="minorHAnsi" w:hAnsiTheme="minorHAnsi"/>
          <w:bCs/>
        </w:rPr>
      </w:pPr>
      <w:r>
        <w:rPr>
          <w:rFonts w:asciiTheme="minorHAnsi" w:hAnsiTheme="minorHAnsi"/>
          <w:bCs/>
        </w:rPr>
        <w:t>Grupul Școlar ,,Domokos Kazmer” Sovata, Mureș</w:t>
      </w:r>
    </w:p>
    <w:p w:rsidR="00305726" w:rsidRDefault="00305726" w:rsidP="00305726">
      <w:pPr>
        <w:pStyle w:val="Default"/>
        <w:numPr>
          <w:ilvl w:val="0"/>
          <w:numId w:val="19"/>
        </w:numPr>
        <w:spacing w:line="276" w:lineRule="auto"/>
        <w:ind w:left="1440"/>
        <w:jc w:val="both"/>
        <w:rPr>
          <w:rFonts w:asciiTheme="minorHAnsi" w:hAnsiTheme="minorHAnsi"/>
          <w:bCs/>
        </w:rPr>
      </w:pPr>
      <w:r>
        <w:rPr>
          <w:rFonts w:asciiTheme="minorHAnsi" w:hAnsiTheme="minorHAnsi"/>
          <w:bCs/>
        </w:rPr>
        <w:t>Colegiul Silvic Gurghiu, Mureș</w:t>
      </w:r>
    </w:p>
    <w:p w:rsidR="00305726" w:rsidRPr="003C4182" w:rsidRDefault="00305726" w:rsidP="00305726">
      <w:pPr>
        <w:pStyle w:val="Default"/>
        <w:numPr>
          <w:ilvl w:val="0"/>
          <w:numId w:val="19"/>
        </w:numPr>
        <w:spacing w:line="276" w:lineRule="auto"/>
        <w:ind w:left="1440"/>
        <w:jc w:val="both"/>
        <w:rPr>
          <w:rFonts w:asciiTheme="minorHAnsi" w:hAnsiTheme="minorHAnsi"/>
          <w:bCs/>
        </w:rPr>
      </w:pPr>
      <w:r>
        <w:rPr>
          <w:rFonts w:asciiTheme="minorHAnsi" w:hAnsiTheme="minorHAnsi"/>
          <w:bCs/>
        </w:rPr>
        <w:t>Școala  de Arte și Meserii ,, C-tin Brâncuși” Târnăveni, Mureș</w:t>
      </w:r>
    </w:p>
    <w:p w:rsidR="00305726" w:rsidRPr="005A2FF7" w:rsidRDefault="00305726" w:rsidP="00305726">
      <w:pPr>
        <w:pStyle w:val="Default"/>
        <w:numPr>
          <w:ilvl w:val="0"/>
          <w:numId w:val="19"/>
        </w:numPr>
        <w:shd w:val="clear" w:color="auto" w:fill="FFFFFF"/>
        <w:spacing w:line="276" w:lineRule="auto"/>
        <w:ind w:left="1440"/>
        <w:jc w:val="both"/>
        <w:rPr>
          <w:rFonts w:asciiTheme="minorHAnsi" w:eastAsia="Times New Roman" w:hAnsiTheme="minorHAnsi"/>
        </w:rPr>
      </w:pPr>
      <w:r w:rsidRPr="005A2FF7">
        <w:rPr>
          <w:rFonts w:asciiTheme="minorHAnsi" w:eastAsia="Times New Roman" w:hAnsiTheme="minorHAnsi"/>
        </w:rPr>
        <w:t>Liceul Tehnologic "Avram Iancu"</w:t>
      </w:r>
      <w:r>
        <w:rPr>
          <w:rFonts w:asciiTheme="minorHAnsi" w:eastAsia="Times New Roman" w:hAnsiTheme="minorHAnsi"/>
        </w:rPr>
        <w:t>,</w:t>
      </w:r>
      <w:r w:rsidRPr="005A2FF7">
        <w:rPr>
          <w:rFonts w:asciiTheme="minorHAnsi" w:eastAsia="Times New Roman" w:hAnsiTheme="minorHAnsi"/>
        </w:rPr>
        <w:t xml:space="preserve"> Sibiu</w:t>
      </w:r>
    </w:p>
    <w:p w:rsidR="00305726" w:rsidRPr="00CB6EA9" w:rsidRDefault="00305726" w:rsidP="00305726">
      <w:pPr>
        <w:pStyle w:val="Titlu2"/>
        <w:rPr>
          <w:color w:val="336699"/>
          <w:sz w:val="24"/>
          <w:szCs w:val="24"/>
        </w:rPr>
      </w:pPr>
      <w:r w:rsidRPr="00CB6EA9">
        <w:rPr>
          <w:color w:val="336699"/>
          <w:sz w:val="24"/>
          <w:szCs w:val="24"/>
        </w:rPr>
        <w:t>Activitatea de cercetare-dezvoltare</w:t>
      </w:r>
    </w:p>
    <w:p w:rsidR="00305726" w:rsidRDefault="00305726" w:rsidP="00305726">
      <w:pPr>
        <w:autoSpaceDE w:val="0"/>
        <w:spacing w:after="0"/>
        <w:jc w:val="both"/>
        <w:rPr>
          <w:sz w:val="24"/>
          <w:szCs w:val="24"/>
        </w:rPr>
      </w:pPr>
      <w:r w:rsidRPr="00E90755">
        <w:rPr>
          <w:sz w:val="24"/>
          <w:szCs w:val="24"/>
        </w:rPr>
        <w:t>Cercetarea experimentală și cercetarea aplicată</w:t>
      </w:r>
      <w:r>
        <w:rPr>
          <w:sz w:val="24"/>
          <w:szCs w:val="24"/>
        </w:rPr>
        <w:t xml:space="preserve"> dispun în Regiunea Centru de o infrastructură adecvată și o resursă umană valoroasă</w:t>
      </w:r>
      <w:r w:rsidRPr="00106B3B">
        <w:rPr>
          <w:sz w:val="24"/>
          <w:szCs w:val="24"/>
        </w:rPr>
        <w:t>.</w:t>
      </w:r>
      <w:r>
        <w:rPr>
          <w:sz w:val="24"/>
          <w:szCs w:val="24"/>
        </w:rPr>
        <w:t xml:space="preserve"> În mod tradițional, structura de cercetare din domeniul silviculturii și industriei lemnului la nivelul Regiunii Centru este compusă din :</w:t>
      </w:r>
    </w:p>
    <w:p w:rsidR="00305726" w:rsidRPr="00BE7374" w:rsidRDefault="00305726" w:rsidP="00305726">
      <w:pPr>
        <w:autoSpaceDE w:val="0"/>
        <w:spacing w:after="0"/>
        <w:jc w:val="both"/>
        <w:rPr>
          <w:sz w:val="24"/>
          <w:szCs w:val="24"/>
        </w:rPr>
      </w:pPr>
    </w:p>
    <w:p w:rsidR="00305726" w:rsidRPr="00CD3458" w:rsidRDefault="00305726" w:rsidP="00305726">
      <w:pPr>
        <w:pStyle w:val="Listparagraf"/>
        <w:numPr>
          <w:ilvl w:val="0"/>
          <w:numId w:val="19"/>
        </w:numPr>
        <w:autoSpaceDE w:val="0"/>
        <w:spacing w:after="0"/>
        <w:ind w:left="1440"/>
        <w:jc w:val="both"/>
        <w:rPr>
          <w:sz w:val="24"/>
          <w:szCs w:val="24"/>
        </w:rPr>
      </w:pPr>
      <w:r w:rsidRPr="00CD3458">
        <w:rPr>
          <w:sz w:val="24"/>
          <w:szCs w:val="24"/>
        </w:rPr>
        <w:t>Stațiunea Silvică Experimentală Brașov (cu 2 baze experimentale:  Săcele și Târgu Mureș) – în subordinea Academiei de Științe Agricole și Silvice Gheorghe Ionescu Sisești</w:t>
      </w:r>
    </w:p>
    <w:p w:rsidR="00305726" w:rsidRDefault="00305726" w:rsidP="00305726">
      <w:pPr>
        <w:pStyle w:val="Listparagraf"/>
        <w:numPr>
          <w:ilvl w:val="0"/>
          <w:numId w:val="19"/>
        </w:numPr>
        <w:autoSpaceDE w:val="0"/>
        <w:spacing w:after="0"/>
        <w:ind w:left="1440"/>
        <w:jc w:val="both"/>
        <w:rPr>
          <w:sz w:val="24"/>
          <w:szCs w:val="24"/>
        </w:rPr>
      </w:pPr>
      <w:r w:rsidRPr="00CD3458">
        <w:rPr>
          <w:sz w:val="24"/>
          <w:szCs w:val="24"/>
        </w:rPr>
        <w:t>Institutul de Cercetare-Dezvoltare pentru Pajiști Brașov – în subordinea Academiei de Științe Agricole și Silvice Gheorghe Ionescu Șișești</w:t>
      </w:r>
    </w:p>
    <w:p w:rsidR="00305726" w:rsidRPr="002F3382" w:rsidRDefault="00305726" w:rsidP="00305726">
      <w:pPr>
        <w:pStyle w:val="Listparagraf"/>
        <w:numPr>
          <w:ilvl w:val="0"/>
          <w:numId w:val="19"/>
        </w:numPr>
        <w:autoSpaceDE w:val="0"/>
        <w:spacing w:after="0"/>
        <w:ind w:left="1440"/>
        <w:jc w:val="both"/>
        <w:rPr>
          <w:sz w:val="24"/>
          <w:szCs w:val="24"/>
        </w:rPr>
      </w:pPr>
      <w:r w:rsidRPr="002F3382">
        <w:rPr>
          <w:rFonts w:ascii="Calibri" w:hAnsi="Calibri"/>
          <w:iCs/>
          <w:sz w:val="24"/>
          <w:szCs w:val="24"/>
          <w:shd w:val="clear" w:color="auto" w:fill="FFFFFF"/>
        </w:rPr>
        <w:t>Institutul de Cercetare-Dezvoltare pentru Cinegetică şi Resurse Montane Miercurea-Ciuc</w:t>
      </w:r>
      <w:r>
        <w:rPr>
          <w:rFonts w:ascii="Calibri" w:hAnsi="Calibri"/>
          <w:iCs/>
          <w:sz w:val="24"/>
          <w:szCs w:val="24"/>
          <w:shd w:val="clear" w:color="auto" w:fill="FFFFFF"/>
        </w:rPr>
        <w:t xml:space="preserve"> </w:t>
      </w:r>
      <w:r w:rsidRPr="00CD3458">
        <w:rPr>
          <w:sz w:val="24"/>
          <w:szCs w:val="24"/>
        </w:rPr>
        <w:t>– în subordinea Academiei de Științe Agricole și Silvice Gheorghe Ionescu Șișești</w:t>
      </w:r>
    </w:p>
    <w:p w:rsidR="00305726" w:rsidRPr="00E90755" w:rsidRDefault="00305726" w:rsidP="00305726">
      <w:pPr>
        <w:pStyle w:val="Listparagraf"/>
        <w:numPr>
          <w:ilvl w:val="1"/>
          <w:numId w:val="19"/>
        </w:numPr>
        <w:autoSpaceDE w:val="0"/>
        <w:spacing w:after="0"/>
        <w:jc w:val="both"/>
        <w:rPr>
          <w:sz w:val="24"/>
          <w:szCs w:val="24"/>
        </w:rPr>
      </w:pPr>
      <w:r w:rsidRPr="00E90755">
        <w:rPr>
          <w:rFonts w:cstheme="minorHAnsi"/>
          <w:sz w:val="24"/>
          <w:szCs w:val="24"/>
          <w:shd w:val="clear" w:color="auto" w:fill="FFFFFF"/>
        </w:rPr>
        <w:t xml:space="preserve">Institutul Naţional al Lemnului - Biroul din Braşov, aflat în prezent în procedură de </w:t>
      </w:r>
      <w:r>
        <w:rPr>
          <w:rFonts w:cstheme="minorHAnsi"/>
          <w:sz w:val="24"/>
          <w:szCs w:val="24"/>
          <w:shd w:val="clear" w:color="auto" w:fill="FFFFFF"/>
        </w:rPr>
        <w:t>insolvență</w:t>
      </w:r>
    </w:p>
    <w:p w:rsidR="00305726" w:rsidRDefault="00305726" w:rsidP="00305726">
      <w:pPr>
        <w:autoSpaceDE w:val="0"/>
        <w:spacing w:after="0"/>
        <w:jc w:val="both"/>
        <w:rPr>
          <w:sz w:val="24"/>
          <w:szCs w:val="24"/>
        </w:rPr>
      </w:pPr>
    </w:p>
    <w:p w:rsidR="00305726" w:rsidRPr="0069177A" w:rsidRDefault="00305726" w:rsidP="00305726">
      <w:pPr>
        <w:autoSpaceDE w:val="0"/>
        <w:spacing w:after="0"/>
        <w:jc w:val="both"/>
        <w:rPr>
          <w:sz w:val="24"/>
          <w:szCs w:val="24"/>
        </w:rPr>
      </w:pPr>
      <w:r>
        <w:rPr>
          <w:sz w:val="24"/>
          <w:szCs w:val="24"/>
        </w:rPr>
        <w:t>Cercetarea aplicată găsește un teren fertil în mediul universitar. A</w:t>
      </w:r>
      <w:r w:rsidRPr="00106B3B">
        <w:rPr>
          <w:sz w:val="24"/>
          <w:szCs w:val="24"/>
        </w:rPr>
        <w:t xml:space="preserve">lături activitatea </w:t>
      </w:r>
      <w:r>
        <w:rPr>
          <w:sz w:val="24"/>
          <w:szCs w:val="24"/>
        </w:rPr>
        <w:t xml:space="preserve">didactică, la </w:t>
      </w:r>
      <w:r w:rsidRPr="00A47BA9">
        <w:rPr>
          <w:b/>
          <w:sz w:val="24"/>
          <w:szCs w:val="24"/>
        </w:rPr>
        <w:t>Universitatea Transilvania Brașov</w:t>
      </w:r>
      <w:r>
        <w:rPr>
          <w:sz w:val="24"/>
          <w:szCs w:val="24"/>
        </w:rPr>
        <w:t xml:space="preserve"> au fost constituite structuri de cercetare organizate sub </w:t>
      </w:r>
      <w:r>
        <w:rPr>
          <w:sz w:val="24"/>
          <w:szCs w:val="24"/>
        </w:rPr>
        <w:lastRenderedPageBreak/>
        <w:t xml:space="preserve">forma unor centre de cercetare. În prezent, în cadrul Facultății </w:t>
      </w:r>
      <w:r w:rsidRPr="0069177A">
        <w:rPr>
          <w:sz w:val="24"/>
          <w:szCs w:val="24"/>
        </w:rPr>
        <w:t>de Silvicultură şi Exploatări Forestiere activează două centre de cercetare:</w:t>
      </w:r>
    </w:p>
    <w:p w:rsidR="00305726" w:rsidRDefault="00305726" w:rsidP="00305726">
      <w:pPr>
        <w:pStyle w:val="Listparagraf"/>
        <w:numPr>
          <w:ilvl w:val="0"/>
          <w:numId w:val="55"/>
        </w:numPr>
        <w:autoSpaceDE w:val="0"/>
        <w:jc w:val="both"/>
        <w:rPr>
          <w:sz w:val="24"/>
          <w:szCs w:val="24"/>
        </w:rPr>
      </w:pPr>
      <w:r w:rsidRPr="0069177A">
        <w:rPr>
          <w:b/>
          <w:sz w:val="24"/>
          <w:szCs w:val="24"/>
        </w:rPr>
        <w:t>Centrul de cercetare în domeniul Managementului resurselor forestiere şi cinegetice</w:t>
      </w:r>
      <w:r w:rsidRPr="0069177A">
        <w:rPr>
          <w:sz w:val="24"/>
          <w:szCs w:val="24"/>
        </w:rPr>
        <w:t>, își desfășoară activitatea în următoarele arii de cercetare: știinţele pământului şi managementul resurselor; biodiversitate biologică, geologică şi sisteme social-economice, sănătatea plantelor şi animalelor;  protecţia mediului, eficienţă ecologică şi managementul deşeurilor; modificări globale.</w:t>
      </w:r>
    </w:p>
    <w:p w:rsidR="00305726" w:rsidRPr="0069177A" w:rsidRDefault="00305726" w:rsidP="00305726">
      <w:pPr>
        <w:pStyle w:val="Listparagraf"/>
        <w:numPr>
          <w:ilvl w:val="0"/>
          <w:numId w:val="55"/>
        </w:numPr>
        <w:autoSpaceDE w:val="0"/>
        <w:jc w:val="both"/>
        <w:rPr>
          <w:sz w:val="24"/>
          <w:szCs w:val="24"/>
        </w:rPr>
      </w:pPr>
      <w:r w:rsidRPr="00C1510A">
        <w:rPr>
          <w:b/>
          <w:sz w:val="24"/>
          <w:szCs w:val="24"/>
        </w:rPr>
        <w:t xml:space="preserve">Centrul de cercetare în domeniul Exploatării forestiere, amenajării pădurilor și măsurătorilor terestre </w:t>
      </w:r>
      <w:r w:rsidRPr="0069177A">
        <w:rPr>
          <w:sz w:val="24"/>
          <w:szCs w:val="24"/>
        </w:rPr>
        <w:t xml:space="preserve">își desfășoară activitatea în următoarele </w:t>
      </w:r>
      <w:r>
        <w:rPr>
          <w:sz w:val="24"/>
          <w:szCs w:val="24"/>
        </w:rPr>
        <w:t>arii de cercetare:</w:t>
      </w:r>
      <w:r w:rsidRPr="0069177A">
        <w:rPr>
          <w:sz w:val="24"/>
          <w:szCs w:val="24"/>
        </w:rPr>
        <w:t xml:space="preserve"> hidrologie forestieră în bazine hidrografice mici din zona de deal şi munte, în vederea gestionării durabile a pădurilor din bazine hidrografice torenţiale sau predispuse la torenţialitate;  estimarea şi zonarea riscului la viituri torenţiale, în bazine hidrografie mici, predominant forestiere, dovedirea rolului pădurii în atenuarea viiturilor/inundaţiilor la scară de bazin hidrografic, prin metode ale statisticii matematice, monitorizarea comportării şi efectelor lucrărilor de amenajare a bazinelor hidrografice torenţiale, prin utilizarea tehnicilor moderne ale geomaticii (GIS, GPS, teledetecţie satelitară, consultanță și coordonare în implementarea bazelor de date GIS în managementul ariilor naturale protejate din rețeaua Natura2000 și în determinarea parametrilor morfometrici și hidrologici ai bazinelor hidrografice din cadrul habitatelor forestiere cuprinse în rețeaua Natura2000</w:t>
      </w:r>
    </w:p>
    <w:p w:rsidR="00305726" w:rsidRDefault="00305726" w:rsidP="00305726">
      <w:pPr>
        <w:pStyle w:val="Listparagraf"/>
        <w:autoSpaceDE w:val="0"/>
        <w:jc w:val="both"/>
        <w:rPr>
          <w:sz w:val="24"/>
          <w:szCs w:val="24"/>
        </w:rPr>
      </w:pPr>
    </w:p>
    <w:p w:rsidR="00305726" w:rsidRPr="00C1510A" w:rsidRDefault="00305726" w:rsidP="00305726">
      <w:pPr>
        <w:pStyle w:val="Listparagraf"/>
        <w:autoSpaceDE w:val="0"/>
        <w:ind w:left="360"/>
        <w:jc w:val="both"/>
        <w:rPr>
          <w:sz w:val="24"/>
          <w:szCs w:val="24"/>
        </w:rPr>
      </w:pPr>
      <w:r w:rsidRPr="00C1510A">
        <w:rPr>
          <w:sz w:val="24"/>
          <w:szCs w:val="24"/>
        </w:rPr>
        <w:t xml:space="preserve">În cadrul Facultății de </w:t>
      </w:r>
      <w:r>
        <w:rPr>
          <w:sz w:val="24"/>
          <w:szCs w:val="24"/>
        </w:rPr>
        <w:t>Ingineria Lemnului</w:t>
      </w:r>
      <w:r w:rsidRPr="00C1510A">
        <w:rPr>
          <w:sz w:val="24"/>
          <w:szCs w:val="24"/>
        </w:rPr>
        <w:t xml:space="preserve"> activează</w:t>
      </w:r>
      <w:r>
        <w:rPr>
          <w:sz w:val="24"/>
          <w:szCs w:val="24"/>
        </w:rPr>
        <w:t>, de asemenea,</w:t>
      </w:r>
      <w:r w:rsidRPr="00C1510A">
        <w:rPr>
          <w:sz w:val="24"/>
          <w:szCs w:val="24"/>
        </w:rPr>
        <w:t xml:space="preserve"> două centre de cercetare:</w:t>
      </w:r>
    </w:p>
    <w:p w:rsidR="00305726" w:rsidRPr="0069177A" w:rsidRDefault="00305726" w:rsidP="00305726">
      <w:pPr>
        <w:pStyle w:val="Listparagraf"/>
        <w:numPr>
          <w:ilvl w:val="0"/>
          <w:numId w:val="57"/>
        </w:numPr>
        <w:autoSpaceDE w:val="0"/>
        <w:jc w:val="both"/>
        <w:rPr>
          <w:sz w:val="24"/>
          <w:szCs w:val="24"/>
        </w:rPr>
      </w:pPr>
      <w:r w:rsidRPr="0069177A">
        <w:rPr>
          <w:b/>
          <w:sz w:val="24"/>
          <w:szCs w:val="24"/>
        </w:rPr>
        <w:t>Centrul de cercetare științifică - Eco-design de mobilier, restaurare și certificare în industria lemnului</w:t>
      </w:r>
      <w:r>
        <w:rPr>
          <w:sz w:val="24"/>
          <w:szCs w:val="24"/>
        </w:rPr>
        <w:t>, având ca arii de cercetare:</w:t>
      </w:r>
    </w:p>
    <w:p w:rsidR="00305726" w:rsidRPr="006834E4" w:rsidRDefault="00305726" w:rsidP="00305726">
      <w:pPr>
        <w:pStyle w:val="Listparagraf"/>
        <w:numPr>
          <w:ilvl w:val="0"/>
          <w:numId w:val="56"/>
        </w:numPr>
        <w:autoSpaceDE w:val="0"/>
        <w:spacing w:before="240" w:after="240"/>
        <w:jc w:val="both"/>
        <w:rPr>
          <w:sz w:val="24"/>
          <w:szCs w:val="24"/>
        </w:rPr>
      </w:pPr>
      <w:r w:rsidRPr="006834E4">
        <w:rPr>
          <w:sz w:val="24"/>
          <w:szCs w:val="24"/>
        </w:rPr>
        <w:t xml:space="preserve">Dezvoltarea de noi mijloace și metode de monitorizare a calității mediului și certificarea procedurală a factorilor de </w:t>
      </w:r>
      <w:r>
        <w:rPr>
          <w:sz w:val="24"/>
          <w:szCs w:val="24"/>
        </w:rPr>
        <w:t>poluare din industria lemnului.</w:t>
      </w:r>
    </w:p>
    <w:p w:rsidR="00305726" w:rsidRDefault="00305726" w:rsidP="00305726">
      <w:pPr>
        <w:pStyle w:val="Listparagraf"/>
        <w:numPr>
          <w:ilvl w:val="0"/>
          <w:numId w:val="56"/>
        </w:numPr>
        <w:autoSpaceDE w:val="0"/>
        <w:spacing w:before="240" w:after="240"/>
        <w:jc w:val="both"/>
        <w:rPr>
          <w:sz w:val="24"/>
          <w:szCs w:val="24"/>
        </w:rPr>
      </w:pPr>
      <w:r w:rsidRPr="00C1510A">
        <w:rPr>
          <w:sz w:val="24"/>
          <w:szCs w:val="24"/>
        </w:rPr>
        <w:t>Fundamentarea științifică a unor metode inovative de valorificare a resurselor forestiere secundare prin reali</w:t>
      </w:r>
      <w:r>
        <w:rPr>
          <w:sz w:val="24"/>
          <w:szCs w:val="24"/>
        </w:rPr>
        <w:t>zarea de noi tipuri de panouri</w:t>
      </w:r>
    </w:p>
    <w:p w:rsidR="00305726" w:rsidRDefault="00305726" w:rsidP="00305726">
      <w:pPr>
        <w:pStyle w:val="Listparagraf"/>
        <w:numPr>
          <w:ilvl w:val="0"/>
          <w:numId w:val="56"/>
        </w:numPr>
        <w:autoSpaceDE w:val="0"/>
        <w:spacing w:before="240" w:after="240"/>
        <w:jc w:val="both"/>
        <w:rPr>
          <w:sz w:val="24"/>
          <w:szCs w:val="24"/>
        </w:rPr>
      </w:pPr>
      <w:r w:rsidRPr="00C1510A">
        <w:rPr>
          <w:sz w:val="24"/>
          <w:szCs w:val="24"/>
        </w:rPr>
        <w:t>Investigarea științifică și dezvoltarea de materiale, produse și procese inovative pentru conservarea/restaurarea mobilierului/artefactelo</w:t>
      </w:r>
      <w:r>
        <w:rPr>
          <w:sz w:val="24"/>
          <w:szCs w:val="24"/>
        </w:rPr>
        <w:t>r din lemn cu valoare istorică</w:t>
      </w:r>
    </w:p>
    <w:p w:rsidR="00305726" w:rsidRPr="00C1510A" w:rsidRDefault="00305726" w:rsidP="00305726">
      <w:pPr>
        <w:pStyle w:val="Listparagraf"/>
        <w:numPr>
          <w:ilvl w:val="0"/>
          <w:numId w:val="56"/>
        </w:numPr>
        <w:autoSpaceDE w:val="0"/>
        <w:spacing w:before="240" w:after="240"/>
        <w:jc w:val="both"/>
        <w:rPr>
          <w:sz w:val="24"/>
          <w:szCs w:val="24"/>
        </w:rPr>
      </w:pPr>
      <w:r w:rsidRPr="00C1510A">
        <w:rPr>
          <w:sz w:val="24"/>
          <w:szCs w:val="24"/>
        </w:rPr>
        <w:t>Protecția lemnului în sintagma eficiență-ecoimpact (elaborare și implementare protocol specific de investigare prin teste de laborator și în teren, dezvoltare și testare de produse “eco-friendly”.</w:t>
      </w:r>
    </w:p>
    <w:p w:rsidR="00305726" w:rsidRPr="006834E4" w:rsidRDefault="00305726" w:rsidP="00305726">
      <w:pPr>
        <w:pStyle w:val="Listparagraf"/>
        <w:numPr>
          <w:ilvl w:val="0"/>
          <w:numId w:val="56"/>
        </w:numPr>
        <w:autoSpaceDE w:val="0"/>
        <w:spacing w:before="240" w:after="240"/>
        <w:jc w:val="both"/>
        <w:rPr>
          <w:sz w:val="24"/>
          <w:szCs w:val="24"/>
        </w:rPr>
      </w:pPr>
      <w:r w:rsidRPr="006834E4">
        <w:rPr>
          <w:sz w:val="24"/>
          <w:szCs w:val="24"/>
        </w:rPr>
        <w:t xml:space="preserve">Fundamentarea și dezvoltarea unor metode inovative de modelare și optimizare a proceselor de prelucrare a lemnului </w:t>
      </w:r>
    </w:p>
    <w:p w:rsidR="00305726" w:rsidRPr="00C1510A" w:rsidRDefault="00305726" w:rsidP="00305726">
      <w:pPr>
        <w:pStyle w:val="Listparagraf"/>
        <w:numPr>
          <w:ilvl w:val="0"/>
          <w:numId w:val="58"/>
        </w:numPr>
        <w:autoSpaceDE w:val="0"/>
        <w:ind w:left="1066"/>
        <w:jc w:val="both"/>
        <w:rPr>
          <w:sz w:val="24"/>
          <w:szCs w:val="24"/>
        </w:rPr>
      </w:pPr>
      <w:r w:rsidRPr="00C1510A">
        <w:rPr>
          <w:b/>
          <w:sz w:val="24"/>
          <w:szCs w:val="24"/>
        </w:rPr>
        <w:t xml:space="preserve">Centrul de cercetare științifică - Tehnologii inovative si produse avansate in industria lemnului </w:t>
      </w:r>
      <w:r w:rsidRPr="00C1510A">
        <w:rPr>
          <w:sz w:val="24"/>
          <w:szCs w:val="24"/>
        </w:rPr>
        <w:t>având ca teme de cercetare</w:t>
      </w:r>
      <w:r>
        <w:rPr>
          <w:sz w:val="24"/>
          <w:szCs w:val="24"/>
        </w:rPr>
        <w:t>:</w:t>
      </w:r>
    </w:p>
    <w:p w:rsidR="00305726" w:rsidRDefault="00305726" w:rsidP="00305726">
      <w:pPr>
        <w:pStyle w:val="Listparagraf"/>
        <w:autoSpaceDE w:val="0"/>
        <w:ind w:left="346"/>
        <w:jc w:val="both"/>
        <w:rPr>
          <w:sz w:val="24"/>
          <w:szCs w:val="24"/>
        </w:rPr>
      </w:pPr>
    </w:p>
    <w:p w:rsidR="00305726" w:rsidRPr="006834E4" w:rsidRDefault="00305726" w:rsidP="00305726">
      <w:pPr>
        <w:pStyle w:val="Listparagraf"/>
        <w:numPr>
          <w:ilvl w:val="0"/>
          <w:numId w:val="59"/>
        </w:numPr>
        <w:autoSpaceDE w:val="0"/>
        <w:spacing w:after="0"/>
        <w:jc w:val="both"/>
        <w:rPr>
          <w:sz w:val="24"/>
          <w:szCs w:val="24"/>
        </w:rPr>
      </w:pPr>
      <w:r w:rsidRPr="006834E4">
        <w:rPr>
          <w:sz w:val="24"/>
          <w:szCs w:val="24"/>
        </w:rPr>
        <w:t xml:space="preserve">Energie - Sisteme şi tehnologii energetice durabile; </w:t>
      </w:r>
    </w:p>
    <w:p w:rsidR="00305726" w:rsidRPr="006834E4" w:rsidRDefault="00305726" w:rsidP="00305726">
      <w:pPr>
        <w:pStyle w:val="Listparagraf"/>
        <w:numPr>
          <w:ilvl w:val="0"/>
          <w:numId w:val="59"/>
        </w:numPr>
        <w:autoSpaceDE w:val="0"/>
        <w:spacing w:after="0"/>
        <w:jc w:val="both"/>
        <w:rPr>
          <w:sz w:val="24"/>
          <w:szCs w:val="24"/>
        </w:rPr>
      </w:pPr>
      <w:r w:rsidRPr="006834E4">
        <w:rPr>
          <w:sz w:val="24"/>
          <w:szCs w:val="24"/>
        </w:rPr>
        <w:lastRenderedPageBreak/>
        <w:t xml:space="preserve">Mediu - Modalităţi şi mecanisme pentru reducerea poluării mediului </w:t>
      </w:r>
    </w:p>
    <w:p w:rsidR="00305726" w:rsidRDefault="00305726" w:rsidP="00305726">
      <w:pPr>
        <w:pStyle w:val="Listparagraf"/>
        <w:numPr>
          <w:ilvl w:val="0"/>
          <w:numId w:val="59"/>
        </w:numPr>
        <w:autoSpaceDE w:val="0"/>
        <w:spacing w:after="0"/>
        <w:jc w:val="both"/>
        <w:rPr>
          <w:sz w:val="24"/>
          <w:szCs w:val="24"/>
        </w:rPr>
      </w:pPr>
      <w:r w:rsidRPr="006834E4">
        <w:rPr>
          <w:sz w:val="24"/>
          <w:szCs w:val="24"/>
        </w:rPr>
        <w:t>Materiale, procese şi produse inovative - Materiale avansate</w:t>
      </w:r>
    </w:p>
    <w:p w:rsidR="00305726" w:rsidRDefault="00305726" w:rsidP="00305726">
      <w:pPr>
        <w:autoSpaceDE w:val="0"/>
        <w:spacing w:after="0"/>
        <w:jc w:val="both"/>
        <w:rPr>
          <w:sz w:val="24"/>
          <w:szCs w:val="24"/>
        </w:rPr>
      </w:pPr>
    </w:p>
    <w:p w:rsidR="00305726" w:rsidRDefault="00305726" w:rsidP="00305726">
      <w:pPr>
        <w:pStyle w:val="Titlu3"/>
        <w:spacing w:before="0"/>
      </w:pPr>
      <w:r w:rsidRPr="00CB6EA9">
        <w:t xml:space="preserve">Provocări actuale </w:t>
      </w:r>
      <w:r>
        <w:t>ale cercetării în domeniul silviculturii, lemnului și mobilei</w:t>
      </w:r>
    </w:p>
    <w:p w:rsidR="00305726" w:rsidRPr="001C5586" w:rsidRDefault="00305726" w:rsidP="00305726"/>
    <w:p w:rsidR="00305726" w:rsidRDefault="00305726" w:rsidP="00305726">
      <w:pPr>
        <w:spacing w:after="0"/>
        <w:ind w:right="-19"/>
        <w:jc w:val="both"/>
        <w:rPr>
          <w:rFonts w:cs="Arial"/>
          <w:sz w:val="24"/>
          <w:szCs w:val="24"/>
          <w:lang w:eastAsia="ar-SA"/>
        </w:rPr>
      </w:pPr>
      <w:r w:rsidRPr="002F3382">
        <w:rPr>
          <w:sz w:val="24"/>
          <w:szCs w:val="24"/>
        </w:rPr>
        <w:t xml:space="preserve">Printre cele mai </w:t>
      </w:r>
      <w:r w:rsidRPr="00CB6EA9">
        <w:rPr>
          <w:sz w:val="24"/>
          <w:szCs w:val="24"/>
        </w:rPr>
        <w:t>importante provocări</w:t>
      </w:r>
      <w:r w:rsidRPr="002F3382">
        <w:rPr>
          <w:sz w:val="24"/>
          <w:szCs w:val="24"/>
        </w:rPr>
        <w:t xml:space="preserve"> ce stau în fața unităților de cercetare din Regiunea Centru se numără îmbunătățirea cooperării dintre domeniul Cercetării și Mediul de afaceri, accelerarea aplicării în economie a rezultatelor cercetării și accelerarea transferului tehnologic către silvicultori și către  întreprinderile mici și mijlocii din industria lemnului și a mobilei. </w:t>
      </w:r>
      <w:r w:rsidRPr="002F3382">
        <w:rPr>
          <w:rFonts w:cs="Arial"/>
          <w:sz w:val="24"/>
          <w:szCs w:val="24"/>
          <w:lang w:eastAsia="ar-SA"/>
        </w:rPr>
        <w:t>Valorificarea în scop economic a deșeurilor lemnoase se realizează deja</w:t>
      </w:r>
      <w:r>
        <w:rPr>
          <w:rFonts w:cs="Arial"/>
          <w:sz w:val="24"/>
          <w:szCs w:val="24"/>
          <w:lang w:eastAsia="ar-SA"/>
        </w:rPr>
        <w:t>,</w:t>
      </w:r>
      <w:r w:rsidRPr="002F3382">
        <w:rPr>
          <w:rFonts w:cs="Arial"/>
          <w:sz w:val="24"/>
          <w:szCs w:val="24"/>
          <w:lang w:eastAsia="ar-SA"/>
        </w:rPr>
        <w:t xml:space="preserve"> însă există suficient spațiu  pentru îmbunătățire, iar clienții sunt din ce în ce mai sensibili la aspectele de sustenabilitate și de protejare a mediului.</w:t>
      </w:r>
      <w:r>
        <w:rPr>
          <w:rFonts w:cs="Arial"/>
          <w:sz w:val="24"/>
          <w:szCs w:val="24"/>
          <w:lang w:eastAsia="ar-SA"/>
        </w:rPr>
        <w:t xml:space="preserve"> Prin aplicarea rezultatelor cercetării pot fi găsite noi subdomenii de valorificare a deșeurilor lemnoase sau pot fi depășite actualele limitări de ordin tehnic. Unitățile de cercetare pot asigura și servicii specializate (măsurători, testări, certificări etc ) pentru companiile mici și mijlocii din domeniul prelucrării lemnului. </w:t>
      </w:r>
    </w:p>
    <w:p w:rsidR="00305726" w:rsidRPr="004B17D7" w:rsidRDefault="00305726" w:rsidP="00305726">
      <w:pPr>
        <w:spacing w:after="0"/>
        <w:ind w:right="-19"/>
        <w:jc w:val="both"/>
        <w:rPr>
          <w:sz w:val="24"/>
          <w:szCs w:val="24"/>
        </w:rPr>
      </w:pPr>
      <w:r w:rsidRPr="004B17D7">
        <w:rPr>
          <w:bCs/>
          <w:sz w:val="24"/>
          <w:szCs w:val="24"/>
        </w:rPr>
        <w:t xml:space="preserve">Marile companii </w:t>
      </w:r>
      <w:r>
        <w:rPr>
          <w:bCs/>
          <w:sz w:val="24"/>
          <w:szCs w:val="24"/>
        </w:rPr>
        <w:t xml:space="preserve">cu capital străin prezente în Regiunea Centru, cu active în </w:t>
      </w:r>
      <w:r w:rsidRPr="004B17D7">
        <w:rPr>
          <w:bCs/>
          <w:sz w:val="24"/>
          <w:szCs w:val="24"/>
        </w:rPr>
        <w:t>domeniul</w:t>
      </w:r>
      <w:r>
        <w:rPr>
          <w:bCs/>
          <w:sz w:val="24"/>
          <w:szCs w:val="24"/>
        </w:rPr>
        <w:t xml:space="preserve"> prelucrării lemnului </w:t>
      </w:r>
      <w:r w:rsidRPr="004B17D7">
        <w:rPr>
          <w:bCs/>
          <w:sz w:val="24"/>
          <w:szCs w:val="24"/>
        </w:rPr>
        <w:t>alocă importante resurse financiare și umane pentru inovare și dezvoltare de noi produse și tehnologii de producție</w:t>
      </w:r>
      <w:r>
        <w:rPr>
          <w:bCs/>
          <w:sz w:val="24"/>
          <w:szCs w:val="24"/>
        </w:rPr>
        <w:t xml:space="preserve">. </w:t>
      </w:r>
      <w:r w:rsidRPr="004B17D7">
        <w:rPr>
          <w:bCs/>
          <w:sz w:val="24"/>
          <w:szCs w:val="24"/>
        </w:rPr>
        <w:t xml:space="preserve"> </w:t>
      </w:r>
      <w:r>
        <w:rPr>
          <w:bCs/>
          <w:sz w:val="24"/>
          <w:szCs w:val="24"/>
        </w:rPr>
        <w:t xml:space="preserve">În cazul </w:t>
      </w:r>
      <w:r w:rsidRPr="004B17D7">
        <w:rPr>
          <w:bCs/>
          <w:sz w:val="24"/>
          <w:szCs w:val="24"/>
        </w:rPr>
        <w:t>cercetăr</w:t>
      </w:r>
      <w:r>
        <w:rPr>
          <w:bCs/>
          <w:sz w:val="24"/>
          <w:szCs w:val="24"/>
        </w:rPr>
        <w:t xml:space="preserve">ii derulate în cadrul firmelor avantajul important este </w:t>
      </w:r>
      <w:r w:rsidRPr="004B17D7">
        <w:rPr>
          <w:bCs/>
          <w:sz w:val="24"/>
          <w:szCs w:val="24"/>
        </w:rPr>
        <w:t>legătura directă</w:t>
      </w:r>
      <w:r>
        <w:rPr>
          <w:bCs/>
          <w:sz w:val="24"/>
          <w:szCs w:val="24"/>
        </w:rPr>
        <w:t xml:space="preserve">, nemediată </w:t>
      </w:r>
      <w:r w:rsidRPr="004B17D7">
        <w:rPr>
          <w:bCs/>
          <w:sz w:val="24"/>
          <w:szCs w:val="24"/>
        </w:rPr>
        <w:t xml:space="preserve"> cu producția</w:t>
      </w:r>
      <w:r>
        <w:rPr>
          <w:bCs/>
          <w:sz w:val="24"/>
          <w:szCs w:val="24"/>
        </w:rPr>
        <w:t>.</w:t>
      </w:r>
      <w:r w:rsidRPr="004B17D7">
        <w:rPr>
          <w:bCs/>
          <w:sz w:val="24"/>
          <w:szCs w:val="24"/>
        </w:rPr>
        <w:t xml:space="preserve"> </w:t>
      </w:r>
    </w:p>
    <w:p w:rsidR="00305726" w:rsidRPr="004B17D7" w:rsidRDefault="00305726" w:rsidP="00305726">
      <w:pPr>
        <w:spacing w:after="0"/>
        <w:ind w:right="-19"/>
        <w:jc w:val="both"/>
        <w:rPr>
          <w:sz w:val="24"/>
          <w:szCs w:val="24"/>
        </w:rPr>
      </w:pPr>
    </w:p>
    <w:p w:rsidR="00B45835" w:rsidRPr="004B17D7" w:rsidRDefault="00B45835" w:rsidP="00B45835">
      <w:pPr>
        <w:spacing w:after="0"/>
        <w:ind w:right="-19"/>
        <w:jc w:val="both"/>
        <w:rPr>
          <w:sz w:val="24"/>
          <w:szCs w:val="24"/>
        </w:rPr>
      </w:pPr>
    </w:p>
    <w:p w:rsidR="00B45835" w:rsidRDefault="00B45835"/>
    <w:p w:rsidR="00B45835" w:rsidRDefault="00B45835"/>
    <w:p w:rsidR="00B45835" w:rsidRDefault="00B45835"/>
    <w:p w:rsidR="00B45835" w:rsidRDefault="00B45835"/>
    <w:p w:rsidR="00B45835" w:rsidRDefault="00B45835"/>
    <w:p w:rsidR="00B45835" w:rsidRDefault="00B45835"/>
    <w:p w:rsidR="00B45835" w:rsidRDefault="00B45835"/>
    <w:p w:rsidR="00B45835" w:rsidRDefault="00B45835"/>
    <w:p w:rsidR="00B45835" w:rsidRDefault="00B45835"/>
    <w:p w:rsidR="00B45835" w:rsidRDefault="00B45835"/>
    <w:p w:rsidR="00B45835" w:rsidRDefault="00B45835"/>
    <w:p w:rsidR="00B45835" w:rsidRDefault="00B45835"/>
    <w:p w:rsidR="0003549E" w:rsidRDefault="0003549E"/>
    <w:p w:rsidR="0003549E" w:rsidRPr="0003549E" w:rsidRDefault="0003549E" w:rsidP="0003549E">
      <w:pPr>
        <w:jc w:val="center"/>
        <w:rPr>
          <w:rFonts w:ascii="Arial Narrow" w:hAnsi="Arial Narrow"/>
          <w:b/>
          <w:sz w:val="28"/>
          <w:szCs w:val="28"/>
        </w:rPr>
      </w:pPr>
      <w:r w:rsidRPr="0003549E">
        <w:rPr>
          <w:rFonts w:ascii="Arial Narrow" w:hAnsi="Arial Narrow"/>
          <w:b/>
          <w:sz w:val="28"/>
          <w:szCs w:val="28"/>
        </w:rPr>
        <w:lastRenderedPageBreak/>
        <w:t>Sectorul IT și industriile creative - domenii de excelență ale Regiunii Centru</w:t>
      </w:r>
    </w:p>
    <w:p w:rsidR="0003549E" w:rsidRPr="001C2B18" w:rsidRDefault="0003549E" w:rsidP="0003549E">
      <w:pPr>
        <w:rPr>
          <w:rFonts w:ascii="Arial Narrow" w:hAnsi="Arial Narrow"/>
        </w:rPr>
      </w:pPr>
    </w:p>
    <w:p w:rsidR="0003549E" w:rsidRPr="001C2B18" w:rsidRDefault="00BD7229" w:rsidP="0003549E">
      <w:pPr>
        <w:rPr>
          <w:rFonts w:ascii="Arial Narrow" w:hAnsi="Arial Narrow"/>
        </w:rPr>
      </w:pPr>
      <w:r w:rsidRPr="00BD7229">
        <w:rPr>
          <w:noProof/>
        </w:rPr>
        <w:pict>
          <v:group id="_x0000_s1062" style="position:absolute;margin-left:76.4pt;margin-top:247.5pt;width:189.1pt;height:316pt;z-index:251696128;mso-width-percent:320;mso-position-horizontal-relative:page;mso-position-vertical-relative:page;mso-width-percent:320" coordsize="2475865,955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">
            <v:rect id="AutoShape 14" o:spid="_x0000_s1063" style="position:absolute;width:2475865;height:9555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2VsYA&#10;AADbAAAADwAAAGRycy9kb3ducmV2LnhtbESPT2vCQBTE74LfYXlCL6Kb+qeU6CpFK5SmBxt78PjM&#10;PpPQ7Nuwu9X023cLgsdhZn7DLNedacSFnK8tK3gcJyCIC6trLhV8HXajZxA+IGtsLJOCX/KwXvV7&#10;S0y1vfInXfJQighhn6KCKoQ2ldIXFRn0Y9sSR+9sncEQpSuldniNcNPISZI8SYM1x4UKW9pUVHzn&#10;P0bBbN++nobHd862H9ONzLKs3A6dUg+D7mUBIlAX7uFb+00rmMzh/0v8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C2VsYAAADbAAAADwAAAAAAAAAAAAAAAACYAgAAZHJz&#10;L2Rvd25yZXYueG1sUEsFBgAAAAAEAAQA9QAAAIsDAAAAAA==&#10;" strokecolor="#948a54" strokeweight="1.25pt">
              <v:textbox inset="14.4pt,36pt,14.4pt,5.76pt">
                <w:txbxContent>
                  <w:p w:rsidR="00064502" w:rsidRDefault="00064502" w:rsidP="0003549E">
                    <w:pPr>
                      <w:pStyle w:val="Titlu1"/>
                      <w:spacing w:after="240"/>
                      <w:jc w:val="center"/>
                      <w:rPr>
                        <w:rFonts w:ascii="Arial Narrow" w:hAnsi="Arial Narrow"/>
                        <w:sz w:val="22"/>
                        <w:szCs w:val="22"/>
                      </w:rPr>
                    </w:pPr>
                    <w:r w:rsidRPr="00BD72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0" o:spid="_x0000_i1026" type="#_x0000_t75" alt="Agraf - Logo" style="width:138.75pt;height:42.75pt;visibility:visible">
                          <v:imagedata r:id="rId68" o:title="Agraf - Logo"/>
                        </v:shape>
                      </w:pict>
                    </w:r>
                    <w:r w:rsidRPr="00132DC5">
                      <w:rPr>
                        <w:rFonts w:ascii="Arial Narrow" w:hAnsi="Arial Narrow"/>
                        <w:sz w:val="22"/>
                        <w:szCs w:val="22"/>
                      </w:rPr>
                      <w:t>Creată cu pasiune, în Tîrgu Mures, România</w:t>
                    </w:r>
                    <w:r>
                      <w:rPr>
                        <w:rFonts w:ascii="Arial Narrow" w:hAnsi="Arial Narrow"/>
                        <w:sz w:val="22"/>
                        <w:szCs w:val="22"/>
                      </w:rPr>
                      <w:t xml:space="preserve"> </w:t>
                    </w:r>
                    <w:r w:rsidRPr="00BD7229">
                      <w:rPr>
                        <w:rFonts w:ascii="Arial Narrow" w:hAnsi="Arial Narrow"/>
                        <w:noProof/>
                      </w:rPr>
                      <w:pict>
                        <v:shape id="Imagine 37" o:spid="_x0000_i1028" type="#_x0000_t75" alt="Creată cu pasiune, în Tîrgu Mures, România" style="width:67.5pt;height:50.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">
                          <v:imagedata r:id="rId69" o:title="" cropbottom="-130f" cropright="-145f"/>
                        </v:shape>
                      </w:pict>
                    </w:r>
                  </w:p>
                  <w:p w:rsidR="00064502" w:rsidRDefault="00064502" w:rsidP="0003549E">
                    <w:pPr>
                      <w:pStyle w:val="Titlu1"/>
                      <w:spacing w:after="240"/>
                      <w:rPr>
                        <w:rFonts w:ascii="Arial Narrow" w:hAnsi="Arial Narrow"/>
                        <w:b w:val="0"/>
                        <w:sz w:val="22"/>
                        <w:szCs w:val="22"/>
                      </w:rPr>
                    </w:pPr>
                    <w:r w:rsidRPr="00132DC5">
                      <w:rPr>
                        <w:rFonts w:ascii="Arial Narrow" w:hAnsi="Arial Narrow"/>
                        <w:b w:val="0"/>
                        <w:sz w:val="22"/>
                        <w:szCs w:val="22"/>
                      </w:rPr>
                      <w:t xml:space="preserve">Agraf este cea mai nouă aplicaţie de facturare online din România. </w:t>
                    </w:r>
                    <w:r>
                      <w:rPr>
                        <w:rFonts w:ascii="Arial Narrow" w:hAnsi="Arial Narrow"/>
                        <w:b w:val="0"/>
                        <w:sz w:val="22"/>
                        <w:szCs w:val="22"/>
                      </w:rPr>
                      <w:t>Se pot</w:t>
                    </w:r>
                    <w:r w:rsidRPr="00132DC5">
                      <w:rPr>
                        <w:rFonts w:ascii="Arial Narrow" w:hAnsi="Arial Narrow"/>
                        <w:b w:val="0"/>
                        <w:sz w:val="22"/>
                        <w:szCs w:val="22"/>
                      </w:rPr>
                      <w:t xml:space="preserve"> emite facturi</w:t>
                    </w:r>
                    <w:r>
                      <w:rPr>
                        <w:b w:val="0"/>
                      </w:rPr>
                      <w:t xml:space="preserve"> </w:t>
                    </w:r>
                    <w:r w:rsidRPr="00132DC5">
                      <w:rPr>
                        <w:rFonts w:ascii="Arial Narrow" w:hAnsi="Arial Narrow"/>
                        <w:b w:val="0"/>
                        <w:sz w:val="22"/>
                        <w:szCs w:val="22"/>
                      </w:rPr>
                      <w:t>online, gratis şi ra</w:t>
                    </w:r>
                    <w:r>
                      <w:rPr>
                        <w:rFonts w:ascii="Arial Narrow" w:hAnsi="Arial Narrow"/>
                        <w:b w:val="0"/>
                        <w:sz w:val="22"/>
                        <w:szCs w:val="22"/>
                      </w:rPr>
                      <w:t>pid, cu doar câteva click-uri. Clientul are</w:t>
                    </w:r>
                    <w:r w:rsidRPr="00132DC5">
                      <w:rPr>
                        <w:rFonts w:ascii="Arial Narrow" w:hAnsi="Arial Narrow"/>
                        <w:b w:val="0"/>
                        <w:sz w:val="22"/>
                        <w:szCs w:val="22"/>
                      </w:rPr>
                      <w:t xml:space="preserve"> toate</w:t>
                    </w:r>
                    <w:r>
                      <w:rPr>
                        <w:rFonts w:ascii="Arial Narrow" w:hAnsi="Arial Narrow"/>
                        <w:b w:val="0"/>
                        <w:sz w:val="22"/>
                        <w:szCs w:val="22"/>
                      </w:rPr>
                      <w:t xml:space="preserve"> </w:t>
                    </w:r>
                    <w:r w:rsidRPr="00132DC5">
                      <w:rPr>
                        <w:rFonts w:ascii="Arial Narrow" w:hAnsi="Arial Narrow"/>
                        <w:b w:val="0"/>
                        <w:sz w:val="22"/>
                        <w:szCs w:val="22"/>
                      </w:rPr>
                      <w:t>uneltele la îndemână pentru a factura serviciile</w:t>
                    </w:r>
                    <w:r>
                      <w:rPr>
                        <w:rFonts w:ascii="Arial Narrow" w:hAnsi="Arial Narrow"/>
                        <w:b w:val="0"/>
                        <w:sz w:val="22"/>
                        <w:szCs w:val="22"/>
                      </w:rPr>
                      <w:t xml:space="preserve"> </w:t>
                    </w:r>
                    <w:r w:rsidRPr="00132DC5">
                      <w:rPr>
                        <w:rFonts w:ascii="Arial Narrow" w:hAnsi="Arial Narrow"/>
                        <w:b w:val="0"/>
                        <w:sz w:val="22"/>
                        <w:szCs w:val="22"/>
                      </w:rPr>
                      <w:t>şi produsele, unite într-o aplicaţie ce este</w:t>
                    </w:r>
                    <w:r>
                      <w:rPr>
                        <w:b w:val="0"/>
                      </w:rPr>
                      <w:t xml:space="preserve"> </w:t>
                    </w:r>
                    <w:r w:rsidRPr="00132DC5">
                      <w:rPr>
                        <w:rFonts w:ascii="Arial Narrow" w:hAnsi="Arial Narrow"/>
                        <w:b w:val="0"/>
                        <w:sz w:val="22"/>
                        <w:szCs w:val="22"/>
                      </w:rPr>
                      <w:t>şi va fi gratuită întotdeauna.</w:t>
                    </w:r>
                  </w:p>
                  <w:p w:rsidR="00064502" w:rsidRPr="00132DC5" w:rsidRDefault="00064502" w:rsidP="0003549E">
                    <w:pPr>
                      <w:pStyle w:val="Titlu1"/>
                      <w:spacing w:after="240"/>
                      <w:rPr>
                        <w:rFonts w:ascii="Arial Narrow" w:hAnsi="Arial Narrow"/>
                        <w:b w:val="0"/>
                        <w:sz w:val="22"/>
                        <w:szCs w:val="22"/>
                      </w:rPr>
                    </w:pPr>
                    <w:hyperlink r:id="rId70" w:history="1">
                      <w:r w:rsidRPr="00C077C3">
                        <w:rPr>
                          <w:rStyle w:val="Hyperlink"/>
                          <w:rFonts w:ascii="Arial Narrow" w:hAnsi="Arial Narrow"/>
                          <w:b w:val="0"/>
                          <w:sz w:val="22"/>
                          <w:szCs w:val="22"/>
                        </w:rPr>
                        <w:t>http://www.romanianstartups.com/startup/agraf/</w:t>
                      </w:r>
                    </w:hyperlink>
                    <w:r>
                      <w:rPr>
                        <w:rFonts w:ascii="Arial Narrow" w:hAnsi="Arial Narrow"/>
                        <w:b w:val="0"/>
                        <w:sz w:val="22"/>
                        <w:szCs w:val="22"/>
                      </w:rPr>
                      <w:t xml:space="preserve"> </w:t>
                    </w:r>
                  </w:p>
                  <w:p w:rsidR="00064502" w:rsidRPr="00132DC5" w:rsidRDefault="00064502" w:rsidP="0003549E">
                    <w:pPr>
                      <w:rPr>
                        <w:rFonts w:ascii="Times New Roman" w:eastAsia="Times New Roman" w:hAnsi="Times New Roman"/>
                        <w:sz w:val="24"/>
                        <w:szCs w:val="24"/>
                        <w:lang w:eastAsia="ro-RO"/>
                      </w:rPr>
                    </w:pPr>
                    <w:r w:rsidRPr="00BD7229">
                      <w:rPr>
                        <w:rFonts w:ascii="Times New Roman" w:eastAsia="Times New Roman" w:hAnsi="Times New Roman"/>
                        <w:noProof/>
                        <w:sz w:val="24"/>
                        <w:szCs w:val="24"/>
                        <w:lang w:eastAsia="ro-RO"/>
                      </w:rPr>
                      <w:pict>
                        <v:shape id="Imagine 31" o:spid="_x0000_i1030" type="#_x0000_t75" alt="Creată cu pasiune, în Tîrgu Mures, România" style="width:33pt;height:24pt;visibility:visible">
                          <v:imagedata r:id="rId71" o:title="Creată cu pasiune, în Tîrgu Mures, România"/>
                        </v:shape>
                      </w:pict>
                    </w:r>
                  </w:p>
                  <w:p w:rsidR="00064502" w:rsidRDefault="00064502" w:rsidP="0003549E">
                    <w:pPr>
                      <w:pStyle w:val="Titlu1"/>
                      <w:spacing w:after="240"/>
                      <w:rPr>
                        <w:sz w:val="40"/>
                        <w:szCs w:val="40"/>
                      </w:rPr>
                    </w:pPr>
                  </w:p>
                  <w:p w:rsidR="00064502" w:rsidRDefault="00064502" w:rsidP="0003549E">
                    <w:pPr>
                      <w:pStyle w:val="Titlu1"/>
                      <w:spacing w:after="240"/>
                      <w:rPr>
                        <w:b w:val="0"/>
                        <w:sz w:val="40"/>
                        <w:szCs w:val="40"/>
                      </w:rPr>
                    </w:pPr>
                    <w:r>
                      <w:rPr>
                        <w:b w:val="0"/>
                        <w:sz w:val="40"/>
                        <w:szCs w:val="40"/>
                      </w:rPr>
                      <w:t>[Tastați titlul barei laterale]</w:t>
                    </w:r>
                  </w:p>
                  <w:p w:rsidR="00064502" w:rsidRPr="00577B90" w:rsidRDefault="00064502" w:rsidP="0003549E">
                    <w:pPr>
                      <w:spacing w:line="480" w:lineRule="auto"/>
                      <w:rPr>
                        <w:color w:val="1F497D"/>
                      </w:rPr>
                    </w:pPr>
                    <w:r w:rsidRPr="00577B90">
                      <w:rPr>
                        <w:color w:val="1F497D"/>
                      </w:rPr>
                      <w:t xml:space="preserve"> [Tastați conținutul barei laterale. O bară laterală este un supliment independent al documentului principal. Aceasta este adesea aliniată la stânga sau dreapta paginii sau amplasată în partea de sus sau de jos. Utilizați fila Instrumente de desen pentru a modifica formatarea casetei text a barei laterale.]</w:t>
                    </w:r>
                  </w:p>
                </w:txbxContent>
              </v:textbox>
            </v:rect>
            <v:rect id="Rectangle 45" o:spid="_x0000_s1064"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TssAA&#10;AADbAAAADwAAAGRycy9kb3ducmV2LnhtbESPzarCMBSE98J9h3AuuLPpLeJPNcpFFNxqFXR3aI5t&#10;sTkpTdT69kYQXA4z8w0zX3amFndqXWVZwV8UgyDOra64UHDINoMJCOeRNdaWScGTHCwXP705pto+&#10;eEf3vS9EgLBLUUHpfZNK6fKSDLrINsTBu9jWoA+yLaRu8RHgppZJHI+kwYrDQokNrUrKr/ubUcDx&#10;Oa+miS1OmdHHZH3ORkPOlOr/dv8zEJ46/w1/2lutIBnD+0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7TssAAAADbAAAADwAAAAAAAAAAAAAAAACYAgAAZHJzL2Rvd25y&#10;ZXYueG1sUEsFBgAAAAAEAAQA9QAAAIUDAAAAAA==&#10;" fillcolor="#1f497d" stroked="f" strokeweight="2pt">
              <v:textbox inset="14.4pt,14.4pt,14.4pt,28.8pt">
                <w:txbxContent>
                  <w:p w:rsidR="00064502" w:rsidRPr="00577B90" w:rsidRDefault="00064502" w:rsidP="0003549E">
                    <w:pPr>
                      <w:spacing w:before="240"/>
                      <w:rPr>
                        <w:color w:val="FFFFFF"/>
                      </w:rPr>
                    </w:pPr>
                  </w:p>
                </w:txbxContent>
              </v:textbox>
            </v:rect>
            <v:rect id="Rectangle 46" o:spid="_x0000_s1065"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b4cUA&#10;AADbAAAADwAAAGRycy9kb3ducmV2LnhtbESPT2vCQBTE7wW/w/KEXkQ3Si0a3Yj0D5SebBTPj+wz&#10;Ccm+TXfXmH77bkHocZiZ3zDb3WBa0ZPztWUF81kCgriwuuZSwen4Pl2B8AFZY2uZFPyQh102ethi&#10;qu2Nv6jPQykihH2KCqoQulRKX1Rk0M9sRxy9i3UGQ5SulNrhLcJNKxdJ8iwN1hwXKuzopaKiya9G&#10;wZN0+fVcL/vJMT9MPl/tqfx+a5R6HA/7DYhAQ/gP39sfWsFiDX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vhxQAAANsAAAAPAAAAAAAAAAAAAAAAAJgCAABkcnMv&#10;ZG93bnJldi54bWxQSwUGAAAAAAQABAD1AAAAigMAAAAA&#10;" fillcolor="#4f81bd" stroked="f" strokeweight="2pt">
              <v:textbox inset="14.4pt,14.4pt,14.4pt,28.8pt">
                <w:txbxContent>
                  <w:p w:rsidR="00064502" w:rsidRPr="00577B90" w:rsidRDefault="00064502" w:rsidP="0003549E">
                    <w:pPr>
                      <w:spacing w:before="240"/>
                      <w:rPr>
                        <w:color w:val="FFFFFF"/>
                      </w:rPr>
                    </w:pPr>
                  </w:p>
                </w:txbxContent>
              </v:textbox>
            </v:rect>
            <w10:wrap type="square" anchorx="page" anchory="page"/>
          </v:group>
        </w:pict>
      </w:r>
      <w:r w:rsidR="0003549E" w:rsidRPr="001C2B18">
        <w:rPr>
          <w:rFonts w:ascii="Arial Narrow" w:hAnsi="Arial Narrow"/>
        </w:rPr>
        <w:t xml:space="preserve">In fata noilor provocari asociate progresului economic, exprimat mai ales prin cresterea economica, creativitatea este unul din cele mai cautate active. Se considera ca, mai ales prin creativitate, limitele de crestere ale modelelor economice clasice bazate pe resurse fizice pot fi depasite, masificarea productiei poate fi transformata intr-o „customizare” aproape nelimitata, economiile dezvoltate pot crea plus valoare suplimentara iar economiile emergente pot arde etape in parcursul lor spre statutul de economie dezvoltata.  Aceasta noua paradigma este masiv influentata de democratizarea noilor tehnologii, mai ales a dezvoltarii explozive a Internetului din ultimii 20 de ani concomitent cu digitalizarea, ceea ce alimenteaza cresterea de consum de continut, consum ce trebuie sustinut... Cercul virtuos in care industriile creative si culturale se alimenteaza reciproc cu industria IT este evidentiat si de Ernst and Young in studiul </w:t>
      </w:r>
      <w:r w:rsidR="0003549E" w:rsidRPr="001C2B18">
        <w:rPr>
          <w:rFonts w:ascii="Arial Narrow" w:hAnsi="Arial Narrow"/>
          <w:i/>
        </w:rPr>
        <w:t>„Cultural times. The first global map of cultural and creative industries”</w:t>
      </w:r>
      <w:r w:rsidR="0003549E" w:rsidRPr="001C2B18">
        <w:rPr>
          <w:rStyle w:val="Referinnotdesubsol"/>
          <w:rFonts w:ascii="Arial Narrow" w:hAnsi="Arial Narrow"/>
        </w:rPr>
        <w:footnoteReference w:id="94"/>
      </w:r>
      <w:r w:rsidR="0003549E" w:rsidRPr="001C2B18">
        <w:rPr>
          <w:rFonts w:ascii="Arial Narrow" w:hAnsi="Arial Narrow"/>
        </w:rPr>
        <w:t xml:space="preserve">. Conform acestui studiu continutul cultural si creativ are capacitatea de a genera cerere pentru dispozitivele electronice si digitale, atat timp cat asteptarile individuale se indreapta, in crestere, spre accesarea de continut cultural prin orice canal de distributie accesibil intr-un mod descris ca „oricand, oriunde si pe orice dispozitiv”, ceea ce alimenteaza apetitul pentru dispozitive mai evoluate si latime de banda mai mare. </w:t>
      </w:r>
      <w:r w:rsidR="0003549E" w:rsidRPr="001C2B18">
        <w:rPr>
          <w:rFonts w:ascii="Arial Narrow" w:hAnsi="Arial Narrow"/>
          <w:i/>
        </w:rPr>
        <w:t>„Vanzarile de electronice si cheltuielile de comunicatii se bazeaza in mod fundamental pe cererea de bunuri si continut cultural. Noile forme de continut cultural, dezvoltate pentru platforme digitale, s-au dezvoltat avand ca efect cresterea creativitatii si inovarii im mediul online. De asemenea, continutul, bunurile si serviciile culturale au un impact direct asupra vanzarilor de dispozitive electronice utilizate pentru consum (tablete, e-reader-ere, televizoare, DVD playere), vanzari care au ajuns la 532 mld. USD in 2013”</w:t>
      </w:r>
      <w:r w:rsidR="0003549E" w:rsidRPr="001C2B18">
        <w:rPr>
          <w:rStyle w:val="Referinnotdesubsol"/>
          <w:rFonts w:ascii="Arial Narrow" w:hAnsi="Arial Narrow"/>
          <w:i/>
        </w:rPr>
        <w:footnoteReference w:id="95"/>
      </w:r>
      <w:r w:rsidR="0003549E" w:rsidRPr="001C2B18">
        <w:rPr>
          <w:rFonts w:ascii="Arial Narrow" w:hAnsi="Arial Narrow"/>
          <w:i/>
        </w:rPr>
        <w:t>.</w:t>
      </w:r>
      <w:r w:rsidR="0003549E" w:rsidRPr="001C2B18">
        <w:rPr>
          <w:rFonts w:ascii="Arial Narrow" w:hAnsi="Arial Narrow"/>
        </w:rPr>
        <w:t xml:space="preserve"> Impactul consumului de continut se regaseste atat in vanzarile dispozitivelor dedicate cat si a celor multifunctionale, precum tablete sau smartphones si reprezinta, de asemenea, principalul factor de crestere a cererii pentru servicii de telecomunicatii in banda larga (4G, 5G, fibra optica). </w:t>
      </w:r>
      <w:r w:rsidR="0003549E" w:rsidRPr="001C2B18">
        <w:rPr>
          <w:rFonts w:ascii="Arial Narrow" w:hAnsi="Arial Narrow"/>
          <w:i/>
        </w:rPr>
        <w:t>„Similar, disponibilitatea dispozitivelor electronice impinge cererea pentru innoirea continutului cultural, permitand dezvoltarea pe mai departe a continutului (filme, jocuri etc)”</w:t>
      </w:r>
      <w:r w:rsidR="0003549E" w:rsidRPr="001C2B18">
        <w:rPr>
          <w:rStyle w:val="Referinnotdesubsol"/>
          <w:rFonts w:ascii="Arial Narrow" w:hAnsi="Arial Narrow"/>
          <w:i/>
        </w:rPr>
        <w:footnoteReference w:id="96"/>
      </w:r>
    </w:p>
    <w:p w:rsidR="0003549E" w:rsidRPr="001C2B18" w:rsidRDefault="0003549E" w:rsidP="0003549E">
      <w:pPr>
        <w:rPr>
          <w:rFonts w:ascii="Arial Narrow" w:hAnsi="Arial Narrow"/>
        </w:rPr>
      </w:pPr>
      <w:r w:rsidRPr="001C2B18">
        <w:rPr>
          <w:rFonts w:ascii="Arial Narrow" w:hAnsi="Arial Narrow"/>
        </w:rPr>
        <w:t xml:space="preserve">Angajarea masiva a creativitatii in produse destinate consumului de masa, industrial, tehnologic sau cultural, nu este noua. Elementul de noutate apare la confluenta dintre noile tehnologii cu creativitatea. Noile tehnologii, mai ales IT si digitalizarea, au deschis noi cai de comunicare intre creatorii de continut creativ si consumatori, pe de o parte, si intre creatori si detinatorii de capital, pe de alta parte, ceea ce a avut ca efect extinderea masiva a pietei si angajarea de noi energii in actul creativ. Modelele clasice de consum au fost alterate, ceea ce a avut ca efect </w:t>
      </w:r>
      <w:r w:rsidRPr="001C2B18">
        <w:rPr>
          <w:rFonts w:ascii="Arial Narrow" w:hAnsi="Arial Narrow"/>
        </w:rPr>
        <w:lastRenderedPageBreak/>
        <w:t xml:space="preserve">alterarea modelelor clasice de business, un exemplu fiind industria muzicala, care inca nu a reusit sa se stabilizeze complet pe noile modele. iTunes sau Spotify au reusit oarecum sa se aseze intre detinatorul de drepturi comerciale si consumator pentru a asigura recompensarea creativitatii celui dintai insa industria muzicala pierde in continuare sume masive de bani prin noile forme de piraterie, respectiv site-urile de file sharing. Conform studiului realizat de Ernst and Young, industriile culturale si creative au generat, in 2013, venituri de 2250 miliarde de USD la nivel global, fiind implicate peste 29 milioane de persoane. Sectoarele luate in considerare sunt televiziunea, artele vizuale, ziare si reviste, publicitatea, activitatile de arhitectura, editarea cartilor, artele performative, gaming-ul, productia de filme, industria muzicala si radio. Delimitarea sectoriala utilizata este consistenta cu definitia UNESCO a industriei creative si culturale (de altfel, citata in studiu), conform cu care acestea sunt activitatile al caror principal scop este producerea sau reproducerea, distributia sau comercializarea de bunuri, servicii si activitati de natura culturala, artistica sau in legatura cu patrimoniul. </w:t>
      </w:r>
    </w:p>
    <w:p w:rsidR="0003549E" w:rsidRPr="001C2B18" w:rsidRDefault="00BD7229" w:rsidP="0003549E">
      <w:pPr>
        <w:rPr>
          <w:rFonts w:ascii="Arial Narrow" w:hAnsi="Arial Narrow"/>
        </w:rPr>
      </w:pPr>
      <w:r w:rsidRPr="00BD7229">
        <w:rPr>
          <w:noProof/>
        </w:rPr>
        <w:pict>
          <v:group id="_x0000_s1066" style="position:absolute;margin-left:333pt;margin-top:117pt;width:189.15pt;height:264.9pt;z-index:251697152;mso-width-percent:320;mso-position-horizontal-relative:page;mso-position-vertical-relative:page;mso-width-percent:320" coordsize="2475865,942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">
            <v:rect id="AutoShape 14" o:spid="_x0000_s1067" style="position:absolute;width:2475865;height:9127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dZMUA&#10;AADbAAAADwAAAGRycy9kb3ducmV2LnhtbESPQWvCQBSE70L/w/KEXqRubIpI6iqiFcR4UNtDj6/Z&#10;ZxKafRt2txr/vSsUPA4z8w0znXemEWdyvrasYDRMQBAXVtdcKvj6XL9MQPiArLGxTAqu5GE+e+pN&#10;MdP2wgc6H0MpIoR9hgqqENpMSl9UZNAPbUscvZN1BkOUrpTa4SXCTSNfk2QsDdYcFypsaVlR8Xv8&#10;Mwre9u3Hz+B7y/lqly5lnuflauCUeu53i3cQgbrwCP+3N1pBmsL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B1kxQAAANsAAAAPAAAAAAAAAAAAAAAAAJgCAABkcnMv&#10;ZG93bnJldi54bWxQSwUGAAAAAAQABAD1AAAAigMAAAAA&#10;" strokecolor="#948a54" strokeweight="1.25pt">
              <v:textbox inset="14.4pt,36pt,14.4pt,5.76pt">
                <w:txbxContent>
                  <w:p w:rsidR="00064502" w:rsidRDefault="00064502" w:rsidP="0003549E">
                    <w:pPr>
                      <w:pStyle w:val="Titlu1"/>
                      <w:spacing w:after="240"/>
                      <w:rPr>
                        <w:rFonts w:ascii="Arial Narrow" w:hAnsi="Arial Narrow"/>
                        <w:b w:val="0"/>
                        <w:sz w:val="22"/>
                        <w:szCs w:val="22"/>
                      </w:rPr>
                    </w:pPr>
                    <w:r w:rsidRPr="00BD7229">
                      <w:rPr>
                        <w:noProof/>
                      </w:rPr>
                      <w:pict>
                        <v:shape id="Imagine 38" o:spid="_x0000_i1032" type="#_x0000_t75" alt="http://www.eventya.net/wp-content/themes/eventya/images/layout/main-logo.png" style="width:159pt;height:72.75pt;visibility:visible">
                          <v:imagedata r:id="rId72" o:title="main-logo"/>
                        </v:shape>
                      </w:pict>
                    </w:r>
                    <w:r>
                      <w:rPr>
                        <w:rFonts w:ascii="Arial Narrow" w:hAnsi="Arial Narrow"/>
                        <w:b w:val="0"/>
                        <w:sz w:val="22"/>
                        <w:szCs w:val="22"/>
                      </w:rPr>
                      <w:t>Este un set de instrumente in cloud destinat crearii si publicarii de evenimente</w:t>
                    </w:r>
                    <w:r w:rsidRPr="00132DC5">
                      <w:rPr>
                        <w:rFonts w:ascii="Arial Narrow" w:hAnsi="Arial Narrow"/>
                        <w:b w:val="0"/>
                        <w:sz w:val="22"/>
                        <w:szCs w:val="22"/>
                      </w:rPr>
                      <w:t>.</w:t>
                    </w:r>
                  </w:p>
                  <w:p w:rsidR="00064502" w:rsidRDefault="00064502" w:rsidP="0003549E">
                    <w:pPr>
                      <w:rPr>
                        <w:rFonts w:ascii="Arial Narrow" w:eastAsia="Times New Roman" w:hAnsi="Arial Narrow"/>
                        <w:lang w:eastAsia="ro-RO"/>
                      </w:rPr>
                    </w:pPr>
                    <w:hyperlink r:id="rId73" w:history="1">
                      <w:r w:rsidRPr="00C077C3">
                        <w:rPr>
                          <w:rStyle w:val="Hyperlink"/>
                          <w:rFonts w:ascii="Arial Narrow" w:eastAsia="Times New Roman" w:hAnsi="Arial Narrow"/>
                          <w:lang w:eastAsia="ro-RO"/>
                        </w:rPr>
                        <w:t>http://www.romanianstartups.com/startup/eventya/</w:t>
                      </w:r>
                    </w:hyperlink>
                    <w:r>
                      <w:rPr>
                        <w:rFonts w:ascii="Arial Narrow" w:eastAsia="Times New Roman" w:hAnsi="Arial Narrow"/>
                        <w:lang w:eastAsia="ro-RO"/>
                      </w:rPr>
                      <w:t xml:space="preserve"> </w:t>
                    </w:r>
                  </w:p>
                  <w:p w:rsidR="00064502" w:rsidRDefault="00064502" w:rsidP="0003549E">
                    <w:pPr>
                      <w:rPr>
                        <w:rFonts w:ascii="Arial Narrow" w:eastAsia="Times New Roman" w:hAnsi="Arial Narrow"/>
                        <w:lang w:eastAsia="ro-RO"/>
                      </w:rPr>
                    </w:pPr>
                  </w:p>
                  <w:p w:rsidR="00064502" w:rsidRPr="007B2F03" w:rsidRDefault="00064502" w:rsidP="0003549E">
                    <w:pPr>
                      <w:rPr>
                        <w:rFonts w:ascii="Arial Narrow" w:eastAsia="Times New Roman" w:hAnsi="Arial Narrow"/>
                        <w:lang w:eastAsia="ro-RO"/>
                      </w:rPr>
                    </w:pPr>
                    <w:r>
                      <w:rPr>
                        <w:rFonts w:ascii="Arial Narrow" w:eastAsia="Times New Roman" w:hAnsi="Arial Narrow"/>
                        <w:lang w:eastAsia="ro-RO"/>
                      </w:rPr>
                      <w:t>Aplicatia este dezvoltata de o echipa din Sibiu, este in faza beta si a primit deja mai multe finantari care sa ii permita sa mearga mai departe.</w:t>
                    </w:r>
                  </w:p>
                </w:txbxContent>
              </v:textbox>
            </v:rect>
            <v:rect id="Rectangle 45" o:spid="_x0000_s1068"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bGMEA&#10;AADbAAAADwAAAGRycy9kb3ducmV2LnhtbESPQYvCMBSE78L+h/AWvNl0q8haTcuyKHjVuqC3R/Ns&#10;yzYvpYla/70RBI/DzHzDrPLBtOJKvWssK/iKYhDEpdUNVwoOxWbyDcJ5ZI2tZVJwJwd59jFaYart&#10;jXd03ftKBAi7FBXU3neplK6syaCLbEccvLPtDfog+0rqHm8BblqZxPFcGmw4LNTY0W9N5f/+YhRw&#10;fCqbRWKrY2H0X7I+FfMZF0qNP4efJQhPg3+HX+2tVjCdwfN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2xjBAAAA2wAAAA8AAAAAAAAAAAAAAAAAmAIAAGRycy9kb3du&#10;cmV2LnhtbFBLBQYAAAAABAAEAPUAAACGAwAAAAA=&#10;" fillcolor="#1f497d" stroked="f" strokeweight="2pt">
              <v:textbox inset="14.4pt,14.4pt,14.4pt,28.8pt">
                <w:txbxContent>
                  <w:p w:rsidR="00064502" w:rsidRPr="00577B90" w:rsidRDefault="00064502" w:rsidP="0003549E">
                    <w:pPr>
                      <w:spacing w:before="240"/>
                      <w:rPr>
                        <w:color w:val="FFFFFF"/>
                      </w:rPr>
                    </w:pPr>
                  </w:p>
                </w:txbxContent>
              </v:textbox>
            </v:rect>
            <v:rect id="Rectangle 46" o:spid="_x0000_s1069"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OcQA&#10;AADbAAAADwAAAGRycy9kb3ducmV2LnhtbESPT2vCQBTE7wW/w/IEL1I3tSoldRXxD0hPGqXnR/aZ&#10;BLNv0901pt/eLQg9DjPzG2a+7EwtWnK+sqzgbZSAIM6trrhQcD7tXj9A+ICssbZMCn7Jw3LRe5lj&#10;qu2dj9RmoRARwj5FBWUITSqlz0sy6Ee2IY7exTqDIUpXSO3wHuGmluMkmUmDFceFEhtal5Rfs5tR&#10;MJEuu31X03Z4yg7Dr409Fz/bq1KDfrf6BBGoC//hZ3uvFbxP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hznEAAAA2wAAAA8AAAAAAAAAAAAAAAAAmAIAAGRycy9k&#10;b3ducmV2LnhtbFBLBQYAAAAABAAEAPUAAACJAwAAAAA=&#10;" fillcolor="#4f81bd" stroked="f" strokeweight="2pt">
              <v:textbox inset="14.4pt,14.4pt,14.4pt,28.8pt">
                <w:txbxContent>
                  <w:p w:rsidR="00064502" w:rsidRPr="00577B90" w:rsidRDefault="00064502" w:rsidP="0003549E">
                    <w:pPr>
                      <w:spacing w:before="240"/>
                      <w:rPr>
                        <w:color w:val="FFFFFF"/>
                      </w:rPr>
                    </w:pPr>
                  </w:p>
                </w:txbxContent>
              </v:textbox>
            </v:rect>
            <w10:wrap type="square" anchorx="page" anchory="page"/>
          </v:group>
        </w:pict>
      </w:r>
      <w:r w:rsidR="0003549E" w:rsidRPr="001C2B18">
        <w:rPr>
          <w:rFonts w:ascii="Arial Narrow" w:hAnsi="Arial Narrow"/>
        </w:rPr>
        <w:t xml:space="preserve">Pe de alta parte, definitia data de Comisia Europeana este oarecum diferita, avand in vedere faptul ca in forma consacrată la nivelul Uniunii Europene, în Programul cadru pentru Europa Creativă (Creative Europe) (EC 2011), sectoarele culturale și creative (SCC) sunt definite prin acele activități care au la bază </w:t>
      </w:r>
      <w:r w:rsidR="0003549E" w:rsidRPr="005F5D6C">
        <w:rPr>
          <w:rFonts w:ascii="Arial Narrow" w:hAnsi="Arial Narrow"/>
          <w:i/>
        </w:rPr>
        <w:t>”valori culturale și/sau expresii artistice și creative, indiferent dacă aceste activități au o orientare comercială sau nu și indiferent de modalitățile de desfășurare”</w:t>
      </w:r>
      <w:r w:rsidR="0003549E" w:rsidRPr="001C2B18">
        <w:rPr>
          <w:rFonts w:ascii="Arial Narrow" w:hAnsi="Arial Narrow"/>
        </w:rPr>
        <w:t>.  De mentionat este faptul ca Statele Membre au pornit de la aceasta definitie cand au formulat Concluziile Consiliului European privind interacțiunile culturale și creative pentru stimularea inovării, a sustenabilității economice și a incluziunii sociale (2015/C 172</w:t>
      </w:r>
      <w:r w:rsidR="0003549E">
        <w:rPr>
          <w:rFonts w:ascii="Arial Narrow" w:hAnsi="Arial Narrow"/>
        </w:rPr>
        <w:t>/04).</w:t>
      </w:r>
      <w:r w:rsidR="0003549E" w:rsidRPr="001C2B18">
        <w:rPr>
          <w:rStyle w:val="Referinnotdesubsol"/>
          <w:rFonts w:ascii="Arial Narrow" w:hAnsi="Arial Narrow"/>
        </w:rPr>
        <w:footnoteReference w:id="97"/>
      </w:r>
      <w:r w:rsidR="0003549E" w:rsidRPr="001C2B18">
        <w:rPr>
          <w:rFonts w:ascii="Arial Narrow" w:hAnsi="Arial Narrow"/>
        </w:rPr>
        <w:t xml:space="preserve"> Conform acestui document, </w:t>
      </w:r>
      <w:r w:rsidR="0003549E" w:rsidRPr="001C2B18">
        <w:rPr>
          <w:rFonts w:ascii="Arial Narrow" w:hAnsi="Arial Narrow"/>
          <w:i/>
        </w:rPr>
        <w:t>„sectoarele culturale și creative sunt o sursă de valoare atât culturală, cât și economică. În ultimii ani, s-au făcut eforturi considerabile pentru a stabili sectoarele culturale și creative ca parte integrantă a societății și economiei europene și ca sursă de creștere, locuri de muncă și prosperitate. Cu toate acestea, contribuția mai largă a acestora nu a fost încă recunoscută pe deplin, în special în ceea ce privește potențialul culturii și al creativității artistice de a stimula inovarea în alte sectoare ale economiei, în societate în ansamblul său, precum și pentru bunăstarea persoanelor. Interacțiunile dintre sectoarele culturale și creative și alte sectoare pot fi înțelese ca un proces de îmbinare a cunoștințelor și a competențelor specifice sectoarelor culturale și creative cu cele ale altor sectoare cu scopul de a genera soluții inovatoare și inteligente pentru provocările actuale ale societății. Interacțiunile culturale și creative pot fi reciproc benefice pentru toate sectoarele implicate, în cazul în care sectoarele participă pe picior de egalitate”</w:t>
      </w:r>
      <w:r w:rsidR="0003549E" w:rsidRPr="001C2B18">
        <w:rPr>
          <w:rFonts w:ascii="Arial Narrow" w:hAnsi="Arial Narrow"/>
        </w:rPr>
        <w:t>. Ca atare, Consiliul European invita Statele membre si Comisia Europeana, în limita sferelor de competență ale acestora și ținând seama în mod corespunzător de principiul subsidiarității, sa realizeze urmatoarele actiuni, intre altele:</w:t>
      </w:r>
    </w:p>
    <w:p w:rsidR="0003549E" w:rsidRPr="001C2B18" w:rsidRDefault="0003549E" w:rsidP="00981E9F">
      <w:pPr>
        <w:pStyle w:val="Listparagraf"/>
        <w:numPr>
          <w:ilvl w:val="0"/>
          <w:numId w:val="60"/>
        </w:numPr>
        <w:spacing w:after="0" w:line="240" w:lineRule="auto"/>
        <w:jc w:val="both"/>
        <w:rPr>
          <w:rFonts w:ascii="Arial Narrow" w:hAnsi="Arial Narrow"/>
        </w:rPr>
      </w:pPr>
      <w:r w:rsidRPr="001C2B18">
        <w:rPr>
          <w:rFonts w:ascii="Arial Narrow" w:hAnsi="Arial Narrow"/>
        </w:rPr>
        <w:t>să promoveze ecosistemele creative și mediile multidisciplinare pentru sectoarele culturale și creative prin intermediul unor structuri precum centrele de inovare și de afaceri, acceleratoarele de start-up-uri, incubatoarele de afaceri, centrele creative, spațiile de lucru în comun și programele de colaborare în rețea; (pct. 14)</w:t>
      </w:r>
    </w:p>
    <w:p w:rsidR="0003549E" w:rsidRPr="001C2B18" w:rsidRDefault="0003549E" w:rsidP="00981E9F">
      <w:pPr>
        <w:pStyle w:val="Listparagraf"/>
        <w:numPr>
          <w:ilvl w:val="0"/>
          <w:numId w:val="60"/>
        </w:numPr>
        <w:spacing w:after="0" w:line="240" w:lineRule="auto"/>
        <w:jc w:val="both"/>
        <w:rPr>
          <w:rFonts w:ascii="Arial Narrow" w:hAnsi="Arial Narrow"/>
        </w:rPr>
      </w:pPr>
      <w:r w:rsidRPr="001C2B18">
        <w:rPr>
          <w:rFonts w:ascii="Arial Narrow" w:hAnsi="Arial Narrow"/>
        </w:rPr>
        <w:t>să promoveze clusterele și rețelele culturale și creative intersectoriale la nivel național, european și internațional cu scopul de a stimula exporturile culturale și creative și de a îmbunătăți accesul la noi piețe; (pct. 15)</w:t>
      </w:r>
    </w:p>
    <w:p w:rsidR="0003549E" w:rsidRPr="001C2B18" w:rsidRDefault="0003549E" w:rsidP="00981E9F">
      <w:pPr>
        <w:pStyle w:val="Listparagraf"/>
        <w:numPr>
          <w:ilvl w:val="0"/>
          <w:numId w:val="60"/>
        </w:numPr>
        <w:spacing w:after="0" w:line="240" w:lineRule="auto"/>
        <w:jc w:val="both"/>
        <w:rPr>
          <w:rFonts w:ascii="Arial Narrow" w:hAnsi="Arial Narrow"/>
        </w:rPr>
      </w:pPr>
      <w:r w:rsidRPr="001C2B18">
        <w:rPr>
          <w:rFonts w:ascii="Arial Narrow" w:hAnsi="Arial Narrow"/>
        </w:rPr>
        <w:lastRenderedPageBreak/>
        <w:t>să încurajeze sectoarele culturale și creative să profite de oportunitățile viitoarei piețe unice digitale (pct. 17)</w:t>
      </w:r>
    </w:p>
    <w:p w:rsidR="0003549E" w:rsidRPr="001C2B18" w:rsidRDefault="0003549E" w:rsidP="00981E9F">
      <w:pPr>
        <w:pStyle w:val="Listparagraf"/>
        <w:numPr>
          <w:ilvl w:val="0"/>
          <w:numId w:val="60"/>
        </w:numPr>
        <w:spacing w:after="0" w:line="240" w:lineRule="auto"/>
        <w:jc w:val="both"/>
        <w:rPr>
          <w:rFonts w:ascii="Arial Narrow" w:hAnsi="Arial Narrow"/>
        </w:rPr>
      </w:pPr>
      <w:r w:rsidRPr="001C2B18">
        <w:rPr>
          <w:rFonts w:ascii="Arial Narrow" w:hAnsi="Arial Narrow"/>
        </w:rPr>
        <w:t>să încurajeze interacțiunile culturale și creative la nivel local și regional, dacă este posibil pe baza inițiativelor existente, în strânsă cooperare cu operatori locali, cu ONG-uri, precum și cu organizații și întreprinderi. Crearea de clustere multidisciplinare cu implicarea activă a autorităților locale și regionale ar putea, de asemenea, să fie luată în considerare; (pct. 18)</w:t>
      </w:r>
    </w:p>
    <w:p w:rsidR="0003549E" w:rsidRPr="001C2B18" w:rsidRDefault="0003549E" w:rsidP="00981E9F">
      <w:pPr>
        <w:pStyle w:val="Listparagraf"/>
        <w:numPr>
          <w:ilvl w:val="0"/>
          <w:numId w:val="60"/>
        </w:numPr>
        <w:spacing w:after="0" w:line="240" w:lineRule="auto"/>
        <w:jc w:val="both"/>
        <w:rPr>
          <w:rFonts w:ascii="Arial Narrow" w:hAnsi="Arial Narrow"/>
        </w:rPr>
      </w:pPr>
      <w:r w:rsidRPr="001C2B18">
        <w:rPr>
          <w:rFonts w:ascii="Arial Narrow" w:hAnsi="Arial Narrow"/>
        </w:rPr>
        <w:t>să promoveze condiții favorabile pentru sectoarele culturale și creative pentru ca acestea să își dezvolte în continuare potențialul în contextul parteneriatelor intersectoriale, inclusiv luând în considerare recomandările Alianței europene a industriilor creative, prin măsuri corespunzătoare, incluzând: instrumentele financiare inovatoare, adaptate la nevoile și caracteristicile specifice ale sectoarelor, precum sistemele de cupoane pentru inovarea creativă, fondurile de tip „seed”, finanțarea participativă, mecanismele de garantare a împrumuturilor, fondurile cu capital de risc (cum ar fi investitorii providențiali și capitalul de risc) și contribuțiile rambursabile, în vederea diversificării sprijinului financiar pentru sectoarele culturale și creative (Proiectele-pilot care favorizează experimentarea și asumarea de riscuri ca modalități de a încuraja inovarea ar putea fi, de asemenea, luate în considerare); platformele de schimb și formarea pentru investitori în vederea sensibilizării acestora cu privire la potențialul sectoarelor culturale și creative și pentru specialiștii care lucrează în aceste sectoare în vederea dezvoltării competențelor lor manageriale și de afaceri; (pct. 21)</w:t>
      </w:r>
    </w:p>
    <w:p w:rsidR="0003549E" w:rsidRDefault="0003549E" w:rsidP="0003549E">
      <w:pPr>
        <w:rPr>
          <w:rFonts w:ascii="Arial Narrow" w:hAnsi="Arial Narrow"/>
        </w:rPr>
      </w:pPr>
    </w:p>
    <w:p w:rsidR="0003549E" w:rsidRPr="001C2B18" w:rsidRDefault="0003549E" w:rsidP="0003549E">
      <w:pPr>
        <w:rPr>
          <w:rFonts w:ascii="Arial Narrow" w:hAnsi="Arial Narrow"/>
        </w:rPr>
      </w:pPr>
      <w:r w:rsidRPr="001C2B18">
        <w:rPr>
          <w:rFonts w:ascii="Arial Narrow" w:hAnsi="Arial Narrow"/>
        </w:rPr>
        <w:t xml:space="preserve">Documentul fixeaza anul 2018 ca an de bilant in care vor fi evaluate progresele inregistrate de statele membre și de Comisie în acțiunile întreprinse pe baza concluziilor intalnirii Consiliului. </w:t>
      </w:r>
    </w:p>
    <w:p w:rsidR="0003549E" w:rsidRPr="001C2B18" w:rsidRDefault="0003549E" w:rsidP="0003549E">
      <w:pPr>
        <w:rPr>
          <w:rFonts w:ascii="Arial Narrow" w:hAnsi="Arial Narrow"/>
        </w:rPr>
      </w:pPr>
      <w:r>
        <w:rPr>
          <w:noProof/>
        </w:rPr>
        <w:drawing>
          <wp:anchor distT="0" distB="0" distL="114300" distR="114300" simplePos="0" relativeHeight="251698176" behindDoc="0" locked="0" layoutInCell="0" allowOverlap="1">
            <wp:simplePos x="0" y="0"/>
            <wp:positionH relativeFrom="column">
              <wp:posOffset>-118745</wp:posOffset>
            </wp:positionH>
            <wp:positionV relativeFrom="paragraph">
              <wp:posOffset>1332230</wp:posOffset>
            </wp:positionV>
            <wp:extent cx="5610225" cy="2371725"/>
            <wp:effectExtent l="19050" t="0" r="9525" b="0"/>
            <wp:wrapSquare wrapText="bothSides"/>
            <wp:docPr id="53"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9"/>
                    <pic:cNvPicPr>
                      <a:picLocks noChangeAspect="1" noChangeArrowheads="1"/>
                    </pic:cNvPicPr>
                  </pic:nvPicPr>
                  <pic:blipFill>
                    <a:blip r:embed="rId74"/>
                    <a:srcRect t="8089" r="2565" b="18529"/>
                    <a:stretch>
                      <a:fillRect/>
                    </a:stretch>
                  </pic:blipFill>
                  <pic:spPr bwMode="auto">
                    <a:xfrm>
                      <a:off x="0" y="0"/>
                      <a:ext cx="5610225" cy="2371725"/>
                    </a:xfrm>
                    <a:prstGeom prst="rect">
                      <a:avLst/>
                    </a:prstGeom>
                    <a:noFill/>
                    <a:ln w="9525">
                      <a:noFill/>
                      <a:miter lim="800000"/>
                      <a:headEnd/>
                      <a:tailEnd/>
                    </a:ln>
                  </pic:spPr>
                </pic:pic>
              </a:graphicData>
            </a:graphic>
          </wp:anchor>
        </w:drawing>
      </w:r>
      <w:r w:rsidRPr="001C2B18">
        <w:rPr>
          <w:rFonts w:ascii="Arial Narrow" w:hAnsi="Arial Narrow"/>
        </w:rPr>
        <w:t xml:space="preserve">Aceasta abordare a Consiliului European, chiar cu invocarea principiului subsidiaritatii, transeaza, intr-o oarecare masura, locul pe care ar trebui sa il ocupe in orice strategie cu impact pe dezvoltare, sectorul industriilor creative. Dincolo de identificarea masei critice pe un teritoriu dat, sau de </w:t>
      </w:r>
      <w:r>
        <w:rPr>
          <w:rFonts w:ascii="Arial Narrow" w:hAnsi="Arial Narrow"/>
        </w:rPr>
        <w:t xml:space="preserve">dovedirea </w:t>
      </w:r>
      <w:r w:rsidRPr="001C2B18">
        <w:rPr>
          <w:rFonts w:ascii="Arial Narrow" w:hAnsi="Arial Narrow"/>
        </w:rPr>
        <w:t>existent</w:t>
      </w:r>
      <w:r>
        <w:rPr>
          <w:rFonts w:ascii="Arial Narrow" w:hAnsi="Arial Narrow"/>
        </w:rPr>
        <w:t>ei</w:t>
      </w:r>
      <w:r w:rsidRPr="001C2B18">
        <w:rPr>
          <w:rFonts w:ascii="Arial Narrow" w:hAnsi="Arial Narrow"/>
        </w:rPr>
        <w:t xml:space="preserve"> lantului valori</w:t>
      </w:r>
      <w:r>
        <w:rPr>
          <w:rFonts w:ascii="Arial Narrow" w:hAnsi="Arial Narrow"/>
        </w:rPr>
        <w:t xml:space="preserve">c complet, industriile creative, prin </w:t>
      </w:r>
      <w:r w:rsidRPr="001C2B18">
        <w:rPr>
          <w:rFonts w:ascii="Arial Narrow" w:hAnsi="Arial Narrow"/>
        </w:rPr>
        <w:t>capacitatea de a determina o valorificarea superioara a resurselor, nu atat prin productia directa cat prin impactul pe care il au asupra celorlalte sectoare economice</w:t>
      </w:r>
      <w:r>
        <w:rPr>
          <w:rFonts w:ascii="Arial Narrow" w:hAnsi="Arial Narrow"/>
        </w:rPr>
        <w:t xml:space="preserve">, ar trebui sa fie cheia de bolta pentru orice tip de strategie. </w:t>
      </w:r>
      <w:r w:rsidRPr="001C2B18">
        <w:rPr>
          <w:rFonts w:ascii="Arial Narrow" w:hAnsi="Arial Narrow"/>
        </w:rPr>
        <w:t xml:space="preserve"> </w:t>
      </w:r>
    </w:p>
    <w:p w:rsidR="0003549E" w:rsidRPr="001C2B18" w:rsidRDefault="0003549E" w:rsidP="0003549E">
      <w:pPr>
        <w:rPr>
          <w:rFonts w:ascii="Arial Narrow" w:hAnsi="Arial Narrow"/>
        </w:rPr>
      </w:pPr>
    </w:p>
    <w:p w:rsidR="0003549E" w:rsidRPr="001C5407" w:rsidRDefault="0003549E" w:rsidP="0003549E">
      <w:pPr>
        <w:rPr>
          <w:rFonts w:ascii="Arial Narrow" w:hAnsi="Arial Narrow"/>
          <w:b/>
        </w:rPr>
      </w:pPr>
      <w:r w:rsidRPr="001C5407">
        <w:rPr>
          <w:rFonts w:ascii="Arial Narrow" w:hAnsi="Arial Narrow"/>
          <w:b/>
        </w:rPr>
        <w:t>Industriile creative in Romania</w:t>
      </w:r>
    </w:p>
    <w:p w:rsidR="0003549E" w:rsidRPr="001C5407" w:rsidRDefault="0003549E" w:rsidP="0003549E">
      <w:pPr>
        <w:rPr>
          <w:rFonts w:ascii="Arial Narrow" w:hAnsi="Arial Narrow"/>
        </w:rPr>
      </w:pPr>
      <w:r w:rsidRPr="001C5407">
        <w:rPr>
          <w:rFonts w:ascii="Arial Narrow" w:hAnsi="Arial Narrow"/>
        </w:rPr>
        <w:t>Versiunea initiala a Strategiei de Specializare Inteligent</w:t>
      </w:r>
      <w:r>
        <w:rPr>
          <w:rFonts w:ascii="Arial Narrow" w:hAnsi="Arial Narrow"/>
        </w:rPr>
        <w:t>a a Regiunii Centru</w:t>
      </w:r>
      <w:r w:rsidRPr="001C5407">
        <w:rPr>
          <w:rFonts w:ascii="Arial Narrow" w:hAnsi="Arial Narrow"/>
        </w:rPr>
        <w:t xml:space="preserve">, a utilizat, in analiza sectorului IT si Industrii Creative o serie de surse de informatii pentru care aparatul statistic nu este la indemana, acesta fiind motivul pentru care o parte din aceste informatii nu pot fi actualizate. Insa, chiar si in aceste conditii, datele initiale nu isi pierd validitatea si relevanta deoarece se pot constitui intr-un baseline care sa permita identificarea </w:t>
      </w:r>
      <w:r w:rsidRPr="001C5407">
        <w:rPr>
          <w:rFonts w:ascii="Arial Narrow" w:hAnsi="Arial Narrow"/>
        </w:rPr>
        <w:lastRenderedPageBreak/>
        <w:t xml:space="preserve">trendurilor, fiind coroborate cu alte date mai de actualitate. Acesta este motivul pentru care, in lipsa posibilitatii efective de actualizare a acestor date, am ales sa le mentinem si sa le aditionam cu date mai recente. Chiar in conditiile in care utilizam surse de informare diferite, corespondenta dintre ele la nivel de zona analizata poate fi considerata suficienta pentru nivelul de acuratete necesar in actualizarea acestei analize. </w:t>
      </w:r>
    </w:p>
    <w:p w:rsidR="0003549E" w:rsidRDefault="0003549E" w:rsidP="0003549E">
      <w:pPr>
        <w:rPr>
          <w:rFonts w:ascii="Arial Narrow" w:hAnsi="Arial Narrow"/>
        </w:rPr>
      </w:pPr>
      <w:r>
        <w:rPr>
          <w:rFonts w:ascii="Arial Narrow" w:hAnsi="Arial Narrow"/>
        </w:rPr>
        <w:t xml:space="preserve">Abordarea metodologica a analizei sectoriale poate fi indreptata in doua directii, respectiv analiza separata a industriilor creative culturale de sectorul IT sau alaturarea acestor segmente ca si componente integrate ale sectorului. Am ales sa le analizam impreuna, mai ales din ratiuni practice. Asa cum subliniam la inceput, exista o legatura fundamentala intre IT si industriile culturale, cele doua alimentandu-se si potentandu-se reciproc, atat la nivel de productie cat si la nivel de consumator. De asemenea, modelele de abordare analitica vizitate pe parcursul documentarii inclina spre o abordare integrata, chiar daca, la nivel de detalii, pot exista si analize segmentate. De fapt, cele doua tipuri de abordare nu se exclud reciproc. </w:t>
      </w:r>
    </w:p>
    <w:p w:rsidR="0003549E" w:rsidRDefault="0003549E" w:rsidP="0003549E">
      <w:pPr>
        <w:rPr>
          <w:rFonts w:ascii="Arial Narrow" w:hAnsi="Arial Narrow"/>
        </w:rPr>
      </w:pPr>
      <w:r>
        <w:rPr>
          <w:rFonts w:ascii="Arial Narrow" w:hAnsi="Arial Narrow"/>
        </w:rPr>
        <w:t>Incercand o delimitare la nivel de obiect de activitate aferent sectorului analizat, putem considera ca Industriile creative si culturala acopera urmatoarele coduri CAEN:</w:t>
      </w:r>
    </w:p>
    <w:tbl>
      <w:tblPr>
        <w:tblW w:w="9249" w:type="dxa"/>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7358"/>
        <w:gridCol w:w="1235"/>
      </w:tblGrid>
      <w:tr w:rsidR="0003549E" w:rsidRPr="00577B90" w:rsidTr="0003549E">
        <w:trPr>
          <w:trHeight w:val="300"/>
          <w:jc w:val="center"/>
        </w:trPr>
        <w:tc>
          <w:tcPr>
            <w:tcW w:w="656" w:type="dxa"/>
            <w:shd w:val="clear" w:color="auto" w:fill="4F81BD"/>
          </w:tcPr>
          <w:p w:rsidR="0003549E" w:rsidRPr="00577B90" w:rsidRDefault="0003549E" w:rsidP="0003549E">
            <w:pPr>
              <w:rPr>
                <w:rFonts w:ascii="Arial Narrow" w:eastAsia="Times New Roman" w:hAnsi="Arial Narrow"/>
                <w:b/>
                <w:bCs/>
                <w:color w:val="FFFFFF"/>
                <w:sz w:val="20"/>
                <w:szCs w:val="20"/>
                <w:lang w:eastAsia="ja-JP"/>
              </w:rPr>
            </w:pPr>
            <w:r w:rsidRPr="00577B90">
              <w:rPr>
                <w:rFonts w:ascii="Arial Narrow" w:eastAsia="Times New Roman" w:hAnsi="Arial Narrow"/>
                <w:b/>
                <w:bCs/>
                <w:color w:val="FFFFFF"/>
                <w:sz w:val="20"/>
                <w:szCs w:val="20"/>
                <w:lang w:eastAsia="ja-JP"/>
              </w:rPr>
              <w:t>Nr. crt</w:t>
            </w:r>
          </w:p>
        </w:tc>
        <w:tc>
          <w:tcPr>
            <w:tcW w:w="7358" w:type="dxa"/>
            <w:shd w:val="clear" w:color="auto" w:fill="4F81BD"/>
            <w:vAlign w:val="center"/>
            <w:hideMark/>
          </w:tcPr>
          <w:p w:rsidR="0003549E" w:rsidRPr="00577B90" w:rsidRDefault="0003549E" w:rsidP="0003549E">
            <w:pPr>
              <w:ind w:left="720" w:hanging="360"/>
              <w:jc w:val="center"/>
              <w:rPr>
                <w:rFonts w:ascii="Arial Narrow" w:eastAsia="Times New Roman" w:hAnsi="Arial Narrow"/>
                <w:b/>
                <w:bCs/>
                <w:color w:val="FFFFFF"/>
                <w:sz w:val="20"/>
                <w:szCs w:val="20"/>
                <w:lang w:eastAsia="ja-JP"/>
              </w:rPr>
            </w:pPr>
            <w:r w:rsidRPr="00577B90">
              <w:rPr>
                <w:rFonts w:ascii="Arial Narrow" w:eastAsia="Times New Roman" w:hAnsi="Arial Narrow"/>
                <w:b/>
                <w:bCs/>
                <w:color w:val="FFFFFF"/>
                <w:sz w:val="20"/>
                <w:szCs w:val="20"/>
                <w:lang w:eastAsia="ja-JP"/>
              </w:rPr>
              <w:t>Activități economice</w:t>
            </w:r>
          </w:p>
        </w:tc>
        <w:tc>
          <w:tcPr>
            <w:tcW w:w="1235" w:type="dxa"/>
            <w:shd w:val="clear" w:color="auto" w:fill="4F81BD"/>
            <w:vAlign w:val="center"/>
            <w:hideMark/>
          </w:tcPr>
          <w:p w:rsidR="0003549E" w:rsidRPr="00577B90" w:rsidRDefault="0003549E" w:rsidP="0003549E">
            <w:pPr>
              <w:jc w:val="center"/>
              <w:rPr>
                <w:rFonts w:ascii="Arial Narrow" w:eastAsia="Times New Roman" w:hAnsi="Arial Narrow"/>
                <w:b/>
                <w:bCs/>
                <w:color w:val="FFFFFF"/>
                <w:sz w:val="20"/>
                <w:szCs w:val="20"/>
                <w:lang w:eastAsia="ja-JP"/>
              </w:rPr>
            </w:pPr>
            <w:r w:rsidRPr="00577B90">
              <w:rPr>
                <w:rFonts w:ascii="Arial Narrow" w:eastAsia="Times New Roman" w:hAnsi="Arial Narrow"/>
                <w:b/>
                <w:bCs/>
                <w:color w:val="FFFFFF"/>
                <w:sz w:val="20"/>
                <w:szCs w:val="20"/>
                <w:lang w:eastAsia="ja-JP"/>
              </w:rPr>
              <w:t>Codul CAEN (rev.2)</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Tipărirea ziarelor</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1811</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Alte activități de tipărire n.c.a</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1812</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Servicii pregătitoare pentru pre-tipărire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1813</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w:t>
            </w:r>
          </w:p>
        </w:tc>
        <w:tc>
          <w:tcPr>
            <w:tcW w:w="7358" w:type="dxa"/>
            <w:shd w:val="clear" w:color="auto" w:fill="auto"/>
            <w:vAlign w:val="center"/>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Legătorile și servicii conexe</w:t>
            </w:r>
          </w:p>
        </w:tc>
        <w:tc>
          <w:tcPr>
            <w:tcW w:w="1235" w:type="dxa"/>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1814</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5.</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Reproducerea înregistrărilor</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1820</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6.</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Fabricarea suporților magnetici și optici destinați înregistrărilor</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2680</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7.</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Fabricarea instrumentelor muzicale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3220</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8.</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Comerț cu amănuntul al cărților, în magazine specializate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4761</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9.</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Comerț cu amănuntul al ziarelor și articolelor de papetărie, în magazine specializate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4762</w:t>
            </w:r>
          </w:p>
        </w:tc>
      </w:tr>
      <w:tr w:rsidR="0003549E" w:rsidRPr="00577B90" w:rsidTr="0003549E">
        <w:trPr>
          <w:trHeight w:val="6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10.</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Comerț cu amănuntul al discurilor și benzilor magnetice cu sau fără înregistrări audio/video, în magazine specializate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4763</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11.</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editare a cărților</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5811</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12.</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editare de ghiduri, compedii, liste de adrese și similare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5812</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13.</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 xml:space="preserve">Activități de editare a ziarelor </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5813</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14.</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editare a revistelor și periodicelor</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5814</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15.</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Alte activități de editare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5819</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16.</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editare a jocurilor de calculator</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5821</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17.</w:t>
            </w:r>
          </w:p>
        </w:tc>
        <w:tc>
          <w:tcPr>
            <w:tcW w:w="7358" w:type="dxa"/>
            <w:tcBorders>
              <w:top w:val="single" w:sz="8" w:space="0" w:color="4F81BD"/>
              <w:bottom w:val="single" w:sz="8" w:space="0" w:color="4F81BD"/>
            </w:tcBorders>
            <w:shd w:val="clear" w:color="auto" w:fill="auto"/>
            <w:vAlign w:val="center"/>
          </w:tcPr>
          <w:p w:rsidR="0003549E" w:rsidRPr="00577B90" w:rsidRDefault="0003549E" w:rsidP="0003549E">
            <w:pPr>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editare a altor produse software</w:t>
            </w:r>
          </w:p>
        </w:tc>
        <w:tc>
          <w:tcPr>
            <w:tcW w:w="1235" w:type="dxa"/>
            <w:tcBorders>
              <w:top w:val="single" w:sz="8" w:space="0" w:color="4F81BD"/>
              <w:bottom w:val="single" w:sz="8" w:space="0" w:color="4F81BD"/>
              <w:right w:val="single" w:sz="8" w:space="0" w:color="4F81BD"/>
            </w:tcBorders>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5829</w:t>
            </w:r>
          </w:p>
        </w:tc>
      </w:tr>
      <w:tr w:rsidR="0003549E" w:rsidRPr="00577B90" w:rsidTr="0003549E">
        <w:trPr>
          <w:trHeight w:val="285"/>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lastRenderedPageBreak/>
              <w:t>18.</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producție cinematografică, video și de programe de televiziune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5911</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19.</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post-producție cinematografică, video și de programe de televiziune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5912</w:t>
            </w:r>
          </w:p>
        </w:tc>
      </w:tr>
      <w:tr w:rsidR="0003549E" w:rsidRPr="00577B90" w:rsidTr="0003549E">
        <w:trPr>
          <w:trHeight w:val="26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20.</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distribuție a filmelor cinematografice, video și a programelor de televiziune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5913</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21.</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Proiecția de filme cinematografice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5914</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22.</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realizare a înregistrărilor audio și activități de editare muzicală</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5920</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23.</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difuzare a programelor de radio</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6010</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24.</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difuzare a programelor de televiziune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6020</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25.</w:t>
            </w:r>
          </w:p>
        </w:tc>
        <w:tc>
          <w:tcPr>
            <w:tcW w:w="7358" w:type="dxa"/>
            <w:tcBorders>
              <w:top w:val="single" w:sz="8" w:space="0" w:color="4F81BD"/>
              <w:bottom w:val="single" w:sz="8" w:space="0" w:color="4F81BD"/>
            </w:tcBorders>
            <w:shd w:val="clear" w:color="auto" w:fill="auto"/>
            <w:vAlign w:val="center"/>
          </w:tcPr>
          <w:p w:rsidR="0003549E" w:rsidRPr="00577B90" w:rsidRDefault="0003549E" w:rsidP="0003549E">
            <w:pPr>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realizare a software-ului la comandă (software orientat către client)</w:t>
            </w:r>
          </w:p>
        </w:tc>
        <w:tc>
          <w:tcPr>
            <w:tcW w:w="1235" w:type="dxa"/>
            <w:tcBorders>
              <w:top w:val="single" w:sz="8" w:space="0" w:color="4F81BD"/>
              <w:bottom w:val="single" w:sz="8" w:space="0" w:color="4F81BD"/>
              <w:right w:val="single" w:sz="8" w:space="0" w:color="4F81BD"/>
            </w:tcBorders>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6201</w:t>
            </w:r>
          </w:p>
        </w:tc>
      </w:tr>
      <w:tr w:rsidR="0003549E" w:rsidRPr="00577B90" w:rsidTr="0003549E">
        <w:trPr>
          <w:trHeight w:val="300"/>
          <w:jc w:val="center"/>
        </w:trPr>
        <w:tc>
          <w:tcPr>
            <w:tcW w:w="656" w:type="dxa"/>
            <w:shd w:val="clear" w:color="auto" w:fill="auto"/>
          </w:tcPr>
          <w:p w:rsidR="0003549E" w:rsidRPr="00577B90" w:rsidRDefault="0003549E" w:rsidP="0003549E">
            <w:pPr>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26.</w:t>
            </w:r>
          </w:p>
        </w:tc>
        <w:tc>
          <w:tcPr>
            <w:tcW w:w="7358" w:type="dxa"/>
            <w:shd w:val="clear" w:color="auto" w:fill="auto"/>
            <w:vAlign w:val="center"/>
          </w:tcPr>
          <w:p w:rsidR="0003549E" w:rsidRPr="00577B90" w:rsidRDefault="0003549E" w:rsidP="0003549E">
            <w:pPr>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consultanță în tehnologia informației</w:t>
            </w:r>
          </w:p>
        </w:tc>
        <w:tc>
          <w:tcPr>
            <w:tcW w:w="1235" w:type="dxa"/>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6202</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27.</w:t>
            </w:r>
          </w:p>
        </w:tc>
        <w:tc>
          <w:tcPr>
            <w:tcW w:w="7358" w:type="dxa"/>
            <w:tcBorders>
              <w:top w:val="single" w:sz="8" w:space="0" w:color="4F81BD"/>
              <w:bottom w:val="single" w:sz="8" w:space="0" w:color="4F81BD"/>
            </w:tcBorders>
            <w:shd w:val="clear" w:color="auto" w:fill="auto"/>
            <w:vAlign w:val="center"/>
          </w:tcPr>
          <w:p w:rsidR="0003549E" w:rsidRPr="00577B90" w:rsidRDefault="0003549E" w:rsidP="0003549E">
            <w:pPr>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Alte activități de servicii privind tehnologia informației</w:t>
            </w:r>
          </w:p>
        </w:tc>
        <w:tc>
          <w:tcPr>
            <w:tcW w:w="1235" w:type="dxa"/>
            <w:tcBorders>
              <w:top w:val="single" w:sz="8" w:space="0" w:color="4F81BD"/>
              <w:bottom w:val="single" w:sz="8" w:space="0" w:color="4F81BD"/>
              <w:right w:val="single" w:sz="8" w:space="0" w:color="4F81BD"/>
            </w:tcBorders>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6209</w:t>
            </w:r>
          </w:p>
        </w:tc>
      </w:tr>
      <w:tr w:rsidR="0003549E" w:rsidRPr="00577B90" w:rsidTr="0003549E">
        <w:trPr>
          <w:trHeight w:val="300"/>
          <w:jc w:val="center"/>
        </w:trPr>
        <w:tc>
          <w:tcPr>
            <w:tcW w:w="656" w:type="dxa"/>
            <w:shd w:val="clear" w:color="auto" w:fill="auto"/>
          </w:tcPr>
          <w:p w:rsidR="0003549E" w:rsidRPr="00577B90" w:rsidRDefault="0003549E" w:rsidP="0003549E">
            <w:pPr>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28.</w:t>
            </w:r>
          </w:p>
        </w:tc>
        <w:tc>
          <w:tcPr>
            <w:tcW w:w="7358" w:type="dxa"/>
            <w:shd w:val="clear" w:color="auto" w:fill="auto"/>
            <w:vAlign w:val="center"/>
          </w:tcPr>
          <w:p w:rsidR="0003549E" w:rsidRPr="00577B90" w:rsidRDefault="0003549E" w:rsidP="0003549E">
            <w:pPr>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ale portalurilor web</w:t>
            </w:r>
          </w:p>
        </w:tc>
        <w:tc>
          <w:tcPr>
            <w:tcW w:w="1235" w:type="dxa"/>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6312</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29.</w:t>
            </w:r>
          </w:p>
        </w:tc>
        <w:tc>
          <w:tcPr>
            <w:tcW w:w="7358" w:type="dxa"/>
            <w:tcBorders>
              <w:top w:val="single" w:sz="8" w:space="0" w:color="4F81BD"/>
              <w:bottom w:val="single" w:sz="8" w:space="0" w:color="4F81BD"/>
            </w:tcBorders>
            <w:shd w:val="clear" w:color="auto" w:fill="auto"/>
            <w:vAlign w:val="center"/>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ale agențiilor de știri</w:t>
            </w:r>
          </w:p>
        </w:tc>
        <w:tc>
          <w:tcPr>
            <w:tcW w:w="1235" w:type="dxa"/>
            <w:tcBorders>
              <w:top w:val="single" w:sz="8" w:space="0" w:color="4F81BD"/>
              <w:bottom w:val="single" w:sz="8" w:space="0" w:color="4F81BD"/>
              <w:right w:val="single" w:sz="8" w:space="0" w:color="4F81BD"/>
            </w:tcBorders>
            <w:shd w:val="clear" w:color="auto" w:fill="auto"/>
            <w:vAlign w:val="center"/>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6391</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30.</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arhitectură</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7111</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31.</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 xml:space="preserve">Activități ale agențiilor de publicitate </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7311</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32.</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Servicii de reprezentare media</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7312</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33.</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design specializat</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7410</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34.</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fotografice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7420</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35.</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 xml:space="preserve">Activități de traducere scrisă și orală (interpreți) </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7439</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36.</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Închirierea de casete video și discuri (CD-uri, DVD-uri)</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7722</w:t>
            </w:r>
          </w:p>
        </w:tc>
      </w:tr>
      <w:tr w:rsidR="0003549E" w:rsidRPr="00577B90" w:rsidTr="0003549E">
        <w:trPr>
          <w:trHeight w:val="6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37.</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Învățământ în domeniul cultural (limbi străine, muzică, teatru, dans, arte plastice, alte domenii)</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8552</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38.</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interpretare artistică (spectacole)</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9001</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39.</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suport pentru interpretarea artistică (spectacole)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9002</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40.</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creație artistică</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9003</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41.</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de gestionare a sălilor de spectacole</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9004</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42.</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Activitățile ale bibliotecilor și arhivelor</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9101</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43.</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Activități ale muzeelor</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9102</w:t>
            </w:r>
          </w:p>
        </w:tc>
      </w:tr>
      <w:tr w:rsidR="0003549E" w:rsidRPr="00577B90" w:rsidTr="0003549E">
        <w:trPr>
          <w:trHeight w:val="300"/>
          <w:jc w:val="center"/>
        </w:trPr>
        <w:tc>
          <w:tcPr>
            <w:tcW w:w="656" w:type="dxa"/>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44.</w:t>
            </w:r>
          </w:p>
        </w:tc>
        <w:tc>
          <w:tcPr>
            <w:tcW w:w="7358" w:type="dxa"/>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 xml:space="preserve">Gestionarea monumentelor, clădirilor istorice și a altor obiective de interes turistic </w:t>
            </w:r>
          </w:p>
        </w:tc>
        <w:tc>
          <w:tcPr>
            <w:tcW w:w="1235" w:type="dxa"/>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9103</w:t>
            </w:r>
          </w:p>
        </w:tc>
      </w:tr>
      <w:tr w:rsidR="0003549E" w:rsidRPr="00577B90" w:rsidTr="0003549E">
        <w:trPr>
          <w:trHeight w:val="300"/>
          <w:jc w:val="center"/>
        </w:trPr>
        <w:tc>
          <w:tcPr>
            <w:tcW w:w="656"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21" w:hanging="21"/>
              <w:rPr>
                <w:rFonts w:ascii="Arial Narrow" w:eastAsia="Times New Roman" w:hAnsi="Arial Narrow"/>
                <w:bCs/>
                <w:color w:val="000000"/>
                <w:sz w:val="20"/>
                <w:szCs w:val="20"/>
                <w:lang w:eastAsia="ja-JP"/>
              </w:rPr>
            </w:pPr>
            <w:r w:rsidRPr="00577B90">
              <w:rPr>
                <w:rFonts w:ascii="Arial Narrow" w:eastAsia="Times New Roman" w:hAnsi="Arial Narrow"/>
                <w:bCs/>
                <w:color w:val="000000"/>
                <w:sz w:val="20"/>
                <w:szCs w:val="20"/>
                <w:lang w:eastAsia="ja-JP"/>
              </w:rPr>
              <w:t>45.</w:t>
            </w:r>
          </w:p>
        </w:tc>
        <w:tc>
          <w:tcPr>
            <w:tcW w:w="7358" w:type="dxa"/>
            <w:tcBorders>
              <w:top w:val="single" w:sz="8" w:space="0" w:color="4F81BD"/>
              <w:bottom w:val="single" w:sz="8" w:space="0" w:color="4F81BD"/>
            </w:tcBorders>
            <w:shd w:val="clear" w:color="auto" w:fill="auto"/>
            <w:vAlign w:val="center"/>
            <w:hideMark/>
          </w:tcPr>
          <w:p w:rsidR="0003549E" w:rsidRPr="00577B90" w:rsidRDefault="0003549E" w:rsidP="0003549E">
            <w:pPr>
              <w:ind w:left="21" w:hanging="21"/>
              <w:rPr>
                <w:rFonts w:ascii="Arial Narrow" w:eastAsia="Times New Roman" w:hAnsi="Arial Narrow"/>
                <w:b/>
                <w:color w:val="000000"/>
                <w:sz w:val="20"/>
                <w:szCs w:val="20"/>
                <w:lang w:eastAsia="ja-JP"/>
              </w:rPr>
            </w:pPr>
            <w:r w:rsidRPr="00577B90">
              <w:rPr>
                <w:rFonts w:ascii="Arial Narrow" w:eastAsia="Times New Roman" w:hAnsi="Arial Narrow"/>
                <w:b/>
                <w:color w:val="000000"/>
                <w:sz w:val="20"/>
                <w:szCs w:val="20"/>
                <w:lang w:eastAsia="ja-JP"/>
              </w:rPr>
              <w:t>Alte activități recreative și distractive n.c.a</w:t>
            </w:r>
          </w:p>
        </w:tc>
        <w:tc>
          <w:tcPr>
            <w:tcW w:w="1235" w:type="dxa"/>
            <w:tcBorders>
              <w:top w:val="single" w:sz="8" w:space="0" w:color="4F81BD"/>
              <w:bottom w:val="single" w:sz="8" w:space="0" w:color="4F81BD"/>
              <w:right w:val="single" w:sz="8" w:space="0" w:color="4F81BD"/>
            </w:tcBorders>
            <w:shd w:val="clear" w:color="auto" w:fill="auto"/>
            <w:vAlign w:val="center"/>
            <w:hideMark/>
          </w:tcPr>
          <w:p w:rsidR="0003549E" w:rsidRPr="00577B90" w:rsidRDefault="0003549E" w:rsidP="0003549E">
            <w:pPr>
              <w:ind w:left="720" w:hanging="360"/>
              <w:jc w:val="center"/>
              <w:rPr>
                <w:rFonts w:ascii="Arial Narrow" w:eastAsia="Times New Roman" w:hAnsi="Arial Narrow"/>
                <w:color w:val="000000"/>
                <w:sz w:val="20"/>
                <w:szCs w:val="20"/>
                <w:lang w:eastAsia="ja-JP"/>
              </w:rPr>
            </w:pPr>
            <w:r w:rsidRPr="00577B90">
              <w:rPr>
                <w:rFonts w:ascii="Arial Narrow" w:eastAsia="Times New Roman" w:hAnsi="Arial Narrow"/>
                <w:color w:val="000000"/>
                <w:sz w:val="20"/>
                <w:szCs w:val="20"/>
                <w:lang w:eastAsia="ja-JP"/>
              </w:rPr>
              <w:t>9329</w:t>
            </w:r>
          </w:p>
        </w:tc>
      </w:tr>
    </w:tbl>
    <w:p w:rsidR="0003549E" w:rsidRDefault="0003549E" w:rsidP="0003549E">
      <w:pPr>
        <w:rPr>
          <w:rFonts w:ascii="Arial Narrow" w:hAnsi="Arial Narrow"/>
        </w:rPr>
      </w:pPr>
    </w:p>
    <w:p w:rsidR="0003549E" w:rsidRPr="001C2B18" w:rsidRDefault="0003549E" w:rsidP="0003549E">
      <w:pPr>
        <w:rPr>
          <w:rFonts w:ascii="Arial Narrow" w:hAnsi="Arial Narrow"/>
          <w:highlight w:val="yellow"/>
        </w:rPr>
      </w:pPr>
      <w:r w:rsidRPr="001C2B18">
        <w:rPr>
          <w:rFonts w:ascii="Arial Narrow" w:hAnsi="Arial Narrow"/>
        </w:rPr>
        <w:t>Potrivit datelor statistice prezente într-un studiu realizat de compania de cercetare Gartner</w:t>
      </w:r>
      <w:r w:rsidRPr="001C2B18">
        <w:rPr>
          <w:rStyle w:val="Referinnotdesubsol"/>
          <w:rFonts w:ascii="Arial Narrow" w:hAnsi="Arial Narrow"/>
        </w:rPr>
        <w:footnoteReference w:id="98"/>
      </w:r>
      <w:r w:rsidRPr="001C2B18">
        <w:rPr>
          <w:rFonts w:ascii="Arial Narrow" w:hAnsi="Arial Narrow"/>
        </w:rPr>
        <w:t xml:space="preserve"> și citate de publicația internațională Bloomberg</w:t>
      </w:r>
      <w:r w:rsidRPr="001C2B18">
        <w:rPr>
          <w:rStyle w:val="Referinnotdesubsol"/>
          <w:rFonts w:ascii="Arial Narrow" w:hAnsi="Arial Narrow"/>
        </w:rPr>
        <w:footnoteReference w:id="99"/>
      </w:r>
      <w:r w:rsidRPr="001C2B18">
        <w:rPr>
          <w:rFonts w:ascii="Arial Narrow" w:hAnsi="Arial Narrow"/>
        </w:rPr>
        <w:t xml:space="preserve">, </w:t>
      </w:r>
      <w:r w:rsidRPr="001C2B18">
        <w:rPr>
          <w:rFonts w:ascii="Arial Narrow" w:hAnsi="Arial Narrow"/>
          <w:b/>
          <w:i/>
        </w:rPr>
        <w:t>în anul 2014 România avea peste 64.000 de specialişti în IT</w:t>
      </w:r>
      <w:r w:rsidRPr="001C2B18">
        <w:rPr>
          <w:rFonts w:ascii="Arial Narrow" w:hAnsi="Arial Narrow"/>
        </w:rPr>
        <w:t xml:space="preserve">, țara noastră fiind </w:t>
      </w:r>
      <w:r w:rsidRPr="001C2B18">
        <w:rPr>
          <w:rFonts w:ascii="Arial Narrow" w:hAnsi="Arial Narrow"/>
          <w:b/>
          <w:i/>
        </w:rPr>
        <w:t xml:space="preserve">lider în Uniunea Europeană în ceea ce priveşte numărul de angajaţi în sectorul tehnologiei pe cap de locuitor, şi ocupă locul al şaselea la nivel mondial. </w:t>
      </w:r>
      <w:r w:rsidRPr="001C2B18">
        <w:rPr>
          <w:rFonts w:ascii="Arial Narrow" w:hAnsi="Arial Narrow"/>
        </w:rPr>
        <w:t>Unul dintre</w:t>
      </w:r>
      <w:r w:rsidRPr="001C2B18">
        <w:rPr>
          <w:rFonts w:ascii="Arial Narrow" w:hAnsi="Arial Narrow"/>
          <w:b/>
          <w:i/>
        </w:rPr>
        <w:t xml:space="preserve"> avantajele României </w:t>
      </w:r>
      <w:r w:rsidRPr="001C2B18">
        <w:rPr>
          <w:rFonts w:ascii="Arial Narrow" w:hAnsi="Arial Narrow"/>
        </w:rPr>
        <w:t>prezentat în studiu este faptul că aceasta</w:t>
      </w:r>
      <w:r w:rsidRPr="001C2B18">
        <w:rPr>
          <w:rFonts w:ascii="Arial Narrow" w:hAnsi="Arial Narrow"/>
          <w:b/>
          <w:i/>
        </w:rPr>
        <w:t xml:space="preserve">  deține un personalul educat şi servicii ieftine în domeniul IT.</w:t>
      </w:r>
    </w:p>
    <w:p w:rsidR="0003549E" w:rsidRPr="001C2B18" w:rsidRDefault="0003549E" w:rsidP="0003549E">
      <w:pPr>
        <w:rPr>
          <w:rFonts w:ascii="Arial Narrow" w:hAnsi="Arial Narrow"/>
        </w:rPr>
      </w:pPr>
      <w:r w:rsidRPr="001C2B18">
        <w:rPr>
          <w:rFonts w:ascii="Arial Narrow" w:hAnsi="Arial Narrow"/>
        </w:rPr>
        <w:t>În urma unor cercetări realizate de analiști economici din cadrul companiei de business information și credit management  KeysFin, principalele concluzii pe baza informațiilor și datelor statistice publicate în anul 2014 sunt</w:t>
      </w:r>
      <w:r w:rsidRPr="001C2B18">
        <w:rPr>
          <w:rStyle w:val="Referinnotdesubsol"/>
          <w:rFonts w:ascii="Arial Narrow" w:hAnsi="Arial Narrow"/>
        </w:rPr>
        <w:footnoteReference w:id="100"/>
      </w:r>
      <w:r w:rsidRPr="001C2B18">
        <w:rPr>
          <w:rFonts w:ascii="Arial Narrow" w:hAnsi="Arial Narrow"/>
        </w:rPr>
        <w:t>:</w:t>
      </w:r>
    </w:p>
    <w:p w:rsidR="0003549E" w:rsidRPr="001C2B18" w:rsidRDefault="00BD7229" w:rsidP="00981E9F">
      <w:pPr>
        <w:pStyle w:val="Listparagraf"/>
        <w:numPr>
          <w:ilvl w:val="0"/>
          <w:numId w:val="61"/>
        </w:numPr>
        <w:spacing w:after="0" w:line="240" w:lineRule="auto"/>
        <w:jc w:val="both"/>
        <w:rPr>
          <w:rFonts w:ascii="Arial Narrow" w:hAnsi="Arial Narrow"/>
        </w:rPr>
      </w:pPr>
      <w:r w:rsidRPr="00BD7229">
        <w:rPr>
          <w:noProof/>
        </w:rPr>
        <w:pict>
          <v:group id="_x0000_s1071" style="position:absolute;left:0;text-align:left;margin-left:365.3pt;margin-top:235.5pt;width:168pt;height:240.75pt;z-index:251699200;mso-position-horizontal-relative:page;mso-position-vertical-relative:page" coordorigin=",-3" coordsize="2475865,942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">
            <v:rect id="AutoShape 14" o:spid="_x0000_s1072" style="position:absolute;top:-3;width:2475865;height:9003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dX8YA&#10;AADbAAAADwAAAGRycy9kb3ducmV2LnhtbESPT2vCQBTE74LfYXlCL6Kb+qeU6CpFK5SmBxt78PjM&#10;PpPQ7Nuwu9X023cLgsdhZn7DLNedacSFnK8tK3gcJyCIC6trLhV8HXajZxA+IGtsLJOCX/KwXvV7&#10;S0y1vfInXfJQighhn6KCKoQ2ldIXFRn0Y9sSR+9sncEQpSuldniNcNPISZI8SYM1x4UKW9pUVHzn&#10;P0bBbN++nobHd862H9ONzLKs3A6dUg+D7mUBIlAX7uFb+00rmE/g/0v8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9dX8YAAADbAAAADwAAAAAAAAAAAAAAAACYAgAAZHJz&#10;L2Rvd25yZXYueG1sUEsFBgAAAAAEAAQA9QAAAIsDAAAAAA==&#10;" strokecolor="#948a54" strokeweight="1.25pt">
              <v:textbox inset="14.4pt,36pt,14.4pt,5.76pt">
                <w:txbxContent>
                  <w:p w:rsidR="00064502" w:rsidRDefault="00064502" w:rsidP="0003549E">
                    <w:pPr>
                      <w:pStyle w:val="Titlu1"/>
                      <w:spacing w:after="240"/>
                      <w:rPr>
                        <w:rFonts w:ascii="Arial Narrow" w:hAnsi="Arial Narrow"/>
                        <w:b w:val="0"/>
                        <w:sz w:val="22"/>
                        <w:szCs w:val="22"/>
                      </w:rPr>
                    </w:pPr>
                    <w:r w:rsidRPr="00BD7229">
                      <w:rPr>
                        <w:noProof/>
                      </w:rPr>
                      <w:pict>
                        <v:shape id="Imagine 56" o:spid="_x0000_i1034" type="#_x0000_t75" alt="Omnipaste - Logo" style="width:150pt;height:39.75pt;visibility:visible">
                          <v:imagedata r:id="rId75" o:title="Omnipaste - Logo"/>
                        </v:shape>
                      </w:pict>
                    </w:r>
                  </w:p>
                  <w:p w:rsidR="00064502" w:rsidRDefault="00064502" w:rsidP="0003549E">
                    <w:pPr>
                      <w:pStyle w:val="Titlu1"/>
                      <w:spacing w:after="240"/>
                      <w:rPr>
                        <w:rFonts w:ascii="Arial Narrow" w:hAnsi="Arial Narrow"/>
                        <w:b w:val="0"/>
                        <w:sz w:val="22"/>
                        <w:szCs w:val="22"/>
                      </w:rPr>
                    </w:pPr>
                    <w:r>
                      <w:rPr>
                        <w:rFonts w:ascii="Arial Narrow" w:hAnsi="Arial Narrow"/>
                        <w:b w:val="0"/>
                        <w:sz w:val="22"/>
                        <w:szCs w:val="22"/>
                      </w:rPr>
                      <w:t>Copy / Paste intre dispozitive pentru a transfera mai usor datele.</w:t>
                    </w:r>
                  </w:p>
                  <w:p w:rsidR="00064502" w:rsidRDefault="00064502" w:rsidP="0003549E">
                    <w:pPr>
                      <w:rPr>
                        <w:rFonts w:ascii="Arial Narrow" w:eastAsia="Times New Roman" w:hAnsi="Arial Narrow"/>
                        <w:lang w:eastAsia="ro-RO"/>
                      </w:rPr>
                    </w:pPr>
                    <w:hyperlink r:id="rId76" w:history="1">
                      <w:r w:rsidRPr="00C077C3">
                        <w:rPr>
                          <w:rStyle w:val="Hyperlink"/>
                          <w:rFonts w:ascii="Arial Narrow" w:eastAsia="Times New Roman" w:hAnsi="Arial Narrow"/>
                          <w:lang w:eastAsia="ro-RO"/>
                        </w:rPr>
                        <w:t>http://www.romanianstartups.com/startup/omnipaste/</w:t>
                      </w:r>
                    </w:hyperlink>
                    <w:r>
                      <w:rPr>
                        <w:rFonts w:ascii="Arial Narrow" w:eastAsia="Times New Roman" w:hAnsi="Arial Narrow"/>
                        <w:lang w:eastAsia="ro-RO"/>
                      </w:rPr>
                      <w:t xml:space="preserve"> </w:t>
                    </w:r>
                  </w:p>
                  <w:p w:rsidR="00064502" w:rsidRDefault="00064502" w:rsidP="0003549E">
                    <w:pPr>
                      <w:rPr>
                        <w:rFonts w:ascii="Arial Narrow" w:eastAsia="Times New Roman" w:hAnsi="Arial Narrow"/>
                        <w:lang w:eastAsia="ro-RO"/>
                      </w:rPr>
                    </w:pPr>
                  </w:p>
                  <w:p w:rsidR="00064502" w:rsidRPr="00132DC5" w:rsidRDefault="00064502" w:rsidP="0003549E">
                    <w:pPr>
                      <w:rPr>
                        <w:rFonts w:ascii="Arial Narrow" w:eastAsia="Times New Roman" w:hAnsi="Arial Narrow"/>
                        <w:lang w:eastAsia="ro-RO"/>
                      </w:rPr>
                    </w:pPr>
                    <w:r>
                      <w:rPr>
                        <w:rFonts w:ascii="Arial Narrow" w:eastAsia="Times New Roman" w:hAnsi="Arial Narrow"/>
                        <w:lang w:eastAsia="ro-RO"/>
                      </w:rPr>
                      <w:t>Fondatorii sunt sibieni si cauta investitori.</w:t>
                    </w:r>
                  </w:p>
                  <w:p w:rsidR="00064502" w:rsidRPr="00E84831" w:rsidRDefault="00064502" w:rsidP="0003549E">
                    <w:pPr>
                      <w:pStyle w:val="Titlu1"/>
                      <w:spacing w:after="240"/>
                      <w:rPr>
                        <w:rFonts w:ascii="Arial Narrow" w:hAnsi="Arial Narrow"/>
                        <w:b w:val="0"/>
                        <w:sz w:val="22"/>
                        <w:szCs w:val="22"/>
                      </w:rPr>
                    </w:pPr>
                    <w:hyperlink r:id="rId77" w:history="1">
                      <w:r w:rsidRPr="00C077C3">
                        <w:rPr>
                          <w:rStyle w:val="Hyperlink"/>
                          <w:rFonts w:ascii="Arial Narrow" w:hAnsi="Arial Narrow"/>
                          <w:b w:val="0"/>
                          <w:sz w:val="22"/>
                          <w:szCs w:val="22"/>
                        </w:rPr>
                        <w:t>http://www.omnipasteapp.com</w:t>
                      </w:r>
                    </w:hyperlink>
                    <w:r>
                      <w:rPr>
                        <w:rFonts w:ascii="Arial Narrow" w:hAnsi="Arial Narrow"/>
                        <w:b w:val="0"/>
                        <w:sz w:val="22"/>
                        <w:szCs w:val="22"/>
                      </w:rPr>
                      <w:t xml:space="preserve"> </w:t>
                    </w:r>
                  </w:p>
                  <w:p w:rsidR="00064502" w:rsidRPr="00577B90" w:rsidRDefault="00064502" w:rsidP="0003549E">
                    <w:pPr>
                      <w:spacing w:line="480" w:lineRule="auto"/>
                      <w:rPr>
                        <w:color w:val="1F497D"/>
                      </w:rPr>
                    </w:pPr>
                  </w:p>
                </w:txbxContent>
              </v:textbox>
            </v:rect>
            <v:rect id="Rectangle 45" o:spid="_x0000_s1073"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mzMEA&#10;AADbAAAADwAAAGRycy9kb3ducmV2LnhtbESPQYvCMBSE74L/ITxhb5puV0WraVmWFbxqFfT2aJ5t&#10;2ealNFmt/94IgsdhZr5h1llvGnGlztWWFXxOIhDEhdU1lwoO+Wa8AOE8ssbGMim4k4MsHQ7WmGh7&#10;4x1d974UAcIuQQWV920ipSsqMugmtiUO3sV2Bn2QXSl1h7cAN42Mo2guDdYcFips6aei4m//bxRw&#10;dC7qZWzLU270Mf495/Mp50p9jPrvFQhPvX+HX+2tVjD7gu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pszBAAAA2wAAAA8AAAAAAAAAAAAAAAAAmAIAAGRycy9kb3du&#10;cmV2LnhtbFBLBQYAAAAABAAEAPUAAACGAwAAAAA=&#10;" fillcolor="#1f497d" stroked="f" strokeweight="2pt">
              <v:textbox inset="14.4pt,14.4pt,14.4pt,28.8pt">
                <w:txbxContent>
                  <w:p w:rsidR="00064502" w:rsidRPr="00577B90" w:rsidRDefault="00064502" w:rsidP="0003549E">
                    <w:pPr>
                      <w:spacing w:before="240"/>
                      <w:rPr>
                        <w:color w:val="FFFFFF"/>
                      </w:rPr>
                    </w:pPr>
                  </w:p>
                </w:txbxContent>
              </v:textbox>
            </v:rect>
            <v:rect id="Rectangle 46" o:spid="_x0000_s1074"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AsQA&#10;AADbAAAADwAAAGRycy9kb3ducmV2LnhtbESPT2vCQBTE74V+h+UVvIhuKlpKzCqlf0A81UQ8P7LP&#10;JCT7Nt1dY/rtXaHQ4zAzv2Gy7Wg6MZDzjWUFz/MEBHFpdcOVgmPxNXsF4QOyxs4yKfglD9vN40OG&#10;qbZXPtCQh0pECPsUFdQh9KmUvqzJoJ/bnjh6Z+sMhihdJbXDa4SbTi6S5EUabDgu1NjTe01lm1+M&#10;gqV0+eXUrIZpkX9P9x/2WP18tkpNnsa3NYhAY/gP/7V3WsFqCfc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xwLEAAAA2wAAAA8AAAAAAAAAAAAAAAAAmAIAAGRycy9k&#10;b3ducmV2LnhtbFBLBQYAAAAABAAEAPUAAACJAwAAAAA=&#10;" fillcolor="#4f81bd" stroked="f" strokeweight="2pt">
              <v:textbox inset="14.4pt,14.4pt,14.4pt,28.8pt">
                <w:txbxContent>
                  <w:p w:rsidR="00064502" w:rsidRPr="00577B90" w:rsidRDefault="00064502" w:rsidP="0003549E">
                    <w:pPr>
                      <w:spacing w:before="240"/>
                      <w:rPr>
                        <w:color w:val="FFFFFF"/>
                      </w:rPr>
                    </w:pPr>
                  </w:p>
                </w:txbxContent>
              </v:textbox>
            </v:rect>
            <w10:wrap type="square" anchorx="page" anchory="page"/>
          </v:group>
        </w:pict>
      </w:r>
      <w:r w:rsidR="0003549E" w:rsidRPr="001C2B18">
        <w:rPr>
          <w:rFonts w:ascii="Arial Narrow" w:hAnsi="Arial Narrow"/>
        </w:rPr>
        <w:t xml:space="preserve">la nivelul României, </w:t>
      </w:r>
      <w:r w:rsidR="0003549E" w:rsidRPr="001C2B18">
        <w:rPr>
          <w:rFonts w:ascii="Arial Narrow" w:hAnsi="Arial Narrow"/>
          <w:b/>
          <w:i/>
        </w:rPr>
        <w:t>sectorul IT&amp;C și agricultura reprezintă domeniile cu cele mai mari șanse de rezultate excelente în piețele internaționale</w:t>
      </w:r>
    </w:p>
    <w:p w:rsidR="0003549E" w:rsidRPr="001C2B18" w:rsidRDefault="0003549E" w:rsidP="00981E9F">
      <w:pPr>
        <w:pStyle w:val="Listparagraf"/>
        <w:numPr>
          <w:ilvl w:val="0"/>
          <w:numId w:val="61"/>
        </w:numPr>
        <w:spacing w:after="0" w:line="240" w:lineRule="auto"/>
        <w:jc w:val="both"/>
        <w:rPr>
          <w:rFonts w:ascii="Arial Narrow" w:hAnsi="Arial Narrow"/>
        </w:rPr>
      </w:pPr>
      <w:r w:rsidRPr="001C2B18">
        <w:rPr>
          <w:rFonts w:ascii="Arial Narrow" w:hAnsi="Arial Narrow"/>
        </w:rPr>
        <w:t xml:space="preserve">Începând din 1990 și până în 2014 </w:t>
      </w:r>
      <w:r>
        <w:rPr>
          <w:rFonts w:ascii="Arial Narrow" w:hAnsi="Arial Narrow"/>
        </w:rPr>
        <w:t>in România</w:t>
      </w:r>
      <w:r w:rsidRPr="001C2B18">
        <w:rPr>
          <w:rFonts w:ascii="Arial Narrow" w:hAnsi="Arial Narrow"/>
        </w:rPr>
        <w:t xml:space="preserve"> s-au înființat </w:t>
      </w:r>
      <w:r w:rsidRPr="001C2B18">
        <w:rPr>
          <w:rFonts w:ascii="Arial Narrow" w:hAnsi="Arial Narrow"/>
          <w:b/>
          <w:i/>
        </w:rPr>
        <w:t>peste 30.000 de companii din sectorul IT</w:t>
      </w:r>
      <w:r w:rsidRPr="001C2B18">
        <w:rPr>
          <w:rFonts w:ascii="Arial Narrow" w:hAnsi="Arial Narrow"/>
        </w:rPr>
        <w:t xml:space="preserve"> axate în special pe realizarea de produse și servicii. Aproximativ </w:t>
      </w:r>
      <w:r w:rsidRPr="001C2B18">
        <w:rPr>
          <w:rFonts w:ascii="Arial Narrow" w:hAnsi="Arial Narrow"/>
          <w:b/>
          <w:i/>
        </w:rPr>
        <w:t xml:space="preserve">70% dintre </w:t>
      </w:r>
      <w:r>
        <w:rPr>
          <w:rFonts w:ascii="Arial Narrow" w:hAnsi="Arial Narrow"/>
          <w:b/>
          <w:i/>
        </w:rPr>
        <w:t>ele</w:t>
      </w:r>
      <w:r w:rsidRPr="001C2B18">
        <w:rPr>
          <w:rFonts w:ascii="Arial Narrow" w:hAnsi="Arial Narrow"/>
          <w:b/>
          <w:i/>
        </w:rPr>
        <w:t xml:space="preserve"> au fost înființate în ultimii 10 ani</w:t>
      </w:r>
      <w:r w:rsidRPr="001C2B18">
        <w:rPr>
          <w:rFonts w:ascii="Arial Narrow" w:hAnsi="Arial Narrow"/>
        </w:rPr>
        <w:t xml:space="preserve">. Peste 50% din firmele înființate în ultimele 2 decenii sunt în funcțiune și în prezent (2014). </w:t>
      </w:r>
    </w:p>
    <w:p w:rsidR="0003549E" w:rsidRPr="001C2B18" w:rsidRDefault="0003549E" w:rsidP="00981E9F">
      <w:pPr>
        <w:pStyle w:val="Listparagraf"/>
        <w:numPr>
          <w:ilvl w:val="0"/>
          <w:numId w:val="61"/>
        </w:numPr>
        <w:spacing w:after="0" w:line="240" w:lineRule="auto"/>
        <w:jc w:val="both"/>
        <w:rPr>
          <w:rFonts w:ascii="Arial Narrow" w:hAnsi="Arial Narrow"/>
        </w:rPr>
      </w:pPr>
      <w:r w:rsidRPr="001C2B18">
        <w:rPr>
          <w:rFonts w:ascii="Arial Narrow" w:hAnsi="Arial Narrow"/>
        </w:rPr>
        <w:t xml:space="preserve">Performanţa financiară a acestui sector a crescut continuu, ajungând la </w:t>
      </w:r>
      <w:r w:rsidRPr="001C2B18">
        <w:rPr>
          <w:rFonts w:ascii="Arial Narrow" w:hAnsi="Arial Narrow"/>
          <w:b/>
          <w:i/>
        </w:rPr>
        <w:t>o cifră de afaceri medie anuală de aproximativ 2.8 miliarde euro</w:t>
      </w:r>
      <w:r w:rsidRPr="001C2B18">
        <w:rPr>
          <w:rFonts w:ascii="Arial Narrow" w:hAnsi="Arial Narrow"/>
        </w:rPr>
        <w:t>.</w:t>
      </w:r>
    </w:p>
    <w:p w:rsidR="0003549E" w:rsidRDefault="0003549E" w:rsidP="0003549E">
      <w:pPr>
        <w:rPr>
          <w:rFonts w:ascii="Arial Narrow" w:hAnsi="Arial Narrow"/>
        </w:rPr>
      </w:pPr>
      <w:r w:rsidRPr="001C2B18">
        <w:rPr>
          <w:rFonts w:ascii="Arial Narrow" w:hAnsi="Arial Narrow"/>
        </w:rPr>
        <w:t xml:space="preserve">Analizând graficele de mai jos, se observă faptul că </w:t>
      </w:r>
      <w:r w:rsidRPr="001C2B18">
        <w:rPr>
          <w:rFonts w:ascii="Arial Narrow" w:hAnsi="Arial Narrow"/>
          <w:b/>
          <w:i/>
        </w:rPr>
        <w:t>peste o treime din firmele din domeniul IT (35%) au ca obiect de activitate ”Dezvoltarea de Produse Software”,</w:t>
      </w:r>
      <w:r w:rsidRPr="001C2B18">
        <w:rPr>
          <w:rFonts w:ascii="Arial Narrow" w:hAnsi="Arial Narrow"/>
        </w:rPr>
        <w:t xml:space="preserve"> de 3 ori mai multe decât cele din segmentul ”Alte Servicii IT” și de 2 ori mai multe decât cele din segmentul ”Întreținere și Reparații”.  </w:t>
      </w:r>
      <w:r w:rsidRPr="001C2B18">
        <w:rPr>
          <w:rFonts w:ascii="Arial Narrow" w:hAnsi="Arial Narrow"/>
          <w:b/>
          <w:i/>
        </w:rPr>
        <w:t>Aproape jumătate din cifra de afaceri din sectorul IT (48%) este adusă de dezvoltarea de produse software</w:t>
      </w:r>
      <w:r w:rsidRPr="001C2B18">
        <w:rPr>
          <w:rFonts w:ascii="Arial Narrow" w:hAnsi="Arial Narrow"/>
        </w:rPr>
        <w:t xml:space="preserve">, iar profitul depășește, anual, 260 de milioane de euro. La polul opus  se află cel de ”Întreținere și Reparații”, cu un profit de 11 ori mai mic. </w:t>
      </w:r>
    </w:p>
    <w:p w:rsidR="0003549E" w:rsidRPr="001C2B18" w:rsidRDefault="0003549E" w:rsidP="0003549E">
      <w:pPr>
        <w:rPr>
          <w:rFonts w:ascii="Arial Narrow" w:hAnsi="Arial Narrow"/>
          <w:shd w:val="clear" w:color="auto" w:fill="FFFFFF"/>
        </w:rPr>
      </w:pPr>
      <w:r>
        <w:rPr>
          <w:rFonts w:ascii="Arial Narrow" w:hAnsi="Arial Narrow"/>
          <w:noProof/>
          <w:shd w:val="clear" w:color="auto" w:fill="FFFFFF"/>
        </w:rPr>
        <w:drawing>
          <wp:inline distT="0" distB="0" distL="0" distR="0">
            <wp:extent cx="2819400" cy="2038350"/>
            <wp:effectExtent l="19050" t="19050" r="19050" b="19050"/>
            <wp:docPr id="49" name="Imagine 1" descr="C:\Users\veronica.constantin\Desktop\View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Users\veronica.constantin\Desktop\ViewDocument.jpg"/>
                    <pic:cNvPicPr>
                      <a:picLocks noChangeAspect="1" noChangeArrowheads="1"/>
                    </pic:cNvPicPr>
                  </pic:nvPicPr>
                  <pic:blipFill>
                    <a:blip r:embed="rId78"/>
                    <a:srcRect/>
                    <a:stretch>
                      <a:fillRect/>
                    </a:stretch>
                  </pic:blipFill>
                  <pic:spPr bwMode="auto">
                    <a:xfrm>
                      <a:off x="0" y="0"/>
                      <a:ext cx="2819400" cy="2038350"/>
                    </a:xfrm>
                    <a:prstGeom prst="rect">
                      <a:avLst/>
                    </a:prstGeom>
                    <a:noFill/>
                    <a:ln w="9525" cmpd="sng">
                      <a:solidFill>
                        <a:srgbClr val="0070C0"/>
                      </a:solidFill>
                      <a:miter lim="800000"/>
                      <a:headEnd/>
                      <a:tailEnd/>
                    </a:ln>
                    <a:effectLst/>
                  </pic:spPr>
                </pic:pic>
              </a:graphicData>
            </a:graphic>
          </wp:inline>
        </w:drawing>
      </w:r>
      <w:r w:rsidRPr="001C2B18">
        <w:rPr>
          <w:rFonts w:ascii="Arial Narrow" w:hAnsi="Arial Narrow"/>
          <w:shd w:val="clear" w:color="auto" w:fill="FFFFFF"/>
        </w:rPr>
        <w:t xml:space="preserve"> </w:t>
      </w:r>
      <w:r>
        <w:rPr>
          <w:rFonts w:ascii="Arial Narrow" w:hAnsi="Arial Narrow"/>
          <w:noProof/>
          <w:shd w:val="clear" w:color="auto" w:fill="FFFFFF"/>
        </w:rPr>
        <w:drawing>
          <wp:inline distT="0" distB="0" distL="0" distR="0">
            <wp:extent cx="2762250" cy="2028825"/>
            <wp:effectExtent l="19050" t="19050" r="19050" b="28575"/>
            <wp:docPr id="48" name="Imagine 2" descr="C:\Users\veronica.constantin\Desktop\View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veronica.constantin\Desktop\ViewDocument (1).jpg"/>
                    <pic:cNvPicPr>
                      <a:picLocks noChangeAspect="1" noChangeArrowheads="1"/>
                    </pic:cNvPicPr>
                  </pic:nvPicPr>
                  <pic:blipFill>
                    <a:blip r:embed="rId79"/>
                    <a:srcRect/>
                    <a:stretch>
                      <a:fillRect/>
                    </a:stretch>
                  </pic:blipFill>
                  <pic:spPr bwMode="auto">
                    <a:xfrm>
                      <a:off x="0" y="0"/>
                      <a:ext cx="2762250" cy="2028825"/>
                    </a:xfrm>
                    <a:prstGeom prst="rect">
                      <a:avLst/>
                    </a:prstGeom>
                    <a:noFill/>
                    <a:ln w="9525" cmpd="sng">
                      <a:solidFill>
                        <a:srgbClr val="0070C0"/>
                      </a:solidFill>
                      <a:miter lim="800000"/>
                      <a:headEnd/>
                      <a:tailEnd/>
                    </a:ln>
                    <a:effectLst/>
                  </pic:spPr>
                </pic:pic>
              </a:graphicData>
            </a:graphic>
          </wp:inline>
        </w:drawing>
      </w:r>
    </w:p>
    <w:p w:rsidR="0003549E" w:rsidRPr="001C2B18" w:rsidRDefault="0003549E" w:rsidP="0003549E">
      <w:pPr>
        <w:rPr>
          <w:rFonts w:ascii="Arial Narrow" w:hAnsi="Arial Narrow"/>
          <w:shd w:val="clear" w:color="auto" w:fill="FFFFFF"/>
        </w:rPr>
      </w:pPr>
      <w:r w:rsidRPr="001C2B18">
        <w:rPr>
          <w:rFonts w:ascii="Arial Narrow" w:hAnsi="Arial Narrow"/>
          <w:b/>
          <w:shd w:val="clear" w:color="auto" w:fill="FFFFFF"/>
        </w:rPr>
        <w:lastRenderedPageBreak/>
        <w:t>Grafic</w:t>
      </w:r>
      <w:r>
        <w:rPr>
          <w:rFonts w:ascii="Arial Narrow" w:hAnsi="Arial Narrow"/>
          <w:b/>
          <w:shd w:val="clear" w:color="auto" w:fill="FFFFFF"/>
        </w:rPr>
        <w:t xml:space="preserve"> nr.1 Segmentele sectorului IT î</w:t>
      </w:r>
      <w:r w:rsidRPr="001C2B18">
        <w:rPr>
          <w:rFonts w:ascii="Arial Narrow" w:hAnsi="Arial Narrow"/>
          <w:b/>
          <w:shd w:val="clear" w:color="auto" w:fill="FFFFFF"/>
        </w:rPr>
        <w:t>n funcție de numărul de firme, obiectul principal de activitate și cifra de afacere în 2012 (Sursa</w:t>
      </w:r>
      <w:r w:rsidRPr="001C2B18">
        <w:rPr>
          <w:rFonts w:ascii="Arial Narrow" w:hAnsi="Arial Narrow"/>
          <w:shd w:val="clear" w:color="auto" w:fill="FFFFFF"/>
        </w:rPr>
        <w:t>: KeysFin</w:t>
      </w:r>
      <w:r w:rsidRPr="001C2B18">
        <w:rPr>
          <w:rStyle w:val="Referinnotdesubsol"/>
          <w:rFonts w:ascii="Arial Narrow" w:hAnsi="Arial Narrow"/>
          <w:shd w:val="clear" w:color="auto" w:fill="FFFFFF"/>
        </w:rPr>
        <w:footnoteReference w:id="101"/>
      </w:r>
      <w:r w:rsidRPr="001C2B18">
        <w:rPr>
          <w:rFonts w:ascii="Arial Narrow" w:hAnsi="Arial Narrow"/>
          <w:shd w:val="clear" w:color="auto" w:fill="FFFFFF"/>
        </w:rPr>
        <w:t>)</w:t>
      </w:r>
    </w:p>
    <w:p w:rsidR="0003549E" w:rsidRDefault="0003549E" w:rsidP="0003549E">
      <w:pPr>
        <w:rPr>
          <w:rFonts w:ascii="Arial Narrow" w:hAnsi="Arial Narrow"/>
        </w:rPr>
      </w:pPr>
    </w:p>
    <w:p w:rsidR="0003549E" w:rsidRPr="001C2B18" w:rsidRDefault="00BD7229" w:rsidP="0003549E">
      <w:pPr>
        <w:rPr>
          <w:rFonts w:ascii="Arial Narrow" w:hAnsi="Arial Narrow"/>
        </w:rPr>
      </w:pPr>
      <w:r w:rsidRPr="00BD7229">
        <w:rPr>
          <w:noProof/>
        </w:rPr>
        <w:pict>
          <v:group id="_x0000_s1077" style="position:absolute;margin-left:345.5pt;margin-top:213.8pt;width:189.1pt;height:323.5pt;z-index:251702272;mso-width-percent:320;mso-position-horizontal-relative:page;mso-position-vertical-relative:page;mso-width-percent:320" coordsize="2475865,942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">
            <v:rect id="AutoShape 14" o:spid="_x0000_s1078" style="position:absolute;width:2475865;height:9059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zcUA&#10;AADbAAAADwAAAGRycy9kb3ducmV2LnhtbESPT2sCMRTE7wW/Q3iCF9FsVURWo4i2ULo91D8Hj8/N&#10;c3dx87IkUddv3xQKPQ4z8xtmsWpNLe7kfGVZweswAUGcW11xoeB4eB/MQPiArLG2TAqe5GG17Lws&#10;MNX2wTu670MhIoR9igrKEJpUSp+XZNAPbUMcvYt1BkOUrpDa4SPCTS1HSTKVBiuOCyU2tCkpv+5v&#10;RsHku3k790+fnG2/xhuZZVmx7Tulet12PQcRqA3/4b/2h1YwmsD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BPNxQAAANsAAAAPAAAAAAAAAAAAAAAAAJgCAABkcnMv&#10;ZG93bnJldi54bWxQSwUGAAAAAAQABAD1AAAAigMAAAAA&#10;" strokecolor="#948a54" strokeweight="1.25pt">
              <v:textbox inset="14.4pt,36pt,14.4pt,5.76pt">
                <w:txbxContent>
                  <w:p w:rsidR="00064502" w:rsidRDefault="00064502" w:rsidP="0003549E">
                    <w:pPr>
                      <w:pStyle w:val="Titlu1"/>
                      <w:spacing w:after="240"/>
                      <w:rPr>
                        <w:sz w:val="40"/>
                        <w:szCs w:val="40"/>
                      </w:rPr>
                    </w:pPr>
                    <w:r w:rsidRPr="00BD7229">
                      <w:rPr>
                        <w:noProof/>
                        <w:sz w:val="40"/>
                        <w:szCs w:val="40"/>
                      </w:rPr>
                      <w:pict>
                        <v:shape id="Imagine 41" o:spid="_x0000_i1036" type="#_x0000_t75" style="width:159.75pt;height:90pt;visibility:visible">
                          <v:imagedata r:id="rId80" o:title="Gibbous Splash1"/>
                        </v:shape>
                      </w:pict>
                    </w:r>
                  </w:p>
                  <w:p w:rsidR="00064502" w:rsidRPr="00415474" w:rsidRDefault="00064502" w:rsidP="0003549E">
                    <w:pPr>
                      <w:pStyle w:val="Titlu1"/>
                      <w:spacing w:after="240"/>
                      <w:rPr>
                        <w:rFonts w:ascii="Arial Narrow" w:hAnsi="Arial Narrow"/>
                        <w:b w:val="0"/>
                        <w:sz w:val="20"/>
                        <w:szCs w:val="20"/>
                      </w:rPr>
                    </w:pPr>
                    <w:hyperlink r:id="rId81" w:history="1">
                      <w:r w:rsidRPr="00E71309">
                        <w:rPr>
                          <w:rStyle w:val="Hyperlink"/>
                          <w:rFonts w:ascii="Arial Narrow" w:hAnsi="Arial Narrow"/>
                          <w:b w:val="0"/>
                          <w:sz w:val="20"/>
                          <w:szCs w:val="20"/>
                        </w:rPr>
                        <w:t>http://gibbousgame.com/</w:t>
                      </w:r>
                    </w:hyperlink>
                    <w:r>
                      <w:rPr>
                        <w:rFonts w:ascii="Arial Narrow" w:hAnsi="Arial Narrow"/>
                        <w:b w:val="0"/>
                        <w:sz w:val="20"/>
                        <w:szCs w:val="20"/>
                      </w:rPr>
                      <w:t xml:space="preserve"> </w:t>
                    </w:r>
                  </w:p>
                  <w:p w:rsidR="00064502" w:rsidRDefault="00064502" w:rsidP="0003549E">
                    <w:pPr>
                      <w:rPr>
                        <w:rFonts w:ascii="Arial Narrow" w:hAnsi="Arial Narrow"/>
                      </w:rPr>
                    </w:pPr>
                    <w:r w:rsidRPr="00415474">
                      <w:rPr>
                        <w:rFonts w:ascii="Arial Narrow" w:hAnsi="Arial Narrow"/>
                      </w:rPr>
                      <w:t xml:space="preserve">Este un joc online de aventura dezvoltat de atelierul indie Stuck In Attic din Targu Mures. In 5 Aprilie 2016 a demarat strangerea de fonduri pe platforma de crowd funding Kickstarter iar pana in 5 mai proiectul a strans aproape 54.000 USD de la 1929 de sustinatori. </w:t>
                    </w:r>
                    <w:hyperlink r:id="rId82" w:history="1">
                      <w:r w:rsidRPr="00E71309">
                        <w:rPr>
                          <w:rStyle w:val="Hyperlink"/>
                          <w:rFonts w:ascii="Arial Narrow" w:hAnsi="Arial Narrow"/>
                        </w:rPr>
                        <w:t>https://www.kickstarter.com/projects/777841902/gibbous-a-cthulhu-adventure?ref=discovery</w:t>
                      </w:r>
                    </w:hyperlink>
                    <w:r>
                      <w:rPr>
                        <w:rFonts w:ascii="Arial Narrow" w:hAnsi="Arial Narrow"/>
                      </w:rPr>
                      <w:t xml:space="preserve"> </w:t>
                    </w:r>
                  </w:p>
                  <w:p w:rsidR="00064502" w:rsidRPr="00415474" w:rsidRDefault="00064502" w:rsidP="0003549E">
                    <w:pPr>
                      <w:rPr>
                        <w:rFonts w:ascii="Arial Narrow" w:hAnsi="Arial Narrow"/>
                      </w:rPr>
                    </w:pPr>
                  </w:p>
                </w:txbxContent>
              </v:textbox>
            </v:rect>
            <v:rect id="Rectangle 45" o:spid="_x0000_s1079"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g9MEA&#10;AADbAAAADwAAAGRycy9kb3ducmV2LnhtbESPQYvCMBSE78L+h/AWvGm6Vcpam8oiu+BVq7DeHs2z&#10;LTYvpYla/70RBI/DzHzDZKvBtOJKvWssK/iaRiCIS6sbrhTsi7/JNwjnkTW2lknBnRys8o9Rhqm2&#10;N97SdecrESDsUlRQe9+lUrqyJoNuajvi4J1sb9AH2VdS93gLcNPKOIoSabDhsFBjR+uayvPuYhRw&#10;dCybRWyr/8LoQ/x7LJI5F0qNP4efJQhPg3+HX+2NVjBL4Pkl/A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r4PTBAAAA2wAAAA8AAAAAAAAAAAAAAAAAmAIAAGRycy9kb3du&#10;cmV2LnhtbFBLBQYAAAAABAAEAPUAAACGAwAAAAA=&#10;" fillcolor="#1f497d" stroked="f" strokeweight="2pt">
              <v:textbox inset="14.4pt,14.4pt,14.4pt,28.8pt">
                <w:txbxContent>
                  <w:p w:rsidR="00064502" w:rsidRPr="00577B90" w:rsidRDefault="00064502" w:rsidP="0003549E">
                    <w:pPr>
                      <w:spacing w:before="240"/>
                      <w:rPr>
                        <w:color w:val="FFFFFF"/>
                      </w:rPr>
                    </w:pPr>
                  </w:p>
                </w:txbxContent>
              </v:textbox>
            </v:rect>
            <v:rect id="Rectangle 46" o:spid="_x0000_s1080"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X3MEA&#10;AADbAAAADwAAAGRycy9kb3ducmV2LnhtbERPTWvCQBC9F/wPyxR6Ed0otkjqKlItFE9tlJ6H7DQJ&#10;ZmfT3TWm/945CD0+3vdqM7hW9RRi49nAbJqBIi69bbgycDq+T5agYkK22HomA38UYbMePawwt/7K&#10;X9QXqVISwjFHA3VKXa51LGtyGKe+IxbuxweHSWCotA14lXDX6nmWvWiHDUtDjR291VSei4szsNCh&#10;uHw3z/34WHyODzt/qn73Z2OeHoftK6hEQ/oX390fVnyyXr7ID9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V9zBAAAA2wAAAA8AAAAAAAAAAAAAAAAAmAIAAGRycy9kb3du&#10;cmV2LnhtbFBLBQYAAAAABAAEAPUAAACGAwAAAAA=&#10;" fillcolor="#4f81bd" stroked="f" strokeweight="2pt">
              <v:textbox inset="14.4pt,14.4pt,14.4pt,28.8pt">
                <w:txbxContent>
                  <w:p w:rsidR="00064502" w:rsidRPr="00577B90" w:rsidRDefault="00064502" w:rsidP="0003549E">
                    <w:pPr>
                      <w:spacing w:before="240"/>
                      <w:rPr>
                        <w:color w:val="FFFFFF"/>
                      </w:rPr>
                    </w:pPr>
                  </w:p>
                </w:txbxContent>
              </v:textbox>
            </v:rect>
            <w10:wrap type="square" anchorx="page" anchory="page"/>
          </v:group>
        </w:pict>
      </w:r>
      <w:r w:rsidR="0003549E" w:rsidRPr="001C2B18">
        <w:rPr>
          <w:rFonts w:ascii="Arial Narrow" w:hAnsi="Arial Narrow"/>
        </w:rPr>
        <w:t>În plus, cercetările realizate de KeysFin au mai pus în evidență faptul că firmele româneşti sau care au bază în România dezvoltă produse software în special pentru clienţii din străinătate. Acestea acoperă o gamă largă, de la software pentru aplicaţii web la produse complexe destinate unor linii in</w:t>
      </w:r>
      <w:r w:rsidR="0003549E">
        <w:rPr>
          <w:rFonts w:ascii="Arial Narrow" w:hAnsi="Arial Narrow"/>
        </w:rPr>
        <w:t xml:space="preserve">dustriale din diverse domenii. </w:t>
      </w:r>
      <w:r w:rsidR="0003549E" w:rsidRPr="001C2B18">
        <w:rPr>
          <w:rFonts w:ascii="Arial Narrow" w:hAnsi="Arial Narrow"/>
        </w:rPr>
        <w:t xml:space="preserve">În ceea ce privește repartiția spațială la nivel național, </w:t>
      </w:r>
      <w:r w:rsidR="0003549E" w:rsidRPr="001C2B18">
        <w:rPr>
          <w:rFonts w:ascii="Arial Narrow" w:hAnsi="Arial Narrow"/>
          <w:b/>
          <w:i/>
        </w:rPr>
        <w:t>4 din 10 companii IT sunt localizate în Bucureşti, urmat de judeţele Cluj, Timiş şi Braşov</w:t>
      </w:r>
      <w:r w:rsidR="0003549E" w:rsidRPr="001C2B18">
        <w:rPr>
          <w:rFonts w:ascii="Arial Narrow" w:hAnsi="Arial Narrow"/>
        </w:rPr>
        <w:t xml:space="preserve">.  </w:t>
      </w:r>
    </w:p>
    <w:p w:rsidR="0003549E" w:rsidRPr="001C2B18" w:rsidRDefault="0003549E" w:rsidP="0003549E">
      <w:pPr>
        <w:rPr>
          <w:rFonts w:ascii="Arial Narrow" w:hAnsi="Arial Narrow"/>
        </w:rPr>
      </w:pPr>
      <w:r w:rsidRPr="001C2B18">
        <w:rPr>
          <w:rFonts w:ascii="Arial Narrow" w:hAnsi="Arial Narrow"/>
        </w:rPr>
        <w:t xml:space="preserve">Este important de menționat faptul că </w:t>
      </w:r>
      <w:r w:rsidRPr="001C2B18">
        <w:rPr>
          <w:rFonts w:ascii="Arial Narrow" w:hAnsi="Arial Narrow"/>
          <w:b/>
          <w:i/>
        </w:rPr>
        <w:t>în plină criză economică, sectorul IT din România a fost singurul sector economic</w:t>
      </w:r>
      <w:r w:rsidRPr="001C2B18">
        <w:rPr>
          <w:rFonts w:ascii="Arial Narrow" w:hAnsi="Arial Narrow"/>
          <w:i/>
        </w:rPr>
        <w:t xml:space="preserve"> </w:t>
      </w:r>
      <w:r w:rsidRPr="001C2B18">
        <w:rPr>
          <w:rFonts w:ascii="Arial Narrow" w:hAnsi="Arial Narrow"/>
          <w:b/>
          <w:i/>
        </w:rPr>
        <w:t>în care nu s-a recurs la concedieri</w:t>
      </w:r>
      <w:r w:rsidRPr="001C2B18">
        <w:rPr>
          <w:rFonts w:ascii="Arial Narrow" w:hAnsi="Arial Narrow"/>
        </w:rPr>
        <w:t xml:space="preserve">. In plus, în 2012 față de anul 2008 s-a înregistrat </w:t>
      </w:r>
      <w:r w:rsidRPr="001C2B18">
        <w:rPr>
          <w:rFonts w:ascii="Arial Narrow" w:hAnsi="Arial Narrow"/>
          <w:b/>
          <w:i/>
        </w:rPr>
        <w:t>o creștere a numărului de salariați cu 30%.</w:t>
      </w:r>
      <w:r w:rsidRPr="001C2B18">
        <w:rPr>
          <w:rFonts w:ascii="Arial Narrow" w:hAnsi="Arial Narrow"/>
        </w:rPr>
        <w:t xml:space="preserve"> </w:t>
      </w:r>
      <w:r w:rsidRPr="001C2B18">
        <w:rPr>
          <w:rStyle w:val="Referinnotdesubsol"/>
          <w:rFonts w:ascii="Arial Narrow" w:hAnsi="Arial Narrow"/>
        </w:rPr>
        <w:footnoteReference w:id="102"/>
      </w:r>
      <w:r w:rsidRPr="001C2B18">
        <w:rPr>
          <w:rFonts w:ascii="Arial Narrow" w:hAnsi="Arial Narrow"/>
        </w:rPr>
        <w:t xml:space="preserve">(284000 de persoane în 2012). În plus, potrivit datelor statistice de la Institutul Național de Statistică, salariile angajaților din domeniul IT au crescut cu 54% în perioada de recesiune economică 2008-2012, salariul mediu net ajungând la 870 de euro, fiind de 2,5 ori mai mare decât media pe economie. Se anticipează că tendința de va păstra întrucât foarte mulți angajatori scot la concurs locuri de muncă provenind din sectorul IT.  </w:t>
      </w:r>
    </w:p>
    <w:p w:rsidR="0003549E" w:rsidRPr="001C2B18" w:rsidRDefault="0003549E" w:rsidP="0003549E">
      <w:pPr>
        <w:rPr>
          <w:rFonts w:ascii="Arial Narrow" w:hAnsi="Arial Narrow"/>
        </w:rPr>
      </w:pPr>
      <w:r w:rsidRPr="001C2B18">
        <w:rPr>
          <w:rFonts w:ascii="Arial Narrow" w:hAnsi="Arial Narrow"/>
        </w:rPr>
        <w:t>Conform datelor BNR</w:t>
      </w:r>
      <w:r>
        <w:rPr>
          <w:rStyle w:val="Referinnotdesubsol"/>
          <w:rFonts w:ascii="Arial Narrow" w:hAnsi="Arial Narrow"/>
        </w:rPr>
        <w:footnoteReference w:id="103"/>
      </w:r>
      <w:r w:rsidRPr="001C2B18">
        <w:rPr>
          <w:rFonts w:ascii="Arial Narrow" w:hAnsi="Arial Narrow"/>
        </w:rPr>
        <w:t xml:space="preserve">, în anul 2013 </w:t>
      </w:r>
      <w:r w:rsidRPr="001C2B18">
        <w:rPr>
          <w:rFonts w:ascii="Arial Narrow" w:hAnsi="Arial Narrow"/>
          <w:b/>
          <w:i/>
        </w:rPr>
        <w:t>industria IT s-a clasat pe locul al 2-lea în clasamentul domeniilor exportatoare de servicii</w:t>
      </w:r>
      <w:r w:rsidRPr="001C2B18">
        <w:rPr>
          <w:rFonts w:ascii="Arial Narrow" w:hAnsi="Arial Narrow"/>
        </w:rPr>
        <w:t xml:space="preserve">, înregistrând un total de 1,4 miliarde de euro din exportul serviciilor informatice, cu 27% mai mult față de anul anterior. </w:t>
      </w:r>
      <w:r>
        <w:rPr>
          <w:rFonts w:ascii="Arial Narrow" w:hAnsi="Arial Narrow"/>
        </w:rPr>
        <w:t xml:space="preserve">Valoarea acestor exporturi a continuat sa creasca, inregistrand in anul 2014 aproape 1,78 miliarde euro iar in anul 2015, potrivit aceleiasi surse, exportul a ajuns la aproape 2,15 miliarde euro. Primele 6 luni ale anului 2016 au insemnat un export de servicii informatice si informationale in valoare de 1,053 miliarde euro.  </w:t>
      </w:r>
    </w:p>
    <w:p w:rsidR="0003549E" w:rsidRDefault="0003549E" w:rsidP="0003549E">
      <w:pPr>
        <w:rPr>
          <w:rFonts w:ascii="Arial Narrow" w:hAnsi="Arial Narrow"/>
          <w:b/>
          <w:i/>
        </w:rPr>
      </w:pPr>
    </w:p>
    <w:p w:rsidR="0003549E" w:rsidRPr="001C2B18" w:rsidRDefault="0003549E" w:rsidP="0003549E">
      <w:pPr>
        <w:spacing w:after="0"/>
        <w:rPr>
          <w:rFonts w:ascii="Arial Narrow" w:hAnsi="Arial Narrow"/>
        </w:rPr>
      </w:pPr>
      <w:r w:rsidRPr="001C2B18">
        <w:rPr>
          <w:rFonts w:ascii="Arial Narrow" w:hAnsi="Arial Narrow"/>
          <w:b/>
          <w:i/>
        </w:rPr>
        <w:t>Valoarea adăugată adusă în economie de dezvoltarea sectorului IT&amp;C</w:t>
      </w:r>
      <w:r w:rsidRPr="001C2B18">
        <w:rPr>
          <w:rFonts w:ascii="Arial Narrow" w:hAnsi="Arial Narrow"/>
        </w:rPr>
        <w:t xml:space="preserve"> se traduce într-o contribuție semnificativă la Produsul Intern Brut (PIB), o creștere a competențelor în cadrul companiilor, un impact pozitiv asupra ratei de ocupare a forței de muncă și în creșterea productivității și a gradului de inovare industrială. </w:t>
      </w:r>
      <w:r w:rsidRPr="001C2B18">
        <w:rPr>
          <w:rFonts w:ascii="Arial Narrow" w:hAnsi="Arial Narrow"/>
          <w:b/>
          <w:i/>
        </w:rPr>
        <w:t>Printre diferitele segmente care alcătuiesc sectorul IT&amp;C, industria software este unul dintre cele mai</w:t>
      </w:r>
      <w:r>
        <w:rPr>
          <w:rFonts w:ascii="Arial Narrow" w:hAnsi="Arial Narrow"/>
          <w:b/>
          <w:i/>
        </w:rPr>
        <w:t xml:space="preserve"> d</w:t>
      </w:r>
      <w:r w:rsidRPr="001C2B18">
        <w:rPr>
          <w:rFonts w:ascii="Arial Narrow" w:hAnsi="Arial Narrow"/>
          <w:b/>
          <w:i/>
        </w:rPr>
        <w:t>inamice</w:t>
      </w:r>
      <w:r w:rsidRPr="001C2B18">
        <w:rPr>
          <w:rFonts w:ascii="Arial Narrow" w:hAnsi="Arial Narrow"/>
        </w:rPr>
        <w:t>, mai mult ca oricând într-o piață care se mută către cloud, mobilitate și celelalte tendințe tehnologice cu efect transformator în economie.</w:t>
      </w:r>
      <w:r w:rsidRPr="001C2B18">
        <w:rPr>
          <w:rStyle w:val="Referinnotdesubsol"/>
          <w:rFonts w:ascii="Arial Narrow" w:hAnsi="Arial Narrow"/>
        </w:rPr>
        <w:footnoteReference w:id="104"/>
      </w:r>
    </w:p>
    <w:p w:rsidR="0003549E" w:rsidRDefault="0003549E" w:rsidP="0003549E">
      <w:pPr>
        <w:rPr>
          <w:rFonts w:ascii="Arial Narrow" w:hAnsi="Arial Narrow"/>
        </w:rPr>
      </w:pPr>
      <w:r w:rsidRPr="001C2B18">
        <w:rPr>
          <w:rFonts w:ascii="Arial Narrow" w:hAnsi="Arial Narrow"/>
          <w:b/>
          <w:i/>
        </w:rPr>
        <w:lastRenderedPageBreak/>
        <w:t>România prezintă un potențial ridicat de a deveni o adevărată forță în industria IT, sectorul IT având posibilitatea de a fi motorul unei economii viabile</w:t>
      </w:r>
      <w:r w:rsidRPr="001C2B18">
        <w:rPr>
          <w:rFonts w:ascii="Arial Narrow" w:hAnsi="Arial Narrow"/>
          <w:b/>
        </w:rPr>
        <w:t xml:space="preserve">. </w:t>
      </w:r>
      <w:r w:rsidRPr="001C2B18">
        <w:rPr>
          <w:rFonts w:ascii="Arial Narrow" w:hAnsi="Arial Narrow"/>
        </w:rPr>
        <w:t>Acest lucru e susținut de numărul mare și de înaltă competență a specialiștilor în domeniu, dar și de numeroasele start-up-uri de succes. În plus, România are cel puțin 3 avantaje pentru a deveni lider în domeniul IT l</w:t>
      </w:r>
      <w:r>
        <w:rPr>
          <w:rFonts w:ascii="Arial Narrow" w:hAnsi="Arial Narrow"/>
        </w:rPr>
        <w:t xml:space="preserve">a nivelul Europei de Sud-Est. </w:t>
      </w:r>
      <w:r w:rsidRPr="001C2B18">
        <w:rPr>
          <w:rFonts w:ascii="Arial Narrow" w:hAnsi="Arial Narrow"/>
        </w:rPr>
        <w:t>În primul rând, țara noastră se afla pe locul al cincilea în lume în ceea ce privește viteza de Internet, conform Bloomberg. Mai mult, costurile sunt de cinci ori mai mici decât în statele vestice. Forța de muncă înalt calificată în domeniul IT rămâne, totuși, atuul principal al României. (Sursa: Forbes</w:t>
      </w:r>
      <w:r w:rsidRPr="001C2B18">
        <w:rPr>
          <w:rStyle w:val="Referinnotdesubsol"/>
          <w:rFonts w:ascii="Arial Narrow" w:hAnsi="Arial Narrow"/>
        </w:rPr>
        <w:footnoteReference w:id="105"/>
      </w:r>
      <w:r w:rsidRPr="001C2B18">
        <w:rPr>
          <w:rFonts w:ascii="Arial Narrow" w:hAnsi="Arial Narrow"/>
        </w:rPr>
        <w:t>, martie 2014).</w:t>
      </w:r>
      <w:r>
        <w:rPr>
          <w:rFonts w:ascii="Arial Narrow" w:hAnsi="Arial Narrow"/>
        </w:rPr>
        <w:t xml:space="preserve"> Sectorul IT este, de altfel, privit ca unul din sectoarele strategice de crestere de catre Guvernul Romaniei care, prin </w:t>
      </w:r>
      <w:r w:rsidRPr="00BA4DDE">
        <w:rPr>
          <w:rFonts w:ascii="Arial Narrow" w:hAnsi="Arial Narrow"/>
        </w:rPr>
        <w:t>Departamentul pentru Investitii Straine si Parteneriat Public Privat</w:t>
      </w:r>
      <w:r>
        <w:rPr>
          <w:rFonts w:ascii="Arial Narrow" w:hAnsi="Arial Narrow"/>
        </w:rPr>
        <w:t xml:space="preserve">, gestioneaza initiativa InvestRomania. Conform site-ului </w:t>
      </w:r>
      <w:hyperlink r:id="rId83" w:history="1">
        <w:r w:rsidRPr="00C700A5">
          <w:rPr>
            <w:rStyle w:val="Hyperlink"/>
            <w:rFonts w:ascii="Arial Narrow" w:hAnsi="Arial Narrow"/>
          </w:rPr>
          <w:t>http://investromania.gov.ro/</w:t>
        </w:r>
      </w:hyperlink>
      <w:r>
        <w:rPr>
          <w:rStyle w:val="Referinnotdesubsol"/>
          <w:rFonts w:ascii="Arial Narrow" w:hAnsi="Arial Narrow"/>
        </w:rPr>
        <w:footnoteReference w:id="106"/>
      </w:r>
      <w:r>
        <w:rPr>
          <w:rFonts w:ascii="Arial Narrow" w:hAnsi="Arial Narrow"/>
        </w:rPr>
        <w:t>, capitalul uman din domeniul IT creste in fiecare an cu peste 7000 de absolventi de universitate, valoarea prevazuta pentru 2018 fiind de peste 100.000 de persoane, ceea ce plaseaza Romania inaintea SUA, India, China sau Rusia la numar de ingineri / capita.</w:t>
      </w:r>
    </w:p>
    <w:p w:rsidR="0003549E" w:rsidRDefault="0003549E" w:rsidP="0003549E">
      <w:pPr>
        <w:spacing w:after="0"/>
        <w:rPr>
          <w:rFonts w:ascii="Arial Narrow" w:hAnsi="Arial Narrow"/>
        </w:rPr>
      </w:pPr>
      <w:r w:rsidRPr="00BA4DDE">
        <w:rPr>
          <w:rFonts w:ascii="Arial Narrow" w:hAnsi="Arial Narrow"/>
        </w:rPr>
        <w:t>Departamentul pentru Investitii Straine si Parteneriat Public Privat</w:t>
      </w:r>
      <w:r>
        <w:rPr>
          <w:rFonts w:ascii="Arial Narrow" w:hAnsi="Arial Narrow"/>
        </w:rPr>
        <w:t xml:space="preserve"> nominalizeaza separat industriile creative si culturale ca fiind un alt domeniu de dezvoltare strategic pentru Romania insa daca este sa privim ponderile economice ale diverselor activitati care compuns acest sector in intelesul larg al notiunii (incluzand si ITC), pot fi identificate activitati care au crescut substantial precum si activitati pentru care scaderile au fost dramatice. Aceste evidente rezulta din analiza Institutului European din Romania asupra industriilor creative</w:t>
      </w:r>
      <w:r>
        <w:rPr>
          <w:rStyle w:val="Referinnotdesubsol"/>
          <w:rFonts w:ascii="Arial Narrow" w:hAnsi="Arial Narrow"/>
        </w:rPr>
        <w:footnoteReference w:id="107"/>
      </w:r>
      <w:r>
        <w:rPr>
          <w:rFonts w:ascii="Arial Narrow" w:hAnsi="Arial Narrow"/>
        </w:rPr>
        <w:t xml:space="preserve"> si sunt sumarizate in continuare.</w:t>
      </w:r>
    </w:p>
    <w:p w:rsidR="0003549E" w:rsidRDefault="0003549E" w:rsidP="0003549E">
      <w:pPr>
        <w:rPr>
          <w:rFonts w:ascii="Arial Narrow" w:hAnsi="Arial Narrow"/>
        </w:rPr>
      </w:pPr>
      <w:r>
        <w:rPr>
          <w:rFonts w:ascii="Arial Narrow" w:hAnsi="Arial Narrow"/>
          <w:noProof/>
        </w:rPr>
        <w:drawing>
          <wp:anchor distT="0" distB="0" distL="114300" distR="114300" simplePos="0" relativeHeight="251700224" behindDoc="0" locked="0" layoutInCell="1" allowOverlap="1">
            <wp:simplePos x="0" y="0"/>
            <wp:positionH relativeFrom="column">
              <wp:posOffset>-13970</wp:posOffset>
            </wp:positionH>
            <wp:positionV relativeFrom="paragraph">
              <wp:posOffset>71120</wp:posOffset>
            </wp:positionV>
            <wp:extent cx="3714750" cy="2047875"/>
            <wp:effectExtent l="19050" t="0" r="19050" b="0"/>
            <wp:wrapSquare wrapText="bothSides"/>
            <wp:docPr id="51" name="Diagramă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Pr>
          <w:rFonts w:ascii="Arial Narrow" w:hAnsi="Arial Narrow"/>
        </w:rPr>
        <w:t xml:space="preserve">Din prezentarea grafica rezulta ca SCC s-au dezvoltat mai accelerat in Romania dacat in UE 27, contributia la VAB crescand de la 4,15% in 2009  la 5.69% in 2012 si 6.45% in 2013, in timp ce, in UE 27, contributia la VAB a ajuns la numai 5.1 in 2012 iar pentru 2013 nu avem date. Relevant este insa si faptul ca ambele tendinte sunt ascendente. </w:t>
      </w:r>
    </w:p>
    <w:p w:rsidR="0003549E" w:rsidRDefault="0003549E" w:rsidP="0003549E">
      <w:pPr>
        <w:rPr>
          <w:rFonts w:ascii="Arial Narrow" w:hAnsi="Arial Narrow"/>
        </w:rPr>
      </w:pPr>
    </w:p>
    <w:p w:rsidR="0003549E" w:rsidRDefault="0003549E" w:rsidP="0003549E">
      <w:pPr>
        <w:rPr>
          <w:rFonts w:ascii="Arial Narrow" w:hAnsi="Arial Narrow"/>
        </w:rPr>
      </w:pPr>
      <w:r>
        <w:rPr>
          <w:rFonts w:ascii="Arial Narrow" w:hAnsi="Arial Narrow"/>
        </w:rPr>
        <w:t>In Romania, intre 2009 si 2013</w:t>
      </w:r>
      <w:r w:rsidRPr="001A13AF">
        <w:rPr>
          <w:rFonts w:ascii="Arial Narrow" w:hAnsi="Arial Narrow"/>
        </w:rPr>
        <w:t>, industria cea mai semnificativă în ceea ce privește valoarea</w:t>
      </w:r>
      <w:r>
        <w:rPr>
          <w:rFonts w:ascii="Arial Narrow" w:hAnsi="Arial Narrow"/>
        </w:rPr>
        <w:t xml:space="preserve"> </w:t>
      </w:r>
      <w:r w:rsidRPr="001A13AF">
        <w:rPr>
          <w:rFonts w:ascii="Arial Narrow" w:hAnsi="Arial Narrow"/>
        </w:rPr>
        <w:t>adăugată brută creată a fost industria Programării pe calculator, a consultanței și a activității de</w:t>
      </w:r>
      <w:r>
        <w:rPr>
          <w:rFonts w:ascii="Arial Narrow" w:hAnsi="Arial Narrow"/>
        </w:rPr>
        <w:t xml:space="preserve"> </w:t>
      </w:r>
      <w:r w:rsidRPr="001A13AF">
        <w:rPr>
          <w:rFonts w:ascii="Arial Narrow" w:hAnsi="Arial Narrow"/>
        </w:rPr>
        <w:t>servicii informaționale, având cea mai mare pondere în totalul sectoarelor culturale și creative. În</w:t>
      </w:r>
      <w:r>
        <w:rPr>
          <w:rFonts w:ascii="Arial Narrow" w:hAnsi="Arial Narrow"/>
        </w:rPr>
        <w:t xml:space="preserve"> </w:t>
      </w:r>
      <w:r w:rsidRPr="001A13AF">
        <w:rPr>
          <w:rFonts w:ascii="Arial Narrow" w:hAnsi="Arial Narrow"/>
        </w:rPr>
        <w:t>cei 5 ani, această pondere a acestui sector în totalul SCC a avut o dezvoltare</w:t>
      </w:r>
      <w:r>
        <w:rPr>
          <w:rFonts w:ascii="Arial Narrow" w:hAnsi="Arial Narrow"/>
        </w:rPr>
        <w:t xml:space="preserve"> </w:t>
      </w:r>
      <w:r w:rsidRPr="001A13AF">
        <w:rPr>
          <w:rFonts w:ascii="Arial Narrow" w:hAnsi="Arial Narrow"/>
        </w:rPr>
        <w:t>impresionantă, crescând cu 35,8%, pornind de la 41,9% în 2009, și ajungând la 57,0% în 2013.</w:t>
      </w:r>
      <w:r>
        <w:rPr>
          <w:rFonts w:ascii="Arial Narrow" w:hAnsi="Arial Narrow"/>
        </w:rPr>
        <w:t xml:space="preserve"> </w:t>
      </w:r>
      <w:r w:rsidRPr="001A13AF">
        <w:rPr>
          <w:rFonts w:ascii="Arial Narrow" w:hAnsi="Arial Narrow"/>
        </w:rPr>
        <w:t>Următorul sector cu o contribuție puternică la valoarea adăugată brută generată de SCC este</w:t>
      </w:r>
      <w:r>
        <w:rPr>
          <w:rFonts w:ascii="Arial Narrow" w:hAnsi="Arial Narrow"/>
        </w:rPr>
        <w:t xml:space="preserve"> </w:t>
      </w:r>
      <w:r w:rsidRPr="001A13AF">
        <w:rPr>
          <w:rFonts w:ascii="Arial Narrow" w:hAnsi="Arial Narrow"/>
        </w:rPr>
        <w:t>Activități creative, artistice și de divertisment; biblioteci, arhive, muzee și alte activități</w:t>
      </w:r>
      <w:r>
        <w:rPr>
          <w:rFonts w:ascii="Arial Narrow" w:hAnsi="Arial Narrow"/>
        </w:rPr>
        <w:t xml:space="preserve"> </w:t>
      </w:r>
      <w:r w:rsidRPr="001A13AF">
        <w:rPr>
          <w:rFonts w:ascii="Arial Narrow" w:hAnsi="Arial Narrow"/>
        </w:rPr>
        <w:t>culturale; activități de pariuri și jocuri de noroc, având o evoluție fluctuantă pe parcursul</w:t>
      </w:r>
      <w:r>
        <w:rPr>
          <w:rFonts w:ascii="Arial Narrow" w:hAnsi="Arial Narrow"/>
        </w:rPr>
        <w:t xml:space="preserve"> </w:t>
      </w:r>
      <w:r w:rsidRPr="001A13AF">
        <w:rPr>
          <w:rFonts w:ascii="Arial Narrow" w:hAnsi="Arial Narrow"/>
        </w:rPr>
        <w:t>intervalului analizat, însă înregistrând o creștere evidentă (44,7%) per total: 14,5% în 2009 și</w:t>
      </w:r>
      <w:r>
        <w:rPr>
          <w:rFonts w:ascii="Arial Narrow" w:hAnsi="Arial Narrow"/>
        </w:rPr>
        <w:t xml:space="preserve"> </w:t>
      </w:r>
      <w:r w:rsidRPr="001A13AF">
        <w:rPr>
          <w:rFonts w:ascii="Arial Narrow" w:hAnsi="Arial Narrow"/>
        </w:rPr>
        <w:t>21% în 2013.</w:t>
      </w:r>
      <w:r>
        <w:rPr>
          <w:rFonts w:ascii="Arial Narrow" w:hAnsi="Arial Narrow"/>
        </w:rPr>
        <w:t xml:space="preserve"> R</w:t>
      </w:r>
      <w:r w:rsidRPr="001A13AF">
        <w:rPr>
          <w:rFonts w:ascii="Arial Narrow" w:hAnsi="Arial Narrow"/>
        </w:rPr>
        <w:t>estul subdomeniilor au suferit scăderi ale ponderii lor în totalul valorii adăugate</w:t>
      </w:r>
      <w:r>
        <w:rPr>
          <w:rFonts w:ascii="Arial Narrow" w:hAnsi="Arial Narrow"/>
        </w:rPr>
        <w:t xml:space="preserve"> </w:t>
      </w:r>
      <w:r w:rsidRPr="001A13AF">
        <w:rPr>
          <w:rFonts w:ascii="Arial Narrow" w:hAnsi="Arial Narrow"/>
        </w:rPr>
        <w:t>brute create de sectoarele culturale și creative. Astfel, activitățile de Tipărire și copiere a</w:t>
      </w:r>
      <w:r>
        <w:rPr>
          <w:rFonts w:ascii="Arial Narrow" w:hAnsi="Arial Narrow"/>
        </w:rPr>
        <w:t xml:space="preserve"> </w:t>
      </w:r>
      <w:r w:rsidRPr="001A13AF">
        <w:rPr>
          <w:rFonts w:ascii="Arial Narrow" w:hAnsi="Arial Narrow"/>
        </w:rPr>
        <w:t>înregistrărilor au scăzut cu 47,6%, de la 10,4% la 5,4%, Editarea și producția cinematografică,</w:t>
      </w:r>
      <w:r>
        <w:rPr>
          <w:rFonts w:ascii="Arial Narrow" w:hAnsi="Arial Narrow"/>
        </w:rPr>
        <w:t xml:space="preserve"> </w:t>
      </w:r>
      <w:r w:rsidRPr="001A13AF">
        <w:rPr>
          <w:rFonts w:ascii="Arial Narrow" w:hAnsi="Arial Narrow"/>
        </w:rPr>
        <w:t>video și a programelor TV; Activitățile de înregistrare audio, programare și radio au suferit un</w:t>
      </w:r>
      <w:r>
        <w:rPr>
          <w:rFonts w:ascii="Arial Narrow" w:hAnsi="Arial Narrow"/>
        </w:rPr>
        <w:t xml:space="preserve"> </w:t>
      </w:r>
      <w:r w:rsidRPr="001A13AF">
        <w:rPr>
          <w:rFonts w:ascii="Arial Narrow" w:hAnsi="Arial Narrow"/>
        </w:rPr>
        <w:t xml:space="preserve">declin de 38,7%, de la o </w:t>
      </w:r>
      <w:r w:rsidRPr="001A13AF">
        <w:rPr>
          <w:rFonts w:ascii="Arial Narrow" w:hAnsi="Arial Narrow"/>
        </w:rPr>
        <w:lastRenderedPageBreak/>
        <w:t>pondere de 14,5%, la una de 8,9%, iar industria Publicității și a</w:t>
      </w:r>
      <w:r>
        <w:rPr>
          <w:rFonts w:ascii="Arial Narrow" w:hAnsi="Arial Narrow"/>
        </w:rPr>
        <w:t xml:space="preserve"> </w:t>
      </w:r>
      <w:r w:rsidRPr="001A13AF">
        <w:rPr>
          <w:rFonts w:ascii="Arial Narrow" w:hAnsi="Arial Narrow"/>
        </w:rPr>
        <w:t>cercetării de piață a resimțit și ea o scădere dramatică de 58,8%, pornind de la o pondere de</w:t>
      </w:r>
      <w:r>
        <w:rPr>
          <w:rFonts w:ascii="Arial Narrow" w:hAnsi="Arial Narrow"/>
        </w:rPr>
        <w:t xml:space="preserve"> </w:t>
      </w:r>
      <w:r w:rsidRPr="001A13AF">
        <w:rPr>
          <w:rFonts w:ascii="Arial Narrow" w:hAnsi="Arial Narrow"/>
        </w:rPr>
        <w:t>18,6% în 2009 și însumând doar 7,7% în 2013.</w:t>
      </w:r>
    </w:p>
    <w:p w:rsidR="0003549E" w:rsidRDefault="0003549E" w:rsidP="0003549E">
      <w:pPr>
        <w:rPr>
          <w:rFonts w:ascii="Arial Narrow" w:hAnsi="Arial Narrow"/>
        </w:rPr>
      </w:pPr>
      <w:r w:rsidRPr="00282615">
        <w:rPr>
          <w:rFonts w:ascii="Arial Narrow" w:hAnsi="Arial Narrow"/>
        </w:rPr>
        <w:t xml:space="preserve">Analiza ponderii SCC în economie pe baza datelor micro la nivel de firmă </w:t>
      </w:r>
      <w:r>
        <w:rPr>
          <w:rFonts w:ascii="Arial Narrow" w:hAnsi="Arial Narrow"/>
        </w:rPr>
        <w:t xml:space="preserve">realizata de IER </w:t>
      </w:r>
      <w:r w:rsidRPr="00282615">
        <w:rPr>
          <w:rFonts w:ascii="Arial Narrow" w:hAnsi="Arial Narrow"/>
        </w:rPr>
        <w:t>ne aduce o</w:t>
      </w:r>
      <w:r>
        <w:rPr>
          <w:rFonts w:ascii="Arial Narrow" w:hAnsi="Arial Narrow"/>
        </w:rPr>
        <w:t xml:space="preserve"> </w:t>
      </w:r>
      <w:r w:rsidRPr="00282615">
        <w:rPr>
          <w:rFonts w:ascii="Arial Narrow" w:hAnsi="Arial Narrow"/>
        </w:rPr>
        <w:t>perspectivă defalcată a contribuției fiecărui sub-sector în parte la economia românească. În cele</w:t>
      </w:r>
      <w:r>
        <w:rPr>
          <w:rFonts w:ascii="Arial Narrow" w:hAnsi="Arial Narrow"/>
        </w:rPr>
        <w:t xml:space="preserve"> </w:t>
      </w:r>
      <w:r w:rsidRPr="00282615">
        <w:rPr>
          <w:rFonts w:ascii="Arial Narrow" w:hAnsi="Arial Narrow"/>
        </w:rPr>
        <w:t>ce urmează, vom prezenta ierarhiile</w:t>
      </w:r>
      <w:r>
        <w:rPr>
          <w:rFonts w:ascii="Arial Narrow" w:hAnsi="Arial Narrow"/>
        </w:rPr>
        <w:t xml:space="preserve"> realizate de IER a</w:t>
      </w:r>
      <w:r w:rsidRPr="00282615">
        <w:rPr>
          <w:rFonts w:ascii="Arial Narrow" w:hAnsi="Arial Narrow"/>
        </w:rPr>
        <w:t xml:space="preserve"> acestor sub-sectoare în funcție de numărul de firme, de</w:t>
      </w:r>
      <w:r>
        <w:rPr>
          <w:rFonts w:ascii="Arial Narrow" w:hAnsi="Arial Narrow"/>
        </w:rPr>
        <w:t xml:space="preserve"> </w:t>
      </w:r>
      <w:r w:rsidRPr="00282615">
        <w:rPr>
          <w:rFonts w:ascii="Arial Narrow" w:hAnsi="Arial Narrow"/>
        </w:rPr>
        <w:t>ocupare și de cifra de afaceri generată. Având în vedere numărul mare de sub-sectoare (45),</w:t>
      </w:r>
      <w:r>
        <w:rPr>
          <w:rFonts w:ascii="Arial Narrow" w:hAnsi="Arial Narrow"/>
        </w:rPr>
        <w:t xml:space="preserve"> </w:t>
      </w:r>
      <w:r w:rsidRPr="00282615">
        <w:rPr>
          <w:rFonts w:ascii="Arial Narrow" w:hAnsi="Arial Narrow"/>
        </w:rPr>
        <w:t>topurile vor lua în calcul doar acele sub-sectoare care au o contribuție mai mare de un prag</w:t>
      </w:r>
      <w:r>
        <w:rPr>
          <w:rFonts w:ascii="Arial Narrow" w:hAnsi="Arial Narrow"/>
        </w:rPr>
        <w:t xml:space="preserve"> </w:t>
      </w:r>
      <w:r w:rsidRPr="00282615">
        <w:rPr>
          <w:rFonts w:ascii="Arial Narrow" w:hAnsi="Arial Narrow"/>
        </w:rPr>
        <w:t>convențional de 1% ca pondere în total SCC.</w:t>
      </w:r>
    </w:p>
    <w:p w:rsidR="0003549E" w:rsidRDefault="0003549E" w:rsidP="0003549E">
      <w:pPr>
        <w:rPr>
          <w:rFonts w:ascii="Arial Narrow" w:hAnsi="Arial Narrow"/>
        </w:rPr>
      </w:pPr>
      <w:r w:rsidRPr="004D6E21">
        <w:rPr>
          <w:rFonts w:ascii="Arial Narrow" w:hAnsi="Arial Narrow"/>
          <w:b/>
          <w:sz w:val="20"/>
          <w:szCs w:val="20"/>
        </w:rPr>
        <w:t>Ierarhia codurilor CAEN de SCC în funcție de numărul de firme active (2014) (sursa IER)</w:t>
      </w:r>
    </w:p>
    <w:p w:rsidR="0003549E" w:rsidRPr="004D6E21" w:rsidRDefault="0003549E" w:rsidP="0003549E">
      <w:pPr>
        <w:rPr>
          <w:rFonts w:ascii="Arial Narrow" w:hAnsi="Arial Narrow"/>
          <w:b/>
          <w:sz w:val="20"/>
          <w:szCs w:val="20"/>
        </w:rPr>
      </w:pPr>
      <w:r>
        <w:rPr>
          <w:noProof/>
        </w:rPr>
        <w:drawing>
          <wp:anchor distT="0" distB="0" distL="114300" distR="114300" simplePos="0" relativeHeight="251701248" behindDoc="0" locked="0" layoutInCell="1" allowOverlap="1">
            <wp:simplePos x="0" y="0"/>
            <wp:positionH relativeFrom="column">
              <wp:posOffset>-10795</wp:posOffset>
            </wp:positionH>
            <wp:positionV relativeFrom="paragraph">
              <wp:posOffset>137160</wp:posOffset>
            </wp:positionV>
            <wp:extent cx="5754370" cy="4937760"/>
            <wp:effectExtent l="0" t="0" r="0" b="0"/>
            <wp:wrapSquare wrapText="bothSides"/>
            <wp:docPr id="52" name="Diagramă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03549E" w:rsidRDefault="0003549E" w:rsidP="0003549E">
      <w:pPr>
        <w:rPr>
          <w:rFonts w:ascii="Arial Narrow" w:hAnsi="Arial Narrow"/>
        </w:rPr>
      </w:pPr>
      <w:r>
        <w:rPr>
          <w:rFonts w:ascii="Arial Narrow" w:hAnsi="Arial Narrow"/>
        </w:rPr>
        <w:t>La nivel micro, i</w:t>
      </w:r>
      <w:r w:rsidRPr="001A13AF">
        <w:rPr>
          <w:rFonts w:ascii="Arial Narrow" w:hAnsi="Arial Narrow"/>
        </w:rPr>
        <w:t xml:space="preserve">n funcție de numărul de firme, </w:t>
      </w:r>
      <w:r>
        <w:rPr>
          <w:rFonts w:ascii="Arial Narrow" w:hAnsi="Arial Narrow"/>
        </w:rPr>
        <w:t>devine vizibil faptul</w:t>
      </w:r>
      <w:r w:rsidRPr="001A13AF">
        <w:rPr>
          <w:rFonts w:ascii="Arial Narrow" w:hAnsi="Arial Narrow"/>
        </w:rPr>
        <w:t xml:space="preserve"> că un număr de patru sub-sectoare</w:t>
      </w:r>
      <w:r>
        <w:rPr>
          <w:rFonts w:ascii="Arial Narrow" w:hAnsi="Arial Narrow"/>
        </w:rPr>
        <w:t xml:space="preserve"> </w:t>
      </w:r>
      <w:r w:rsidRPr="001A13AF">
        <w:rPr>
          <w:rFonts w:ascii="Arial Narrow" w:hAnsi="Arial Narrow"/>
        </w:rPr>
        <w:t>concentrează aproape jumătate (48,67%) din toate firmele active în SCC. Dintre acestea, se</w:t>
      </w:r>
      <w:r>
        <w:rPr>
          <w:rFonts w:ascii="Arial Narrow" w:hAnsi="Arial Narrow"/>
        </w:rPr>
        <w:t xml:space="preserve"> </w:t>
      </w:r>
      <w:r w:rsidRPr="001A13AF">
        <w:rPr>
          <w:rFonts w:ascii="Arial Narrow" w:hAnsi="Arial Narrow"/>
        </w:rPr>
        <w:t>evidențiază la lider sub-sectorul Activități ale agențiilor de publicitate care î</w:t>
      </w:r>
      <w:r>
        <w:rPr>
          <w:rFonts w:ascii="Arial Narrow" w:hAnsi="Arial Narrow"/>
        </w:rPr>
        <w:t>nregimenteaza</w:t>
      </w:r>
      <w:r w:rsidRPr="001A13AF">
        <w:rPr>
          <w:rFonts w:ascii="Arial Narrow" w:hAnsi="Arial Narrow"/>
        </w:rPr>
        <w:t xml:space="preserve"> 5.652</w:t>
      </w:r>
      <w:r>
        <w:rPr>
          <w:rFonts w:ascii="Arial Narrow" w:hAnsi="Arial Narrow"/>
        </w:rPr>
        <w:t xml:space="preserve"> </w:t>
      </w:r>
      <w:r w:rsidRPr="001A13AF">
        <w:rPr>
          <w:rFonts w:ascii="Arial Narrow" w:hAnsi="Arial Narrow"/>
        </w:rPr>
        <w:t>firme active la nivel național. Dacă însă am combina codurile aferente activității de servicii IT</w:t>
      </w:r>
      <w:r>
        <w:rPr>
          <w:rFonts w:ascii="Arial Narrow" w:hAnsi="Arial Narrow"/>
        </w:rPr>
        <w:t xml:space="preserve"> </w:t>
      </w:r>
      <w:r w:rsidRPr="001A13AF">
        <w:rPr>
          <w:rFonts w:ascii="Arial Narrow" w:hAnsi="Arial Narrow"/>
        </w:rPr>
        <w:t>(subclasa 62 = 6201+6202+6209), am observa că un sfert din firmele SCC (24,64%) se</w:t>
      </w:r>
      <w:r>
        <w:rPr>
          <w:rFonts w:ascii="Arial Narrow" w:hAnsi="Arial Narrow"/>
        </w:rPr>
        <w:t xml:space="preserve"> </w:t>
      </w:r>
      <w:r w:rsidRPr="001A13AF">
        <w:rPr>
          <w:rFonts w:ascii="Arial Narrow" w:hAnsi="Arial Narrow"/>
        </w:rPr>
        <w:t>concentrează pe aceste activități.</w:t>
      </w:r>
      <w:r>
        <w:rPr>
          <w:rFonts w:ascii="Arial Narrow" w:hAnsi="Arial Narrow"/>
        </w:rPr>
        <w:t xml:space="preserve"> IER estimeaza ca, i</w:t>
      </w:r>
      <w:r w:rsidRPr="00282615">
        <w:rPr>
          <w:rFonts w:ascii="Arial Narrow" w:hAnsi="Arial Narrow"/>
        </w:rPr>
        <w:t>nsumate, cele 22 coduri CAEN</w:t>
      </w:r>
      <w:r>
        <w:rPr>
          <w:rFonts w:ascii="Arial Narrow" w:hAnsi="Arial Narrow"/>
        </w:rPr>
        <w:t xml:space="preserve"> </w:t>
      </w:r>
      <w:r w:rsidRPr="00282615">
        <w:rPr>
          <w:rFonts w:ascii="Arial Narrow" w:hAnsi="Arial Narrow"/>
        </w:rPr>
        <w:t>din graficul de mai sus reprezintă</w:t>
      </w:r>
      <w:r>
        <w:rPr>
          <w:rFonts w:ascii="Arial Narrow" w:hAnsi="Arial Narrow"/>
        </w:rPr>
        <w:t xml:space="preserve"> </w:t>
      </w:r>
      <w:r w:rsidRPr="00282615">
        <w:rPr>
          <w:rFonts w:ascii="Arial Narrow" w:hAnsi="Arial Narrow"/>
        </w:rPr>
        <w:t>92,60% din totalul numărului de firme</w:t>
      </w:r>
      <w:r>
        <w:rPr>
          <w:rFonts w:ascii="Arial Narrow" w:hAnsi="Arial Narrow"/>
        </w:rPr>
        <w:t xml:space="preserve"> </w:t>
      </w:r>
      <w:r w:rsidRPr="00282615">
        <w:rPr>
          <w:rFonts w:ascii="Arial Narrow" w:hAnsi="Arial Narrow"/>
        </w:rPr>
        <w:t>active din SCC și 6,62% din totalul</w:t>
      </w:r>
      <w:r>
        <w:rPr>
          <w:rFonts w:ascii="Arial Narrow" w:hAnsi="Arial Narrow"/>
        </w:rPr>
        <w:t xml:space="preserve"> </w:t>
      </w:r>
      <w:r w:rsidRPr="00282615">
        <w:rPr>
          <w:rFonts w:ascii="Arial Narrow" w:hAnsi="Arial Narrow"/>
        </w:rPr>
        <w:t>firmelor din România.</w:t>
      </w:r>
    </w:p>
    <w:p w:rsidR="0003549E" w:rsidRPr="001C2B18" w:rsidRDefault="0003549E" w:rsidP="0003549E">
      <w:pPr>
        <w:rPr>
          <w:rFonts w:ascii="Arial Narrow" w:hAnsi="Arial Narrow"/>
          <w:b/>
        </w:rPr>
      </w:pPr>
    </w:p>
    <w:p w:rsidR="0003549E" w:rsidRPr="004D6E21" w:rsidRDefault="0003549E" w:rsidP="0003549E">
      <w:pPr>
        <w:rPr>
          <w:rFonts w:ascii="Arial Narrow" w:hAnsi="Arial Narrow"/>
        </w:rPr>
      </w:pPr>
      <w:r w:rsidRPr="004D6E21">
        <w:rPr>
          <w:rFonts w:ascii="Arial Narrow" w:hAnsi="Arial Narrow"/>
        </w:rPr>
        <w:lastRenderedPageBreak/>
        <w:t>În funcție de numărul de angajați, topul subsectoarelor SCC se modifică parțial, în sensul</w:t>
      </w:r>
      <w:r>
        <w:rPr>
          <w:rFonts w:ascii="Arial Narrow" w:hAnsi="Arial Narrow"/>
        </w:rPr>
        <w:t xml:space="preserve"> </w:t>
      </w:r>
      <w:r w:rsidRPr="004D6E21">
        <w:rPr>
          <w:rFonts w:ascii="Arial Narrow" w:hAnsi="Arial Narrow"/>
        </w:rPr>
        <w:t>că lider este subsectorul de Activități de realizare a soft-ului la comandă, ce reunește mai mult</w:t>
      </w:r>
      <w:r>
        <w:rPr>
          <w:rFonts w:ascii="Arial Narrow" w:hAnsi="Arial Narrow"/>
        </w:rPr>
        <w:t xml:space="preserve"> </w:t>
      </w:r>
      <w:r w:rsidRPr="004D6E21">
        <w:rPr>
          <w:rFonts w:ascii="Arial Narrow" w:hAnsi="Arial Narrow"/>
        </w:rPr>
        <w:t>de un sfert din toți angajații SCC în România (26,88%). Dacă ar fi să adunăm toate codurile</w:t>
      </w:r>
      <w:r>
        <w:rPr>
          <w:rFonts w:ascii="Arial Narrow" w:hAnsi="Arial Narrow"/>
        </w:rPr>
        <w:t xml:space="preserve"> </w:t>
      </w:r>
      <w:r w:rsidRPr="004D6E21">
        <w:rPr>
          <w:rFonts w:ascii="Arial Narrow" w:hAnsi="Arial Narrow"/>
        </w:rPr>
        <w:t>CAEN din subclasa 62, am observa că s-ar strânge 37,95% din toți angajații SCC.</w:t>
      </w:r>
      <w:r>
        <w:rPr>
          <w:rFonts w:ascii="Arial Narrow" w:hAnsi="Arial Narrow"/>
        </w:rPr>
        <w:t xml:space="preserve"> </w:t>
      </w:r>
      <w:r w:rsidRPr="00636F5A">
        <w:rPr>
          <w:rFonts w:ascii="Arial Narrow" w:hAnsi="Arial Narrow"/>
        </w:rPr>
        <w:t>Însumate, cele 19 coduri</w:t>
      </w:r>
      <w:r>
        <w:rPr>
          <w:rFonts w:ascii="Arial Narrow" w:hAnsi="Arial Narrow"/>
        </w:rPr>
        <w:t xml:space="preserve"> </w:t>
      </w:r>
      <w:r w:rsidRPr="00636F5A">
        <w:rPr>
          <w:rFonts w:ascii="Arial Narrow" w:hAnsi="Arial Narrow"/>
        </w:rPr>
        <w:t xml:space="preserve">CAEN din graficul de mai </w:t>
      </w:r>
      <w:r>
        <w:rPr>
          <w:rFonts w:ascii="Arial Narrow" w:hAnsi="Arial Narrow"/>
        </w:rPr>
        <w:t xml:space="preserve">jos </w:t>
      </w:r>
      <w:r w:rsidRPr="00636F5A">
        <w:rPr>
          <w:rFonts w:ascii="Arial Narrow" w:hAnsi="Arial Narrow"/>
        </w:rPr>
        <w:t>reprezintă 91,45% din totalul</w:t>
      </w:r>
      <w:r>
        <w:rPr>
          <w:rFonts w:ascii="Arial Narrow" w:hAnsi="Arial Narrow"/>
        </w:rPr>
        <w:t xml:space="preserve"> </w:t>
      </w:r>
      <w:r w:rsidRPr="00636F5A">
        <w:rPr>
          <w:rFonts w:ascii="Arial Narrow" w:hAnsi="Arial Narrow"/>
        </w:rPr>
        <w:t>salariaților din SCC și 3,52</w:t>
      </w:r>
      <w:r>
        <w:rPr>
          <w:rFonts w:ascii="Arial Narrow" w:hAnsi="Arial Narrow"/>
        </w:rPr>
        <w:t>%</w:t>
      </w:r>
      <w:r w:rsidRPr="00636F5A">
        <w:rPr>
          <w:rFonts w:ascii="Arial Narrow" w:hAnsi="Arial Narrow"/>
        </w:rPr>
        <w:t xml:space="preserve"> din</w:t>
      </w:r>
      <w:r>
        <w:rPr>
          <w:rFonts w:ascii="Arial Narrow" w:hAnsi="Arial Narrow"/>
        </w:rPr>
        <w:t xml:space="preserve"> </w:t>
      </w:r>
      <w:r w:rsidRPr="00636F5A">
        <w:rPr>
          <w:rFonts w:ascii="Arial Narrow" w:hAnsi="Arial Narrow"/>
        </w:rPr>
        <w:t>totalul angajaților din România.</w:t>
      </w:r>
    </w:p>
    <w:p w:rsidR="0003549E" w:rsidRPr="00F32C80" w:rsidRDefault="0003549E" w:rsidP="0003549E">
      <w:pPr>
        <w:rPr>
          <w:rFonts w:ascii="Arial Narrow" w:hAnsi="Arial Narrow"/>
          <w:b/>
          <w:sz w:val="20"/>
          <w:szCs w:val="20"/>
        </w:rPr>
      </w:pPr>
      <w:r w:rsidRPr="00F32C80">
        <w:rPr>
          <w:rFonts w:ascii="Arial Narrow" w:hAnsi="Arial Narrow"/>
          <w:b/>
          <w:sz w:val="20"/>
          <w:szCs w:val="20"/>
        </w:rPr>
        <w:t>Ierarhia codurilor CAEN de SCC în funcție de ocupare (nr. angajați 2014)</w:t>
      </w:r>
    </w:p>
    <w:p w:rsidR="0003549E" w:rsidRDefault="0003549E" w:rsidP="0003549E">
      <w:pPr>
        <w:rPr>
          <w:rFonts w:ascii="Arial Narrow" w:hAnsi="Arial Narrow"/>
          <w:b/>
          <w:color w:val="0070C0"/>
        </w:rPr>
      </w:pPr>
      <w:r>
        <w:rPr>
          <w:rFonts w:ascii="Arial Narrow" w:hAnsi="Arial Narrow"/>
          <w:b/>
          <w:noProof/>
          <w:color w:val="0070C0"/>
        </w:rPr>
        <w:drawing>
          <wp:inline distT="0" distB="0" distL="0" distR="0">
            <wp:extent cx="5924550" cy="3209925"/>
            <wp:effectExtent l="0" t="0" r="0" b="0"/>
            <wp:docPr id="47" name="Diagramă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3549E" w:rsidRPr="00A00881" w:rsidRDefault="0003549E" w:rsidP="0003549E">
      <w:pPr>
        <w:rPr>
          <w:rFonts w:ascii="Arial Narrow" w:hAnsi="Arial Narrow"/>
        </w:rPr>
      </w:pPr>
      <w:r w:rsidRPr="00A00881">
        <w:rPr>
          <w:rFonts w:ascii="Arial Narrow" w:hAnsi="Arial Narrow"/>
        </w:rPr>
        <w:t>Analiza pe baza cifrei de afaceri generate de companiile active în domeniile</w:t>
      </w:r>
      <w:r>
        <w:rPr>
          <w:rFonts w:ascii="Arial Narrow" w:hAnsi="Arial Narrow"/>
        </w:rPr>
        <w:t xml:space="preserve"> </w:t>
      </w:r>
      <w:r w:rsidRPr="00A00881">
        <w:rPr>
          <w:rFonts w:ascii="Arial Narrow" w:hAnsi="Arial Narrow"/>
        </w:rPr>
        <w:t>SCC confirmă poziția de lider a Activităților de realizare a soft-ului la comandă (peste un sfert</w:t>
      </w:r>
      <w:r>
        <w:rPr>
          <w:rFonts w:ascii="Arial Narrow" w:hAnsi="Arial Narrow"/>
        </w:rPr>
        <w:t xml:space="preserve"> </w:t>
      </w:r>
      <w:r w:rsidRPr="00A00881">
        <w:rPr>
          <w:rFonts w:ascii="Arial Narrow" w:hAnsi="Arial Narrow"/>
        </w:rPr>
        <w:t>din CA generată). Similar, subclasa 62 de activități servicii IT generează la un loc 41,82% din</w:t>
      </w:r>
      <w:r>
        <w:rPr>
          <w:rFonts w:ascii="Arial Narrow" w:hAnsi="Arial Narrow"/>
        </w:rPr>
        <w:t xml:space="preserve"> </w:t>
      </w:r>
      <w:r w:rsidRPr="00A00881">
        <w:rPr>
          <w:rFonts w:ascii="Arial Narrow" w:hAnsi="Arial Narrow"/>
        </w:rPr>
        <w:t>totalul CA al domeniului SCC.</w:t>
      </w:r>
    </w:p>
    <w:p w:rsidR="0003549E" w:rsidRDefault="0003549E" w:rsidP="0003549E">
      <w:pPr>
        <w:rPr>
          <w:rFonts w:ascii="Arial Narrow" w:hAnsi="Arial Narrow"/>
          <w:b/>
          <w:color w:val="0070C0"/>
        </w:rPr>
      </w:pPr>
      <w:r>
        <w:rPr>
          <w:rFonts w:ascii="Arial Narrow" w:hAnsi="Arial Narrow"/>
          <w:b/>
          <w:noProof/>
          <w:color w:val="0070C0"/>
        </w:rPr>
        <w:drawing>
          <wp:inline distT="0" distB="0" distL="0" distR="0">
            <wp:extent cx="5924550" cy="3209925"/>
            <wp:effectExtent l="0" t="0" r="0" b="0"/>
            <wp:docPr id="46" name="Diagramă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3549E" w:rsidRDefault="0003549E" w:rsidP="0003549E">
      <w:pPr>
        <w:rPr>
          <w:rFonts w:ascii="Arial Narrow" w:hAnsi="Arial Narrow"/>
          <w:b/>
          <w:color w:val="0070C0"/>
        </w:rPr>
      </w:pPr>
    </w:p>
    <w:p w:rsidR="0003549E" w:rsidRPr="00405E31" w:rsidRDefault="0003549E" w:rsidP="0003549E">
      <w:pPr>
        <w:rPr>
          <w:rFonts w:ascii="Arial Narrow" w:hAnsi="Arial Narrow"/>
        </w:rPr>
      </w:pPr>
      <w:r w:rsidRPr="00405E31">
        <w:rPr>
          <w:rFonts w:ascii="Arial Narrow" w:hAnsi="Arial Narrow"/>
        </w:rPr>
        <w:t>Însumate, cele 15 coduri</w:t>
      </w:r>
      <w:r>
        <w:rPr>
          <w:rFonts w:ascii="Arial Narrow" w:hAnsi="Arial Narrow"/>
        </w:rPr>
        <w:t xml:space="preserve"> </w:t>
      </w:r>
      <w:r w:rsidRPr="00405E31">
        <w:rPr>
          <w:rFonts w:ascii="Arial Narrow" w:hAnsi="Arial Narrow"/>
        </w:rPr>
        <w:t>CAEN din graficul de mai sus</w:t>
      </w:r>
      <w:r>
        <w:rPr>
          <w:rFonts w:ascii="Arial Narrow" w:hAnsi="Arial Narrow"/>
        </w:rPr>
        <w:t xml:space="preserve"> </w:t>
      </w:r>
      <w:r w:rsidRPr="00405E31">
        <w:rPr>
          <w:rFonts w:ascii="Arial Narrow" w:hAnsi="Arial Narrow"/>
        </w:rPr>
        <w:t>reprezintă 89,98% din totalul cifrei</w:t>
      </w:r>
      <w:r>
        <w:rPr>
          <w:rFonts w:ascii="Arial Narrow" w:hAnsi="Arial Narrow"/>
        </w:rPr>
        <w:t xml:space="preserve"> </w:t>
      </w:r>
      <w:r w:rsidRPr="00405E31">
        <w:rPr>
          <w:rFonts w:ascii="Arial Narrow" w:hAnsi="Arial Narrow"/>
        </w:rPr>
        <w:t>de afaceri realizată de firmele din</w:t>
      </w:r>
      <w:r>
        <w:rPr>
          <w:rFonts w:ascii="Arial Narrow" w:hAnsi="Arial Narrow"/>
        </w:rPr>
        <w:t xml:space="preserve"> </w:t>
      </w:r>
      <w:r w:rsidRPr="00405E31">
        <w:rPr>
          <w:rFonts w:ascii="Arial Narrow" w:hAnsi="Arial Narrow"/>
        </w:rPr>
        <w:t>SCC și 2,42 din totalul cifrei de</w:t>
      </w:r>
      <w:r>
        <w:rPr>
          <w:rFonts w:ascii="Arial Narrow" w:hAnsi="Arial Narrow"/>
        </w:rPr>
        <w:t xml:space="preserve"> </w:t>
      </w:r>
      <w:r w:rsidRPr="00405E31">
        <w:rPr>
          <w:rFonts w:ascii="Arial Narrow" w:hAnsi="Arial Narrow"/>
        </w:rPr>
        <w:t>afaceri a firmelor din România</w:t>
      </w:r>
    </w:p>
    <w:p w:rsidR="0003549E" w:rsidRPr="005F5D6C" w:rsidRDefault="0003549E" w:rsidP="0003549E">
      <w:pPr>
        <w:rPr>
          <w:rFonts w:ascii="Arial Narrow" w:hAnsi="Arial Narrow"/>
          <w:b/>
          <w:color w:val="0070C0"/>
        </w:rPr>
      </w:pPr>
      <w:r>
        <w:rPr>
          <w:rFonts w:ascii="Arial Narrow" w:hAnsi="Arial Narrow"/>
          <w:b/>
          <w:color w:val="0070C0"/>
        </w:rPr>
        <w:t>Industriile creative in</w:t>
      </w:r>
      <w:r w:rsidRPr="005F5D6C">
        <w:rPr>
          <w:rFonts w:ascii="Arial Narrow" w:hAnsi="Arial Narrow"/>
          <w:b/>
          <w:color w:val="0070C0"/>
        </w:rPr>
        <w:t xml:space="preserve"> Regiunea Centru</w:t>
      </w:r>
    </w:p>
    <w:p w:rsidR="0003549E" w:rsidRDefault="0003549E" w:rsidP="0003549E">
      <w:pPr>
        <w:rPr>
          <w:rFonts w:ascii="Arial Narrow" w:hAnsi="Arial Narrow"/>
        </w:rPr>
      </w:pPr>
      <w:r>
        <w:rPr>
          <w:rFonts w:ascii="Arial Narrow" w:hAnsi="Arial Narrow"/>
        </w:rPr>
        <w:t>Conform unui studiu realizat de Institutul European din Romania</w:t>
      </w:r>
      <w:r>
        <w:rPr>
          <w:rStyle w:val="Referinnotdesubsol"/>
          <w:rFonts w:ascii="Arial Narrow" w:hAnsi="Arial Narrow"/>
        </w:rPr>
        <w:footnoteReference w:id="108"/>
      </w:r>
      <w:r>
        <w:rPr>
          <w:rFonts w:ascii="Arial Narrow" w:hAnsi="Arial Narrow"/>
        </w:rPr>
        <w:t xml:space="preserve"> si publicat la inceputul anului 2016, patru din judetele care compun Regiunea Centru, respectiv Brasov, Sibiu, Mures si Harghita se regasesc in Top 20 ca pondere in economia nationala pe sectorul cultural si creativ, pentru anul 2014. Brasovul este pe locul 4, cu 4% din total operatori de profil, 3,61% din gradul de ocupare national si 2,6% din cifra de afaceri nationala. Urmatorul judet clasat este Mures (locul 11), cu 2.03% din numarul de firme, 1,9% din gradul de ocupare si 0.98% din cifra de afaceri, urmat de Sibiu (locul 13), cu procente de 1.83% din numarul de firme, 1,68% din gradul de ocupare si 1.27% din cifra de afaceri, si de Harghita (locul 20) cu 1.03% din numarul de firme, 1,04% din gradul de ocupare si 0.74% din cifra de afaceri. Din prelucrarea datelor cuprinse in acest clasament, rezulta urmatoarea ierarhizare:</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798"/>
        <w:gridCol w:w="2466"/>
        <w:gridCol w:w="1497"/>
        <w:gridCol w:w="1509"/>
        <w:gridCol w:w="1509"/>
        <w:gridCol w:w="1509"/>
      </w:tblGrid>
      <w:tr w:rsidR="0003549E" w:rsidRPr="00577B90" w:rsidTr="0003549E">
        <w:tc>
          <w:tcPr>
            <w:tcW w:w="798" w:type="dxa"/>
            <w:shd w:val="clear" w:color="auto" w:fill="4F81BD"/>
          </w:tcPr>
          <w:p w:rsidR="0003549E" w:rsidRPr="00577B90" w:rsidRDefault="0003549E" w:rsidP="0003549E">
            <w:pPr>
              <w:jc w:val="center"/>
              <w:rPr>
                <w:rFonts w:ascii="Arial Narrow" w:hAnsi="Arial Narrow"/>
                <w:b/>
                <w:bCs/>
                <w:color w:val="FFFFFF"/>
              </w:rPr>
            </w:pPr>
            <w:r w:rsidRPr="00577B90">
              <w:rPr>
                <w:rFonts w:ascii="Arial Narrow" w:hAnsi="Arial Narrow"/>
                <w:b/>
                <w:bCs/>
                <w:color w:val="FFFFFF"/>
              </w:rPr>
              <w:t>Pozitie</w:t>
            </w:r>
          </w:p>
        </w:tc>
        <w:tc>
          <w:tcPr>
            <w:tcW w:w="2466" w:type="dxa"/>
            <w:shd w:val="clear" w:color="auto" w:fill="4F81BD"/>
          </w:tcPr>
          <w:p w:rsidR="0003549E" w:rsidRPr="00577B90" w:rsidRDefault="0003549E" w:rsidP="0003549E">
            <w:pPr>
              <w:jc w:val="center"/>
              <w:rPr>
                <w:rFonts w:ascii="Arial Narrow" w:hAnsi="Arial Narrow"/>
                <w:b/>
                <w:bCs/>
                <w:color w:val="FFFFFF"/>
              </w:rPr>
            </w:pPr>
            <w:r w:rsidRPr="00577B90">
              <w:rPr>
                <w:rFonts w:ascii="Arial Narrow" w:hAnsi="Arial Narrow"/>
                <w:b/>
                <w:bCs/>
                <w:color w:val="FFFFFF"/>
              </w:rPr>
              <w:t>Regiune</w:t>
            </w:r>
          </w:p>
        </w:tc>
        <w:tc>
          <w:tcPr>
            <w:tcW w:w="1497" w:type="dxa"/>
            <w:shd w:val="clear" w:color="auto" w:fill="4F81BD"/>
          </w:tcPr>
          <w:p w:rsidR="0003549E" w:rsidRPr="00577B90" w:rsidRDefault="0003549E" w:rsidP="0003549E">
            <w:pPr>
              <w:jc w:val="center"/>
              <w:rPr>
                <w:rFonts w:ascii="Arial Narrow" w:hAnsi="Arial Narrow"/>
                <w:b/>
                <w:bCs/>
                <w:color w:val="FFFFFF"/>
              </w:rPr>
            </w:pPr>
            <w:r w:rsidRPr="00577B90">
              <w:rPr>
                <w:rFonts w:ascii="Arial Narrow" w:hAnsi="Arial Narrow"/>
                <w:b/>
                <w:bCs/>
                <w:color w:val="FFFFFF"/>
              </w:rPr>
              <w:t>Nr. judete in top 20</w:t>
            </w:r>
          </w:p>
        </w:tc>
        <w:tc>
          <w:tcPr>
            <w:tcW w:w="1509" w:type="dxa"/>
            <w:shd w:val="clear" w:color="auto" w:fill="4F81BD"/>
          </w:tcPr>
          <w:p w:rsidR="0003549E" w:rsidRPr="00577B90" w:rsidRDefault="0003549E" w:rsidP="0003549E">
            <w:pPr>
              <w:jc w:val="center"/>
              <w:rPr>
                <w:rFonts w:ascii="Arial Narrow" w:hAnsi="Arial Narrow"/>
                <w:b/>
                <w:bCs/>
                <w:color w:val="FFFFFF"/>
              </w:rPr>
            </w:pPr>
            <w:r w:rsidRPr="00577B90">
              <w:rPr>
                <w:rFonts w:ascii="Arial Narrow" w:hAnsi="Arial Narrow"/>
                <w:b/>
                <w:bCs/>
                <w:color w:val="FFFFFF"/>
              </w:rPr>
              <w:t>Pondere in nr. firme %</w:t>
            </w:r>
          </w:p>
        </w:tc>
        <w:tc>
          <w:tcPr>
            <w:tcW w:w="1509" w:type="dxa"/>
            <w:shd w:val="clear" w:color="auto" w:fill="4F81BD"/>
          </w:tcPr>
          <w:p w:rsidR="0003549E" w:rsidRPr="00577B90" w:rsidRDefault="0003549E" w:rsidP="0003549E">
            <w:pPr>
              <w:jc w:val="center"/>
              <w:rPr>
                <w:rFonts w:ascii="Arial Narrow" w:hAnsi="Arial Narrow"/>
                <w:b/>
                <w:bCs/>
                <w:color w:val="FFFFFF"/>
              </w:rPr>
            </w:pPr>
            <w:r w:rsidRPr="00577B90">
              <w:rPr>
                <w:rFonts w:ascii="Arial Narrow" w:hAnsi="Arial Narrow"/>
                <w:b/>
                <w:bCs/>
                <w:color w:val="FFFFFF"/>
              </w:rPr>
              <w:t>Pondere in ocupare %</w:t>
            </w:r>
          </w:p>
        </w:tc>
        <w:tc>
          <w:tcPr>
            <w:tcW w:w="1509" w:type="dxa"/>
            <w:shd w:val="clear" w:color="auto" w:fill="4F81BD"/>
          </w:tcPr>
          <w:p w:rsidR="0003549E" w:rsidRPr="00577B90" w:rsidRDefault="0003549E" w:rsidP="0003549E">
            <w:pPr>
              <w:jc w:val="center"/>
              <w:rPr>
                <w:rFonts w:ascii="Arial Narrow" w:hAnsi="Arial Narrow"/>
                <w:b/>
                <w:bCs/>
                <w:color w:val="FFFFFF"/>
              </w:rPr>
            </w:pPr>
            <w:r w:rsidRPr="00577B90">
              <w:rPr>
                <w:rFonts w:ascii="Arial Narrow" w:hAnsi="Arial Narrow"/>
                <w:b/>
                <w:bCs/>
                <w:color w:val="FFFFFF"/>
              </w:rPr>
              <w:t>Pondere in cifra de afaceri %</w:t>
            </w:r>
          </w:p>
        </w:tc>
      </w:tr>
      <w:tr w:rsidR="0003549E" w:rsidRPr="00577B90" w:rsidTr="0003549E">
        <w:tc>
          <w:tcPr>
            <w:tcW w:w="798"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hAnsi="Arial Narrow"/>
                <w:bCs/>
              </w:rPr>
            </w:pPr>
            <w:r w:rsidRPr="00577B90">
              <w:rPr>
                <w:rFonts w:ascii="Arial Narrow" w:hAnsi="Arial Narrow"/>
                <w:bCs/>
              </w:rPr>
              <w:t xml:space="preserve">1. </w:t>
            </w:r>
          </w:p>
        </w:tc>
        <w:tc>
          <w:tcPr>
            <w:tcW w:w="2466"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Bucuresti – Ilfov</w:t>
            </w:r>
          </w:p>
        </w:tc>
        <w:tc>
          <w:tcPr>
            <w:tcW w:w="1497"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42,19</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50,74</w:t>
            </w:r>
          </w:p>
        </w:tc>
        <w:tc>
          <w:tcPr>
            <w:tcW w:w="1509"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66,87</w:t>
            </w:r>
          </w:p>
        </w:tc>
      </w:tr>
      <w:tr w:rsidR="0003549E" w:rsidRPr="00577B90" w:rsidTr="0003549E">
        <w:tc>
          <w:tcPr>
            <w:tcW w:w="798" w:type="dxa"/>
            <w:shd w:val="clear" w:color="auto" w:fill="auto"/>
          </w:tcPr>
          <w:p w:rsidR="0003549E" w:rsidRPr="00577B90" w:rsidRDefault="0003549E" w:rsidP="0003549E">
            <w:pPr>
              <w:rPr>
                <w:rFonts w:ascii="Arial Narrow" w:hAnsi="Arial Narrow"/>
                <w:b/>
                <w:bCs/>
              </w:rPr>
            </w:pPr>
            <w:r w:rsidRPr="00577B90">
              <w:rPr>
                <w:rFonts w:ascii="Arial Narrow" w:hAnsi="Arial Narrow"/>
                <w:b/>
                <w:bCs/>
              </w:rPr>
              <w:t>2</w:t>
            </w:r>
          </w:p>
        </w:tc>
        <w:tc>
          <w:tcPr>
            <w:tcW w:w="2466" w:type="dxa"/>
            <w:shd w:val="clear" w:color="auto" w:fill="auto"/>
          </w:tcPr>
          <w:p w:rsidR="0003549E" w:rsidRPr="00577B90" w:rsidRDefault="0003549E" w:rsidP="0003549E">
            <w:pPr>
              <w:rPr>
                <w:rFonts w:ascii="Arial Narrow" w:hAnsi="Arial Narrow"/>
              </w:rPr>
            </w:pPr>
            <w:r w:rsidRPr="00577B90">
              <w:rPr>
                <w:rFonts w:ascii="Arial Narrow" w:hAnsi="Arial Narrow"/>
              </w:rPr>
              <w:t xml:space="preserve">Nord – Vest </w:t>
            </w:r>
          </w:p>
        </w:tc>
        <w:tc>
          <w:tcPr>
            <w:tcW w:w="1497" w:type="dxa"/>
            <w:shd w:val="clear" w:color="auto" w:fill="auto"/>
          </w:tcPr>
          <w:p w:rsidR="0003549E" w:rsidRPr="00577B90" w:rsidRDefault="0003549E" w:rsidP="0003549E">
            <w:pPr>
              <w:rPr>
                <w:rFonts w:ascii="Arial Narrow" w:hAnsi="Arial Narrow"/>
              </w:rPr>
            </w:pPr>
            <w:r w:rsidRPr="00577B90">
              <w:rPr>
                <w:rFonts w:ascii="Arial Narrow" w:hAnsi="Arial Narrow"/>
              </w:rPr>
              <w:t>2</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11,1</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13,59</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9,49</w:t>
            </w:r>
          </w:p>
        </w:tc>
      </w:tr>
      <w:tr w:rsidR="0003549E" w:rsidRPr="00577B90" w:rsidTr="0003549E">
        <w:tc>
          <w:tcPr>
            <w:tcW w:w="798"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hAnsi="Arial Narrow"/>
                <w:bCs/>
              </w:rPr>
            </w:pPr>
            <w:r w:rsidRPr="00577B90">
              <w:rPr>
                <w:rFonts w:ascii="Arial Narrow" w:hAnsi="Arial Narrow"/>
                <w:bCs/>
              </w:rPr>
              <w:t xml:space="preserve">3. </w:t>
            </w:r>
          </w:p>
        </w:tc>
        <w:tc>
          <w:tcPr>
            <w:tcW w:w="2466"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Centru</w:t>
            </w:r>
          </w:p>
        </w:tc>
        <w:tc>
          <w:tcPr>
            <w:tcW w:w="1497"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4</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8.89</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7.23</w:t>
            </w:r>
          </w:p>
        </w:tc>
        <w:tc>
          <w:tcPr>
            <w:tcW w:w="1509"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5.59</w:t>
            </w:r>
          </w:p>
        </w:tc>
      </w:tr>
      <w:tr w:rsidR="0003549E" w:rsidRPr="00577B90" w:rsidTr="0003549E">
        <w:tc>
          <w:tcPr>
            <w:tcW w:w="798" w:type="dxa"/>
            <w:shd w:val="clear" w:color="auto" w:fill="auto"/>
          </w:tcPr>
          <w:p w:rsidR="0003549E" w:rsidRPr="00577B90" w:rsidRDefault="0003549E" w:rsidP="0003549E">
            <w:pPr>
              <w:rPr>
                <w:rFonts w:ascii="Arial Narrow" w:hAnsi="Arial Narrow"/>
                <w:b/>
                <w:bCs/>
              </w:rPr>
            </w:pPr>
            <w:r w:rsidRPr="00577B90">
              <w:rPr>
                <w:rFonts w:ascii="Arial Narrow" w:hAnsi="Arial Narrow"/>
                <w:b/>
                <w:bCs/>
              </w:rPr>
              <w:t>4.</w:t>
            </w:r>
          </w:p>
        </w:tc>
        <w:tc>
          <w:tcPr>
            <w:tcW w:w="2466" w:type="dxa"/>
            <w:shd w:val="clear" w:color="auto" w:fill="auto"/>
          </w:tcPr>
          <w:p w:rsidR="0003549E" w:rsidRPr="00577B90" w:rsidRDefault="0003549E" w:rsidP="0003549E">
            <w:pPr>
              <w:rPr>
                <w:rFonts w:ascii="Arial Narrow" w:hAnsi="Arial Narrow"/>
              </w:rPr>
            </w:pPr>
            <w:r w:rsidRPr="00577B90">
              <w:rPr>
                <w:rFonts w:ascii="Arial Narrow" w:hAnsi="Arial Narrow"/>
              </w:rPr>
              <w:t>Vest</w:t>
            </w:r>
          </w:p>
        </w:tc>
        <w:tc>
          <w:tcPr>
            <w:tcW w:w="1497" w:type="dxa"/>
            <w:shd w:val="clear" w:color="auto" w:fill="auto"/>
          </w:tcPr>
          <w:p w:rsidR="0003549E" w:rsidRPr="00577B90" w:rsidRDefault="0003549E" w:rsidP="0003549E">
            <w:pPr>
              <w:rPr>
                <w:rFonts w:ascii="Arial Narrow" w:hAnsi="Arial Narrow"/>
              </w:rPr>
            </w:pPr>
            <w:r w:rsidRPr="00577B90">
              <w:rPr>
                <w:rFonts w:ascii="Arial Narrow" w:hAnsi="Arial Narrow"/>
              </w:rPr>
              <w:t>3</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6.97</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5.55</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3.35</w:t>
            </w:r>
          </w:p>
        </w:tc>
      </w:tr>
      <w:tr w:rsidR="0003549E" w:rsidRPr="00577B90" w:rsidTr="0003549E">
        <w:tc>
          <w:tcPr>
            <w:tcW w:w="798"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hAnsi="Arial Narrow"/>
                <w:b/>
                <w:bCs/>
              </w:rPr>
            </w:pPr>
            <w:r w:rsidRPr="00577B90">
              <w:rPr>
                <w:rFonts w:ascii="Arial Narrow" w:hAnsi="Arial Narrow"/>
                <w:b/>
                <w:bCs/>
              </w:rPr>
              <w:t>5.</w:t>
            </w:r>
          </w:p>
        </w:tc>
        <w:tc>
          <w:tcPr>
            <w:tcW w:w="2466"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 xml:space="preserve">Nord – Est </w:t>
            </w:r>
          </w:p>
        </w:tc>
        <w:tc>
          <w:tcPr>
            <w:tcW w:w="1497"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3</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5,61</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5,49</w:t>
            </w:r>
          </w:p>
        </w:tc>
        <w:tc>
          <w:tcPr>
            <w:tcW w:w="1509"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3,22</w:t>
            </w:r>
          </w:p>
        </w:tc>
      </w:tr>
      <w:tr w:rsidR="0003549E" w:rsidRPr="00577B90" w:rsidTr="0003549E">
        <w:tc>
          <w:tcPr>
            <w:tcW w:w="798" w:type="dxa"/>
            <w:shd w:val="clear" w:color="auto" w:fill="auto"/>
          </w:tcPr>
          <w:p w:rsidR="0003549E" w:rsidRPr="00577B90" w:rsidRDefault="0003549E" w:rsidP="0003549E">
            <w:pPr>
              <w:rPr>
                <w:rFonts w:ascii="Arial Narrow" w:hAnsi="Arial Narrow"/>
                <w:b/>
                <w:bCs/>
              </w:rPr>
            </w:pPr>
            <w:r w:rsidRPr="00577B90">
              <w:rPr>
                <w:rFonts w:ascii="Arial Narrow" w:hAnsi="Arial Narrow"/>
                <w:b/>
                <w:bCs/>
              </w:rPr>
              <w:t>6</w:t>
            </w:r>
          </w:p>
        </w:tc>
        <w:tc>
          <w:tcPr>
            <w:tcW w:w="2466" w:type="dxa"/>
            <w:shd w:val="clear" w:color="auto" w:fill="auto"/>
          </w:tcPr>
          <w:p w:rsidR="0003549E" w:rsidRPr="00577B90" w:rsidRDefault="0003549E" w:rsidP="0003549E">
            <w:pPr>
              <w:rPr>
                <w:rFonts w:ascii="Arial Narrow" w:hAnsi="Arial Narrow"/>
              </w:rPr>
            </w:pPr>
            <w:r w:rsidRPr="00577B90">
              <w:rPr>
                <w:rFonts w:ascii="Arial Narrow" w:hAnsi="Arial Narrow"/>
              </w:rPr>
              <w:t>Sud Muntenia</w:t>
            </w:r>
          </w:p>
        </w:tc>
        <w:tc>
          <w:tcPr>
            <w:tcW w:w="1497" w:type="dxa"/>
            <w:shd w:val="clear" w:color="auto" w:fill="auto"/>
          </w:tcPr>
          <w:p w:rsidR="0003549E" w:rsidRPr="00577B90" w:rsidRDefault="0003549E" w:rsidP="0003549E">
            <w:pPr>
              <w:rPr>
                <w:rFonts w:ascii="Arial Narrow" w:hAnsi="Arial Narrow"/>
              </w:rPr>
            </w:pPr>
            <w:r w:rsidRPr="00577B90">
              <w:rPr>
                <w:rFonts w:ascii="Arial Narrow" w:hAnsi="Arial Narrow"/>
              </w:rPr>
              <w:t>2</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4,87</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3,50</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4,60</w:t>
            </w:r>
          </w:p>
        </w:tc>
      </w:tr>
      <w:tr w:rsidR="0003549E" w:rsidRPr="00577B90" w:rsidTr="0003549E">
        <w:tc>
          <w:tcPr>
            <w:tcW w:w="798"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hAnsi="Arial Narrow"/>
                <w:b/>
                <w:bCs/>
              </w:rPr>
            </w:pPr>
            <w:r w:rsidRPr="00577B90">
              <w:rPr>
                <w:rFonts w:ascii="Arial Narrow" w:hAnsi="Arial Narrow"/>
                <w:b/>
                <w:bCs/>
              </w:rPr>
              <w:t>7</w:t>
            </w:r>
          </w:p>
        </w:tc>
        <w:tc>
          <w:tcPr>
            <w:tcW w:w="2466"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Sud - Est</w:t>
            </w:r>
          </w:p>
        </w:tc>
        <w:tc>
          <w:tcPr>
            <w:tcW w:w="1497"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2</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4,67</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3,04</w:t>
            </w:r>
          </w:p>
        </w:tc>
        <w:tc>
          <w:tcPr>
            <w:tcW w:w="1509"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rPr>
                <w:rFonts w:ascii="Arial Narrow" w:hAnsi="Arial Narrow"/>
              </w:rPr>
            </w:pPr>
            <w:r w:rsidRPr="00577B90">
              <w:rPr>
                <w:rFonts w:ascii="Arial Narrow" w:hAnsi="Arial Narrow"/>
              </w:rPr>
              <w:t>1,48</w:t>
            </w:r>
          </w:p>
        </w:tc>
      </w:tr>
      <w:tr w:rsidR="0003549E" w:rsidRPr="00577B90" w:rsidTr="0003549E">
        <w:tc>
          <w:tcPr>
            <w:tcW w:w="798" w:type="dxa"/>
            <w:shd w:val="clear" w:color="auto" w:fill="auto"/>
          </w:tcPr>
          <w:p w:rsidR="0003549E" w:rsidRPr="00577B90" w:rsidRDefault="0003549E" w:rsidP="0003549E">
            <w:pPr>
              <w:rPr>
                <w:rFonts w:ascii="Arial Narrow" w:hAnsi="Arial Narrow"/>
                <w:b/>
                <w:bCs/>
              </w:rPr>
            </w:pPr>
            <w:r w:rsidRPr="00577B90">
              <w:rPr>
                <w:rFonts w:ascii="Arial Narrow" w:hAnsi="Arial Narrow"/>
                <w:b/>
                <w:bCs/>
              </w:rPr>
              <w:t>8</w:t>
            </w:r>
          </w:p>
        </w:tc>
        <w:tc>
          <w:tcPr>
            <w:tcW w:w="2466" w:type="dxa"/>
            <w:shd w:val="clear" w:color="auto" w:fill="auto"/>
          </w:tcPr>
          <w:p w:rsidR="0003549E" w:rsidRPr="00577B90" w:rsidRDefault="0003549E" w:rsidP="0003549E">
            <w:pPr>
              <w:rPr>
                <w:rFonts w:ascii="Arial Narrow" w:hAnsi="Arial Narrow"/>
              </w:rPr>
            </w:pPr>
            <w:r w:rsidRPr="00577B90">
              <w:rPr>
                <w:rFonts w:ascii="Arial Narrow" w:hAnsi="Arial Narrow"/>
              </w:rPr>
              <w:t>Sud –Vest</w:t>
            </w:r>
          </w:p>
        </w:tc>
        <w:tc>
          <w:tcPr>
            <w:tcW w:w="1497" w:type="dxa"/>
            <w:shd w:val="clear" w:color="auto" w:fill="auto"/>
          </w:tcPr>
          <w:p w:rsidR="0003549E" w:rsidRPr="00577B90" w:rsidRDefault="0003549E" w:rsidP="0003549E">
            <w:pPr>
              <w:rPr>
                <w:rFonts w:ascii="Arial Narrow" w:hAnsi="Arial Narrow"/>
              </w:rPr>
            </w:pPr>
            <w:r w:rsidRPr="00577B90">
              <w:rPr>
                <w:rFonts w:ascii="Arial Narrow" w:hAnsi="Arial Narrow"/>
              </w:rPr>
              <w:t>1</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1,98</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1,71</w:t>
            </w:r>
          </w:p>
        </w:tc>
        <w:tc>
          <w:tcPr>
            <w:tcW w:w="1509" w:type="dxa"/>
            <w:shd w:val="clear" w:color="auto" w:fill="auto"/>
          </w:tcPr>
          <w:p w:rsidR="0003549E" w:rsidRPr="00577B90" w:rsidRDefault="0003549E" w:rsidP="0003549E">
            <w:pPr>
              <w:rPr>
                <w:rFonts w:ascii="Arial Narrow" w:hAnsi="Arial Narrow"/>
              </w:rPr>
            </w:pPr>
            <w:r w:rsidRPr="00577B90">
              <w:rPr>
                <w:rFonts w:ascii="Arial Narrow" w:hAnsi="Arial Narrow"/>
              </w:rPr>
              <w:t>0,9</w:t>
            </w:r>
          </w:p>
        </w:tc>
      </w:tr>
      <w:tr w:rsidR="0003549E" w:rsidRPr="00577B90" w:rsidTr="0003549E">
        <w:tc>
          <w:tcPr>
            <w:tcW w:w="798"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rPr>
                <w:rFonts w:ascii="Arial Narrow" w:hAnsi="Arial Narrow"/>
                <w:bCs/>
              </w:rPr>
            </w:pPr>
            <w:r w:rsidRPr="00577B90">
              <w:rPr>
                <w:rFonts w:ascii="Arial Narrow" w:hAnsi="Arial Narrow"/>
                <w:bCs/>
              </w:rPr>
              <w:t>Total</w:t>
            </w:r>
          </w:p>
        </w:tc>
        <w:tc>
          <w:tcPr>
            <w:tcW w:w="2466"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p>
        </w:tc>
        <w:tc>
          <w:tcPr>
            <w:tcW w:w="1497"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86,28</w:t>
            </w:r>
          </w:p>
        </w:tc>
        <w:tc>
          <w:tcPr>
            <w:tcW w:w="1509" w:type="dxa"/>
            <w:tcBorders>
              <w:top w:val="single" w:sz="8" w:space="0" w:color="4F81BD"/>
              <w:bottom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90.85</w:t>
            </w:r>
          </w:p>
        </w:tc>
        <w:tc>
          <w:tcPr>
            <w:tcW w:w="1509"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rPr>
                <w:rFonts w:ascii="Arial Narrow" w:hAnsi="Arial Narrow"/>
                <w:b/>
              </w:rPr>
            </w:pPr>
            <w:r w:rsidRPr="00577B90">
              <w:rPr>
                <w:rFonts w:ascii="Arial Narrow" w:hAnsi="Arial Narrow"/>
                <w:b/>
              </w:rPr>
              <w:t>95.55</w:t>
            </w:r>
          </w:p>
        </w:tc>
      </w:tr>
    </w:tbl>
    <w:p w:rsidR="0003549E" w:rsidRDefault="0003549E" w:rsidP="0003549E">
      <w:pPr>
        <w:rPr>
          <w:rFonts w:ascii="Arial Narrow" w:hAnsi="Arial Narrow"/>
        </w:rPr>
      </w:pPr>
    </w:p>
    <w:p w:rsidR="0003549E" w:rsidRDefault="0003549E" w:rsidP="0003549E">
      <w:pPr>
        <w:rPr>
          <w:rFonts w:ascii="Arial Narrow" w:hAnsi="Arial Narrow"/>
        </w:rPr>
      </w:pPr>
      <w:r>
        <w:rPr>
          <w:rFonts w:ascii="Arial Narrow" w:hAnsi="Arial Narrow"/>
        </w:rPr>
        <w:t xml:space="preserve">Aceasta ierarhizare este suficient de relevanta in conditiile in care firmele examinate in studiul IER reprezinta peste 86% din totalul operatorilor economici din zona de industrii creative si culturale, asigura aproape 91% din ocuparea la nivel national pe acest segment si genereaza peste 95% din cifra de afaceri nationala a sectorului. De asemenea, ierarhizarea este doar partial suprinzatoare in conditiile in care Bucurestiul si judetul Ilfov era de asteptat sa polarizeze masiv aceste industrii iar dezvoltarea de pana acum a Clujului determina plasarea Regiunii Nord Vest pe locul II. Regiunea Centru ocupa locul III, oarecum suprinzator, inaintea Regiunii Vest, insa este remarcat o distributie mai echilibrata intraregionala, Regiunea Centru, cu 4 judete incluse in acest top 20, fiind regiunea cu cele mai multe judete. </w:t>
      </w:r>
    </w:p>
    <w:p w:rsidR="0003549E" w:rsidRDefault="0003549E" w:rsidP="0003549E">
      <w:pPr>
        <w:rPr>
          <w:rFonts w:ascii="Arial Narrow" w:hAnsi="Arial Narrow"/>
        </w:rPr>
      </w:pPr>
    </w:p>
    <w:p w:rsidR="0003549E" w:rsidRPr="001C2B18" w:rsidRDefault="0003549E" w:rsidP="0003549E">
      <w:pPr>
        <w:rPr>
          <w:rFonts w:ascii="Arial Narrow" w:hAnsi="Arial Narrow"/>
        </w:rPr>
      </w:pPr>
      <w:r>
        <w:rPr>
          <w:rFonts w:ascii="Arial Narrow" w:hAnsi="Arial Narrow"/>
        </w:rPr>
        <w:t>Topul realizat de IER este consistent si cu analiza D</w:t>
      </w:r>
      <w:r w:rsidRPr="00BA4DDE">
        <w:rPr>
          <w:rFonts w:ascii="Arial Narrow" w:hAnsi="Arial Narrow"/>
        </w:rPr>
        <w:t>epartamentul</w:t>
      </w:r>
      <w:r>
        <w:rPr>
          <w:rFonts w:ascii="Arial Narrow" w:hAnsi="Arial Narrow"/>
        </w:rPr>
        <w:t>ui</w:t>
      </w:r>
      <w:r w:rsidRPr="00BA4DDE">
        <w:rPr>
          <w:rFonts w:ascii="Arial Narrow" w:hAnsi="Arial Narrow"/>
        </w:rPr>
        <w:t xml:space="preserve"> pentru Investitii Straine si Parteneriat Public Privat</w:t>
      </w:r>
      <w:r>
        <w:rPr>
          <w:rStyle w:val="Referinnotdesubsol"/>
          <w:rFonts w:ascii="Arial Narrow" w:hAnsi="Arial Narrow"/>
        </w:rPr>
        <w:footnoteReference w:id="109"/>
      </w:r>
      <w:r>
        <w:rPr>
          <w:rFonts w:ascii="Arial Narrow" w:hAnsi="Arial Narrow"/>
        </w:rPr>
        <w:t xml:space="preserve"> din cadrul Guvernului Romaniei, analiza concentrata doar pe sectorul IT, care identifica Bucurestiul, Cluj Napoca</w:t>
      </w:r>
      <w:r w:rsidRPr="001A440D">
        <w:rPr>
          <w:rFonts w:ascii="Arial Narrow" w:hAnsi="Arial Narrow"/>
        </w:rPr>
        <w:t xml:space="preserve"> </w:t>
      </w:r>
      <w:r>
        <w:rPr>
          <w:rFonts w:ascii="Arial Narrow" w:hAnsi="Arial Narrow"/>
        </w:rPr>
        <w:t xml:space="preserve">si Timisoara ca centre mature in domeniul IT in Romania, alaturi de inca 5 centre emergente, respectiv Sibiu si Brasov (Regiunea Centru), Craiova (Regiunea Sud Vest, singurul judet din aceasta regiune in top 20 intocmit de IER), Iasi (Regiunea Nord Est, aflat pe locul 7 in top 20 industrii creative) si Galati (Regiunea Sud Est, aflat pe locul 14 in top 20 industrii creative). </w:t>
      </w:r>
    </w:p>
    <w:p w:rsidR="0003549E" w:rsidRPr="003D7E89" w:rsidRDefault="0003549E" w:rsidP="0003549E">
      <w:pPr>
        <w:rPr>
          <w:rFonts w:ascii="Arial Narrow" w:hAnsi="Arial Narrow"/>
        </w:rPr>
      </w:pPr>
      <w:r w:rsidRPr="003D7E89">
        <w:rPr>
          <w:rFonts w:ascii="Arial Narrow" w:hAnsi="Arial Narrow"/>
        </w:rPr>
        <w:t>IER a examinat si dinamica acestor industrii in perioada 2009 – 2014, evolutia fiind cel putin interesanta, pentru primele 10 judete:</w:t>
      </w:r>
    </w:p>
    <w:p w:rsidR="0003549E" w:rsidRDefault="0003549E" w:rsidP="00981E9F">
      <w:pPr>
        <w:pStyle w:val="Listparagraf"/>
        <w:numPr>
          <w:ilvl w:val="0"/>
          <w:numId w:val="62"/>
        </w:numPr>
        <w:spacing w:after="0" w:line="240" w:lineRule="auto"/>
        <w:jc w:val="both"/>
        <w:rPr>
          <w:rFonts w:ascii="Arial Narrow" w:hAnsi="Arial Narrow"/>
        </w:rPr>
      </w:pPr>
      <w:r w:rsidRPr="003D7E89">
        <w:rPr>
          <w:rFonts w:ascii="Arial Narrow" w:hAnsi="Arial Narrow"/>
        </w:rPr>
        <w:t>in ceea ce priveste dinamica ponderii gradul</w:t>
      </w:r>
      <w:r>
        <w:rPr>
          <w:rFonts w:ascii="Arial Narrow" w:hAnsi="Arial Narrow"/>
        </w:rPr>
        <w:t>ui de ocupare la nivel national</w:t>
      </w:r>
      <w:r w:rsidRPr="003D7E89">
        <w:rPr>
          <w:rFonts w:ascii="Arial Narrow" w:hAnsi="Arial Narrow"/>
        </w:rPr>
        <w:t>, Brasovul si Muresul , din regiunea Centru, au inregistrat cresteri de 0,26 si, respectiv, 0,20 pp, in timp ce, spre exemplu, Bucurestiul a pierdut 4,99 pp iar Clujul a castigat 4,56 pp, Timisul crescand doar cu 0.04pp. Au mai scazut in aceasta perioada Constanta, cu 0.32 pp, si Doljul, cu 0.17 pp</w:t>
      </w:r>
    </w:p>
    <w:p w:rsidR="0003549E" w:rsidRPr="003D7E89" w:rsidRDefault="0003549E" w:rsidP="00981E9F">
      <w:pPr>
        <w:pStyle w:val="Listparagraf"/>
        <w:numPr>
          <w:ilvl w:val="0"/>
          <w:numId w:val="62"/>
        </w:numPr>
        <w:spacing w:line="240" w:lineRule="auto"/>
        <w:jc w:val="both"/>
        <w:rPr>
          <w:rFonts w:ascii="Arial Narrow" w:hAnsi="Arial Narrow"/>
        </w:rPr>
      </w:pPr>
      <w:r w:rsidRPr="003D7E89">
        <w:rPr>
          <w:rFonts w:ascii="Arial Narrow" w:hAnsi="Arial Narrow"/>
        </w:rPr>
        <w:t>pentru indicatorul dinamica ponderii in cifra d</w:t>
      </w:r>
      <w:r>
        <w:rPr>
          <w:rFonts w:ascii="Arial Narrow" w:hAnsi="Arial Narrow"/>
        </w:rPr>
        <w:t>e afaceri,  Brasovul si Muresul</w:t>
      </w:r>
      <w:r w:rsidRPr="003D7E89">
        <w:rPr>
          <w:rFonts w:ascii="Arial Narrow" w:hAnsi="Arial Narrow"/>
        </w:rPr>
        <w:t>, din regiunea Centru, au inregistrat cresteri de 0,49 si, respectiv, 0,18 pp, in timp ce Bucurestiul a pierdut 6,86 pp, Constanta 0,27 pp iar Doljul 0,02 pp. In aceeasi perioada, Clujul a crescut cu 3,42 pp iar Timisul si Iasul cu 0,31 pp si, respectiv, 0,62 pp</w:t>
      </w:r>
    </w:p>
    <w:p w:rsidR="0003549E" w:rsidRDefault="0003549E" w:rsidP="0003549E">
      <w:pPr>
        <w:rPr>
          <w:rFonts w:ascii="Arial Narrow" w:hAnsi="Arial Narrow"/>
        </w:rPr>
      </w:pPr>
      <w:r>
        <w:rPr>
          <w:rFonts w:ascii="Arial Narrow" w:hAnsi="Arial Narrow"/>
        </w:rPr>
        <w:t>Conform datelor disponibile pe site-ul European Cluster Observatory</w:t>
      </w:r>
      <w:r>
        <w:rPr>
          <w:rStyle w:val="Referinnotdesubsol"/>
          <w:rFonts w:ascii="Arial Narrow" w:hAnsi="Arial Narrow"/>
        </w:rPr>
        <w:footnoteReference w:id="110"/>
      </w:r>
      <w:r>
        <w:rPr>
          <w:rFonts w:ascii="Arial Narrow" w:hAnsi="Arial Narrow"/>
        </w:rPr>
        <w:t xml:space="preserve">, la anul 2011, numarul de angajati pe regiuni de dezvoltare, in sectorul industriilor creative este urmatorul: </w:t>
      </w:r>
    </w:p>
    <w:p w:rsidR="0003549E" w:rsidRDefault="0003549E" w:rsidP="0003549E">
      <w:pPr>
        <w:rPr>
          <w:rFonts w:ascii="Arial Narrow" w:hAnsi="Arial Narrow"/>
        </w:rPr>
      </w:pPr>
    </w:p>
    <w:p w:rsidR="0003549E" w:rsidRDefault="0003549E" w:rsidP="0003549E">
      <w:pPr>
        <w:spacing w:after="0"/>
        <w:rPr>
          <w:rFonts w:ascii="Arial Narrow" w:hAnsi="Arial Narrow"/>
        </w:rPr>
      </w:pPr>
      <w:r>
        <w:rPr>
          <w:noProof/>
        </w:rPr>
        <w:lastRenderedPageBreak/>
        <w:drawing>
          <wp:anchor distT="0" distB="0" distL="114300" distR="114300" simplePos="0" relativeHeight="251694080" behindDoc="0" locked="0" layoutInCell="1" allowOverlap="1">
            <wp:simplePos x="0" y="0"/>
            <wp:positionH relativeFrom="column">
              <wp:posOffset>-1270</wp:posOffset>
            </wp:positionH>
            <wp:positionV relativeFrom="paragraph">
              <wp:posOffset>192405</wp:posOffset>
            </wp:positionV>
            <wp:extent cx="6059170" cy="6937375"/>
            <wp:effectExtent l="19050" t="0" r="17780" b="0"/>
            <wp:wrapTopAndBottom/>
            <wp:docPr id="50" name="Diagramă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03549E" w:rsidP="0003549E">
      <w:pPr>
        <w:spacing w:after="0"/>
        <w:rPr>
          <w:rFonts w:ascii="Arial Narrow" w:hAnsi="Arial Narrow"/>
        </w:rPr>
      </w:pPr>
    </w:p>
    <w:p w:rsidR="0003549E" w:rsidRDefault="00BD7229" w:rsidP="0003549E">
      <w:pPr>
        <w:spacing w:after="0"/>
        <w:rPr>
          <w:rFonts w:ascii="Arial Narrow" w:hAnsi="Arial Narrow"/>
        </w:rPr>
      </w:pPr>
      <w:r w:rsidRPr="00BD7229">
        <w:rPr>
          <w:noProof/>
        </w:rPr>
        <w:lastRenderedPageBreak/>
        <w:pict>
          <v:group id="_x0000_s1058" style="position:absolute;margin-left:279pt;margin-top:50.25pt;width:249pt;height:480.75pt;z-index:251695104;mso-position-horizontal-relative:page;mso-position-vertical-relative:page" coordsize="2475865,942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">
            <v:rect id="AutoShape 14" o:spid="_x0000_s1059" style="position:absolute;width:2475865;height:917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2bcUA&#10;AADbAAAADwAAAGRycy9kb3ducmV2LnhtbESPzWsCMRTE70L/h/AKvYhmtVJkaxTxA8T1UD8OHl83&#10;r7tLNy9Lkur2vzeC4HGY+c0wk1lranEh5yvLCgb9BARxbnXFhYLTcd0bg/ABWWNtmRT8k4fZ9KUz&#10;wVTbK+/pcgiFiCXsU1RQhtCkUvq8JIO+bxvi6P1YZzBE6QqpHV5juanlMEk+pMGK40KJDS1Kyn8P&#10;f0bB6KtZfXfPW86Wu/eFzLKsWHadUm+v7fwTRKA2PMMPeqMjN4L7l/g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txQAAANsAAAAPAAAAAAAAAAAAAAAAAJgCAABkcnMv&#10;ZG93bnJldi54bWxQSwUGAAAAAAQABAD1AAAAigMAAAAA&#10;" strokecolor="#948a54" strokeweight="1.25pt">
              <v:textbox inset="14.4pt,36pt,14.4pt,5.76pt">
                <w:txbxContent>
                  <w:p w:rsidR="00064502" w:rsidRDefault="00064502" w:rsidP="0003549E">
                    <w:pPr>
                      <w:pStyle w:val="Titlu1"/>
                      <w:spacing w:after="240"/>
                      <w:rPr>
                        <w:sz w:val="40"/>
                        <w:szCs w:val="40"/>
                      </w:rPr>
                    </w:pPr>
                    <w:r w:rsidRPr="00BD7229">
                      <w:rPr>
                        <w:noProof/>
                      </w:rPr>
                      <w:pict>
                        <v:shape id="Imagine 13" o:spid="_x0000_i1038" type="#_x0000_t75" alt="http://media.hotnews.ro/media_server1/image-2016-09-6-21271804-41-echipa-smartdreamers.jpg" style="width:223.5pt;height:148.5pt;visibility:visible">
                          <v:imagedata r:id="rId89" o:title="image-2016-09-6-21271804-41-echipa-smartdreamers"/>
                        </v:shape>
                      </w:pict>
                    </w:r>
                  </w:p>
                  <w:p w:rsidR="00064502" w:rsidRPr="006D4761" w:rsidRDefault="00064502" w:rsidP="0003549E">
                    <w:pPr>
                      <w:pStyle w:val="Titlu1"/>
                      <w:spacing w:before="0"/>
                      <w:rPr>
                        <w:rFonts w:ascii="Arial Narrow" w:hAnsi="Arial Narrow"/>
                        <w:sz w:val="22"/>
                        <w:szCs w:val="22"/>
                      </w:rPr>
                    </w:pPr>
                    <w:r w:rsidRPr="006D4761">
                      <w:rPr>
                        <w:rFonts w:ascii="Arial Narrow" w:hAnsi="Arial Narrow"/>
                        <w:sz w:val="22"/>
                        <w:szCs w:val="22"/>
                      </w:rPr>
                      <w:t>SmartDreamers – startup din Targu Mures</w:t>
                    </w:r>
                  </w:p>
                  <w:p w:rsidR="00064502" w:rsidRPr="00B826F6" w:rsidRDefault="00064502" w:rsidP="0003549E">
                    <w:pPr>
                      <w:autoSpaceDE w:val="0"/>
                      <w:autoSpaceDN w:val="0"/>
                      <w:adjustRightInd w:val="0"/>
                      <w:rPr>
                        <w:rFonts w:ascii="Arial Narrow" w:eastAsia="Roboto" w:hAnsi="Arial Narrow" w:cs="Roboto"/>
                      </w:rPr>
                    </w:pPr>
                    <w:r w:rsidRPr="006D4761">
                      <w:rPr>
                        <w:rFonts w:ascii="Arial Narrow" w:eastAsia="Roboto" w:hAnsi="Arial Narrow" w:cs="Roboto"/>
                      </w:rPr>
                      <w:t>Platforma de recrutare SmartDreamers, fondata de trei tineri din Targu Mures, a primit o</w:t>
                    </w:r>
                    <w:r>
                      <w:rPr>
                        <w:rFonts w:ascii="Arial Narrow" w:eastAsia="Roboto" w:hAnsi="Arial Narrow" w:cs="Roboto"/>
                      </w:rPr>
                      <w:t xml:space="preserve"> </w:t>
                    </w:r>
                    <w:r w:rsidRPr="006D4761">
                      <w:rPr>
                        <w:rFonts w:ascii="Arial Narrow" w:eastAsia="Roboto" w:hAnsi="Arial Narrow" w:cs="Roboto"/>
                      </w:rPr>
                      <w:t>investitie de 700.000 de euro din partea fondului local de private equity pentru crestere si</w:t>
                    </w:r>
                    <w:r>
                      <w:rPr>
                        <w:rFonts w:ascii="Arial Narrow" w:eastAsia="Roboto" w:hAnsi="Arial Narrow" w:cs="Roboto"/>
                      </w:rPr>
                      <w:t xml:space="preserve"> </w:t>
                    </w:r>
                    <w:r w:rsidRPr="006D4761">
                      <w:rPr>
                        <w:rFonts w:ascii="Arial Narrow" w:eastAsia="Roboto" w:hAnsi="Arial Narrow" w:cs="Roboto"/>
                      </w:rPr>
                      <w:t>venture capital, Catalyst Romania. Banii urmeaza sa fie investiti in extinderea regionala a</w:t>
                    </w:r>
                    <w:r>
                      <w:rPr>
                        <w:rFonts w:ascii="Arial Narrow" w:eastAsia="Roboto" w:hAnsi="Arial Narrow" w:cs="Roboto"/>
                      </w:rPr>
                      <w:t xml:space="preserve"> </w:t>
                    </w:r>
                    <w:r w:rsidRPr="006D4761">
                      <w:rPr>
                        <w:rFonts w:ascii="Arial Narrow" w:eastAsia="Roboto" w:hAnsi="Arial Narrow" w:cs="Roboto"/>
                      </w:rPr>
                      <w:t>companiei, cresterea echipei si promovare.</w:t>
                    </w:r>
                    <w:r>
                      <w:rPr>
                        <w:rFonts w:ascii="Arial Narrow" w:eastAsia="Roboto" w:hAnsi="Arial Narrow" w:cs="Roboto"/>
                      </w:rPr>
                      <w:t xml:space="preserve"> </w:t>
                    </w:r>
                    <w:r w:rsidRPr="006D4761">
                      <w:rPr>
                        <w:rFonts w:ascii="Arial Narrow" w:hAnsi="Arial Narrow"/>
                      </w:rPr>
                      <w:t>Startup-ul a fost fondat in 2014 de Adrian Cernat, Marius Huza si Mihai Ceusan, este utilizata, in prezent, de peste 2.000 de companii din Romania si Ungaria si are peste 100.000 de candidati in baza de date. In prima parte a acestui an SmartDreamers a inregistrat venituri de circa 100.000 de euro.</w:t>
                    </w:r>
                    <w:r>
                      <w:rPr>
                        <w:rFonts w:ascii="Arial Narrow" w:hAnsi="Arial Narrow"/>
                      </w:rPr>
                      <w:t xml:space="preserve"> (sursa </w:t>
                    </w:r>
                    <w:hyperlink r:id="rId90" w:history="1">
                      <w:r w:rsidRPr="00F90DE5">
                        <w:rPr>
                          <w:rStyle w:val="Hyperlink"/>
                          <w:rFonts w:ascii="Arial Narrow" w:hAnsi="Arial Narrow"/>
                        </w:rPr>
                        <w:t>http://www.startupcafe.ro/stiri-afaceri-21271751-smartdreamers-marius-ghenea-investitie-catalyst-romania-startup.htm</w:t>
                      </w:r>
                    </w:hyperlink>
                    <w:r>
                      <w:rPr>
                        <w:rFonts w:ascii="Arial Narrow" w:hAnsi="Arial Narrow"/>
                      </w:rPr>
                      <w:t>)</w:t>
                    </w:r>
                  </w:p>
                </w:txbxContent>
              </v:textbox>
            </v:rect>
            <v:rect id="Rectangle 45" o:spid="_x0000_s1060"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N/sEA&#10;AADbAAAADwAAAGRycy9kb3ducmV2LnhtbESPQYvCMBSE78L+h/AWvNl0i4pW07IsK3jVKujt0Tzb&#10;ss1LabJa/70RBI/DzHzDrPPBtOJKvWssK/iKYhDEpdUNVwoOxWayAOE8ssbWMim4k4M8+xitMdX2&#10;xju67n0lAoRdigpq77tUSlfWZNBFtiMO3sX2Bn2QfSV1j7cAN61M4nguDTYcFmrs6Kem8m//bxRw&#10;fC6bZWKrU2H0Mfk9F/MpF0qNP4fvFQhPg3+HX+2tVjCdwfN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f7BAAAA2wAAAA8AAAAAAAAAAAAAAAAAmAIAAGRycy9kb3du&#10;cmV2LnhtbFBLBQYAAAAABAAEAPUAAACGAwAAAAA=&#10;" fillcolor="#1f497d" stroked="f" strokeweight="2pt">
              <v:textbox inset="14.4pt,14.4pt,14.4pt,28.8pt">
                <w:txbxContent>
                  <w:p w:rsidR="00064502" w:rsidRPr="00577B90" w:rsidRDefault="00064502" w:rsidP="0003549E">
                    <w:pPr>
                      <w:spacing w:before="240"/>
                      <w:rPr>
                        <w:color w:val="FFFFFF"/>
                      </w:rPr>
                    </w:pPr>
                  </w:p>
                </w:txbxContent>
              </v:textbox>
            </v:rect>
            <v:rect id="Rectangle 46" o:spid="_x0000_s1061"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qM8MA&#10;AADbAAAADwAAAGRycy9kb3ducmV2LnhtbESPQWvCQBSE7wX/w/KEXkQ3SisSs4pUC9JTG8XzI/tM&#10;QrJv0901xn/fLRR6HGa+GSbbDqYVPTlfW1YwnyUgiAuray4VnE/v0xUIH5A1tpZJwYM8bDejpwxT&#10;be/8RX0eShFL2KeooAqhS6X0RUUG/cx2xNG7WmcwROlKqR3eY7lp5SJJltJgzXGhwo7eKiqa/GYU&#10;vEiX3y71az855Z+Tj709l9+HRqnn8bBbgwg0hP/wH33UkVv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qM8MAAADbAAAADwAAAAAAAAAAAAAAAACYAgAAZHJzL2Rv&#10;d25yZXYueG1sUEsFBgAAAAAEAAQA9QAAAIgDAAAAAA==&#10;" fillcolor="#4f81bd" stroked="f" strokeweight="2pt">
              <v:textbox inset="14.4pt,14.4pt,14.4pt,28.8pt">
                <w:txbxContent>
                  <w:p w:rsidR="00064502" w:rsidRPr="00577B90" w:rsidRDefault="00064502" w:rsidP="0003549E">
                    <w:pPr>
                      <w:spacing w:before="240"/>
                      <w:rPr>
                        <w:color w:val="FFFFFF"/>
                      </w:rPr>
                    </w:pPr>
                  </w:p>
                </w:txbxContent>
              </v:textbox>
            </v:rect>
            <w10:wrap type="square" anchorx="page" anchory="page"/>
          </v:group>
        </w:pict>
      </w:r>
      <w:r w:rsidR="0003549E">
        <w:rPr>
          <w:rFonts w:ascii="Arial Narrow" w:hAnsi="Arial Narrow"/>
        </w:rPr>
        <w:t>In Uniunea</w:t>
      </w:r>
      <w:r w:rsidR="0003549E" w:rsidRPr="002500EA">
        <w:rPr>
          <w:rFonts w:ascii="Arial Narrow" w:hAnsi="Arial Narrow"/>
        </w:rPr>
        <w:t xml:space="preserve"> Europe</w:t>
      </w:r>
      <w:r w:rsidR="0003549E">
        <w:rPr>
          <w:rFonts w:ascii="Arial Narrow" w:hAnsi="Arial Narrow"/>
        </w:rPr>
        <w:t>ana</w:t>
      </w:r>
      <w:r w:rsidR="0003549E" w:rsidRPr="002500EA">
        <w:rPr>
          <w:rFonts w:ascii="Arial Narrow" w:hAnsi="Arial Narrow"/>
        </w:rPr>
        <w:t xml:space="preserve"> primele 5 regiuni cu cel mai mare număr de firme  în industriile creative </w:t>
      </w:r>
      <w:r w:rsidR="0003549E">
        <w:rPr>
          <w:rFonts w:ascii="Arial Narrow" w:hAnsi="Arial Narrow"/>
        </w:rPr>
        <w:t>erau</w:t>
      </w:r>
      <w:r w:rsidR="0003549E" w:rsidRPr="002500EA">
        <w:rPr>
          <w:rFonts w:ascii="Arial Narrow" w:hAnsi="Arial Narrow"/>
        </w:rPr>
        <w:t>: Lombardia cu peste 58 de mii de firme (Italia), Stockholm cu peste 44 de mii de firme ați (Suedia), Mazowiecki cu peste 41 de mii de firme (Polonia), Lazio cu peste 32 de mii de firme (Italia) și Île de France cu peste 31 de mii de firme (Franța). La polul opus, cele 3 regiuni cu cel mai mic număr de firme în industriile creative sunt: Melilla și Ceuta din Spania</w:t>
      </w:r>
      <w:r w:rsidR="0003549E">
        <w:rPr>
          <w:rFonts w:ascii="Arial Narrow" w:hAnsi="Arial Narrow"/>
        </w:rPr>
        <w:t xml:space="preserve"> și Dytiki Makedonia (Grecia). In România</w:t>
      </w:r>
      <w:r w:rsidR="0003549E" w:rsidRPr="002500EA">
        <w:rPr>
          <w:rFonts w:ascii="Arial Narrow" w:hAnsi="Arial Narrow"/>
        </w:rPr>
        <w:t xml:space="preserve">, regiunea cu cel mai mare număr de firme în industriile creative </w:t>
      </w:r>
      <w:r w:rsidR="0003549E">
        <w:rPr>
          <w:rFonts w:ascii="Arial Narrow" w:hAnsi="Arial Narrow"/>
        </w:rPr>
        <w:t>era</w:t>
      </w:r>
      <w:r w:rsidR="0003549E" w:rsidRPr="002500EA">
        <w:rPr>
          <w:rFonts w:ascii="Arial Narrow" w:hAnsi="Arial Narrow"/>
        </w:rPr>
        <w:t xml:space="preserve"> București-Ilfov, pe locul 24 la nivelul Uniunii Europene și cu peste 12 mii de firme, iar la polul opus este regiunea Sud-Vest Oltenia care ocupă locul 128 la nivelul Uniunii Europene și care are peste o mie de firme. Regiunea Centru ocupă locul 3 la nivel național și locul 86 la nivelul Uniunii Europene având aproape 3 mii de firme în industriile creative.</w:t>
      </w:r>
      <w:r w:rsidR="0003549E">
        <w:rPr>
          <w:rFonts w:ascii="Arial Narrow" w:hAnsi="Arial Narrow"/>
        </w:rPr>
        <w:t xml:space="preserve"> </w:t>
      </w:r>
      <w:r w:rsidR="0003549E" w:rsidRPr="002500EA">
        <w:rPr>
          <w:rFonts w:ascii="Arial Narrow" w:hAnsi="Arial Narrow"/>
        </w:rPr>
        <w:t>Un alt indicator statistic relevant este ponderea salariaților din industriile creative în total regiune. Astfel, primele 5 regiuni</w:t>
      </w:r>
      <w:r w:rsidR="0003549E">
        <w:rPr>
          <w:rFonts w:ascii="Arial Narrow" w:hAnsi="Arial Narrow"/>
        </w:rPr>
        <w:t xml:space="preserve"> europene</w:t>
      </w:r>
      <w:r w:rsidR="0003549E" w:rsidRPr="002500EA">
        <w:rPr>
          <w:rFonts w:ascii="Arial Narrow" w:hAnsi="Arial Narrow"/>
        </w:rPr>
        <w:t xml:space="preserve"> cu cele mai mari ponderi ale salariaților din industriile creative </w:t>
      </w:r>
      <w:r w:rsidR="0003549E">
        <w:rPr>
          <w:rFonts w:ascii="Arial Narrow" w:hAnsi="Arial Narrow"/>
        </w:rPr>
        <w:t>erau</w:t>
      </w:r>
      <w:r w:rsidR="0003549E" w:rsidRPr="002500EA">
        <w:rPr>
          <w:rFonts w:ascii="Arial Narrow" w:hAnsi="Arial Narrow"/>
        </w:rPr>
        <w:t xml:space="preserve">: Stockholm cu 10,06%, Inner London cu 9,57%, Praga cu 8,25%, Lazio cu 6,95% și Etela-Suomi/Aland cu 6,72%. La popul opus, regiunile cu cele mai mici ponderi ale salariaților din industriile creative </w:t>
      </w:r>
      <w:r w:rsidR="0003549E">
        <w:rPr>
          <w:rFonts w:ascii="Arial Narrow" w:hAnsi="Arial Narrow"/>
        </w:rPr>
        <w:t>erau</w:t>
      </w:r>
      <w:r w:rsidR="0003549E" w:rsidRPr="002500EA">
        <w:rPr>
          <w:rFonts w:ascii="Arial Narrow" w:hAnsi="Arial Narrow"/>
        </w:rPr>
        <w:t xml:space="preserve"> Melilla și Ceuta din Spania și </w:t>
      </w:r>
      <w:r w:rsidR="0003549E">
        <w:rPr>
          <w:rFonts w:ascii="Arial Narrow" w:hAnsi="Arial Narrow"/>
        </w:rPr>
        <w:t>Nord-Est (România, doar 0,61%). In România</w:t>
      </w:r>
      <w:r w:rsidR="0003549E" w:rsidRPr="002500EA">
        <w:rPr>
          <w:rFonts w:ascii="Arial Narrow" w:hAnsi="Arial Narrow"/>
        </w:rPr>
        <w:t xml:space="preserve">, regiunea cu cea mai mare pondere </w:t>
      </w:r>
      <w:r w:rsidR="0003549E">
        <w:rPr>
          <w:rFonts w:ascii="Arial Narrow" w:hAnsi="Arial Narrow"/>
        </w:rPr>
        <w:t>era București-Ilfov, care ocupa</w:t>
      </w:r>
      <w:r w:rsidR="0003549E" w:rsidRPr="002500EA">
        <w:rPr>
          <w:rFonts w:ascii="Arial Narrow" w:hAnsi="Arial Narrow"/>
        </w:rPr>
        <w:t xml:space="preserve"> locul 18 la nivelul Uniunii Europene cu 5,46%. Regiunea Centru ocup</w:t>
      </w:r>
      <w:r w:rsidR="0003549E">
        <w:rPr>
          <w:rFonts w:ascii="Arial Narrow" w:hAnsi="Arial Narrow"/>
        </w:rPr>
        <w:t>a</w:t>
      </w:r>
      <w:r w:rsidR="0003549E" w:rsidRPr="002500EA">
        <w:rPr>
          <w:rFonts w:ascii="Arial Narrow" w:hAnsi="Arial Narrow"/>
        </w:rPr>
        <w:t xml:space="preserve"> locul 2 la nivel național și locul 241</w:t>
      </w:r>
      <w:r w:rsidR="0003549E">
        <w:rPr>
          <w:rFonts w:ascii="Arial Narrow" w:hAnsi="Arial Narrow"/>
        </w:rPr>
        <w:t xml:space="preserve"> </w:t>
      </w:r>
      <w:r w:rsidR="0003549E" w:rsidRPr="002500EA">
        <w:rPr>
          <w:rFonts w:ascii="Arial Narrow" w:hAnsi="Arial Narrow"/>
        </w:rPr>
        <w:t xml:space="preserve">la nivelul </w:t>
      </w:r>
      <w:r w:rsidR="0003549E">
        <w:rPr>
          <w:rFonts w:ascii="Arial Narrow" w:hAnsi="Arial Narrow"/>
        </w:rPr>
        <w:t>UE</w:t>
      </w:r>
      <w:r w:rsidR="0003549E" w:rsidRPr="002500EA">
        <w:rPr>
          <w:rFonts w:ascii="Arial Narrow" w:hAnsi="Arial Narrow"/>
        </w:rPr>
        <w:t xml:space="preserve"> având o pondere de 1,18%. </w:t>
      </w:r>
      <w:r w:rsidR="0003549E">
        <w:rPr>
          <w:rFonts w:ascii="Arial Narrow" w:hAnsi="Arial Narrow"/>
        </w:rPr>
        <w:t>(datele acopera intervalul 2005 - 2008)</w:t>
      </w:r>
      <w:r w:rsidR="0003549E">
        <w:rPr>
          <w:rStyle w:val="Referinnotdesubsol"/>
          <w:sz w:val="24"/>
          <w:szCs w:val="24"/>
        </w:rPr>
        <w:footnoteReference w:id="111"/>
      </w:r>
      <w:r w:rsidR="0003549E">
        <w:rPr>
          <w:rFonts w:ascii="Arial Narrow" w:hAnsi="Arial Narrow"/>
        </w:rPr>
        <w:t>.</w:t>
      </w:r>
    </w:p>
    <w:p w:rsidR="0003549E" w:rsidRDefault="0003549E" w:rsidP="0003549E">
      <w:pPr>
        <w:rPr>
          <w:rFonts w:ascii="Arial Narrow" w:hAnsi="Arial Narrow"/>
        </w:rPr>
      </w:pPr>
      <w:r>
        <w:rPr>
          <w:rFonts w:ascii="Arial Narrow" w:hAnsi="Arial Narrow"/>
        </w:rPr>
        <w:t>Aceeasi sursa de date, respectiv European Cluster Observatory,  a utilizat si Institutul European din Romania, cand a examinat clasificarea regiunilor romanesti in context UE 27, din perspectiva numarului de angajati, plasarea fiind urmatoarea (valabil pentru anul 2011):</w:t>
      </w:r>
    </w:p>
    <w:p w:rsidR="0003549E" w:rsidRDefault="0003549E"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tbl>
      <w:tblPr>
        <w:tblpPr w:leftFromText="180" w:rightFromText="180" w:vertAnchor="text" w:horzAnchor="margin" w:tblpY="985"/>
        <w:tblOverlap w:val="never"/>
        <w:tblW w:w="0" w:type="auto"/>
        <w:tblBorders>
          <w:top w:val="single" w:sz="4" w:space="0" w:color="000000"/>
          <w:left w:val="single" w:sz="4" w:space="0" w:color="000000"/>
          <w:bottom w:val="single" w:sz="4" w:space="0" w:color="000000"/>
          <w:right w:val="single" w:sz="4" w:space="0" w:color="000000"/>
        </w:tblBorders>
        <w:tblLook w:val="04A0"/>
      </w:tblPr>
      <w:tblGrid>
        <w:gridCol w:w="1384"/>
        <w:gridCol w:w="1701"/>
        <w:gridCol w:w="2410"/>
      </w:tblGrid>
      <w:tr w:rsidR="001F1152" w:rsidRPr="00577B90" w:rsidTr="001F1152">
        <w:tc>
          <w:tcPr>
            <w:tcW w:w="1384"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lastRenderedPageBreak/>
              <w:t>Pozitia in UE</w:t>
            </w:r>
          </w:p>
        </w:tc>
        <w:tc>
          <w:tcPr>
            <w:tcW w:w="1701"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t>Regiune</w:t>
            </w:r>
          </w:p>
        </w:tc>
        <w:tc>
          <w:tcPr>
            <w:tcW w:w="2410"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t>Salariati SCC</w:t>
            </w:r>
          </w:p>
        </w:tc>
      </w:tr>
      <w:tr w:rsidR="001F1152" w:rsidRPr="00577B90" w:rsidTr="001F1152">
        <w:trPr>
          <w:trHeight w:val="302"/>
        </w:trPr>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17</w:t>
            </w:r>
          </w:p>
        </w:tc>
        <w:tc>
          <w:tcPr>
            <w:tcW w:w="1701" w:type="dxa"/>
            <w:shd w:val="clear" w:color="auto" w:fill="auto"/>
          </w:tcPr>
          <w:p w:rsidR="001F1152" w:rsidRPr="00577B90" w:rsidRDefault="001F1152" w:rsidP="001F1152">
            <w:pPr>
              <w:rPr>
                <w:rFonts w:ascii="Arial Narrow" w:eastAsia="Times New Roman" w:hAnsi="Arial Narrow"/>
                <w:lang w:eastAsia="ja-JP"/>
              </w:rPr>
            </w:pPr>
            <w:r w:rsidRPr="00577B90">
              <w:rPr>
                <w:rFonts w:ascii="Arial Narrow" w:eastAsia="Times New Roman" w:hAnsi="Arial Narrow"/>
                <w:lang w:eastAsia="ja-JP"/>
              </w:rPr>
              <w:t>Bucuresti - Ilfov</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67155</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113</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Nord Vest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15033</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b/>
                <w:lang w:eastAsia="ja-JP"/>
              </w:rPr>
            </w:pPr>
            <w:r w:rsidRPr="00577B90">
              <w:rPr>
                <w:rFonts w:ascii="Arial Narrow" w:eastAsia="Times New Roman" w:hAnsi="Arial Narrow"/>
                <w:b/>
                <w:lang w:eastAsia="ja-JP"/>
              </w:rPr>
              <w:t>134</w:t>
            </w:r>
          </w:p>
        </w:tc>
        <w:tc>
          <w:tcPr>
            <w:tcW w:w="1701" w:type="dxa"/>
            <w:shd w:val="clear" w:color="auto" w:fill="auto"/>
          </w:tcPr>
          <w:p w:rsidR="001F1152" w:rsidRPr="00577B90" w:rsidRDefault="001F1152" w:rsidP="001F1152">
            <w:pPr>
              <w:ind w:left="720" w:hanging="360"/>
              <w:rPr>
                <w:rFonts w:ascii="Arial Narrow" w:eastAsia="Times New Roman" w:hAnsi="Arial Narrow"/>
                <w:b/>
                <w:lang w:eastAsia="ja-JP"/>
              </w:rPr>
            </w:pPr>
            <w:r w:rsidRPr="00577B90">
              <w:rPr>
                <w:rFonts w:ascii="Arial Narrow" w:eastAsia="Times New Roman" w:hAnsi="Arial Narrow"/>
                <w:b/>
                <w:lang w:eastAsia="ja-JP"/>
              </w:rPr>
              <w:t>Centru</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12603</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169</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Vest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8338</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178</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Nord 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7862</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192</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Sud Muntenia</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6306</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195</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Sud 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6029</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201</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Sud Vest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5228</w:t>
            </w:r>
          </w:p>
        </w:tc>
      </w:tr>
    </w:tbl>
    <w:p w:rsidR="001F1152" w:rsidRDefault="0003549E" w:rsidP="0003549E">
      <w:pPr>
        <w:rPr>
          <w:rFonts w:ascii="Arial Narrow" w:hAnsi="Arial Narrow"/>
        </w:rPr>
      </w:pPr>
      <w:r>
        <w:rPr>
          <w:rFonts w:ascii="Arial Narrow" w:hAnsi="Arial Narrow"/>
        </w:rPr>
        <w:t xml:space="preserve">Se poate observa ca regiunea Bucuresti Ilfov ocupa un meritoriu loc 17 la nivel european, ceea ce nu este totusi de mirare din perspectiva dimensiunii si, mai ales, a statutului de capitala a municipiului Bucuresti. Regiunea </w:t>
      </w: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03549E" w:rsidRDefault="0003549E" w:rsidP="0003549E">
      <w:pPr>
        <w:rPr>
          <w:rFonts w:ascii="Arial Narrow" w:hAnsi="Arial Narrow"/>
        </w:rPr>
      </w:pPr>
      <w:r>
        <w:rPr>
          <w:rFonts w:ascii="Arial Narrow" w:hAnsi="Arial Narrow"/>
        </w:rPr>
        <w:t>Centru este bine plasata in plutonul regiunilor din Romania, pe pozitia 134 la nivel european, dupa Nord Vest insa la distanta destul de mare fata de celelalte regiuni</w:t>
      </w:r>
    </w:p>
    <w:p w:rsidR="0003549E" w:rsidRDefault="0003549E" w:rsidP="0003549E">
      <w:pPr>
        <w:rPr>
          <w:rFonts w:ascii="Arial Narrow" w:hAnsi="Arial Narrow"/>
        </w:rPr>
      </w:pPr>
      <w:r>
        <w:rPr>
          <w:rFonts w:ascii="Arial Narrow" w:hAnsi="Arial Narrow"/>
        </w:rPr>
        <w:t xml:space="preserve">Din perspectiva numarului de firme, pozitionarile se modifica oarecum. Regiunea Bucuresti Ilfov ramane in varful ierarhiei nationale insa trece de pe locul 17 pe locul 33 european. Toate celelate regiuni romanesti se ridica in clasament (din intevalul 113 – 201 in intervalul 96 - 163), cu diferenta notabila a inversarii pozitiilor intre regiunile Vest si Nord Est. </w:t>
      </w:r>
    </w:p>
    <w:p w:rsidR="0003549E" w:rsidRDefault="0003549E" w:rsidP="001F1152">
      <w:pPr>
        <w:spacing w:after="0"/>
        <w:rPr>
          <w:rFonts w:ascii="Arial Narrow" w:hAnsi="Arial Narrow"/>
        </w:rPr>
      </w:pPr>
      <w:r>
        <w:rPr>
          <w:rFonts w:ascii="Arial Narrow" w:hAnsi="Arial Narrow"/>
        </w:rPr>
        <w:t xml:space="preserve">Regiunea Centru ramane pe locul 3 la nivel national in ambele ierarhii, ocupand, de aceasta data, pozitia 109 la nivel european. </w:t>
      </w:r>
    </w:p>
    <w:tbl>
      <w:tblPr>
        <w:tblpPr w:leftFromText="180" w:rightFromText="180" w:vertAnchor="text" w:horzAnchor="margin" w:tblpY="224"/>
        <w:tblOverlap w:val="never"/>
        <w:tblW w:w="0" w:type="auto"/>
        <w:tblBorders>
          <w:top w:val="single" w:sz="4" w:space="0" w:color="000000"/>
          <w:left w:val="single" w:sz="4" w:space="0" w:color="000000"/>
          <w:bottom w:val="single" w:sz="4" w:space="0" w:color="000000"/>
          <w:right w:val="single" w:sz="4" w:space="0" w:color="000000"/>
        </w:tblBorders>
        <w:tblLook w:val="04A0"/>
      </w:tblPr>
      <w:tblGrid>
        <w:gridCol w:w="1384"/>
        <w:gridCol w:w="1701"/>
        <w:gridCol w:w="2410"/>
      </w:tblGrid>
      <w:tr w:rsidR="001F1152" w:rsidRPr="00577B90" w:rsidTr="001F1152">
        <w:tc>
          <w:tcPr>
            <w:tcW w:w="1384"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t>Pozitia in UE</w:t>
            </w:r>
          </w:p>
        </w:tc>
        <w:tc>
          <w:tcPr>
            <w:tcW w:w="1701"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t>Regiune</w:t>
            </w:r>
          </w:p>
        </w:tc>
        <w:tc>
          <w:tcPr>
            <w:tcW w:w="2410"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t>Firme SCC</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33</w:t>
            </w:r>
          </w:p>
        </w:tc>
        <w:tc>
          <w:tcPr>
            <w:tcW w:w="1701" w:type="dxa"/>
            <w:shd w:val="clear" w:color="auto" w:fill="auto"/>
          </w:tcPr>
          <w:p w:rsidR="001F1152" w:rsidRPr="00577B90" w:rsidRDefault="001F1152" w:rsidP="001F1152">
            <w:pPr>
              <w:rPr>
                <w:rFonts w:ascii="Arial Narrow" w:eastAsia="Times New Roman" w:hAnsi="Arial Narrow"/>
                <w:lang w:eastAsia="ja-JP"/>
              </w:rPr>
            </w:pPr>
            <w:r w:rsidRPr="00577B90">
              <w:rPr>
                <w:rFonts w:ascii="Arial Narrow" w:eastAsia="Times New Roman" w:hAnsi="Arial Narrow"/>
                <w:lang w:eastAsia="ja-JP"/>
              </w:rPr>
              <w:t>Bucuresti - Ilfov</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11551</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96</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Nord Vest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3415</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b/>
                <w:lang w:eastAsia="ja-JP"/>
              </w:rPr>
            </w:pPr>
            <w:r w:rsidRPr="00577B90">
              <w:rPr>
                <w:rFonts w:ascii="Arial Narrow" w:eastAsia="Times New Roman" w:hAnsi="Arial Narrow"/>
                <w:b/>
                <w:lang w:eastAsia="ja-JP"/>
              </w:rPr>
              <w:t>109</w:t>
            </w:r>
          </w:p>
        </w:tc>
        <w:tc>
          <w:tcPr>
            <w:tcW w:w="1701" w:type="dxa"/>
            <w:shd w:val="clear" w:color="auto" w:fill="auto"/>
          </w:tcPr>
          <w:p w:rsidR="001F1152" w:rsidRPr="00577B90" w:rsidRDefault="001F1152" w:rsidP="001F1152">
            <w:pPr>
              <w:ind w:left="720" w:hanging="360"/>
              <w:rPr>
                <w:rFonts w:ascii="Arial Narrow" w:eastAsia="Times New Roman" w:hAnsi="Arial Narrow"/>
                <w:b/>
                <w:lang w:eastAsia="ja-JP"/>
              </w:rPr>
            </w:pPr>
            <w:r w:rsidRPr="00577B90">
              <w:rPr>
                <w:rFonts w:ascii="Arial Narrow" w:eastAsia="Times New Roman" w:hAnsi="Arial Narrow"/>
                <w:b/>
                <w:lang w:eastAsia="ja-JP"/>
              </w:rPr>
              <w:t>Centru</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2951</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128</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Nord 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2150</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130</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 xml:space="preserve">Vest </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2092</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135</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Sud Muntenia</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2002</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139</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Sud 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1916</w:t>
            </w:r>
          </w:p>
        </w:tc>
      </w:tr>
      <w:tr w:rsidR="001F1152" w:rsidRPr="00577B90" w:rsidTr="001F1152">
        <w:tc>
          <w:tcPr>
            <w:tcW w:w="1384"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163</w:t>
            </w:r>
          </w:p>
        </w:tc>
        <w:tc>
          <w:tcPr>
            <w:tcW w:w="1701" w:type="dxa"/>
            <w:shd w:val="clear" w:color="auto" w:fill="auto"/>
          </w:tcPr>
          <w:p w:rsidR="001F1152" w:rsidRPr="00577B90" w:rsidRDefault="001F1152" w:rsidP="001F1152">
            <w:pPr>
              <w:ind w:left="720" w:hanging="360"/>
              <w:rPr>
                <w:rFonts w:ascii="Arial Narrow" w:eastAsia="Times New Roman" w:hAnsi="Arial Narrow"/>
                <w:lang w:eastAsia="ja-JP"/>
              </w:rPr>
            </w:pPr>
            <w:r w:rsidRPr="00577B90">
              <w:rPr>
                <w:rFonts w:ascii="Arial Narrow" w:eastAsia="Times New Roman" w:hAnsi="Arial Narrow"/>
                <w:lang w:eastAsia="ja-JP"/>
              </w:rPr>
              <w:t>Sud Vest</w:t>
            </w:r>
          </w:p>
        </w:tc>
        <w:tc>
          <w:tcPr>
            <w:tcW w:w="2410"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1252</w:t>
            </w:r>
          </w:p>
        </w:tc>
      </w:tr>
    </w:tbl>
    <w:p w:rsidR="0003549E" w:rsidRDefault="0003549E"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1F1152" w:rsidP="0003549E">
      <w:pPr>
        <w:rPr>
          <w:rFonts w:ascii="Arial Narrow" w:hAnsi="Arial Narrow"/>
        </w:rPr>
      </w:pPr>
    </w:p>
    <w:p w:rsidR="001F1152" w:rsidRDefault="0003549E" w:rsidP="0003549E">
      <w:pPr>
        <w:rPr>
          <w:rFonts w:ascii="Arial Narrow" w:hAnsi="Arial Narrow"/>
        </w:rPr>
      </w:pPr>
      <w:r>
        <w:rPr>
          <w:rFonts w:ascii="Arial Narrow" w:hAnsi="Arial Narrow"/>
        </w:rPr>
        <w:t xml:space="preserve">Daca este sa privim la nivel de ramuri ale industriilor creative si culturale, este evident faptul ca ITC reprezinta principala sursa de crestere si genereaza cele mai mari valori, atat in randul cifrei de afaceri, cat si in randul </w:t>
      </w:r>
      <w:r>
        <w:rPr>
          <w:rFonts w:ascii="Arial Narrow" w:hAnsi="Arial Narrow"/>
        </w:rPr>
        <w:lastRenderedPageBreak/>
        <w:t xml:space="preserve">numarului de angajati. Conform studiului realizat de Institutul European Roman, topul 10 al judetelor ca pondere in </w:t>
      </w:r>
      <w:r w:rsidRPr="00E87E3A">
        <w:rPr>
          <w:rFonts w:ascii="Arial Narrow" w:hAnsi="Arial Narrow"/>
        </w:rPr>
        <w:t xml:space="preserve">Activități de realizare a soft-ului la comandă </w:t>
      </w:r>
      <w:r>
        <w:rPr>
          <w:rFonts w:ascii="Arial Narrow" w:hAnsi="Arial Narrow"/>
        </w:rPr>
        <w:t>pe an</w:t>
      </w:r>
      <w:r w:rsidR="001F1152">
        <w:rPr>
          <w:rFonts w:ascii="Arial Narrow" w:hAnsi="Arial Narrow"/>
        </w:rPr>
        <w:t>ul 2014 arata in felul urmator:</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59"/>
        <w:gridCol w:w="2755"/>
        <w:gridCol w:w="1858"/>
        <w:gridCol w:w="1858"/>
        <w:gridCol w:w="1858"/>
      </w:tblGrid>
      <w:tr w:rsidR="001F1152" w:rsidRPr="00577B90" w:rsidTr="001F1152">
        <w:tc>
          <w:tcPr>
            <w:tcW w:w="959" w:type="dxa"/>
            <w:shd w:val="clear" w:color="auto" w:fill="4F81BD"/>
          </w:tcPr>
          <w:p w:rsidR="001F1152" w:rsidRPr="00577B90" w:rsidRDefault="001F1152" w:rsidP="001F1152">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Nr.</w:t>
            </w:r>
          </w:p>
        </w:tc>
        <w:tc>
          <w:tcPr>
            <w:tcW w:w="2755" w:type="dxa"/>
            <w:shd w:val="clear" w:color="auto" w:fill="4F81BD"/>
          </w:tcPr>
          <w:p w:rsidR="001F1152" w:rsidRPr="00577B90" w:rsidRDefault="001F1152" w:rsidP="001F1152">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Judet</w:t>
            </w:r>
          </w:p>
        </w:tc>
        <w:tc>
          <w:tcPr>
            <w:tcW w:w="1858" w:type="dxa"/>
            <w:shd w:val="clear" w:color="auto" w:fill="4F81BD"/>
          </w:tcPr>
          <w:p w:rsidR="001F1152" w:rsidRPr="00577B90" w:rsidRDefault="001F1152" w:rsidP="001F1152">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nr. firme</w:t>
            </w:r>
          </w:p>
        </w:tc>
        <w:tc>
          <w:tcPr>
            <w:tcW w:w="1858" w:type="dxa"/>
            <w:shd w:val="clear" w:color="auto" w:fill="4F81BD"/>
          </w:tcPr>
          <w:p w:rsidR="001F1152" w:rsidRPr="00577B90" w:rsidRDefault="001F1152" w:rsidP="001F1152">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ocupare</w:t>
            </w:r>
          </w:p>
        </w:tc>
        <w:tc>
          <w:tcPr>
            <w:tcW w:w="1858" w:type="dxa"/>
            <w:shd w:val="clear" w:color="auto" w:fill="4F81BD"/>
          </w:tcPr>
          <w:p w:rsidR="001F1152" w:rsidRPr="00577B90" w:rsidRDefault="001F1152" w:rsidP="001F1152">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cifra de afaceri</w:t>
            </w:r>
          </w:p>
        </w:tc>
      </w:tr>
      <w:tr w:rsidR="001F1152" w:rsidRPr="00577B90" w:rsidTr="001F1152">
        <w:tc>
          <w:tcPr>
            <w:tcW w:w="959" w:type="dxa"/>
            <w:tcBorders>
              <w:top w:val="single" w:sz="8" w:space="0" w:color="4F81BD"/>
              <w:left w:val="single" w:sz="8" w:space="0" w:color="4F81BD"/>
              <w:bottom w:val="single" w:sz="8" w:space="0" w:color="4F81BD"/>
            </w:tcBorders>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1.</w:t>
            </w:r>
          </w:p>
        </w:tc>
        <w:tc>
          <w:tcPr>
            <w:tcW w:w="2755"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Municipiul Bucuresti</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33,42%</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43,49%</w:t>
            </w:r>
          </w:p>
        </w:tc>
        <w:tc>
          <w:tcPr>
            <w:tcW w:w="1858" w:type="dxa"/>
            <w:tcBorders>
              <w:top w:val="single" w:sz="8" w:space="0" w:color="4F81BD"/>
              <w:bottom w:val="single" w:sz="8" w:space="0" w:color="4F81BD"/>
              <w:right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50,17%</w:t>
            </w:r>
          </w:p>
        </w:tc>
      </w:tr>
      <w:tr w:rsidR="001F1152" w:rsidRPr="00577B90" w:rsidTr="001F1152">
        <w:tc>
          <w:tcPr>
            <w:tcW w:w="959" w:type="dxa"/>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2.</w:t>
            </w:r>
          </w:p>
        </w:tc>
        <w:tc>
          <w:tcPr>
            <w:tcW w:w="2755"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Cluj</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13,34%</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21,44%</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16,40%</w:t>
            </w:r>
          </w:p>
        </w:tc>
      </w:tr>
      <w:tr w:rsidR="001F1152" w:rsidRPr="00577B90" w:rsidTr="001F1152">
        <w:tc>
          <w:tcPr>
            <w:tcW w:w="959" w:type="dxa"/>
            <w:tcBorders>
              <w:top w:val="single" w:sz="8" w:space="0" w:color="4F81BD"/>
              <w:left w:val="single" w:sz="8" w:space="0" w:color="4F81BD"/>
              <w:bottom w:val="single" w:sz="8" w:space="0" w:color="4F81BD"/>
            </w:tcBorders>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3.</w:t>
            </w:r>
          </w:p>
        </w:tc>
        <w:tc>
          <w:tcPr>
            <w:tcW w:w="2755"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Timis</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5,76%</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6,06%</w:t>
            </w:r>
          </w:p>
        </w:tc>
        <w:tc>
          <w:tcPr>
            <w:tcW w:w="1858" w:type="dxa"/>
            <w:tcBorders>
              <w:top w:val="single" w:sz="8" w:space="0" w:color="4F81BD"/>
              <w:bottom w:val="single" w:sz="8" w:space="0" w:color="4F81BD"/>
              <w:right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4,27%</w:t>
            </w:r>
          </w:p>
        </w:tc>
      </w:tr>
      <w:tr w:rsidR="001F1152" w:rsidRPr="00577B90" w:rsidTr="001F1152">
        <w:tc>
          <w:tcPr>
            <w:tcW w:w="959" w:type="dxa"/>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4.</w:t>
            </w:r>
          </w:p>
        </w:tc>
        <w:tc>
          <w:tcPr>
            <w:tcW w:w="2755"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Iasi</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4,85%</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4,92%</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3,11%</w:t>
            </w:r>
          </w:p>
        </w:tc>
      </w:tr>
      <w:tr w:rsidR="001F1152" w:rsidRPr="00577B90" w:rsidTr="001F1152">
        <w:tc>
          <w:tcPr>
            <w:tcW w:w="959" w:type="dxa"/>
            <w:tcBorders>
              <w:top w:val="single" w:sz="8" w:space="0" w:color="4F81BD"/>
              <w:left w:val="single" w:sz="8" w:space="0" w:color="4F81BD"/>
              <w:bottom w:val="single" w:sz="8" w:space="0" w:color="4F81BD"/>
            </w:tcBorders>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5.</w:t>
            </w:r>
          </w:p>
        </w:tc>
        <w:tc>
          <w:tcPr>
            <w:tcW w:w="2755"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Ilfov</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2,79%</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4,49%</w:t>
            </w:r>
          </w:p>
        </w:tc>
        <w:tc>
          <w:tcPr>
            <w:tcW w:w="1858" w:type="dxa"/>
            <w:tcBorders>
              <w:top w:val="single" w:sz="8" w:space="0" w:color="4F81BD"/>
              <w:bottom w:val="single" w:sz="8" w:space="0" w:color="4F81BD"/>
              <w:right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4,53%</w:t>
            </w:r>
          </w:p>
        </w:tc>
      </w:tr>
      <w:tr w:rsidR="001F1152" w:rsidRPr="00577B90" w:rsidTr="001F1152">
        <w:tc>
          <w:tcPr>
            <w:tcW w:w="959" w:type="dxa"/>
            <w:shd w:val="clear" w:color="auto" w:fill="auto"/>
          </w:tcPr>
          <w:p w:rsidR="001F1152" w:rsidRPr="00577B90" w:rsidRDefault="001F1152" w:rsidP="001F1152">
            <w:pPr>
              <w:jc w:val="center"/>
              <w:rPr>
                <w:rFonts w:ascii="Arial Narrow" w:eastAsia="Times New Roman" w:hAnsi="Arial Narrow"/>
                <w:b/>
                <w:bCs/>
                <w:lang w:eastAsia="ja-JP"/>
              </w:rPr>
            </w:pPr>
            <w:r w:rsidRPr="00577B90">
              <w:rPr>
                <w:rFonts w:ascii="Arial Narrow" w:eastAsia="Times New Roman" w:hAnsi="Arial Narrow"/>
                <w:b/>
                <w:bCs/>
                <w:lang w:eastAsia="ja-JP"/>
              </w:rPr>
              <w:t>6.</w:t>
            </w:r>
          </w:p>
        </w:tc>
        <w:tc>
          <w:tcPr>
            <w:tcW w:w="2755"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Brasov</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4,94%</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4,33%</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3,37%</w:t>
            </w:r>
          </w:p>
        </w:tc>
      </w:tr>
      <w:tr w:rsidR="001F1152" w:rsidRPr="00577B90" w:rsidTr="001F1152">
        <w:tc>
          <w:tcPr>
            <w:tcW w:w="959" w:type="dxa"/>
            <w:tcBorders>
              <w:top w:val="single" w:sz="8" w:space="0" w:color="4F81BD"/>
              <w:left w:val="single" w:sz="8" w:space="0" w:color="4F81BD"/>
              <w:bottom w:val="single" w:sz="8" w:space="0" w:color="4F81BD"/>
            </w:tcBorders>
            <w:shd w:val="clear" w:color="auto" w:fill="auto"/>
          </w:tcPr>
          <w:p w:rsidR="001F1152" w:rsidRPr="00577B90" w:rsidRDefault="001F1152" w:rsidP="001F1152">
            <w:pPr>
              <w:jc w:val="center"/>
              <w:rPr>
                <w:rFonts w:ascii="Arial Narrow" w:eastAsia="Times New Roman" w:hAnsi="Arial Narrow"/>
                <w:b/>
                <w:bCs/>
                <w:lang w:eastAsia="ja-JP"/>
              </w:rPr>
            </w:pPr>
            <w:r w:rsidRPr="00577B90">
              <w:rPr>
                <w:rFonts w:ascii="Arial Narrow" w:eastAsia="Times New Roman" w:hAnsi="Arial Narrow"/>
                <w:b/>
                <w:bCs/>
                <w:lang w:eastAsia="ja-JP"/>
              </w:rPr>
              <w:t>7.</w:t>
            </w:r>
          </w:p>
        </w:tc>
        <w:tc>
          <w:tcPr>
            <w:tcW w:w="2755"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Sibiu</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2,92%</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2,57%</w:t>
            </w:r>
          </w:p>
        </w:tc>
        <w:tc>
          <w:tcPr>
            <w:tcW w:w="1858" w:type="dxa"/>
            <w:tcBorders>
              <w:top w:val="single" w:sz="8" w:space="0" w:color="4F81BD"/>
              <w:bottom w:val="single" w:sz="8" w:space="0" w:color="4F81BD"/>
              <w:right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2,29%</w:t>
            </w:r>
          </w:p>
        </w:tc>
      </w:tr>
      <w:tr w:rsidR="001F1152" w:rsidRPr="00577B90" w:rsidTr="001F1152">
        <w:tc>
          <w:tcPr>
            <w:tcW w:w="959" w:type="dxa"/>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8.</w:t>
            </w:r>
          </w:p>
        </w:tc>
        <w:tc>
          <w:tcPr>
            <w:tcW w:w="2755"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Dolj</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2,33%</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1,90%</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1,13%</w:t>
            </w:r>
          </w:p>
        </w:tc>
      </w:tr>
      <w:tr w:rsidR="001F1152" w:rsidRPr="00577B90" w:rsidTr="001F1152">
        <w:tc>
          <w:tcPr>
            <w:tcW w:w="959" w:type="dxa"/>
            <w:tcBorders>
              <w:top w:val="single" w:sz="8" w:space="0" w:color="4F81BD"/>
              <w:left w:val="single" w:sz="8" w:space="0" w:color="4F81BD"/>
              <w:bottom w:val="single" w:sz="8" w:space="0" w:color="4F81BD"/>
            </w:tcBorders>
            <w:shd w:val="clear" w:color="auto" w:fill="auto"/>
          </w:tcPr>
          <w:p w:rsidR="001F1152" w:rsidRPr="00577B90" w:rsidRDefault="001F1152" w:rsidP="001F1152">
            <w:pPr>
              <w:jc w:val="center"/>
              <w:rPr>
                <w:rFonts w:ascii="Arial Narrow" w:eastAsia="Times New Roman" w:hAnsi="Arial Narrow"/>
                <w:b/>
                <w:bCs/>
                <w:lang w:eastAsia="ja-JP"/>
              </w:rPr>
            </w:pPr>
            <w:r w:rsidRPr="00577B90">
              <w:rPr>
                <w:rFonts w:ascii="Arial Narrow" w:eastAsia="Times New Roman" w:hAnsi="Arial Narrow"/>
                <w:b/>
                <w:bCs/>
                <w:lang w:eastAsia="ja-JP"/>
              </w:rPr>
              <w:t>9.</w:t>
            </w:r>
          </w:p>
        </w:tc>
        <w:tc>
          <w:tcPr>
            <w:tcW w:w="2755"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Mures</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2,48%</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1,53%</w:t>
            </w:r>
          </w:p>
        </w:tc>
        <w:tc>
          <w:tcPr>
            <w:tcW w:w="1858" w:type="dxa"/>
            <w:tcBorders>
              <w:top w:val="single" w:sz="8" w:space="0" w:color="4F81BD"/>
              <w:bottom w:val="single" w:sz="8" w:space="0" w:color="4F81BD"/>
              <w:right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0,92%</w:t>
            </w:r>
          </w:p>
        </w:tc>
      </w:tr>
      <w:tr w:rsidR="001F1152" w:rsidRPr="00577B90" w:rsidTr="001F1152">
        <w:tc>
          <w:tcPr>
            <w:tcW w:w="959" w:type="dxa"/>
            <w:shd w:val="clear" w:color="auto" w:fill="auto"/>
          </w:tcPr>
          <w:p w:rsidR="001F1152" w:rsidRPr="00577B90" w:rsidRDefault="001F1152" w:rsidP="001F1152">
            <w:pPr>
              <w:jc w:val="center"/>
              <w:rPr>
                <w:rFonts w:ascii="Arial Narrow" w:eastAsia="Times New Roman" w:hAnsi="Arial Narrow"/>
                <w:bCs/>
                <w:lang w:eastAsia="ja-JP"/>
              </w:rPr>
            </w:pPr>
            <w:r w:rsidRPr="00577B90">
              <w:rPr>
                <w:rFonts w:ascii="Arial Narrow" w:eastAsia="Times New Roman" w:hAnsi="Arial Narrow"/>
                <w:bCs/>
                <w:lang w:eastAsia="ja-JP"/>
              </w:rPr>
              <w:t>10.</w:t>
            </w:r>
          </w:p>
        </w:tc>
        <w:tc>
          <w:tcPr>
            <w:tcW w:w="2755"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Prahova</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2,10%</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1,41%</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lang w:eastAsia="ja-JP"/>
              </w:rPr>
            </w:pPr>
            <w:r w:rsidRPr="00577B90">
              <w:rPr>
                <w:rFonts w:ascii="Arial Narrow" w:eastAsia="Times New Roman" w:hAnsi="Arial Narrow"/>
                <w:lang w:eastAsia="ja-JP"/>
              </w:rPr>
              <w:t>8,67%</w:t>
            </w:r>
          </w:p>
        </w:tc>
      </w:tr>
      <w:tr w:rsidR="001F1152" w:rsidRPr="00577B90" w:rsidTr="001F1152">
        <w:tc>
          <w:tcPr>
            <w:tcW w:w="3714" w:type="dxa"/>
            <w:gridSpan w:val="2"/>
            <w:tcBorders>
              <w:top w:val="single" w:sz="8" w:space="0" w:color="4F81BD"/>
              <w:left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pondere</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74,94%</w:t>
            </w:r>
          </w:p>
        </w:tc>
        <w:tc>
          <w:tcPr>
            <w:tcW w:w="1858" w:type="dxa"/>
            <w:tcBorders>
              <w:top w:val="single" w:sz="8" w:space="0" w:color="4F81BD"/>
              <w:bottom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92,14%</w:t>
            </w:r>
          </w:p>
        </w:tc>
        <w:tc>
          <w:tcPr>
            <w:tcW w:w="1858" w:type="dxa"/>
            <w:tcBorders>
              <w:top w:val="single" w:sz="8" w:space="0" w:color="4F81BD"/>
              <w:bottom w:val="single" w:sz="8" w:space="0" w:color="4F81BD"/>
              <w:right w:val="single" w:sz="8" w:space="0" w:color="4F81BD"/>
            </w:tcBorders>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94,86%</w:t>
            </w:r>
          </w:p>
        </w:tc>
      </w:tr>
      <w:tr w:rsidR="001F1152" w:rsidRPr="00577B90" w:rsidTr="001F1152">
        <w:tc>
          <w:tcPr>
            <w:tcW w:w="3714" w:type="dxa"/>
            <w:gridSpan w:val="2"/>
            <w:shd w:val="clear" w:color="auto" w:fill="auto"/>
          </w:tcPr>
          <w:p w:rsidR="001F1152" w:rsidRPr="00577B90" w:rsidRDefault="001F1152" w:rsidP="001F1152">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cifre absolute</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4760</w:t>
            </w:r>
          </w:p>
        </w:tc>
        <w:tc>
          <w:tcPr>
            <w:tcW w:w="1858" w:type="dxa"/>
            <w:shd w:val="clear" w:color="auto" w:fill="auto"/>
          </w:tcPr>
          <w:p w:rsidR="001F1152" w:rsidRPr="00577B90" w:rsidRDefault="001F1152" w:rsidP="001F1152">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40868</w:t>
            </w:r>
          </w:p>
        </w:tc>
        <w:tc>
          <w:tcPr>
            <w:tcW w:w="1858" w:type="dxa"/>
            <w:shd w:val="clear" w:color="auto" w:fill="auto"/>
          </w:tcPr>
          <w:p w:rsidR="001F1152" w:rsidRPr="00577B90" w:rsidRDefault="001F1152" w:rsidP="001F1152">
            <w:pPr>
              <w:rPr>
                <w:rFonts w:ascii="Arial Narrow" w:eastAsia="Times New Roman" w:hAnsi="Arial Narrow"/>
                <w:b/>
                <w:lang w:eastAsia="ja-JP"/>
              </w:rPr>
            </w:pPr>
            <w:r w:rsidRPr="00577B90">
              <w:rPr>
                <w:rFonts w:ascii="Arial Narrow" w:eastAsia="Times New Roman" w:hAnsi="Arial Narrow"/>
                <w:b/>
                <w:lang w:eastAsia="ja-JP"/>
              </w:rPr>
              <w:t>8.060.267.418 lei</w:t>
            </w:r>
          </w:p>
        </w:tc>
      </w:tr>
    </w:tbl>
    <w:p w:rsidR="001F1152" w:rsidRDefault="001F1152" w:rsidP="0003549E">
      <w:pPr>
        <w:rPr>
          <w:rFonts w:ascii="Arial Narrow" w:hAnsi="Arial Narrow"/>
        </w:rPr>
      </w:pPr>
    </w:p>
    <w:p w:rsidR="0003549E" w:rsidRDefault="0003549E" w:rsidP="0003549E">
      <w:pPr>
        <w:rPr>
          <w:rFonts w:ascii="Arial Narrow" w:hAnsi="Arial Narrow"/>
        </w:rPr>
      </w:pPr>
      <w:r>
        <w:rPr>
          <w:rFonts w:ascii="Arial Narrow" w:hAnsi="Arial Narrow"/>
        </w:rPr>
        <w:t>Tot din clasa 62 face parte si Activitati de consultanta IT, unde, conform studiul IER, clasamentul arata in felul urmator:</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59"/>
        <w:gridCol w:w="2755"/>
        <w:gridCol w:w="1858"/>
        <w:gridCol w:w="1858"/>
        <w:gridCol w:w="1858"/>
      </w:tblGrid>
      <w:tr w:rsidR="0003549E" w:rsidRPr="00577B90" w:rsidTr="0003549E">
        <w:tc>
          <w:tcPr>
            <w:tcW w:w="959"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Nr.</w:t>
            </w:r>
          </w:p>
        </w:tc>
        <w:tc>
          <w:tcPr>
            <w:tcW w:w="2755" w:type="dxa"/>
            <w:shd w:val="clear" w:color="auto" w:fill="4F81BD"/>
          </w:tcPr>
          <w:p w:rsidR="0003549E" w:rsidRPr="00577B90" w:rsidRDefault="0003549E" w:rsidP="0003549E">
            <w:pPr>
              <w:ind w:left="720" w:hanging="360"/>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Judet</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nr. firme</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ocupare</w:t>
            </w:r>
          </w:p>
        </w:tc>
        <w:tc>
          <w:tcPr>
            <w:tcW w:w="1858"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cifra de afaceri</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1.</w:t>
            </w:r>
          </w:p>
        </w:tc>
        <w:tc>
          <w:tcPr>
            <w:tcW w:w="2755"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Municipiul Bucuresti</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45,76%</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64,32%</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79,25%</w:t>
            </w:r>
          </w:p>
        </w:tc>
      </w:tr>
      <w:tr w:rsidR="0003549E" w:rsidRPr="00577B90" w:rsidTr="0003549E">
        <w:tc>
          <w:tcPr>
            <w:tcW w:w="959" w:type="dxa"/>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2.</w:t>
            </w:r>
          </w:p>
        </w:tc>
        <w:tc>
          <w:tcPr>
            <w:tcW w:w="2755"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Brasov</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4,34%</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7,06%</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3,15%</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3.</w:t>
            </w:r>
          </w:p>
        </w:tc>
        <w:tc>
          <w:tcPr>
            <w:tcW w:w="2755"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Cluj</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6,08%</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4,86%</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2,27%</w:t>
            </w:r>
          </w:p>
        </w:tc>
      </w:tr>
      <w:tr w:rsidR="0003549E" w:rsidRPr="00577B90" w:rsidTr="0003549E">
        <w:tc>
          <w:tcPr>
            <w:tcW w:w="959" w:type="dxa"/>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4.</w:t>
            </w:r>
          </w:p>
        </w:tc>
        <w:tc>
          <w:tcPr>
            <w:tcW w:w="2755"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Timis</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5,06%</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3,54%</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2,19%</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5.</w:t>
            </w:r>
          </w:p>
        </w:tc>
        <w:tc>
          <w:tcPr>
            <w:tcW w:w="2755"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Galati</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1,54%</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3,35%</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0,83%</w:t>
            </w:r>
          </w:p>
        </w:tc>
      </w:tr>
      <w:tr w:rsidR="0003549E" w:rsidRPr="00577B90" w:rsidTr="0003549E">
        <w:tc>
          <w:tcPr>
            <w:tcW w:w="959" w:type="dxa"/>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6.</w:t>
            </w:r>
          </w:p>
        </w:tc>
        <w:tc>
          <w:tcPr>
            <w:tcW w:w="2755"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Iasi</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3,71%</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3,10%</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1,92%</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7.</w:t>
            </w:r>
          </w:p>
        </w:tc>
        <w:tc>
          <w:tcPr>
            <w:tcW w:w="2755"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Bihor</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2,51%</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1,34%</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0,79%</w:t>
            </w:r>
          </w:p>
        </w:tc>
      </w:tr>
      <w:tr w:rsidR="0003549E" w:rsidRPr="00577B90" w:rsidTr="0003549E">
        <w:tc>
          <w:tcPr>
            <w:tcW w:w="959" w:type="dxa"/>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8.</w:t>
            </w:r>
          </w:p>
        </w:tc>
        <w:tc>
          <w:tcPr>
            <w:tcW w:w="2755"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Prahova</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3,23%</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1,30%</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3,06%</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lastRenderedPageBreak/>
              <w:t>9.</w:t>
            </w:r>
          </w:p>
        </w:tc>
        <w:tc>
          <w:tcPr>
            <w:tcW w:w="2755"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Gorj</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1,01%</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1,21%</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0,38%</w:t>
            </w:r>
          </w:p>
        </w:tc>
      </w:tr>
      <w:tr w:rsidR="0003549E" w:rsidRPr="00577B90" w:rsidTr="0003549E">
        <w:tc>
          <w:tcPr>
            <w:tcW w:w="959" w:type="dxa"/>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10.</w:t>
            </w:r>
          </w:p>
        </w:tc>
        <w:tc>
          <w:tcPr>
            <w:tcW w:w="2755"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Sibiu</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1,54%</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1,03%</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0,20%</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Cs/>
                <w:lang w:eastAsia="ja-JP"/>
              </w:rPr>
            </w:pPr>
            <w:r w:rsidRPr="00577B90">
              <w:rPr>
                <w:rFonts w:ascii="Arial Narrow" w:eastAsia="Times New Roman" w:hAnsi="Arial Narrow"/>
                <w:bCs/>
                <w:lang w:eastAsia="ja-JP"/>
              </w:rPr>
              <w:t>11.</w:t>
            </w:r>
          </w:p>
        </w:tc>
        <w:tc>
          <w:tcPr>
            <w:tcW w:w="2755"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Ilfov</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3,91%</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0,91%</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lang w:eastAsia="ja-JP"/>
              </w:rPr>
            </w:pPr>
            <w:r w:rsidRPr="00577B90">
              <w:rPr>
                <w:rFonts w:ascii="Arial Narrow" w:eastAsia="Times New Roman" w:hAnsi="Arial Narrow"/>
                <w:lang w:eastAsia="ja-JP"/>
              </w:rPr>
              <w:t>1,02%</w:t>
            </w:r>
          </w:p>
        </w:tc>
      </w:tr>
      <w:tr w:rsidR="0003549E" w:rsidRPr="00577B90" w:rsidTr="0003549E">
        <w:tc>
          <w:tcPr>
            <w:tcW w:w="3714" w:type="dxa"/>
            <w:gridSpan w:val="2"/>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pondere</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78,69%</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92,03%</w:t>
            </w:r>
          </w:p>
        </w:tc>
        <w:tc>
          <w:tcPr>
            <w:tcW w:w="1858" w:type="dxa"/>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95,07%</w:t>
            </w:r>
          </w:p>
        </w:tc>
      </w:tr>
      <w:tr w:rsidR="0003549E" w:rsidRPr="00577B90" w:rsidTr="0003549E">
        <w:tc>
          <w:tcPr>
            <w:tcW w:w="3714" w:type="dxa"/>
            <w:gridSpan w:val="2"/>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cifre absolute</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2074</w:t>
            </w:r>
          </w:p>
        </w:tc>
        <w:tc>
          <w:tcPr>
            <w:tcW w:w="1858" w:type="dxa"/>
            <w:tcBorders>
              <w:top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11.184</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lang w:eastAsia="ja-JP"/>
              </w:rPr>
            </w:pPr>
            <w:r w:rsidRPr="00577B90">
              <w:rPr>
                <w:rFonts w:ascii="Arial Narrow" w:eastAsia="Times New Roman" w:hAnsi="Arial Narrow"/>
                <w:b/>
                <w:lang w:eastAsia="ja-JP"/>
              </w:rPr>
              <w:t xml:space="preserve">3.445.623.532 </w:t>
            </w:r>
          </w:p>
        </w:tc>
      </w:tr>
    </w:tbl>
    <w:p w:rsidR="0003549E" w:rsidRDefault="0003549E" w:rsidP="0003549E">
      <w:pPr>
        <w:rPr>
          <w:rFonts w:ascii="Arial Narrow" w:hAnsi="Arial Narrow"/>
        </w:rPr>
      </w:pPr>
      <w:r>
        <w:rPr>
          <w:rFonts w:ascii="Arial Narrow" w:hAnsi="Arial Narrow"/>
        </w:rPr>
        <w:t>Din clasamentele de mai sus se poate observa pozitia consolidata pe care o are regiunea Centru in aceste sectoare. In primul clasament, Brasovul, Sibiul si Muresul cumuleaza 10,54% pondere in numar de firme, 8,43% pondere in numar de angajati si 6,58% pondere in cifra de afaceri, ceea ce, in mod clar, plaseaza Regiunea Centru pe locul 3 national, dupa Bucuresti-Ilfov si Nord Vest. In al doilea sector examinat, Brasovul si Sibiul cumuleaza 5,88% din ponderea in numarul de firme, 8.09% pondere in numar de angajati si 3,35 pondere in cifra de afaceri generata la nivel national. Concluziile acestei examinari sunt intarite de analiza realizata de D</w:t>
      </w:r>
      <w:r w:rsidRPr="00BA4DDE">
        <w:rPr>
          <w:rFonts w:ascii="Arial Narrow" w:hAnsi="Arial Narrow"/>
        </w:rPr>
        <w:t>epartamentul</w:t>
      </w:r>
      <w:r>
        <w:rPr>
          <w:rFonts w:ascii="Arial Narrow" w:hAnsi="Arial Narrow"/>
        </w:rPr>
        <w:t>ui</w:t>
      </w:r>
      <w:r w:rsidRPr="00BA4DDE">
        <w:rPr>
          <w:rFonts w:ascii="Arial Narrow" w:hAnsi="Arial Narrow"/>
        </w:rPr>
        <w:t xml:space="preserve"> pentru Investitii Straine si Parteneriat Public Privat</w:t>
      </w:r>
      <w:r>
        <w:rPr>
          <w:rFonts w:ascii="Arial Narrow" w:hAnsi="Arial Narrow"/>
        </w:rPr>
        <w:t xml:space="preserve"> (vezi mai sus), conform cu care Sibiul si Brasovul se constituie ca doua sub-clustere orientate spre programare in C++, cloud, virtualizari si helpdesk, totalizand peste 1000 de absolventi anual. </w:t>
      </w:r>
    </w:p>
    <w:p w:rsidR="0003549E" w:rsidRDefault="0003549E" w:rsidP="0003549E">
      <w:pPr>
        <w:rPr>
          <w:rFonts w:ascii="Arial Narrow" w:hAnsi="Arial Narrow"/>
        </w:rPr>
      </w:pPr>
    </w:p>
    <w:p w:rsidR="0003549E" w:rsidRDefault="0003549E" w:rsidP="0003549E">
      <w:pPr>
        <w:rPr>
          <w:rFonts w:ascii="Arial Narrow" w:eastAsia="Times New Roman" w:hAnsi="Arial Narrow"/>
          <w:color w:val="000000"/>
        </w:rPr>
      </w:pPr>
      <w:r>
        <w:rPr>
          <w:rFonts w:ascii="Arial Narrow" w:hAnsi="Arial Narrow"/>
        </w:rPr>
        <w:t xml:space="preserve">Brasovul este considerat un hub emergent in business services si gazduieste jucatori majori din industria IT precum Arvato Bertelsmann, Atos, CriSoft, CS Vision, Elektrobit, Essensys Software Solutions, Pentalog, Renovatio IT Solutions, Siemens, Sinoptix, EBS, Route 66. Ecosistemul local este imbogatit de initiative antreprenoriale precum RawVisual, SellaDeal, Sharpfront Creative, Sitedity, Thino, la care se adauga companii mature precum </w:t>
      </w:r>
      <w:r w:rsidRPr="001C2B18">
        <w:rPr>
          <w:rFonts w:ascii="Arial Narrow" w:eastAsia="Times New Roman" w:hAnsi="Arial Narrow"/>
          <w:color w:val="000000"/>
        </w:rPr>
        <w:t>BIT Software</w:t>
      </w:r>
      <w:r>
        <w:rPr>
          <w:rFonts w:ascii="Arial Narrow" w:eastAsia="Times New Roman" w:hAnsi="Arial Narrow"/>
          <w:color w:val="000000"/>
        </w:rPr>
        <w:t xml:space="preserve">, </w:t>
      </w:r>
      <w:r w:rsidRPr="001C2B18">
        <w:rPr>
          <w:rFonts w:ascii="Arial Narrow" w:eastAsia="Times New Roman" w:hAnsi="Arial Narrow"/>
          <w:color w:val="000000"/>
        </w:rPr>
        <w:t xml:space="preserve">B2B Digital, 2 NET, Proteus Grup Braşov, </w:t>
      </w:r>
      <w:r>
        <w:rPr>
          <w:rFonts w:ascii="Arial Narrow" w:eastAsia="Times New Roman" w:hAnsi="Arial Narrow"/>
          <w:color w:val="000000"/>
        </w:rPr>
        <w:t>Visual Fan, ESSMEDIA,</w:t>
      </w:r>
      <w:r w:rsidRPr="001C2B18">
        <w:rPr>
          <w:rFonts w:ascii="Arial Narrow" w:eastAsia="Times New Roman" w:hAnsi="Arial Narrow"/>
          <w:color w:val="000000"/>
        </w:rPr>
        <w:t xml:space="preserve"> HIX Consulting, SAN Software, Brahms International Brasov, </w:t>
      </w:r>
      <w:r>
        <w:rPr>
          <w:rFonts w:ascii="Arial Narrow" w:eastAsia="Times New Roman" w:hAnsi="Arial Narrow"/>
          <w:color w:val="000000"/>
        </w:rPr>
        <w:t xml:space="preserve">APLIX. </w:t>
      </w:r>
    </w:p>
    <w:p w:rsidR="0003549E" w:rsidRDefault="0003549E" w:rsidP="0003549E">
      <w:pPr>
        <w:rPr>
          <w:rFonts w:ascii="Arial Narrow" w:eastAsia="Times New Roman" w:hAnsi="Arial Narrow"/>
          <w:color w:val="000000"/>
        </w:rPr>
      </w:pPr>
    </w:p>
    <w:p w:rsidR="0003549E" w:rsidRDefault="0003549E" w:rsidP="0003549E">
      <w:pPr>
        <w:rPr>
          <w:rFonts w:ascii="Arial Narrow" w:eastAsia="Times New Roman" w:hAnsi="Arial Narrow"/>
          <w:color w:val="000000"/>
        </w:rPr>
      </w:pPr>
      <w:r>
        <w:rPr>
          <w:rFonts w:ascii="Arial Narrow" w:eastAsia="Times New Roman" w:hAnsi="Arial Narrow"/>
          <w:color w:val="000000"/>
        </w:rPr>
        <w:t>Tot in Brasov se regasesc trei spatii de co-working functionale in Regiunea centru, respectiv Hub 1317, Hub OneZero si Alchemy Hub, ambele orientate spre tehnologie.</w:t>
      </w:r>
    </w:p>
    <w:p w:rsidR="0003549E" w:rsidRDefault="0003549E" w:rsidP="0003549E">
      <w:pPr>
        <w:rPr>
          <w:rFonts w:ascii="Arial Narrow" w:eastAsia="Times New Roman" w:hAnsi="Arial Narrow"/>
          <w:color w:val="000000"/>
        </w:rPr>
      </w:pPr>
    </w:p>
    <w:p w:rsidR="0003549E" w:rsidRDefault="0003549E" w:rsidP="0003549E">
      <w:pPr>
        <w:rPr>
          <w:rFonts w:ascii="Arial Narrow" w:eastAsia="Times New Roman" w:hAnsi="Arial Narrow"/>
          <w:color w:val="000000"/>
        </w:rPr>
      </w:pPr>
      <w:r>
        <w:rPr>
          <w:rFonts w:ascii="Arial Narrow" w:eastAsia="Times New Roman" w:hAnsi="Arial Narrow"/>
          <w:color w:val="000000"/>
        </w:rPr>
        <w:t xml:space="preserve">Un alt hub emergent in domeniul tehnologiei IT este Sibiul, gazda pentru jucatori de talie internationala precum Visma, BearingPoint, Comdata Service, IQuest, EBS, Stefanini, Marquardt, alaturi de jucatori locali relevanti precum </w:t>
      </w:r>
      <w:r w:rsidRPr="001C2B18">
        <w:rPr>
          <w:rFonts w:ascii="Arial Narrow" w:eastAsia="Times New Roman" w:hAnsi="Arial Narrow"/>
          <w:color w:val="000000"/>
        </w:rPr>
        <w:t xml:space="preserve">Sobis Solutions, GAMA IT, Top Net, Industrial Software, Geo Strategies, IMAGIS, Intelligent IT, IT Perspectives, Tehno Smart, </w:t>
      </w:r>
      <w:r>
        <w:rPr>
          <w:rFonts w:ascii="Arial Narrow" w:eastAsia="Times New Roman" w:hAnsi="Arial Narrow"/>
          <w:color w:val="000000"/>
        </w:rPr>
        <w:t>Miraculix</w:t>
      </w:r>
      <w:r w:rsidRPr="001C2B18">
        <w:rPr>
          <w:rFonts w:ascii="Arial Narrow" w:eastAsia="Times New Roman" w:hAnsi="Arial Narrow"/>
          <w:color w:val="000000"/>
        </w:rPr>
        <w:t>.</w:t>
      </w:r>
      <w:r>
        <w:rPr>
          <w:rFonts w:ascii="Arial Narrow" w:eastAsia="Times New Roman" w:hAnsi="Arial Narrow"/>
          <w:color w:val="000000"/>
        </w:rPr>
        <w:t xml:space="preserve"> La acestia se adauga start-up-uri inovative precum OmniPaste, Autostopul.ro si Eventya, precum si spatii colaborative (co-working) precum Central Hub Sibiu.</w:t>
      </w:r>
    </w:p>
    <w:p w:rsidR="0003549E" w:rsidRDefault="0003549E" w:rsidP="0003549E">
      <w:pPr>
        <w:rPr>
          <w:rFonts w:ascii="Arial Narrow" w:eastAsia="Times New Roman" w:hAnsi="Arial Narrow"/>
          <w:color w:val="000000"/>
        </w:rPr>
      </w:pPr>
    </w:p>
    <w:p w:rsidR="0003549E" w:rsidRDefault="0003549E" w:rsidP="0003549E">
      <w:pPr>
        <w:rPr>
          <w:rFonts w:ascii="Arial Narrow" w:hAnsi="Arial Narrow"/>
        </w:rPr>
      </w:pPr>
      <w:r>
        <w:rPr>
          <w:rFonts w:ascii="Arial Narrow" w:eastAsia="Times New Roman" w:hAnsi="Arial Narrow"/>
          <w:color w:val="000000"/>
        </w:rPr>
        <w:t xml:space="preserve">Absent de pe harta hub-urilor emergente intocmita de </w:t>
      </w:r>
      <w:r>
        <w:rPr>
          <w:rFonts w:ascii="Arial Narrow" w:hAnsi="Arial Narrow"/>
        </w:rPr>
        <w:t>D</w:t>
      </w:r>
      <w:r w:rsidRPr="00BA4DDE">
        <w:rPr>
          <w:rFonts w:ascii="Arial Narrow" w:hAnsi="Arial Narrow"/>
        </w:rPr>
        <w:t>epartamentul pentru Investitii Straine si Parteneriat Public Privat</w:t>
      </w:r>
      <w:r>
        <w:rPr>
          <w:rFonts w:ascii="Arial Narrow" w:hAnsi="Arial Narrow"/>
        </w:rPr>
        <w:t xml:space="preserve">, Muresul este, cu toate acestea, bine plasat in regiune, in domeniul IT, fiind prezent prin </w:t>
      </w:r>
      <w:r w:rsidRPr="001C2B18">
        <w:rPr>
          <w:rFonts w:ascii="Arial Narrow" w:eastAsia="Times New Roman" w:hAnsi="Arial Narrow"/>
          <w:color w:val="000000"/>
        </w:rPr>
        <w:t>SVT Electronics, Multiplan Electronics, Navigator Software, Expert Company Group, Redatronic, Softwarenet, Elsig Computers, Sysgenic Romania, Amplusnet, Koracell Romania</w:t>
      </w:r>
      <w:r>
        <w:rPr>
          <w:rFonts w:ascii="Arial Narrow" w:eastAsia="Times New Roman" w:hAnsi="Arial Narrow"/>
          <w:color w:val="000000"/>
        </w:rPr>
        <w:t xml:space="preserve">, la care se adauga start-up-uri inovative de genul Agraf, Lateral, VisualPath, Organizly, SmartDreamers, SocialLook sau </w:t>
      </w:r>
      <w:r w:rsidRPr="00A8325A">
        <w:rPr>
          <w:rFonts w:ascii="Arial Narrow" w:eastAsia="Times New Roman" w:hAnsi="Arial Narrow"/>
          <w:color w:val="000000"/>
        </w:rPr>
        <w:t>Stuck In Attic</w:t>
      </w:r>
      <w:r w:rsidRPr="001C2B18">
        <w:rPr>
          <w:rFonts w:ascii="Arial Narrow" w:eastAsia="Times New Roman" w:hAnsi="Arial Narrow"/>
          <w:color w:val="000000"/>
        </w:rPr>
        <w:t>.</w:t>
      </w:r>
    </w:p>
    <w:p w:rsidR="0003549E" w:rsidRDefault="0003549E" w:rsidP="0003549E">
      <w:pPr>
        <w:rPr>
          <w:rFonts w:ascii="Arial Narrow" w:hAnsi="Arial Narrow"/>
        </w:rPr>
      </w:pPr>
    </w:p>
    <w:p w:rsidR="0003549E" w:rsidRDefault="0003549E" w:rsidP="0003549E">
      <w:pPr>
        <w:rPr>
          <w:rFonts w:ascii="Arial Narrow" w:eastAsia="Times New Roman" w:hAnsi="Arial Narrow"/>
          <w:color w:val="000000"/>
        </w:rPr>
      </w:pPr>
      <w:r>
        <w:rPr>
          <w:rFonts w:ascii="Arial Narrow" w:hAnsi="Arial Narrow"/>
        </w:rPr>
        <w:lastRenderedPageBreak/>
        <w:t xml:space="preserve">Judetul Alba contribuie si el cu o serie de firme active in domeniul IT, precum Soft Engineering, Cristalsoft, Atlanticmoon, Transylva Modul, Gida Tech, Secure4Net, Vialogix, Apulum Technologies, RocknrollSeen, </w:t>
      </w:r>
      <w:r w:rsidRPr="001C2B18">
        <w:rPr>
          <w:rFonts w:ascii="Arial Narrow" w:eastAsia="Times New Roman" w:hAnsi="Arial Narrow"/>
          <w:color w:val="000000"/>
        </w:rPr>
        <w:t>INFO DSC</w:t>
      </w:r>
      <w:r>
        <w:rPr>
          <w:rFonts w:ascii="Arial Narrow" w:eastAsia="Times New Roman" w:hAnsi="Arial Narrow"/>
          <w:color w:val="000000"/>
        </w:rPr>
        <w:t xml:space="preserve">, </w:t>
      </w:r>
      <w:r w:rsidRPr="001C2B18">
        <w:rPr>
          <w:rFonts w:ascii="Arial Narrow" w:eastAsia="Times New Roman" w:hAnsi="Arial Narrow"/>
          <w:color w:val="000000"/>
        </w:rPr>
        <w:t>BILCOM ALBA</w:t>
      </w:r>
      <w:r>
        <w:rPr>
          <w:rFonts w:ascii="Arial Narrow" w:eastAsia="Times New Roman" w:hAnsi="Arial Narrow"/>
          <w:color w:val="000000"/>
        </w:rPr>
        <w:t>, Cybertech, Creator, SILICON SYSTEMS TRANSYLVANIA, Aviato Soft, etc</w:t>
      </w:r>
    </w:p>
    <w:p w:rsidR="0003549E" w:rsidRDefault="0003549E" w:rsidP="0003549E">
      <w:pPr>
        <w:rPr>
          <w:rFonts w:ascii="Arial Narrow" w:eastAsia="Times New Roman" w:hAnsi="Arial Narrow"/>
          <w:color w:val="000000"/>
        </w:rPr>
      </w:pPr>
      <w:r>
        <w:rPr>
          <w:rFonts w:ascii="Arial Narrow" w:eastAsia="Times New Roman" w:hAnsi="Arial Narrow"/>
          <w:color w:val="000000"/>
        </w:rPr>
        <w:t xml:space="preserve">In Covasna se regasesc BWJ PROJECT, DataS, </w:t>
      </w:r>
      <w:r w:rsidRPr="001C2B18">
        <w:rPr>
          <w:rFonts w:ascii="Arial Narrow" w:eastAsia="Times New Roman" w:hAnsi="Arial Narrow"/>
          <w:color w:val="000000"/>
        </w:rPr>
        <w:t xml:space="preserve">Cosys Computer Systems, </w:t>
      </w:r>
      <w:r>
        <w:rPr>
          <w:rFonts w:ascii="Arial Narrow" w:eastAsia="Times New Roman" w:hAnsi="Arial Narrow"/>
          <w:color w:val="000000"/>
        </w:rPr>
        <w:t xml:space="preserve">GNOME Design, Vega Servicii, Laudo, Red Rock Tech, Simbound, Netinf, Orbansoft, Krsoft, Code-Zone, Delkasoft, etc. </w:t>
      </w:r>
    </w:p>
    <w:p w:rsidR="0003549E" w:rsidRDefault="0003549E" w:rsidP="0003549E">
      <w:pPr>
        <w:rPr>
          <w:rFonts w:ascii="Arial Narrow" w:eastAsia="Times New Roman" w:hAnsi="Arial Narrow"/>
          <w:color w:val="000000"/>
        </w:rPr>
      </w:pPr>
      <w:r>
        <w:rPr>
          <w:rFonts w:ascii="Arial Narrow" w:eastAsia="Times New Roman" w:hAnsi="Arial Narrow"/>
          <w:color w:val="000000"/>
        </w:rPr>
        <w:t xml:space="preserve">In Harghita activeaza ConSoft, SIGMASOFT, C-Soft, Netter System , STYLUS, NETCOMP, </w:t>
      </w:r>
      <w:r w:rsidRPr="001C2B18">
        <w:rPr>
          <w:rFonts w:ascii="Arial Narrow" w:eastAsia="Times New Roman" w:hAnsi="Arial Narrow"/>
          <w:color w:val="000000"/>
        </w:rPr>
        <w:t>GEO</w:t>
      </w:r>
      <w:r>
        <w:rPr>
          <w:rFonts w:ascii="Arial Narrow" w:eastAsia="Times New Roman" w:hAnsi="Arial Narrow"/>
          <w:color w:val="000000"/>
        </w:rPr>
        <w:t>TOP, Dynaweb, Soft Studio, Infotek Business Solutions, Odego, Proglab Studio, Transoft, Cloud Systems, Creative Online Media, Leading Soft, Gerp App Solutions</w:t>
      </w:r>
      <w:r w:rsidRPr="001C2B18">
        <w:rPr>
          <w:rFonts w:ascii="Arial Narrow" w:eastAsia="Times New Roman" w:hAnsi="Arial Narrow"/>
          <w:color w:val="000000"/>
        </w:rPr>
        <w:t>, etc.</w:t>
      </w:r>
    </w:p>
    <w:p w:rsidR="0003549E" w:rsidRDefault="0003549E" w:rsidP="0003549E">
      <w:pPr>
        <w:rPr>
          <w:rFonts w:ascii="Arial Narrow" w:hAnsi="Arial Narrow"/>
        </w:rPr>
      </w:pPr>
      <w:r>
        <w:rPr>
          <w:rFonts w:ascii="Arial Narrow" w:eastAsia="Times New Roman" w:hAnsi="Arial Narrow"/>
          <w:color w:val="000000"/>
        </w:rPr>
        <w:t>Un alt sector al industriilor creative examinat de Institutul European din Romania in studiul publicat in 2016 este sectorul Activitati ale agentiilor de publicitate. Conform acestui studiu, la anul 2014, primele 10 judete sunt:</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59"/>
        <w:gridCol w:w="2755"/>
        <w:gridCol w:w="1858"/>
        <w:gridCol w:w="1858"/>
        <w:gridCol w:w="1858"/>
      </w:tblGrid>
      <w:tr w:rsidR="0003549E" w:rsidRPr="00577B90" w:rsidTr="0003549E">
        <w:tc>
          <w:tcPr>
            <w:tcW w:w="959"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Nr.</w:t>
            </w:r>
          </w:p>
        </w:tc>
        <w:tc>
          <w:tcPr>
            <w:tcW w:w="2755"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Judet</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nr. firme</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ocupare</w:t>
            </w:r>
          </w:p>
        </w:tc>
        <w:tc>
          <w:tcPr>
            <w:tcW w:w="1858"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cifra de afaceri</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1.</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Municipiul Bucuresti</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48.46%</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55.09%</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75.06%</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2.</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Cluj</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6.46%</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12.99%</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3.99%</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3.</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Ilfov</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3.84%</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4.29%</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4.02%</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4.</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Timis</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3.40%</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3.75%</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1.88%</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5.</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Constanta</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3.40%</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2.70%</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1.33%</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
                <w:bCs/>
                <w:lang w:eastAsia="ja-JP"/>
              </w:rPr>
            </w:pPr>
            <w:r w:rsidRPr="00577B90">
              <w:rPr>
                <w:rFonts w:ascii="Arial Narrow" w:eastAsia="Times New Roman" w:hAnsi="Arial Narrow"/>
                <w:b/>
                <w:bCs/>
                <w:lang w:eastAsia="ja-JP"/>
              </w:rPr>
              <w:t>6.</w:t>
            </w:r>
          </w:p>
        </w:tc>
        <w:tc>
          <w:tcPr>
            <w:tcW w:w="2755"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Brasov</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3.87%</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2.40%</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1.85%</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7.</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Prahova</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2.72%</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2.04%</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2.11%</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8.</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Arges</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2.21%</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1.41%</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0.65%</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bCs/>
                <w:lang w:eastAsia="ja-JP"/>
              </w:rPr>
            </w:pPr>
            <w:r w:rsidRPr="00577B90">
              <w:rPr>
                <w:rFonts w:ascii="Arial Narrow" w:eastAsia="Times New Roman" w:hAnsi="Arial Narrow"/>
                <w:b/>
                <w:bCs/>
                <w:lang w:eastAsia="ja-JP"/>
              </w:rPr>
              <w:t>9.</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Mures</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1.59%</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1.16%</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0.46%</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10.</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Bihor</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2.11%</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1.10%</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1.35%</w:t>
            </w:r>
          </w:p>
        </w:tc>
      </w:tr>
      <w:tr w:rsidR="0003549E" w:rsidRPr="00577B90" w:rsidTr="0003549E">
        <w:tc>
          <w:tcPr>
            <w:tcW w:w="3714" w:type="dxa"/>
            <w:gridSpan w:val="2"/>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pondere</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78.06%</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86.93%</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92.69%</w:t>
            </w:r>
          </w:p>
        </w:tc>
      </w:tr>
      <w:tr w:rsidR="0003549E" w:rsidRPr="00577B90" w:rsidTr="0003549E">
        <w:tc>
          <w:tcPr>
            <w:tcW w:w="3714" w:type="dxa"/>
            <w:gridSpan w:val="2"/>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cifre absolute</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5652</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20.540</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4.426.309.871 lei</w:t>
            </w:r>
          </w:p>
        </w:tc>
      </w:tr>
    </w:tbl>
    <w:p w:rsidR="0003549E" w:rsidRPr="001C2B18" w:rsidRDefault="0003549E" w:rsidP="0003549E">
      <w:pPr>
        <w:autoSpaceDE w:val="0"/>
        <w:autoSpaceDN w:val="0"/>
        <w:adjustRightInd w:val="0"/>
        <w:rPr>
          <w:rFonts w:ascii="Arial Narrow" w:hAnsi="Arial Narrow"/>
        </w:rPr>
      </w:pPr>
    </w:p>
    <w:p w:rsidR="0003549E" w:rsidRPr="001C2B18" w:rsidRDefault="0003549E" w:rsidP="0003549E">
      <w:pPr>
        <w:autoSpaceDE w:val="0"/>
        <w:autoSpaceDN w:val="0"/>
        <w:adjustRightInd w:val="0"/>
        <w:rPr>
          <w:rFonts w:ascii="Arial Narrow" w:hAnsi="Arial Narrow"/>
        </w:rPr>
      </w:pPr>
      <w:r>
        <w:rPr>
          <w:rFonts w:ascii="Arial Narrow" w:hAnsi="Arial Narrow"/>
        </w:rPr>
        <w:t xml:space="preserve">Pozitia Munipiului Bucuresti este de dominatie clara a pietei, fiind urmat, la mare distanta, de Cluj. Este de remarcat, insa, prezenta a doua judete din Regiunea Centru in acest clasament, respectiv Brasov si Mures, care totalizeaza 5,46% din ponderea firmelor, 3,56% din ponderea ocuparii si 2,31% din cifra de afaceri. De asemenea, </w:t>
      </w:r>
      <w:r w:rsidRPr="001C2B18">
        <w:rPr>
          <w:rFonts w:ascii="Arial Narrow" w:hAnsi="Arial Narrow"/>
        </w:rPr>
        <w:t>județul Brașov are a treia densitate de firme din țară din domeniu, ceea ce</w:t>
      </w:r>
      <w:r>
        <w:rPr>
          <w:rFonts w:ascii="Arial Narrow" w:hAnsi="Arial Narrow"/>
        </w:rPr>
        <w:t xml:space="preserve"> autorii studiului considera ca poate conferii</w:t>
      </w:r>
      <w:r w:rsidRPr="001C2B18">
        <w:rPr>
          <w:rFonts w:ascii="Arial Narrow" w:hAnsi="Arial Narrow"/>
        </w:rPr>
        <w:t xml:space="preserve"> o bază posibilă pentru o dezvoltare viitoare.</w:t>
      </w:r>
    </w:p>
    <w:p w:rsidR="0066147D" w:rsidRDefault="0066147D" w:rsidP="0003549E">
      <w:pPr>
        <w:rPr>
          <w:rFonts w:ascii="Arial Narrow" w:hAnsi="Arial Narrow"/>
        </w:rPr>
      </w:pPr>
    </w:p>
    <w:p w:rsidR="0003549E" w:rsidRDefault="0003549E" w:rsidP="0003549E">
      <w:pPr>
        <w:rPr>
          <w:rFonts w:ascii="Arial Narrow" w:hAnsi="Arial Narrow"/>
        </w:rPr>
      </w:pPr>
      <w:r>
        <w:rPr>
          <w:rFonts w:ascii="Arial Narrow" w:hAnsi="Arial Narrow"/>
        </w:rPr>
        <w:t>In sectorul Activitati de tiparire, ierarhia primelor 10 judete la anul 2014 este, conform studiului IER, urmatoarea:</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59"/>
        <w:gridCol w:w="2755"/>
        <w:gridCol w:w="1858"/>
        <w:gridCol w:w="1858"/>
        <w:gridCol w:w="1858"/>
      </w:tblGrid>
      <w:tr w:rsidR="0003549E" w:rsidRPr="00577B90" w:rsidTr="0003549E">
        <w:tc>
          <w:tcPr>
            <w:tcW w:w="959"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lastRenderedPageBreak/>
              <w:t>Nr.</w:t>
            </w:r>
          </w:p>
        </w:tc>
        <w:tc>
          <w:tcPr>
            <w:tcW w:w="2755"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Judet</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nr. firme</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ocupare</w:t>
            </w:r>
          </w:p>
        </w:tc>
        <w:tc>
          <w:tcPr>
            <w:tcW w:w="1858"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cifra de afaceri</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1.</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Municipiul Bucuresti</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27.19%</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38.49%</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52.62%</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2.</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Cluj</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7.21%</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8.46%</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10.95%</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3.</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Ilfov</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5.20%</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6.73%</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7.31%</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
                <w:bCs/>
                <w:lang w:eastAsia="ja-JP"/>
              </w:rPr>
            </w:pPr>
            <w:r w:rsidRPr="00577B90">
              <w:rPr>
                <w:rFonts w:ascii="Arial Narrow" w:eastAsia="Times New Roman" w:hAnsi="Arial Narrow"/>
                <w:b/>
                <w:bCs/>
                <w:lang w:eastAsia="ja-JP"/>
              </w:rPr>
              <w:t>4.</w:t>
            </w:r>
          </w:p>
        </w:tc>
        <w:tc>
          <w:tcPr>
            <w:tcW w:w="2755"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Harghita</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1.78%</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4.82%</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5.15%</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5.</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Iasi</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3.64%</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4.54%</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3.01%</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6.</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Timis</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4.16%</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3.16%</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2.07%</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7.</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Bihor</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2.90%</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2.59%</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1.73%</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8.</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Maramures</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1.56%</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2.54%</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1.08%</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9.</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Constanta</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2.60%</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2.25%</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1.04%</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
                <w:bCs/>
                <w:lang w:eastAsia="ja-JP"/>
              </w:rPr>
            </w:pPr>
            <w:r w:rsidRPr="00577B90">
              <w:rPr>
                <w:rFonts w:ascii="Arial Narrow" w:eastAsia="Times New Roman" w:hAnsi="Arial Narrow"/>
                <w:b/>
                <w:bCs/>
                <w:lang w:eastAsia="ja-JP"/>
              </w:rPr>
              <w:t>10.</w:t>
            </w:r>
          </w:p>
        </w:tc>
        <w:tc>
          <w:tcPr>
            <w:tcW w:w="2755"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Mures</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3.86%</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1.92%</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0.83%</w:t>
            </w:r>
          </w:p>
        </w:tc>
      </w:tr>
      <w:tr w:rsidR="0003549E" w:rsidRPr="00577B90" w:rsidTr="0003549E">
        <w:tc>
          <w:tcPr>
            <w:tcW w:w="3714" w:type="dxa"/>
            <w:gridSpan w:val="2"/>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pondere</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60.10%</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75.52%</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85.80%</w:t>
            </w:r>
          </w:p>
        </w:tc>
      </w:tr>
      <w:tr w:rsidR="0003549E" w:rsidRPr="00577B90" w:rsidTr="0003549E">
        <w:tc>
          <w:tcPr>
            <w:tcW w:w="3714" w:type="dxa"/>
            <w:gridSpan w:val="2"/>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cifre absolute</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1346</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12.298</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2.809.382.936 lei</w:t>
            </w:r>
          </w:p>
        </w:tc>
      </w:tr>
    </w:tbl>
    <w:p w:rsidR="0003549E" w:rsidRDefault="0003549E" w:rsidP="0003549E">
      <w:pPr>
        <w:rPr>
          <w:rFonts w:ascii="Arial Narrow" w:hAnsi="Arial Narrow"/>
        </w:rPr>
      </w:pPr>
    </w:p>
    <w:p w:rsidR="00981E9F" w:rsidRDefault="0003549E" w:rsidP="0003549E">
      <w:pPr>
        <w:rPr>
          <w:rFonts w:ascii="Arial Narrow" w:hAnsi="Arial Narrow"/>
        </w:rPr>
      </w:pPr>
      <w:r>
        <w:rPr>
          <w:rFonts w:ascii="Arial Narrow" w:hAnsi="Arial Narrow"/>
        </w:rPr>
        <w:t xml:space="preserve">Remarcabila este pozitia judetului Harghita in acest top, pe locul 4, cu o pondere de ocupare de 4,82%, inaintea unor judete mult mai dezvoltate economic. Din nou Regiunea Centru are doua judete in top, Harghita si Mures, care totalizeaza 5,64% din numarul de firme, 6,74% din total ocupare la nivel national pe sector si 5,98% din cifra de afaceri generata. </w:t>
      </w:r>
    </w:p>
    <w:p w:rsidR="0003549E" w:rsidRDefault="0003549E" w:rsidP="0066147D">
      <w:pPr>
        <w:spacing w:after="0"/>
        <w:rPr>
          <w:rFonts w:ascii="Arial Narrow" w:hAnsi="Arial Narrow"/>
        </w:rPr>
      </w:pPr>
      <w:r>
        <w:rPr>
          <w:rFonts w:ascii="Arial Narrow" w:hAnsi="Arial Narrow"/>
        </w:rPr>
        <w:t>In ceea ce priveste sectorul de arhitectura, clasamentul intocmit de Institutul European din Romania pentru anul 2014 consacra, inca odata, pozitia Regiunii Centru:</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59"/>
        <w:gridCol w:w="2755"/>
        <w:gridCol w:w="1858"/>
        <w:gridCol w:w="1858"/>
        <w:gridCol w:w="1858"/>
      </w:tblGrid>
      <w:tr w:rsidR="0003549E" w:rsidRPr="00577B90" w:rsidTr="0003549E">
        <w:tc>
          <w:tcPr>
            <w:tcW w:w="959"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Nr.</w:t>
            </w:r>
          </w:p>
        </w:tc>
        <w:tc>
          <w:tcPr>
            <w:tcW w:w="2755"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Judet</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nr. firme</w:t>
            </w:r>
          </w:p>
        </w:tc>
        <w:tc>
          <w:tcPr>
            <w:tcW w:w="1858" w:type="dxa"/>
            <w:shd w:val="clear" w:color="auto" w:fill="4F81BD"/>
          </w:tcPr>
          <w:p w:rsidR="0003549E" w:rsidRPr="00577B90" w:rsidRDefault="0003549E" w:rsidP="0003549E">
            <w:pP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ocupare</w:t>
            </w:r>
          </w:p>
        </w:tc>
        <w:tc>
          <w:tcPr>
            <w:tcW w:w="1858" w:type="dxa"/>
            <w:shd w:val="clear" w:color="auto" w:fill="4F81BD"/>
          </w:tcPr>
          <w:p w:rsidR="0003549E" w:rsidRPr="00577B90" w:rsidRDefault="0003549E" w:rsidP="0003549E">
            <w:pPr>
              <w:jc w:val="center"/>
              <w:rPr>
                <w:rFonts w:ascii="Arial Narrow" w:eastAsia="Times New Roman" w:hAnsi="Arial Narrow"/>
                <w:b/>
                <w:bCs/>
                <w:color w:val="FFFFFF"/>
                <w:lang w:eastAsia="ja-JP"/>
              </w:rPr>
            </w:pPr>
            <w:r w:rsidRPr="00577B90">
              <w:rPr>
                <w:rFonts w:ascii="Arial Narrow" w:eastAsia="Times New Roman" w:hAnsi="Arial Narrow"/>
                <w:b/>
                <w:bCs/>
                <w:color w:val="FFFFFF"/>
                <w:lang w:eastAsia="ja-JP"/>
              </w:rPr>
              <w:t>Pondere cifra de afaceri</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1.</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Municipiul Bucuresti</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32,94%</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34,48%</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44,13%</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2.</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Cluj</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7,11%</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7,12%</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5,05%</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3.</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Timis</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5,47%</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4,62%</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3,38%</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4.</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Constanta</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3,31%</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3,55%</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2,48%</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bCs/>
                <w:lang w:eastAsia="ja-JP"/>
              </w:rPr>
            </w:pPr>
            <w:r w:rsidRPr="00577B90">
              <w:rPr>
                <w:rFonts w:ascii="Arial Narrow" w:eastAsia="Times New Roman" w:hAnsi="Arial Narrow"/>
                <w:b/>
                <w:bCs/>
                <w:lang w:eastAsia="ja-JP"/>
              </w:rPr>
              <w:t>5.</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Brasov</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3,75%</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2,88%</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2,53%</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6.</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Prahova</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2,72%</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2,74%</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2,50%</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7.</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Iasi</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2,81%</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2,70%</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2,23%</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
                <w:bCs/>
                <w:lang w:eastAsia="ja-JP"/>
              </w:rPr>
            </w:pPr>
            <w:r w:rsidRPr="00577B90">
              <w:rPr>
                <w:rFonts w:ascii="Arial Narrow" w:eastAsia="Times New Roman" w:hAnsi="Arial Narrow"/>
                <w:b/>
                <w:bCs/>
                <w:lang w:eastAsia="ja-JP"/>
              </w:rPr>
              <w:lastRenderedPageBreak/>
              <w:t>8.</w:t>
            </w:r>
          </w:p>
        </w:tc>
        <w:tc>
          <w:tcPr>
            <w:tcW w:w="2755"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Mures</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2,17%</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2,59%</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4,44%</w:t>
            </w:r>
          </w:p>
        </w:tc>
      </w:tr>
      <w:tr w:rsidR="0003549E" w:rsidRPr="00577B90" w:rsidTr="0003549E">
        <w:tc>
          <w:tcPr>
            <w:tcW w:w="959" w:type="dxa"/>
            <w:tcBorders>
              <w:top w:val="single" w:sz="8" w:space="0" w:color="4F81BD"/>
              <w:left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9.</w:t>
            </w:r>
          </w:p>
        </w:tc>
        <w:tc>
          <w:tcPr>
            <w:tcW w:w="2755"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Bihor</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2,64%</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2,49%</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4,91%</w:t>
            </w:r>
          </w:p>
        </w:tc>
      </w:tr>
      <w:tr w:rsidR="0003549E" w:rsidRPr="00577B90" w:rsidTr="0003549E">
        <w:tc>
          <w:tcPr>
            <w:tcW w:w="959" w:type="dxa"/>
            <w:shd w:val="clear" w:color="auto" w:fill="auto"/>
          </w:tcPr>
          <w:p w:rsidR="0003549E" w:rsidRPr="00577B90" w:rsidRDefault="0003549E" w:rsidP="0003549E">
            <w:pPr>
              <w:jc w:val="center"/>
              <w:rPr>
                <w:rFonts w:ascii="Arial Narrow" w:eastAsia="Times New Roman" w:hAnsi="Arial Narrow"/>
                <w:bCs/>
                <w:lang w:eastAsia="ja-JP"/>
              </w:rPr>
            </w:pPr>
            <w:r w:rsidRPr="00577B90">
              <w:rPr>
                <w:rFonts w:ascii="Arial Narrow" w:eastAsia="Times New Roman" w:hAnsi="Arial Narrow"/>
                <w:bCs/>
                <w:lang w:eastAsia="ja-JP"/>
              </w:rPr>
              <w:t>10.</w:t>
            </w:r>
          </w:p>
        </w:tc>
        <w:tc>
          <w:tcPr>
            <w:tcW w:w="2755"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Arges</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2,14%</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2,39%</w:t>
            </w:r>
          </w:p>
        </w:tc>
        <w:tc>
          <w:tcPr>
            <w:tcW w:w="1858" w:type="dxa"/>
            <w:shd w:val="clear" w:color="auto" w:fill="auto"/>
          </w:tcPr>
          <w:p w:rsidR="0003549E" w:rsidRPr="00577B90" w:rsidRDefault="0003549E" w:rsidP="0003549E">
            <w:pPr>
              <w:jc w:val="center"/>
              <w:rPr>
                <w:rFonts w:ascii="Arial Narrow" w:eastAsia="Times New Roman" w:hAnsi="Arial Narrow"/>
                <w:lang w:eastAsia="ja-JP"/>
              </w:rPr>
            </w:pPr>
            <w:r w:rsidRPr="00577B90">
              <w:rPr>
                <w:rFonts w:ascii="Arial Narrow" w:eastAsia="Times New Roman" w:hAnsi="Arial Narrow"/>
                <w:lang w:eastAsia="ja-JP"/>
              </w:rPr>
              <w:t>2,19%</w:t>
            </w:r>
          </w:p>
        </w:tc>
      </w:tr>
      <w:tr w:rsidR="0003549E" w:rsidRPr="00577B90" w:rsidTr="0003549E">
        <w:tc>
          <w:tcPr>
            <w:tcW w:w="3714" w:type="dxa"/>
            <w:gridSpan w:val="2"/>
            <w:tcBorders>
              <w:top w:val="single" w:sz="8" w:space="0" w:color="4F81BD"/>
              <w:left w:val="single" w:sz="8" w:space="0" w:color="4F81BD"/>
              <w:bottom w:val="single" w:sz="8" w:space="0" w:color="4F81BD"/>
            </w:tcBorders>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pondere</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65,06%</w:t>
            </w:r>
          </w:p>
        </w:tc>
        <w:tc>
          <w:tcPr>
            <w:tcW w:w="1858" w:type="dxa"/>
            <w:tcBorders>
              <w:top w:val="single" w:sz="8" w:space="0" w:color="4F81BD"/>
              <w:bottom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65,56%</w:t>
            </w:r>
          </w:p>
        </w:tc>
        <w:tc>
          <w:tcPr>
            <w:tcW w:w="1858" w:type="dxa"/>
            <w:tcBorders>
              <w:top w:val="single" w:sz="8" w:space="0" w:color="4F81BD"/>
              <w:bottom w:val="single" w:sz="8" w:space="0" w:color="4F81BD"/>
              <w:right w:val="single" w:sz="8" w:space="0" w:color="4F81BD"/>
            </w:tcBorders>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73,84%</w:t>
            </w:r>
          </w:p>
        </w:tc>
      </w:tr>
      <w:tr w:rsidR="0003549E" w:rsidRPr="00577B90" w:rsidTr="0003549E">
        <w:tc>
          <w:tcPr>
            <w:tcW w:w="3714" w:type="dxa"/>
            <w:gridSpan w:val="2"/>
            <w:shd w:val="clear" w:color="auto" w:fill="auto"/>
          </w:tcPr>
          <w:p w:rsidR="0003549E" w:rsidRPr="00577B90" w:rsidRDefault="0003549E" w:rsidP="0003549E">
            <w:pPr>
              <w:ind w:left="720" w:hanging="360"/>
              <w:jc w:val="center"/>
              <w:rPr>
                <w:rFonts w:ascii="Arial Narrow" w:eastAsia="Times New Roman" w:hAnsi="Arial Narrow"/>
                <w:b/>
                <w:bCs/>
                <w:lang w:eastAsia="ja-JP"/>
              </w:rPr>
            </w:pPr>
            <w:r w:rsidRPr="00577B90">
              <w:rPr>
                <w:rFonts w:ascii="Arial Narrow" w:eastAsia="Times New Roman" w:hAnsi="Arial Narrow"/>
                <w:b/>
                <w:bCs/>
                <w:lang w:eastAsia="ja-JP"/>
              </w:rPr>
              <w:t>Total cifre absolute</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3600</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7964</w:t>
            </w:r>
          </w:p>
        </w:tc>
        <w:tc>
          <w:tcPr>
            <w:tcW w:w="1858" w:type="dxa"/>
            <w:shd w:val="clear" w:color="auto" w:fill="auto"/>
          </w:tcPr>
          <w:p w:rsidR="0003549E" w:rsidRPr="00577B90" w:rsidRDefault="0003549E" w:rsidP="0003549E">
            <w:pPr>
              <w:jc w:val="center"/>
              <w:rPr>
                <w:rFonts w:ascii="Arial Narrow" w:eastAsia="Times New Roman" w:hAnsi="Arial Narrow"/>
                <w:b/>
                <w:lang w:eastAsia="ja-JP"/>
              </w:rPr>
            </w:pPr>
            <w:r w:rsidRPr="00577B90">
              <w:rPr>
                <w:rFonts w:ascii="Arial Narrow" w:eastAsia="Times New Roman" w:hAnsi="Arial Narrow"/>
                <w:b/>
                <w:lang w:eastAsia="ja-JP"/>
              </w:rPr>
              <w:t>888.228.419 lei</w:t>
            </w:r>
          </w:p>
        </w:tc>
      </w:tr>
    </w:tbl>
    <w:p w:rsidR="0066147D" w:rsidRDefault="0066147D" w:rsidP="0003549E">
      <w:pPr>
        <w:autoSpaceDE w:val="0"/>
        <w:autoSpaceDN w:val="0"/>
        <w:adjustRightInd w:val="0"/>
        <w:rPr>
          <w:rFonts w:ascii="Arial Narrow" w:hAnsi="Arial Narrow"/>
        </w:rPr>
      </w:pPr>
    </w:p>
    <w:p w:rsidR="0003549E" w:rsidRDefault="0003549E" w:rsidP="0066147D">
      <w:pPr>
        <w:autoSpaceDE w:val="0"/>
        <w:autoSpaceDN w:val="0"/>
        <w:adjustRightInd w:val="0"/>
        <w:spacing w:after="0"/>
        <w:rPr>
          <w:rFonts w:ascii="Arial Narrow" w:hAnsi="Arial Narrow"/>
        </w:rPr>
      </w:pPr>
      <w:r>
        <w:rPr>
          <w:rFonts w:ascii="Arial Narrow" w:hAnsi="Arial Narrow"/>
        </w:rPr>
        <w:t>Conform IER, d</w:t>
      </w:r>
      <w:r w:rsidRPr="001C2B18">
        <w:rPr>
          <w:rFonts w:ascii="Arial Narrow" w:hAnsi="Arial Narrow"/>
        </w:rPr>
        <w:t>atele arată o dispersie la nivel județean ceva mai mare decât în cazul altor subsectoar</w:t>
      </w:r>
      <w:r>
        <w:rPr>
          <w:rFonts w:ascii="Arial Narrow" w:hAnsi="Arial Narrow"/>
        </w:rPr>
        <w:t xml:space="preserve">e </w:t>
      </w:r>
      <w:r w:rsidRPr="001C2B18">
        <w:rPr>
          <w:rFonts w:ascii="Arial Narrow" w:hAnsi="Arial Narrow"/>
        </w:rPr>
        <w:t xml:space="preserve">SCC, firească </w:t>
      </w:r>
      <w:r>
        <w:rPr>
          <w:rFonts w:ascii="Arial Narrow" w:hAnsi="Arial Narrow"/>
        </w:rPr>
        <w:t>daca se ia in considerare dimensiunea locala a serviciilor.</w:t>
      </w:r>
      <w:r w:rsidRPr="001C2B18">
        <w:rPr>
          <w:rFonts w:ascii="Arial Narrow" w:hAnsi="Arial Narrow"/>
        </w:rPr>
        <w:t>În ceea ce privește cifra de afaceri generată, Clujul este secondat de Bihor și Mureș, ceea ce indică prezența unor actori relevanți la niv</w:t>
      </w:r>
      <w:r>
        <w:rPr>
          <w:rFonts w:ascii="Arial Narrow" w:hAnsi="Arial Narrow"/>
        </w:rPr>
        <w:t xml:space="preserve">el național și în aceste județe. De asemenea, cele doua judete din Regiunea centru prezente in top 10 cumuleaza 5,92% din numarul de firme, 5,47% din numarul de angajati si 6,97% din cifra de afaceri la nivel national. </w:t>
      </w:r>
      <w:r w:rsidR="00BD7229" w:rsidRPr="00BD7229">
        <w:rPr>
          <w:noProof/>
        </w:rPr>
        <w:pict>
          <v:group id="_x0000_s1085" style="position:absolute;margin-left:74.05pt;margin-top:214.5pt;width:123.9pt;height:421.1pt;z-index:251704320;mso-position-horizontal-relative:page;mso-position-vertical-relative:page" coordorigin="-1" coordsize="2403640,955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">
            <v:rect id="AutoShape 14" o:spid="_x0000_s1086" style="position:absolute;left:-1;width:2403475;height:9555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63MUA&#10;AADaAAAADwAAAGRycy9kb3ducmV2LnhtbESPT2sCMRTE70K/Q3iCF9FsVaSsRin+Ael6sNpDj8/N&#10;c3fp5mVJom6/fVMQPA4z8xtmvmxNLW7kfGVZweswAUGcW11xoeDrtB28gfABWWNtmRT8kofl4qUz&#10;x1TbO3/S7RgKESHsU1RQhtCkUvq8JIN+aBvi6F2sMxiidIXUDu8Rbmo5SpKpNFhxXCixoVVJ+c/x&#10;ahRMDs3m3P/+4Gy9H69klmXFuu+U6nXb9xmIQG14hh/tnVYwhv8r8Qb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3rcxQAAANoAAAAPAAAAAAAAAAAAAAAAAJgCAABkcnMv&#10;ZG93bnJldi54bWxQSwUGAAAAAAQABAD1AAAAigMAAAAA&#10;" strokecolor="#948a54" strokeweight="1.25pt">
              <v:textbox style="mso-next-textbox:#AutoShape 14" inset="14.4pt,36pt,14.4pt,5.76pt">
                <w:txbxContent>
                  <w:p w:rsidR="00064502" w:rsidRPr="00577B90" w:rsidRDefault="00064502" w:rsidP="0003549E">
                    <w:pPr>
                      <w:rPr>
                        <w:rFonts w:ascii="Arial Narrow" w:hAnsi="Arial Narrow"/>
                        <w:color w:val="1F497D"/>
                        <w:sz w:val="20"/>
                        <w:szCs w:val="20"/>
                      </w:rPr>
                    </w:pPr>
                    <w:r w:rsidRPr="00BD7229">
                      <w:rPr>
                        <w:rFonts w:ascii="Arial Narrow" w:hAnsi="Arial Narrow"/>
                        <w:noProof/>
                        <w:sz w:val="20"/>
                        <w:szCs w:val="20"/>
                        <w:lang w:eastAsia="ro-RO"/>
                      </w:rPr>
                      <w:pict>
                        <v:shape id="_x0000_i1048" type="#_x0000_t75" alt="Imagini pentru Urby" style="width:92.25pt;height:92.25pt;visibility:visible">
                          <v:imagedata r:id="rId91" o:title="Imagini pentru Urby"/>
                        </v:shape>
                      </w:pict>
                    </w:r>
                  </w:p>
                  <w:p w:rsidR="00064502" w:rsidRPr="001D3BD8" w:rsidRDefault="00064502" w:rsidP="00EA5F90">
                    <w:pPr>
                      <w:pStyle w:val="Titlu1"/>
                      <w:spacing w:after="240"/>
                      <w:rPr>
                        <w:rFonts w:ascii="Arial Narrow" w:hAnsi="Arial Narrow"/>
                        <w:b w:val="0"/>
                      </w:rPr>
                    </w:pPr>
                    <w:r w:rsidRPr="005B75F2">
                      <w:rPr>
                        <w:rStyle w:val="Robust"/>
                        <w:rFonts w:ascii="Arial Narrow" w:eastAsia="Roboto" w:hAnsi="Arial Narrow"/>
                        <w:color w:val="333333"/>
                        <w:sz w:val="20"/>
                        <w:szCs w:val="20"/>
                        <w:shd w:val="clear" w:color="auto" w:fill="FFFFFF"/>
                      </w:rPr>
                      <w:t>Urby, aplicatie care te conecteaza la pulsul celor mai active orase din Romania, creata de startup-ul sibian Eventya Co a primit o finantare de 300.000 de euro</w:t>
                    </w:r>
                    <w:r>
                      <w:rPr>
                        <w:rStyle w:val="Robust"/>
                        <w:rFonts w:ascii="Arial Narrow" w:eastAsia="Roboto" w:hAnsi="Arial Narrow"/>
                        <w:color w:val="333333"/>
                        <w:sz w:val="20"/>
                        <w:szCs w:val="20"/>
                        <w:shd w:val="clear" w:color="auto" w:fill="FFFFFF"/>
                      </w:rPr>
                      <w:t xml:space="preserve"> din partea unui angel investor, i</w:t>
                    </w:r>
                    <w:r w:rsidRPr="005B75F2">
                      <w:rPr>
                        <w:rStyle w:val="Robust"/>
                        <w:rFonts w:ascii="Arial Narrow" w:eastAsia="Roboto" w:hAnsi="Arial Narrow"/>
                        <w:color w:val="333333"/>
                        <w:sz w:val="20"/>
                        <w:szCs w:val="20"/>
                        <w:shd w:val="clear" w:color="auto" w:fill="FFFFFF"/>
                      </w:rPr>
                      <w:t xml:space="preserve">n urma participarii startup-ului la MVP Academy. </w:t>
                    </w:r>
                    <w:r>
                      <w:rPr>
                        <w:rFonts w:ascii="Arial Narrow" w:eastAsia="Roboto" w:hAnsi="Arial Narrow"/>
                        <w:color w:val="333333"/>
                        <w:sz w:val="20"/>
                        <w:szCs w:val="20"/>
                        <w:shd w:val="clear" w:color="auto" w:fill="FFFFFF"/>
                      </w:rPr>
                      <w:t>A</w:t>
                    </w:r>
                    <w:r w:rsidRPr="005B75F2">
                      <w:rPr>
                        <w:rFonts w:ascii="Arial Narrow" w:eastAsia="Roboto" w:hAnsi="Arial Narrow"/>
                        <w:color w:val="333333"/>
                        <w:sz w:val="20"/>
                        <w:szCs w:val="20"/>
                        <w:shd w:val="clear" w:color="auto" w:fill="FFFFFF"/>
                      </w:rPr>
                      <w:t>plicatia ofera utilizatorilor recomandari, evenimente organizate in functie de preferinte, locatii si atractii, oferte si stiri locale. Clasamentele sunt generate pe baza unor algoritmi prin care utilizatorii</w:t>
                    </w:r>
                    <w:r w:rsidRPr="005B75F2">
                      <w:rPr>
                        <w:rFonts w:ascii="Roboto" w:eastAsia="Roboto" w:hint="eastAsia"/>
                        <w:color w:val="333333"/>
                        <w:sz w:val="20"/>
                        <w:szCs w:val="20"/>
                        <w:shd w:val="clear" w:color="auto" w:fill="FFFFFF"/>
                      </w:rPr>
                      <w:t xml:space="preserve"> </w:t>
                    </w:r>
                    <w:r w:rsidRPr="005B75F2">
                      <w:rPr>
                        <w:rFonts w:ascii="Arial Narrow" w:eastAsia="Roboto" w:hAnsi="Arial Narrow"/>
                        <w:color w:val="333333"/>
                        <w:sz w:val="20"/>
                        <w:szCs w:val="20"/>
                        <w:shd w:val="clear" w:color="auto" w:fill="FFFFFF"/>
                      </w:rPr>
                      <w:t>genereaza automat diverse recomandari cu cele mai in voga localuri sau evenimente din oras.</w:t>
                    </w:r>
                    <w:r w:rsidRPr="001D3BD8">
                      <w:rPr>
                        <w:rFonts w:ascii="Arial Narrow" w:hAnsi="Arial Narrow"/>
                        <w:b w:val="0"/>
                      </w:rPr>
                      <w:t>Industria aeronautica regionala – date esentiale</w:t>
                    </w:r>
                  </w:p>
                  <w:p w:rsidR="00064502" w:rsidRPr="00E33939" w:rsidRDefault="00064502" w:rsidP="00981E9F">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1</w:t>
                    </w:r>
                    <w:r>
                      <w:rPr>
                        <w:rFonts w:ascii="Arial Narrow" w:hAnsi="Arial Narrow"/>
                      </w:rPr>
                      <w:t>4</w:t>
                    </w:r>
                    <w:r w:rsidRPr="00E33939">
                      <w:rPr>
                        <w:rFonts w:ascii="Arial Narrow" w:hAnsi="Arial Narrow"/>
                      </w:rPr>
                      <w:t xml:space="preserve"> companii identificate</w:t>
                    </w:r>
                  </w:p>
                  <w:p w:rsidR="00064502" w:rsidRPr="00E33939" w:rsidRDefault="00064502" w:rsidP="00981E9F">
                    <w:pPr>
                      <w:pStyle w:val="Listparagraf"/>
                      <w:numPr>
                        <w:ilvl w:val="0"/>
                        <w:numId w:val="12"/>
                      </w:numPr>
                      <w:spacing w:after="120" w:line="240" w:lineRule="auto"/>
                      <w:ind w:left="357" w:hanging="357"/>
                      <w:rPr>
                        <w:rFonts w:ascii="Arial Narrow" w:hAnsi="Arial Narrow"/>
                        <w:color w:val="1F497D" w:themeColor="text2"/>
                      </w:rPr>
                    </w:pPr>
                    <w:r>
                      <w:rPr>
                        <w:rFonts w:ascii="Arial Narrow" w:hAnsi="Arial Narrow"/>
                      </w:rPr>
                      <w:t>512,4</w:t>
                    </w:r>
                    <w:r w:rsidRPr="00E33939">
                      <w:rPr>
                        <w:rFonts w:ascii="Arial Narrow" w:hAnsi="Arial Narrow"/>
                      </w:rPr>
                      <w:t xml:space="preserve"> milioane lei cifra de afaceri in 2015</w:t>
                    </w:r>
                  </w:p>
                  <w:p w:rsidR="00064502" w:rsidRPr="00E33939" w:rsidRDefault="00064502" w:rsidP="00981E9F">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1</w:t>
                    </w:r>
                    <w:r>
                      <w:rPr>
                        <w:rFonts w:ascii="Arial Narrow" w:hAnsi="Arial Narrow"/>
                      </w:rPr>
                      <w:t>491</w:t>
                    </w:r>
                    <w:r w:rsidRPr="00E33939">
                      <w:rPr>
                        <w:rFonts w:ascii="Arial Narrow" w:hAnsi="Arial Narrow"/>
                      </w:rPr>
                      <w:t xml:space="preserve"> de angajati</w:t>
                    </w:r>
                  </w:p>
                  <w:p w:rsidR="00064502" w:rsidRPr="00E33939" w:rsidRDefault="00064502" w:rsidP="00981E9F">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concentrata in judetul Brasov</w:t>
                    </w:r>
                    <w:r>
                      <w:rPr>
                        <w:rFonts w:ascii="Arial Narrow" w:hAnsi="Arial Narrow"/>
                      </w:rPr>
                      <w:t>, cu prezenta si in judetul Sibiu</w:t>
                    </w:r>
                  </w:p>
                  <w:p w:rsidR="00064502" w:rsidRPr="00E33939" w:rsidRDefault="00064502" w:rsidP="00981E9F">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productivitate medie mai mare de 6-7 ori decat Romania</w:t>
                    </w:r>
                  </w:p>
                  <w:p w:rsidR="00064502" w:rsidRPr="00E33939" w:rsidRDefault="00064502" w:rsidP="00981E9F">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7 companii din 1</w:t>
                    </w:r>
                    <w:r>
                      <w:rPr>
                        <w:rFonts w:ascii="Arial Narrow" w:hAnsi="Arial Narrow"/>
                      </w:rPr>
                      <w:t>4</w:t>
                    </w:r>
                    <w:r w:rsidRPr="00E33939">
                      <w:rPr>
                        <w:rFonts w:ascii="Arial Narrow" w:hAnsi="Arial Narrow"/>
                      </w:rPr>
                      <w:t xml:space="preserve"> sunt intreprinderi mari</w:t>
                    </w:r>
                  </w:p>
                  <w:p w:rsidR="00064502" w:rsidRPr="001D3BD8" w:rsidRDefault="00064502" w:rsidP="000A6A0D">
                    <w:pPr>
                      <w:pStyle w:val="Titlu1"/>
                      <w:spacing w:after="240"/>
                      <w:rPr>
                        <w:rFonts w:ascii="Arial Narrow" w:hAnsi="Arial Narrow"/>
                        <w:b w:val="0"/>
                      </w:rPr>
                    </w:pPr>
                    <w:r>
                      <w:rPr>
                        <w:rFonts w:ascii="Arial Narrow" w:hAnsi="Arial Narrow"/>
                      </w:rPr>
                      <w:t>9</w:t>
                    </w:r>
                    <w:r w:rsidRPr="00E33939">
                      <w:rPr>
                        <w:rFonts w:ascii="Arial Narrow" w:hAnsi="Arial Narrow"/>
                      </w:rPr>
                      <w:t xml:space="preserve"> companii din 1</w:t>
                    </w:r>
                    <w:r>
                      <w:rPr>
                        <w:rFonts w:ascii="Arial Narrow" w:hAnsi="Arial Narrow"/>
                      </w:rPr>
                      <w:t>4</w:t>
                    </w:r>
                    <w:r w:rsidRPr="00E33939">
                      <w:rPr>
                        <w:rFonts w:ascii="Arial Narrow" w:hAnsi="Arial Narrow"/>
                      </w:rPr>
                      <w:t xml:space="preserve"> reprezinta investitii straine directe</w:t>
                    </w:r>
                    <w:r w:rsidRPr="001D3BD8">
                      <w:rPr>
                        <w:rFonts w:ascii="Arial Narrow" w:hAnsi="Arial Narrow"/>
                        <w:b w:val="0"/>
                      </w:rPr>
                      <w:t>Industria aeronautica regionala – date esentiale</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1</w:t>
                    </w:r>
                    <w:r>
                      <w:rPr>
                        <w:rFonts w:ascii="Arial Narrow" w:hAnsi="Arial Narrow"/>
                      </w:rPr>
                      <w:t>4</w:t>
                    </w:r>
                    <w:r w:rsidRPr="00E33939">
                      <w:rPr>
                        <w:rFonts w:ascii="Arial Narrow" w:hAnsi="Arial Narrow"/>
                      </w:rPr>
                      <w:t xml:space="preserve"> companii identificate</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Pr>
                        <w:rFonts w:ascii="Arial Narrow" w:hAnsi="Arial Narrow"/>
                      </w:rPr>
                      <w:t>512,4</w:t>
                    </w:r>
                    <w:r w:rsidRPr="00E33939">
                      <w:rPr>
                        <w:rFonts w:ascii="Arial Narrow" w:hAnsi="Arial Narrow"/>
                      </w:rPr>
                      <w:t xml:space="preserve"> milioane lei cifra de afaceri in 2015</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1</w:t>
                    </w:r>
                    <w:r>
                      <w:rPr>
                        <w:rFonts w:ascii="Arial Narrow" w:hAnsi="Arial Narrow"/>
                      </w:rPr>
                      <w:t>491</w:t>
                    </w:r>
                    <w:r w:rsidRPr="00E33939">
                      <w:rPr>
                        <w:rFonts w:ascii="Arial Narrow" w:hAnsi="Arial Narrow"/>
                      </w:rPr>
                      <w:t xml:space="preserve"> de angajati</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concentrata in judetul Brasov</w:t>
                    </w:r>
                    <w:r>
                      <w:rPr>
                        <w:rFonts w:ascii="Arial Narrow" w:hAnsi="Arial Narrow"/>
                      </w:rPr>
                      <w:t>, cu prezenta si in judetul Sibiu</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productivitate medie mai mare de 6-7 ori decat Romania</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sidRPr="00E33939">
                      <w:rPr>
                        <w:rFonts w:ascii="Arial Narrow" w:hAnsi="Arial Narrow"/>
                      </w:rPr>
                      <w:t>7 companii din 1</w:t>
                    </w:r>
                    <w:r>
                      <w:rPr>
                        <w:rFonts w:ascii="Arial Narrow" w:hAnsi="Arial Narrow"/>
                      </w:rPr>
                      <w:t>4</w:t>
                    </w:r>
                    <w:r w:rsidRPr="00E33939">
                      <w:rPr>
                        <w:rFonts w:ascii="Arial Narrow" w:hAnsi="Arial Narrow"/>
                      </w:rPr>
                      <w:t xml:space="preserve"> sunt intreprinderi mari</w:t>
                    </w:r>
                  </w:p>
                  <w:p w:rsidR="00064502" w:rsidRPr="00E33939" w:rsidRDefault="00064502" w:rsidP="000A6A0D">
                    <w:pPr>
                      <w:pStyle w:val="Listparagraf"/>
                      <w:numPr>
                        <w:ilvl w:val="0"/>
                        <w:numId w:val="12"/>
                      </w:numPr>
                      <w:spacing w:after="120" w:line="240" w:lineRule="auto"/>
                      <w:ind w:left="357" w:hanging="357"/>
                      <w:rPr>
                        <w:rFonts w:ascii="Arial Narrow" w:hAnsi="Arial Narrow"/>
                        <w:color w:val="1F497D" w:themeColor="text2"/>
                      </w:rPr>
                    </w:pPr>
                    <w:r>
                      <w:rPr>
                        <w:rFonts w:ascii="Arial Narrow" w:hAnsi="Arial Narrow"/>
                      </w:rPr>
                      <w:t>9</w:t>
                    </w:r>
                    <w:r w:rsidRPr="00E33939">
                      <w:rPr>
                        <w:rFonts w:ascii="Arial Narrow" w:hAnsi="Arial Narrow"/>
                      </w:rPr>
                      <w:t xml:space="preserve"> companii din 1</w:t>
                    </w:r>
                    <w:r>
                      <w:rPr>
                        <w:rFonts w:ascii="Arial Narrow" w:hAnsi="Arial Narrow"/>
                      </w:rPr>
                      <w:t>4</w:t>
                    </w:r>
                    <w:r w:rsidRPr="00E33939">
                      <w:rPr>
                        <w:rFonts w:ascii="Arial Narrow" w:hAnsi="Arial Narrow"/>
                      </w:rPr>
                      <w:t xml:space="preserve"> reprezinta investitii straine directe</w:t>
                    </w:r>
                  </w:p>
                </w:txbxContent>
              </v:textbox>
            </v:rect>
            <v:rect id="Rectangle 45" o:spid="_x0000_s1087"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fm70A&#10;AADaAAAADwAAAGRycy9kb3ducmV2LnhtbESPwQrCMBBE74L/EFbwpqlFRKtRRBS8ahX0tjRrW2w2&#10;pYla/94IgsdhZt4wi1VrKvGkxpWWFYyGEQjizOqScwWndDeYgnAeWWNlmRS8ycFq2e0sMNH2xQd6&#10;Hn0uAoRdggoK7+tESpcVZNANbU0cvJttDPogm1zqBl8BbioZR9FEGiw5LBRY06ag7H58GAUcXbNy&#10;Ftv8khp9jrfXdDLmVKl+r13PQXhq/T/8a++1gjF8r4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ANfm70AAADaAAAADwAAAAAAAAAAAAAAAACYAgAAZHJzL2Rvd25yZXYu&#10;eG1sUEsFBgAAAAAEAAQA9QAAAIIDAAAAAA==&#10;" fillcolor="#1f497d" stroked="f" strokeweight="2pt">
              <v:textbox style="mso-next-textbox:#Rectangle 45" inset="14.4pt,14.4pt,14.4pt,28.8pt">
                <w:txbxContent>
                  <w:p w:rsidR="00064502" w:rsidRPr="00577B90" w:rsidRDefault="00064502" w:rsidP="0003549E">
                    <w:pPr>
                      <w:spacing w:before="240"/>
                      <w:rPr>
                        <w:color w:val="FFFFFF"/>
                      </w:rPr>
                    </w:pPr>
                  </w:p>
                </w:txbxContent>
              </v:textbox>
            </v:rect>
            <v:rect id="Rectangle 46" o:spid="_x0000_s1088"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aKcMA&#10;AADaAAAADwAAAGRycy9kb3ducmV2LnhtbESPQWvCQBSE74X+h+UVvEjdWLSU6CpFK4gnm4jnR/Y1&#10;CWbfxt01xn/vCkKPw8x8w8yXvWlER87XlhWMRwkI4sLqmksFh3zz/gXCB2SNjWVScCMPy8XryxxT&#10;ba/8S10WShEh7FNUUIXQplL6oiKDfmRb4uj9WWcwROlKqR1eI9w08iNJPqXBmuNChS2tKipO2cUo&#10;mEiXXY71tBvm2X64W9tDef45KTV4679nIAL14T/8bG+1gik8rs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zaKcMAAADaAAAADwAAAAAAAAAAAAAAAACYAgAAZHJzL2Rv&#10;d25yZXYueG1sUEsFBgAAAAAEAAQA9QAAAIgDAAAAAA==&#10;" fillcolor="#4f81bd" stroked="f" strokeweight="2pt">
              <v:textbox style="mso-next-textbox:#Rectangle 46" inset="14.4pt,14.4pt,14.4pt,28.8pt">
                <w:txbxContent>
                  <w:p w:rsidR="00064502" w:rsidRPr="00577B90" w:rsidRDefault="00064502" w:rsidP="0003549E">
                    <w:pPr>
                      <w:spacing w:before="240"/>
                      <w:rPr>
                        <w:color w:val="FFFFFF"/>
                      </w:rPr>
                    </w:pPr>
                  </w:p>
                </w:txbxContent>
              </v:textbox>
            </v:rect>
            <w10:wrap type="square" anchorx="page" anchory="page"/>
          </v:group>
        </w:pict>
      </w:r>
      <w:r>
        <w:rPr>
          <w:rFonts w:ascii="Arial Narrow" w:hAnsi="Arial Narrow"/>
        </w:rPr>
        <w:t>O abordare interesanta a domeniului, bazata mai ales pe componenta culturala a sectorului cultural si creativ, a avut-o Centrul de Cercetare si Consultanta in Domeniul Culturii, care a publicat un studiu denumit „Vitalitatea culturala a oraselor din Romania”. Autorii considera ca „</w:t>
      </w:r>
      <w:r w:rsidRPr="008B21C9">
        <w:rPr>
          <w:rFonts w:ascii="Arial Narrow" w:hAnsi="Arial Narrow"/>
          <w:i/>
        </w:rPr>
        <w:t>Vitalitatea culturală a unui oraş este privită cel mai adesea ca un potenţial de exprimare a creativităţii în cele mai variate forme de către membrii comunităţii locale în viaţa cotidiană. Aceasta reflectă deopotrivă posibilităţile de acces la bunurile culturale, (infrastructura culturală compusă din săli de spectacole, biblioteci, muzee, expoziţii etc.), posibilităţile de formare şi creaţie artistică (şcoli cu profil artistic, cadre didactice pentru formare, spaţiu şi infrastructură disponibilă pentru „creatori”) şi posibilităţile de valorificare antreprenorială a produselor rezultate din activităţile artistice sau a celor bazate exclusiv pe creativitatea autorilor (produse cu „copyright”).</w:t>
      </w:r>
      <w:r>
        <w:rPr>
          <w:rFonts w:ascii="Arial Narrow" w:hAnsi="Arial Narrow"/>
        </w:rPr>
        <w:t>”</w:t>
      </w:r>
      <w:r>
        <w:rPr>
          <w:rStyle w:val="Referinnotdesubsol"/>
          <w:rFonts w:ascii="Arial Narrow" w:hAnsi="Arial Narrow"/>
        </w:rPr>
        <w:footnoteReference w:id="112"/>
      </w:r>
      <w:r>
        <w:rPr>
          <w:rFonts w:ascii="Arial Narrow" w:hAnsi="Arial Narrow"/>
        </w:rPr>
        <w:t xml:space="preserve"> Datele utilizate iau in considerare anul 2010 insa isi pastreaza actualitatea si relevanta in conditiile in care transformarea spatiilor urbane este un proces etapizat, mai degraba decat unul in salturi iar schimbarile majore se petrec in timp, mai ales datorita inertiei pe care asemenea spatii o au. Autorii au luat in considerare in studiul lor municipiile resedinta de judet, la care au adaugat alte asezari urbane cu populatie de peste 50.000 locuitori (cu exceptia munipiului Bucuresti), rezultand un panel de 46 de orase. Indicatorii au cuantificat </w:t>
      </w:r>
      <w:r w:rsidRPr="008B21C9">
        <w:rPr>
          <w:rFonts w:ascii="Arial Narrow" w:hAnsi="Arial Narrow"/>
        </w:rPr>
        <w:t>„Susţinerea culturii de către autorităţile locale prin cheltuielile bugetare destinate acestui domeniu”</w:t>
      </w:r>
      <w:r>
        <w:rPr>
          <w:rFonts w:ascii="Arial Narrow" w:hAnsi="Arial Narrow"/>
        </w:rPr>
        <w:t xml:space="preserve">, </w:t>
      </w:r>
      <w:r w:rsidRPr="008B21C9">
        <w:rPr>
          <w:rFonts w:ascii="Arial Narrow" w:hAnsi="Arial Narrow"/>
        </w:rPr>
        <w:t>„Performanţele economiei creative (bazată pe producere, vehicularea şi valorificarea produselor cu caracter cultural”)</w:t>
      </w:r>
      <w:r>
        <w:rPr>
          <w:rFonts w:ascii="Arial Narrow" w:hAnsi="Arial Narrow"/>
        </w:rPr>
        <w:t xml:space="preserve">, </w:t>
      </w:r>
      <w:r w:rsidRPr="00670BC9">
        <w:rPr>
          <w:rFonts w:ascii="Arial Narrow" w:hAnsi="Arial Narrow"/>
        </w:rPr>
        <w:t>„Infrastructura culturală”</w:t>
      </w:r>
      <w:r>
        <w:rPr>
          <w:rFonts w:ascii="Arial Narrow" w:hAnsi="Arial Narrow"/>
        </w:rPr>
        <w:t xml:space="preserve">, </w:t>
      </w:r>
      <w:r w:rsidRPr="00670BC9">
        <w:rPr>
          <w:rFonts w:ascii="Arial Narrow" w:hAnsi="Arial Narrow"/>
        </w:rPr>
        <w:t>„Resursele umane specializate”</w:t>
      </w:r>
      <w:r>
        <w:rPr>
          <w:rFonts w:ascii="Arial Narrow" w:hAnsi="Arial Narrow"/>
        </w:rPr>
        <w:t xml:space="preserve"> si </w:t>
      </w:r>
      <w:r w:rsidRPr="00670BC9">
        <w:rPr>
          <w:rFonts w:ascii="Arial Narrow" w:hAnsi="Arial Narrow"/>
        </w:rPr>
        <w:t>„Activităţile culturale</w:t>
      </w:r>
      <w:r>
        <w:rPr>
          <w:rFonts w:ascii="Arial Narrow" w:hAnsi="Arial Narrow"/>
        </w:rPr>
        <w:t xml:space="preserve"> </w:t>
      </w:r>
      <w:r w:rsidRPr="00670BC9">
        <w:rPr>
          <w:rFonts w:ascii="Arial Narrow" w:hAnsi="Arial Narrow"/>
        </w:rPr>
        <w:t>- spectatori”</w:t>
      </w:r>
      <w:r>
        <w:rPr>
          <w:rFonts w:ascii="Arial Narrow" w:hAnsi="Arial Narrow"/>
        </w:rPr>
        <w:t>. Dupa examinarea acestor indicatori a rezultat urmatorul clasament, in care 0 reprezintă valoar</w:t>
      </w:r>
      <w:r w:rsidRPr="00670BC9">
        <w:rPr>
          <w:rFonts w:ascii="Arial Narrow" w:hAnsi="Arial Narrow"/>
        </w:rPr>
        <w:t>ea medie pentru cele 4</w:t>
      </w:r>
      <w:r>
        <w:rPr>
          <w:rFonts w:ascii="Arial Narrow" w:hAnsi="Arial Narrow"/>
        </w:rPr>
        <w:t>6 de oraşe incluse în analiză iar v</w:t>
      </w:r>
      <w:r w:rsidRPr="00670BC9">
        <w:rPr>
          <w:rFonts w:ascii="Arial Narrow" w:hAnsi="Arial Narrow"/>
        </w:rPr>
        <w:t>alorile</w:t>
      </w:r>
      <w:r>
        <w:rPr>
          <w:rFonts w:ascii="Arial Narrow" w:hAnsi="Arial Narrow"/>
        </w:rPr>
        <w:t xml:space="preserve"> </w:t>
      </w:r>
      <w:r w:rsidRPr="00670BC9">
        <w:rPr>
          <w:rFonts w:ascii="Arial Narrow" w:hAnsi="Arial Narrow"/>
        </w:rPr>
        <w:t>pozitive reprezintă niveluri superioare mediei (peste medie), pe când cele negative reprezintă niveluri inferioare</w:t>
      </w:r>
      <w:r>
        <w:rPr>
          <w:rFonts w:ascii="Arial Narrow" w:hAnsi="Arial Narrow"/>
        </w:rPr>
        <w:t xml:space="preserve"> </w:t>
      </w:r>
      <w:r w:rsidRPr="00670BC9">
        <w:rPr>
          <w:rFonts w:ascii="Arial Narrow" w:hAnsi="Arial Narrow"/>
        </w:rPr>
        <w:t>(sub medie)</w:t>
      </w:r>
      <w:r>
        <w:rPr>
          <w:rStyle w:val="Referinnotdesubsol"/>
          <w:rFonts w:ascii="Arial Narrow" w:hAnsi="Arial Narrow"/>
        </w:rPr>
        <w:footnoteReference w:id="113"/>
      </w:r>
      <w:r>
        <w:rPr>
          <w:rFonts w:ascii="Arial Narrow" w:hAnsi="Arial Narrow"/>
        </w:rPr>
        <w:t>:</w:t>
      </w:r>
    </w:p>
    <w:p w:rsidR="0003549E" w:rsidRDefault="0003549E" w:rsidP="0003549E">
      <w:pPr>
        <w:rPr>
          <w:rFonts w:ascii="Arial Narrow" w:hAnsi="Arial Narrow"/>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595"/>
        <w:gridCol w:w="1701"/>
        <w:gridCol w:w="1134"/>
        <w:gridCol w:w="1276"/>
        <w:gridCol w:w="992"/>
        <w:gridCol w:w="993"/>
        <w:gridCol w:w="708"/>
        <w:gridCol w:w="709"/>
        <w:gridCol w:w="1134"/>
      </w:tblGrid>
      <w:tr w:rsidR="0003549E" w:rsidRPr="00577B90" w:rsidTr="0003549E">
        <w:tc>
          <w:tcPr>
            <w:tcW w:w="595"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lastRenderedPageBreak/>
              <w:t>Pozitie</w:t>
            </w:r>
          </w:p>
        </w:tc>
        <w:tc>
          <w:tcPr>
            <w:tcW w:w="1701"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Oras</w:t>
            </w:r>
          </w:p>
        </w:tc>
        <w:tc>
          <w:tcPr>
            <w:tcW w:w="1134"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Infrastructura</w:t>
            </w:r>
          </w:p>
        </w:tc>
        <w:tc>
          <w:tcPr>
            <w:tcW w:w="1276"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Industrii creative</w:t>
            </w:r>
          </w:p>
        </w:tc>
        <w:tc>
          <w:tcPr>
            <w:tcW w:w="992"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Buget local</w:t>
            </w:r>
          </w:p>
        </w:tc>
        <w:tc>
          <w:tcPr>
            <w:tcW w:w="993"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Participare</w:t>
            </w:r>
          </w:p>
        </w:tc>
        <w:tc>
          <w:tcPr>
            <w:tcW w:w="708"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Resurse umane</w:t>
            </w:r>
          </w:p>
        </w:tc>
        <w:tc>
          <w:tcPr>
            <w:tcW w:w="709"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ONG</w:t>
            </w:r>
          </w:p>
        </w:tc>
        <w:tc>
          <w:tcPr>
            <w:tcW w:w="1134" w:type="dxa"/>
            <w:shd w:val="clear" w:color="auto" w:fill="A6A6A6"/>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Indice vitalitate</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w:t>
            </w:r>
          </w:p>
        </w:tc>
        <w:tc>
          <w:tcPr>
            <w:tcW w:w="1701" w:type="dxa"/>
            <w:shd w:val="clear" w:color="auto" w:fill="BFBFBF"/>
            <w:vAlign w:val="center"/>
          </w:tcPr>
          <w:p w:rsidR="0003549E" w:rsidRPr="00577B90" w:rsidRDefault="0003549E" w:rsidP="0003549E">
            <w:pPr>
              <w:ind w:hanging="4"/>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Cluj Napoca</w:t>
            </w:r>
          </w:p>
        </w:tc>
        <w:tc>
          <w:tcPr>
            <w:tcW w:w="1134" w:type="dxa"/>
            <w:shd w:val="clear" w:color="auto" w:fill="BFBFBF"/>
            <w:vAlign w:val="center"/>
          </w:tcPr>
          <w:p w:rsidR="0003549E" w:rsidRPr="00577B90" w:rsidRDefault="0003549E" w:rsidP="0003549E">
            <w:pPr>
              <w:ind w:left="63" w:hanging="63"/>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1.08</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3.15</w:t>
            </w:r>
          </w:p>
        </w:tc>
        <w:tc>
          <w:tcPr>
            <w:tcW w:w="992"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1.10</w:t>
            </w:r>
          </w:p>
        </w:tc>
        <w:tc>
          <w:tcPr>
            <w:tcW w:w="708"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1.18</w:t>
            </w:r>
          </w:p>
        </w:tc>
        <w:tc>
          <w:tcPr>
            <w:tcW w:w="709"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0.47</w:t>
            </w:r>
          </w:p>
        </w:tc>
        <w:tc>
          <w:tcPr>
            <w:tcW w:w="1134"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1.09</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2.</w:t>
            </w:r>
          </w:p>
        </w:tc>
        <w:tc>
          <w:tcPr>
            <w:tcW w:w="1701" w:type="dxa"/>
            <w:shd w:val="clear" w:color="auto" w:fill="BFBFBF"/>
            <w:vAlign w:val="center"/>
          </w:tcPr>
          <w:p w:rsidR="0003549E" w:rsidRPr="00577B90" w:rsidRDefault="0003549E" w:rsidP="0003549E">
            <w:pPr>
              <w:ind w:hanging="4"/>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Sibiu</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0.50</w:t>
            </w:r>
          </w:p>
        </w:tc>
        <w:tc>
          <w:tcPr>
            <w:tcW w:w="1276"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0.68</w:t>
            </w:r>
          </w:p>
        </w:tc>
        <w:tc>
          <w:tcPr>
            <w:tcW w:w="992"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0.29</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1.99</w:t>
            </w:r>
          </w:p>
        </w:tc>
        <w:tc>
          <w:tcPr>
            <w:tcW w:w="708"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1.64</w:t>
            </w:r>
          </w:p>
        </w:tc>
        <w:tc>
          <w:tcPr>
            <w:tcW w:w="709"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0.19</w:t>
            </w:r>
          </w:p>
        </w:tc>
        <w:tc>
          <w:tcPr>
            <w:tcW w:w="1134"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0.88</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3.</w:t>
            </w:r>
          </w:p>
        </w:tc>
        <w:tc>
          <w:tcPr>
            <w:tcW w:w="1701" w:type="dxa"/>
            <w:shd w:val="clear" w:color="auto" w:fill="BFBFBF"/>
            <w:vAlign w:val="center"/>
          </w:tcPr>
          <w:p w:rsidR="0003549E" w:rsidRPr="00577B90" w:rsidRDefault="0003549E" w:rsidP="0003549E">
            <w:pPr>
              <w:ind w:left="4" w:hanging="4"/>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Sf. Gheorghe</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0.16</w:t>
            </w:r>
          </w:p>
        </w:tc>
        <w:tc>
          <w:tcPr>
            <w:tcW w:w="1276"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0.59</w:t>
            </w:r>
          </w:p>
        </w:tc>
        <w:tc>
          <w:tcPr>
            <w:tcW w:w="992"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3.84</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-0.34</w:t>
            </w:r>
          </w:p>
        </w:tc>
        <w:tc>
          <w:tcPr>
            <w:tcW w:w="708"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-0.28</w:t>
            </w:r>
          </w:p>
        </w:tc>
        <w:tc>
          <w:tcPr>
            <w:tcW w:w="709"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1.18</w:t>
            </w:r>
          </w:p>
        </w:tc>
        <w:tc>
          <w:tcPr>
            <w:tcW w:w="1134"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0.86</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Timisoara</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0.61</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1.32</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1.10</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0.35</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1.11</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0.55</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0.84</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5.</w:t>
            </w:r>
          </w:p>
        </w:tc>
        <w:tc>
          <w:tcPr>
            <w:tcW w:w="1701"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Alba Iulia</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0.08</w:t>
            </w:r>
          </w:p>
        </w:tc>
        <w:tc>
          <w:tcPr>
            <w:tcW w:w="1276"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-0.22</w:t>
            </w:r>
          </w:p>
        </w:tc>
        <w:tc>
          <w:tcPr>
            <w:tcW w:w="992"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1.32</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0.05</w:t>
            </w:r>
          </w:p>
        </w:tc>
        <w:tc>
          <w:tcPr>
            <w:tcW w:w="708"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-0.34</w:t>
            </w:r>
          </w:p>
        </w:tc>
        <w:tc>
          <w:tcPr>
            <w:tcW w:w="709"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2.54</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0.57</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6.</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Iasi</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0.69</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0.64</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-0.13</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0.35</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1.02</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0.79</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0.56</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7.</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Bistrita</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-0.37</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-0.49</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-0.01</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0.67</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3.78</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0.52</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8.</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Targoviste</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0.40</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-0.06</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1.55</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1.00</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0.09</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0.47</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9.</w:t>
            </w:r>
          </w:p>
        </w:tc>
        <w:tc>
          <w:tcPr>
            <w:tcW w:w="1701"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Miercurea Ciuc</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0.47</w:t>
            </w:r>
          </w:p>
        </w:tc>
        <w:tc>
          <w:tcPr>
            <w:tcW w:w="1276"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0.03</w:t>
            </w:r>
          </w:p>
        </w:tc>
        <w:tc>
          <w:tcPr>
            <w:tcW w:w="992"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1.10</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-0.02</w:t>
            </w:r>
          </w:p>
        </w:tc>
        <w:tc>
          <w:tcPr>
            <w:tcW w:w="708"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0.53</w:t>
            </w:r>
          </w:p>
        </w:tc>
        <w:tc>
          <w:tcPr>
            <w:tcW w:w="709"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0.52</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0.44</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10.</w:t>
            </w:r>
          </w:p>
        </w:tc>
        <w:tc>
          <w:tcPr>
            <w:tcW w:w="1701"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Targu Mures</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0.59</w:t>
            </w:r>
          </w:p>
        </w:tc>
        <w:tc>
          <w:tcPr>
            <w:tcW w:w="1276"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0.46</w:t>
            </w:r>
          </w:p>
        </w:tc>
        <w:tc>
          <w:tcPr>
            <w:tcW w:w="992"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0.48</w:t>
            </w:r>
          </w:p>
        </w:tc>
        <w:tc>
          <w:tcPr>
            <w:tcW w:w="993"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0.45</w:t>
            </w:r>
          </w:p>
        </w:tc>
        <w:tc>
          <w:tcPr>
            <w:tcW w:w="708"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0.33</w:t>
            </w:r>
          </w:p>
        </w:tc>
        <w:tc>
          <w:tcPr>
            <w:tcW w:w="709"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-0.15</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0.36</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Constanta</w:t>
            </w:r>
          </w:p>
        </w:tc>
        <w:tc>
          <w:tcPr>
            <w:tcW w:w="1134"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0.07</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0.19</w:t>
            </w:r>
          </w:p>
        </w:tc>
        <w:tc>
          <w:tcPr>
            <w:tcW w:w="993"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0.82</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-0.38</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0.88</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0.34</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12.</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Oradea</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0.34</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0.04</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-0.01</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0.27</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1.24</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0.10</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0.33</w:t>
            </w:r>
          </w:p>
        </w:tc>
      </w:tr>
      <w:tr w:rsidR="0003549E" w:rsidRPr="00577B90" w:rsidTr="0003549E">
        <w:tc>
          <w:tcPr>
            <w:tcW w:w="595" w:type="dxa"/>
            <w:shd w:val="clear" w:color="auto" w:fill="BFBFBF"/>
            <w:vAlign w:val="center"/>
          </w:tcPr>
          <w:p w:rsidR="0003549E" w:rsidRPr="00577B90" w:rsidRDefault="0003549E" w:rsidP="0003549E">
            <w:pPr>
              <w:ind w:left="142" w:hanging="146"/>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13.</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Craiova</w:t>
            </w:r>
          </w:p>
        </w:tc>
        <w:tc>
          <w:tcPr>
            <w:tcW w:w="1134" w:type="dxa"/>
            <w:shd w:val="clear" w:color="auto" w:fill="BFBFBF"/>
            <w:vAlign w:val="center"/>
          </w:tcPr>
          <w:p w:rsidR="0003549E" w:rsidRPr="00577B90" w:rsidRDefault="0003549E" w:rsidP="0003549E">
            <w:pPr>
              <w:ind w:left="63" w:hanging="67"/>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0.27</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0.50</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1.16</w:t>
            </w:r>
          </w:p>
        </w:tc>
        <w:tc>
          <w:tcPr>
            <w:tcW w:w="993" w:type="dxa"/>
            <w:shd w:val="clear" w:color="auto" w:fill="BFBFBF"/>
            <w:vAlign w:val="center"/>
          </w:tcPr>
          <w:p w:rsidR="0003549E" w:rsidRPr="00577B90" w:rsidRDefault="0003549E" w:rsidP="0003549E">
            <w:pPr>
              <w:ind w:left="360" w:hanging="360"/>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0.46</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-0.46</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0.27</w:t>
            </w:r>
          </w:p>
        </w:tc>
      </w:tr>
      <w:tr w:rsidR="0003549E" w:rsidRPr="00577B90" w:rsidTr="0003549E">
        <w:tc>
          <w:tcPr>
            <w:tcW w:w="595"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14.</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Piatra Neamt</w:t>
            </w:r>
          </w:p>
        </w:tc>
        <w:tc>
          <w:tcPr>
            <w:tcW w:w="1134"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-0.29</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0.65</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0.76</w:t>
            </w:r>
          </w:p>
        </w:tc>
        <w:tc>
          <w:tcPr>
            <w:tcW w:w="993"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-0.24</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0.27</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0.25</w:t>
            </w:r>
          </w:p>
        </w:tc>
      </w:tr>
      <w:tr w:rsidR="0003549E" w:rsidRPr="00577B90" w:rsidTr="0003549E">
        <w:tc>
          <w:tcPr>
            <w:tcW w:w="595"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15.</w:t>
            </w:r>
          </w:p>
        </w:tc>
        <w:tc>
          <w:tcPr>
            <w:tcW w:w="1701"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Brasov</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0.13</w:t>
            </w:r>
          </w:p>
        </w:tc>
        <w:tc>
          <w:tcPr>
            <w:tcW w:w="1276"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1.02</w:t>
            </w:r>
          </w:p>
        </w:tc>
        <w:tc>
          <w:tcPr>
            <w:tcW w:w="992"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0.08</w:t>
            </w:r>
          </w:p>
        </w:tc>
        <w:tc>
          <w:tcPr>
            <w:tcW w:w="993"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0.49</w:t>
            </w:r>
          </w:p>
        </w:tc>
        <w:tc>
          <w:tcPr>
            <w:tcW w:w="708"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-0.93</w:t>
            </w:r>
          </w:p>
        </w:tc>
        <w:tc>
          <w:tcPr>
            <w:tcW w:w="709"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0.21</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0.17</w:t>
            </w:r>
          </w:p>
        </w:tc>
      </w:tr>
      <w:tr w:rsidR="0003549E" w:rsidRPr="00577B90" w:rsidTr="0003549E">
        <w:tc>
          <w:tcPr>
            <w:tcW w:w="595"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16</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Suceava</w:t>
            </w:r>
          </w:p>
        </w:tc>
        <w:tc>
          <w:tcPr>
            <w:tcW w:w="1134"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-0.24</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0.03</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-0.11</w:t>
            </w:r>
          </w:p>
        </w:tc>
        <w:tc>
          <w:tcPr>
            <w:tcW w:w="993"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-0.16</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0.54</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0.92</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0.16</w:t>
            </w:r>
          </w:p>
        </w:tc>
      </w:tr>
      <w:tr w:rsidR="0003549E" w:rsidRPr="00577B90" w:rsidTr="0003549E">
        <w:tc>
          <w:tcPr>
            <w:tcW w:w="595"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17.</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Pitesti</w:t>
            </w:r>
          </w:p>
        </w:tc>
        <w:tc>
          <w:tcPr>
            <w:tcW w:w="1134"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0.51</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0.37</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-0.07</w:t>
            </w:r>
          </w:p>
        </w:tc>
        <w:tc>
          <w:tcPr>
            <w:tcW w:w="993"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0.44</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0.10</w:t>
            </w:r>
          </w:p>
        </w:tc>
      </w:tr>
      <w:tr w:rsidR="0003549E" w:rsidRPr="00577B90" w:rsidTr="0003549E">
        <w:tc>
          <w:tcPr>
            <w:tcW w:w="595"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18.</w:t>
            </w:r>
          </w:p>
        </w:tc>
        <w:tc>
          <w:tcPr>
            <w:tcW w:w="1701"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Ploiesti</w:t>
            </w:r>
          </w:p>
        </w:tc>
        <w:tc>
          <w:tcPr>
            <w:tcW w:w="1134"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0.16</w:t>
            </w:r>
          </w:p>
        </w:tc>
        <w:tc>
          <w:tcPr>
            <w:tcW w:w="1276"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0.06</w:t>
            </w:r>
          </w:p>
        </w:tc>
        <w:tc>
          <w:tcPr>
            <w:tcW w:w="992"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0.21</w:t>
            </w:r>
          </w:p>
        </w:tc>
        <w:tc>
          <w:tcPr>
            <w:tcW w:w="993"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708"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-0.13</w:t>
            </w:r>
          </w:p>
        </w:tc>
        <w:tc>
          <w:tcPr>
            <w:tcW w:w="709" w:type="dxa"/>
            <w:shd w:val="clear" w:color="auto" w:fill="BFBFBF"/>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-0.37</w:t>
            </w:r>
          </w:p>
        </w:tc>
        <w:tc>
          <w:tcPr>
            <w:tcW w:w="1134" w:type="dxa"/>
            <w:shd w:val="clear" w:color="auto" w:fill="BFBFBF"/>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0.04</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19.</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Arad</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0.18</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0.44</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-0.09</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0.02</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-0.01</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20.</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Baia Mare</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0.06</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0.05</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-1.27</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-0.09</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1.14</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-0.01</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21.</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Galati</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0.10</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-0.58</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0.39</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0.60</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-0.36</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-0.26</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-0.02</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22.</w:t>
            </w:r>
          </w:p>
        </w:tc>
        <w:tc>
          <w:tcPr>
            <w:tcW w:w="1701" w:type="dxa"/>
            <w:shd w:val="clear" w:color="auto" w:fill="auto"/>
            <w:vAlign w:val="center"/>
          </w:tcPr>
          <w:p w:rsidR="0003549E" w:rsidRPr="00577B90" w:rsidRDefault="0003549E" w:rsidP="0003549E">
            <w:pPr>
              <w:ind w:left="114" w:hanging="28"/>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Drobeta Turnu Severin</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-0.51</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-0.07</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1.19</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-0.41</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-0.13</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-0.28</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-0.04</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23.</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Botosani</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0.38</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-0.35</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-0.19</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-0.05</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24.</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Bacau</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0.39</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-0.30</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0.04</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0.16</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-0.38</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-0.24</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-0.06</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25.</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Ramnicu Valcea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0.25</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-0.16</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0.05</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-0.28</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-0.06</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26.</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Turda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-0.18</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-0.83</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1.53</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-0.30</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-0.09</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27.</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Giurgiu</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0.13</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0.39</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-0.11</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lastRenderedPageBreak/>
              <w:t>28.</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Buzau</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-0.39</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-0.42</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0.48</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-0.12</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-0.24</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-0.19</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29.</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Slobozia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-0.33</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-0.52</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-0.71</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-0.32</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0.69</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-0.03</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-0.20</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30.</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Alexandria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-0.20</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-0.77</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-0.39</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-0.05</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0.50</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-0.22</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31.</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Onesti</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-0.22</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-0.65</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-0.16</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-0.41</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0.48</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-0.23</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32.</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Satu Mare</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0.00</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-0.06</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-0.97</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-0.13</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0.03</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-0.29</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-0.24</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33.</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Tulcea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-0.09</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-0.36</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-0.77</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-0.40</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0.36</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-0.26</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-0.25</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34.</w:t>
            </w:r>
          </w:p>
        </w:tc>
        <w:tc>
          <w:tcPr>
            <w:tcW w:w="1701"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Medias</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-0.40</w:t>
            </w:r>
          </w:p>
        </w:tc>
        <w:tc>
          <w:tcPr>
            <w:tcW w:w="1276"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0.93</w:t>
            </w:r>
          </w:p>
        </w:tc>
        <w:tc>
          <w:tcPr>
            <w:tcW w:w="992"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-1.22</w:t>
            </w:r>
          </w:p>
        </w:tc>
        <w:tc>
          <w:tcPr>
            <w:tcW w:w="993"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-0.40</w:t>
            </w:r>
          </w:p>
        </w:tc>
        <w:tc>
          <w:tcPr>
            <w:tcW w:w="708"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-0.37</w:t>
            </w:r>
          </w:p>
        </w:tc>
        <w:tc>
          <w:tcPr>
            <w:tcW w:w="709"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-0.12</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-0.26</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35.</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Targu Jiu</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-0.27</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-0.48</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-0.12</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-0.40</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-0.19</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-0.32</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36.</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Slatina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-0.49</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-0.07</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-1.21</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0.46</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-0.19</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-0.32</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37.</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Calarasi</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-0.58</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-0.20</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0.04</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-0.46</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-0.33</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38.</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Resita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-0.01</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-0.42</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-0.95</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-0.37</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-0.59</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0.18</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-0.36</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39.</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Vaslui</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-0.40</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-0.26</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-0.75</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-0.06</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-0.39</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40.</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Deva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-0.11</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0.08</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-1.46</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-0.14</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-0.42</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41.</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Braila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-0.31</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-0.23</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-0.76</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-0.30</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-0.53</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-0.43</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42.</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Zalau</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-0.06</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-0.72</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-0.91</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-0.42</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-0.36</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-0.44</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43.</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Barlad</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-0.38</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-0.66</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-1.01</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-0.22</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-0.34</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-0.19</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-0.47</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44.</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Focsani</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-0.41</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-0.54</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-0.66</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-0.49</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-0.50</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45.</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Roman</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-0.29</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-0.85</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-0.99</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-0.46</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-0.17</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-0.43</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-0.53</w:t>
            </w:r>
          </w:p>
        </w:tc>
      </w:tr>
      <w:tr w:rsidR="0003549E" w:rsidRPr="00577B90" w:rsidTr="0003549E">
        <w:tc>
          <w:tcPr>
            <w:tcW w:w="595"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46.</w:t>
            </w:r>
          </w:p>
        </w:tc>
        <w:tc>
          <w:tcPr>
            <w:tcW w:w="1701"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Hunedoara</w:t>
            </w:r>
          </w:p>
        </w:tc>
        <w:tc>
          <w:tcPr>
            <w:tcW w:w="1134"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-0.45</w:t>
            </w:r>
          </w:p>
        </w:tc>
        <w:tc>
          <w:tcPr>
            <w:tcW w:w="1276"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-1.31</w:t>
            </w:r>
          </w:p>
        </w:tc>
        <w:tc>
          <w:tcPr>
            <w:tcW w:w="992"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-0.70</w:t>
            </w:r>
          </w:p>
        </w:tc>
        <w:tc>
          <w:tcPr>
            <w:tcW w:w="993"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-0.28</w:t>
            </w:r>
          </w:p>
        </w:tc>
        <w:tc>
          <w:tcPr>
            <w:tcW w:w="708"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-0.71</w:t>
            </w:r>
          </w:p>
        </w:tc>
        <w:tc>
          <w:tcPr>
            <w:tcW w:w="709" w:type="dxa"/>
            <w:shd w:val="clear" w:color="auto" w:fill="auto"/>
            <w:vAlign w:val="center"/>
          </w:tcPr>
          <w:p w:rsidR="0003549E" w:rsidRPr="00577B90" w:rsidRDefault="0003549E" w:rsidP="0003549E">
            <w:pPr>
              <w:jc w:val="center"/>
              <w:rPr>
                <w:rFonts w:ascii="Arial Narrow" w:eastAsia="Times New Roman" w:hAnsi="Arial Narrow"/>
                <w:sz w:val="20"/>
                <w:szCs w:val="20"/>
                <w:lang w:eastAsia="ja-JP"/>
              </w:rPr>
            </w:pPr>
            <w:r w:rsidRPr="00577B90">
              <w:rPr>
                <w:rFonts w:ascii="Arial Narrow" w:eastAsia="Times New Roman" w:hAnsi="Arial Narrow"/>
                <w:sz w:val="20"/>
                <w:szCs w:val="20"/>
                <w:lang w:eastAsia="ja-JP"/>
              </w:rPr>
              <w:t>-0.16</w:t>
            </w:r>
          </w:p>
        </w:tc>
        <w:tc>
          <w:tcPr>
            <w:tcW w:w="1134" w:type="dxa"/>
            <w:shd w:val="clear" w:color="auto" w:fill="auto"/>
            <w:vAlign w:val="center"/>
          </w:tcPr>
          <w:p w:rsidR="0003549E" w:rsidRPr="00577B90" w:rsidRDefault="0003549E" w:rsidP="0003549E">
            <w:pPr>
              <w:jc w:val="center"/>
              <w:rPr>
                <w:rFonts w:ascii="Arial Narrow" w:eastAsia="Times New Roman" w:hAnsi="Arial Narrow"/>
                <w:b/>
                <w:sz w:val="20"/>
                <w:szCs w:val="20"/>
                <w:lang w:eastAsia="ja-JP"/>
              </w:rPr>
            </w:pPr>
            <w:r w:rsidRPr="00577B90">
              <w:rPr>
                <w:rFonts w:ascii="Arial Narrow" w:eastAsia="Times New Roman" w:hAnsi="Arial Narrow"/>
                <w:b/>
                <w:sz w:val="20"/>
                <w:szCs w:val="20"/>
                <w:lang w:eastAsia="ja-JP"/>
              </w:rPr>
              <w:t>-0.60</w:t>
            </w:r>
          </w:p>
        </w:tc>
      </w:tr>
    </w:tbl>
    <w:p w:rsidR="0003549E" w:rsidRPr="001C2B18" w:rsidRDefault="0003549E" w:rsidP="0003549E">
      <w:pPr>
        <w:rPr>
          <w:rFonts w:ascii="Arial Narrow" w:hAnsi="Arial Narrow"/>
        </w:rPr>
      </w:pPr>
    </w:p>
    <w:p w:rsidR="0003549E" w:rsidRPr="001C2B18" w:rsidRDefault="0003549E" w:rsidP="0003549E">
      <w:pPr>
        <w:rPr>
          <w:rFonts w:ascii="Arial Narrow" w:hAnsi="Arial Narrow"/>
        </w:rPr>
      </w:pPr>
      <w:r>
        <w:rPr>
          <w:rFonts w:ascii="Arial Narrow" w:hAnsi="Arial Narrow"/>
        </w:rPr>
        <w:t xml:space="preserve">Din clasamentul de mais sus se poate observa ca municipiile resedinta de judet din regiunea Centru – Alba Iulia, Brasov, Sfantu Gheorghe, Miercurea Ciuc, Targu Mures si Sibiu – se regasesc integral in primele 15, regiunea Centru fiind singura regiune in aceasta situatie ceea ce determina in indice de vitalitate mediu relevant, chiar daca clasificarea pe baza indicatorului „Industrii creative” situatia se modifica, oarecum. Brasovul trece pe locul III (cel mai bine pozitionat din Regiunea Centru), cu un indice de 1.02, Sibiu este pe locul V national (0.68 indice), urmat de Sfantu Gheorghe pe locul VIII si Taru Mures pe locul X (0.59 si, respectiv, 0.46 indici), Miercurea Ciuc este pe locul XVIII, cu indice 0.03 iar Alba Iulia este pe locul XXVIII, cu indice -0.22. La aceste orase se adauga Medias, pe locul IV national, cu un indice de 0.93. </w:t>
      </w:r>
    </w:p>
    <w:p w:rsidR="0003549E" w:rsidRDefault="00BD7229" w:rsidP="0003549E">
      <w:pPr>
        <w:rPr>
          <w:rFonts w:ascii="Arial Narrow" w:hAnsi="Arial Narrow"/>
        </w:rPr>
      </w:pPr>
      <w:r w:rsidRPr="00BD7229">
        <w:rPr>
          <w:noProof/>
        </w:rPr>
        <w:lastRenderedPageBreak/>
        <w:pict>
          <v:group id="_x0000_s1089" style="position:absolute;margin-left:349.8pt;margin-top:73.35pt;width:171.8pt;height:428.6pt;z-index:251705344;mso-position-horizontal-relative:page;mso-position-vertical-relative:page" coordsize="2475865,955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">
            <v:rect id="AutoShape 14" o:spid="_x0000_s1090" style="position:absolute;width:2475865;height:9555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rcEA&#10;AADaAAAADwAAAGRycy9kb3ducmV2LnhtbERPz2vCMBS+D/wfwhN2EU03ZUg1ytANhvUwqwePz+bZ&#10;FpuXkmRa/3tzEHb8+H7Pl51pxJWcry0reBslIIgLq2suFRz238MpCB+QNTaWScGdPCwXvZc5ptre&#10;eEfXPJQihrBPUUEVQptK6YuKDPqRbYkjd7bOYIjQlVI7vMVw08j3JPmQBmuODRW2tKqouOR/RsHk&#10;t/06DY4bztbb8UpmWVauB06p1373OQMRqAv/4qf7RyuIW+O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6K3BAAAA2gAAAA8AAAAAAAAAAAAAAAAAmAIAAGRycy9kb3du&#10;cmV2LnhtbFBLBQYAAAAABAAEAPUAAACGAwAAAAA=&#10;" strokecolor="#948a54" strokeweight="1.25pt">
              <v:textbox inset="14.4pt,36pt,14.4pt,5.76pt">
                <w:txbxContent>
                  <w:p w:rsidR="00064502" w:rsidRPr="00F308D6" w:rsidRDefault="00064502" w:rsidP="0003549E">
                    <w:pPr>
                      <w:pStyle w:val="Titlu1"/>
                      <w:spacing w:before="0"/>
                      <w:rPr>
                        <w:rFonts w:ascii="Arial Narrow" w:hAnsi="Arial Narrow"/>
                        <w:sz w:val="20"/>
                        <w:szCs w:val="20"/>
                      </w:rPr>
                    </w:pPr>
                    <w:r>
                      <w:rPr>
                        <w:rFonts w:ascii="Arial Narrow" w:hAnsi="Arial Narrow"/>
                        <w:sz w:val="20"/>
                        <w:szCs w:val="20"/>
                      </w:rPr>
                      <w:t>Exemple de e</w:t>
                    </w:r>
                    <w:r w:rsidRPr="00F308D6">
                      <w:rPr>
                        <w:rFonts w:ascii="Arial Narrow" w:hAnsi="Arial Narrow"/>
                        <w:sz w:val="20"/>
                        <w:szCs w:val="20"/>
                      </w:rPr>
                      <w:t>venimente culturale majore din Regiunea Centru</w:t>
                    </w:r>
                  </w:p>
                  <w:p w:rsidR="00064502" w:rsidRPr="00F308D6" w:rsidRDefault="00064502" w:rsidP="0003549E">
                    <w:pPr>
                      <w:pStyle w:val="Titlu1"/>
                      <w:spacing w:before="0"/>
                      <w:rPr>
                        <w:rFonts w:ascii="Arial Narrow" w:hAnsi="Arial Narrow"/>
                        <w:b w:val="0"/>
                        <w:sz w:val="20"/>
                        <w:szCs w:val="20"/>
                      </w:rPr>
                    </w:pP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de Jazz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Dilema Veche Alba Iulia</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de Film Rasnov</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International de Teatru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Oktober Fest Brasov</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Atelier internaţional de artă plastică FREE Camp Harghita</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Transilvania International Film Festival – TIFF –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Târgul Internaţional de Carte şi Muzică Libris Braşov</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Transilvania Tattoo Expo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stradal STRADA DELL ‘ARTE Brasov</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Festivalului european al Muzicii Vechi Miercurea Ciuc</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ARTMania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Scaunele // Confruntări vizuale cu puterea, Sfantu Gheorghe</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AMural Brasov</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de Teatru Povesti Alba Iulia</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Sibiu Street ART Festival</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Blaj a Live</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Calfe Calatoare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Interetnica Sghisoara</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Festivalul Medieval Sighisoara</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Astra Film Festival Sibiu</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Transilvania Dance Festival Brasov</w:t>
                    </w:r>
                  </w:p>
                  <w:p w:rsidR="00064502" w:rsidRPr="00577B90" w:rsidRDefault="00064502" w:rsidP="0003549E">
                    <w:pPr>
                      <w:jc w:val="right"/>
                      <w:rPr>
                        <w:rFonts w:ascii="Arial Narrow" w:hAnsi="Arial Narrow"/>
                        <w:color w:val="1F497D"/>
                        <w:sz w:val="20"/>
                        <w:szCs w:val="20"/>
                      </w:rPr>
                    </w:pPr>
                    <w:r w:rsidRPr="00577B90">
                      <w:rPr>
                        <w:rFonts w:ascii="Arial Narrow" w:hAnsi="Arial Narrow"/>
                        <w:color w:val="1F497D"/>
                        <w:sz w:val="20"/>
                        <w:szCs w:val="20"/>
                      </w:rPr>
                      <w:t>Targul de Craciun Sibiu</w:t>
                    </w:r>
                  </w:p>
                  <w:p w:rsidR="00064502" w:rsidRPr="00577B90" w:rsidRDefault="00064502" w:rsidP="0003549E">
                    <w:pPr>
                      <w:rPr>
                        <w:rFonts w:ascii="Arial Narrow" w:hAnsi="Arial Narrow"/>
                        <w:color w:val="1F497D"/>
                        <w:sz w:val="20"/>
                        <w:szCs w:val="20"/>
                      </w:rPr>
                    </w:pPr>
                  </w:p>
                </w:txbxContent>
              </v:textbox>
            </v:rect>
            <v:rect id="Rectangle 46" o:spid="_x0000_s1091"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4wcQA&#10;AADbAAAADwAAAGRycy9kb3ducmV2LnhtbESPQWvCQBCF7wX/wzKFXkQ3ii2SuopUC8VTG6XnITtN&#10;gtnZdHeN6b93DkJvM7w3732z2gyuVT2F2Hg2MJtmoIhLbxuuDJyO75MlqJiQLbaeycAfRdisRw8r&#10;zK2/8hf1RaqUhHDM0UCdUpdrHcuaHMap74hF+/HBYZI1VNoGvEq4a/U8y160w4alocaO3moqz8XF&#10;GVjoUFy+m+d+fCw+x4edP1W/+7MxT4/D9hVUoiH9m+/XH1bwhV5+kQH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eMHEAAAA2wAAAA8AAAAAAAAAAAAAAAAAmAIAAGRycy9k&#10;b3ducmV2LnhtbFBLBQYAAAAABAAEAPUAAACJAwAAAAA=&#10;" fillcolor="#4f81bd" stroked="f" strokeweight="2pt">
              <v:textbox inset="14.4pt,14.4pt,14.4pt,28.8pt">
                <w:txbxContent>
                  <w:p w:rsidR="00064502" w:rsidRPr="00577B90" w:rsidRDefault="00064502" w:rsidP="0003549E">
                    <w:pPr>
                      <w:spacing w:before="240"/>
                      <w:rPr>
                        <w:color w:val="FFFFFF"/>
                      </w:rPr>
                    </w:pPr>
                  </w:p>
                </w:txbxContent>
              </v:textbox>
            </v:rect>
            <v:rect id="Rectangle 45" o:spid="_x0000_s1092" style="position:absolute;left:69724;width:2331720;height:21566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wBb0A&#10;AADaAAAADwAAAGRycy9kb3ducmV2LnhtbESPwQrCMBBE74L/EFbwpqlFRKtRRBS8ahX0tjRrW2w2&#10;pYla/94IgsdhZt4wi1VrKvGkxpWWFYyGEQjizOqScwWndDeYgnAeWWNlmRS8ycFq2e0sMNH2xQd6&#10;Hn0uAoRdggoK7+tESpcVZNANbU0cvJttDPogm1zqBl8BbioZR9FEGiw5LBRY06ag7H58GAUcXbNy&#10;Ftv8khp9jrfXdDLmVKl+r13PQXhq/T/8a++1ghl8r4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gLwBb0AAADaAAAADwAAAAAAAAAAAAAAAACYAgAAZHJzL2Rvd25yZXYu&#10;eG1sUEsFBgAAAAAEAAQA9QAAAIIDAAAAAA==&#10;" fillcolor="#1f497d" stroked="f" strokeweight="2pt">
              <v:textbox inset="14.4pt,14.4pt,14.4pt,28.8pt">
                <w:txbxContent>
                  <w:p w:rsidR="00064502" w:rsidRPr="00577B90" w:rsidRDefault="00064502" w:rsidP="0003549E">
                    <w:pPr>
                      <w:spacing w:before="240"/>
                      <w:rPr>
                        <w:color w:val="FFFFFF"/>
                      </w:rPr>
                    </w:pPr>
                  </w:p>
                </w:txbxContent>
              </v:textbox>
            </v:rect>
            <w10:wrap type="square" anchorx="page" anchory="page"/>
          </v:group>
        </w:pict>
      </w:r>
      <w:r w:rsidR="0003549E">
        <w:rPr>
          <w:rFonts w:ascii="Arial Narrow" w:hAnsi="Arial Narrow"/>
        </w:rPr>
        <w:t>Genul de polarizare culturala si creativa care transpare din acest clasament, chiar la 6 ani distanta, este in continuare vizibil daca cercetam statistic situatia proiectelor depuse si finantate la ultimele sesiuni din bugetul Administratiei Fondului Cultural National (AFCN)</w:t>
      </w:r>
    </w:p>
    <w:p w:rsidR="0003549E" w:rsidRDefault="0003549E" w:rsidP="0003549E">
      <w:pPr>
        <w:rPr>
          <w:rFonts w:ascii="Arial Narrow" w:hAnsi="Arial Narrow"/>
        </w:rPr>
      </w:pPr>
      <w:r>
        <w:rPr>
          <w:rFonts w:ascii="Arial Narrow" w:hAnsi="Arial Narrow"/>
        </w:rPr>
        <w:t xml:space="preserve">In domeniul </w:t>
      </w:r>
      <w:r w:rsidRPr="000512AB">
        <w:rPr>
          <w:rFonts w:ascii="Arial Narrow" w:hAnsi="Arial Narrow"/>
          <w:b/>
        </w:rPr>
        <w:t>Arhitectura si Design</w:t>
      </w:r>
      <w:r>
        <w:rPr>
          <w:rFonts w:ascii="Arial Narrow" w:hAnsi="Arial Narrow"/>
        </w:rPr>
        <w:t>, au fost depuse la ultima sesiune de cereri de proiecte un numar de 42 de proiecte din 10 judete, fiind finantate doar 4 proiecte (2 din Bucuresti, 1 din Timis si 1 din Covasna). De altfel, 24 dintre proiectele depuse au provenit din Bucuresti, 6 din Cluj, 3 din Iasi, si cate unul din Alba, Maramures, Arad, Prahova, Braila, Timis si Covasna.</w:t>
      </w:r>
    </w:p>
    <w:p w:rsidR="0003549E" w:rsidRDefault="0003549E" w:rsidP="0003549E">
      <w:pPr>
        <w:rPr>
          <w:rFonts w:ascii="Arial Narrow" w:hAnsi="Arial Narrow"/>
        </w:rPr>
      </w:pPr>
      <w:r>
        <w:rPr>
          <w:rFonts w:ascii="Arial Narrow" w:hAnsi="Arial Narrow"/>
        </w:rPr>
        <w:t xml:space="preserve">In domeniul </w:t>
      </w:r>
      <w:r w:rsidRPr="007C7294">
        <w:rPr>
          <w:rFonts w:ascii="Arial Narrow" w:hAnsi="Arial Narrow"/>
          <w:b/>
        </w:rPr>
        <w:t>Arte Vizuale</w:t>
      </w:r>
      <w:r>
        <w:rPr>
          <w:rFonts w:ascii="Arial Narrow" w:hAnsi="Arial Narrow"/>
        </w:rPr>
        <w:t>, in cele doua sesiuni au fost depuse 392 de proiecte din care 192 au provenit din Bucuresti. Judetele din regiunea Centru au contribuit cu 35 de proiecte, ceea ce reprezinta 17.5% din proiectele depuse din afara Bucurestiului.</w:t>
      </w:r>
    </w:p>
    <w:p w:rsidR="0003549E" w:rsidRPr="001C2B18" w:rsidRDefault="0003549E" w:rsidP="0003549E">
      <w:pPr>
        <w:rPr>
          <w:rFonts w:ascii="Arial Narrow" w:hAnsi="Arial Narrow"/>
        </w:rPr>
      </w:pPr>
      <w:r>
        <w:rPr>
          <w:rFonts w:ascii="Arial Narrow" w:hAnsi="Arial Narrow"/>
        </w:rPr>
        <w:t xml:space="preserve">In domeniul </w:t>
      </w:r>
      <w:r w:rsidRPr="007C7294">
        <w:rPr>
          <w:rFonts w:ascii="Arial Narrow" w:hAnsi="Arial Narrow"/>
          <w:b/>
        </w:rPr>
        <w:t>Arte</w:t>
      </w:r>
      <w:r>
        <w:rPr>
          <w:rFonts w:ascii="Arial Narrow" w:hAnsi="Arial Narrow"/>
          <w:b/>
        </w:rPr>
        <w:t>le</w:t>
      </w:r>
      <w:r w:rsidRPr="007C7294">
        <w:rPr>
          <w:rFonts w:ascii="Arial Narrow" w:hAnsi="Arial Narrow"/>
          <w:b/>
        </w:rPr>
        <w:t xml:space="preserve"> </w:t>
      </w:r>
      <w:r>
        <w:rPr>
          <w:rFonts w:ascii="Arial Narrow" w:hAnsi="Arial Narrow"/>
          <w:b/>
        </w:rPr>
        <w:t>Spectacolului - Teatru</w:t>
      </w:r>
      <w:r>
        <w:rPr>
          <w:rFonts w:ascii="Arial Narrow" w:hAnsi="Arial Narrow"/>
        </w:rPr>
        <w:t>, in cele doua sesiuni au fost depuse 208 proiecte din care 90 au provenit din Bucuresti. Judetele din regiunea Centru au contribuit cu 35 de proiecte, ceea ce reprezinta aproape 30% din proiectele depuse din afara Bucurestiului. Prezenta masiva a Regiunii Centru in Artele Spectacolului este sustinuta si de ponderea institutiilor si companiilor de spectacole si concerte in totalul national. Conform Registrului Artelor Spectacolului (actualizat la 29 Iunie 2016), ingrijit de Institului National Pentru Cercetare si Formare Culturala</w:t>
      </w:r>
      <w:r>
        <w:rPr>
          <w:rStyle w:val="Referinnotdesubsol"/>
          <w:rFonts w:ascii="Arial Narrow" w:hAnsi="Arial Narrow"/>
        </w:rPr>
        <w:footnoteReference w:id="114"/>
      </w:r>
      <w:r>
        <w:rPr>
          <w:rFonts w:ascii="Arial Narrow" w:hAnsi="Arial Narrow"/>
        </w:rPr>
        <w:t xml:space="preserve"> din subordinea Ministerului Culturii, dintr-un total de 85 de institutii de spectacole si concerte, 13 sunt din regiunea Centru. Daca luam in considerare faptul ca 11 sunt din Bucuresti, rezulta ca Regiunea Centru cumuleaza aproape 18% din institutiile de gen dinafara capitalei. In cea ce priveste companiile de spectacole sau concerte, 7 din 120 de organizatii se regasesc in Regiunea Centru, in conditiile in care 66 sunt in Bucuresti. Activitatea creativa in acest domeniu este sustinuta si de impresarii artistici, in Regiunea Centru activand 57 de astfel de agenti culturali, persoane fizice si juridice, dintr-un total national de 805, din care 408 sunt localizati in Bucuresti, ceea ce inseamna ca aproape 15% din impresarii din afara Bucurestiului se regasesc in Regiunea Centru. </w:t>
      </w:r>
    </w:p>
    <w:p w:rsidR="0003549E" w:rsidRDefault="0003549E" w:rsidP="0003549E">
      <w:pPr>
        <w:rPr>
          <w:rFonts w:ascii="Arial Narrow" w:hAnsi="Arial Narrow"/>
        </w:rPr>
      </w:pPr>
      <w:r>
        <w:rPr>
          <w:rFonts w:ascii="Arial Narrow" w:hAnsi="Arial Narrow"/>
        </w:rPr>
        <w:t xml:space="preserve">In domeniul </w:t>
      </w:r>
      <w:r w:rsidRPr="00135D01">
        <w:rPr>
          <w:rFonts w:ascii="Arial Narrow" w:hAnsi="Arial Narrow"/>
          <w:b/>
        </w:rPr>
        <w:t>Artelor Spectacolului – Dans</w:t>
      </w:r>
      <w:r>
        <w:rPr>
          <w:rFonts w:ascii="Arial Narrow" w:hAnsi="Arial Narrow"/>
        </w:rPr>
        <w:t xml:space="preserve">, din Regiunea Centru au fost depuse 7 din cele 28 de proiecte primite de AFCN, ceea ce inseamna 25% din total. </w:t>
      </w:r>
    </w:p>
    <w:p w:rsidR="0003549E" w:rsidRDefault="0003549E" w:rsidP="0003549E">
      <w:pPr>
        <w:rPr>
          <w:rFonts w:ascii="Arial Narrow" w:hAnsi="Arial Narrow"/>
        </w:rPr>
      </w:pPr>
      <w:r>
        <w:rPr>
          <w:rFonts w:ascii="Arial Narrow" w:hAnsi="Arial Narrow"/>
        </w:rPr>
        <w:t xml:space="preserve">Domeniul </w:t>
      </w:r>
      <w:r w:rsidRPr="00135D01">
        <w:rPr>
          <w:rFonts w:ascii="Arial Narrow" w:hAnsi="Arial Narrow"/>
          <w:b/>
        </w:rPr>
        <w:t>Artele Spectacolelor – Muzica</w:t>
      </w:r>
      <w:r>
        <w:rPr>
          <w:rFonts w:ascii="Arial Narrow" w:hAnsi="Arial Narrow"/>
        </w:rPr>
        <w:t xml:space="preserve"> a atras un total de 194 de proiecte, din care 28 au fost din regiunea Centru iar 74 din Bucuresti. Astfel, ponderea proiectelor din regiune, excluzand Bucurestiul, este de peste 23%. </w:t>
      </w:r>
    </w:p>
    <w:p w:rsidR="0003549E" w:rsidRDefault="0003549E" w:rsidP="0003549E">
      <w:pPr>
        <w:rPr>
          <w:rFonts w:ascii="Arial Narrow" w:hAnsi="Arial Narrow"/>
        </w:rPr>
      </w:pPr>
    </w:p>
    <w:p w:rsidR="0003549E" w:rsidRDefault="00BD7229" w:rsidP="0003549E">
      <w:pPr>
        <w:rPr>
          <w:rFonts w:ascii="Arial Narrow" w:hAnsi="Arial Narrow"/>
        </w:rPr>
      </w:pPr>
      <w:r w:rsidRPr="00BD7229">
        <w:rPr>
          <w:noProof/>
        </w:rPr>
        <w:lastRenderedPageBreak/>
        <w:pict>
          <v:group id="_x0000_s1093" style="position:absolute;margin-left:66.45pt;margin-top:74.1pt;width:189.1pt;height:364.75pt;z-index:251706368;mso-width-percent:320;mso-position-horizontal-relative:page;mso-position-vertical-relative:page;mso-width-percent:320" coordsize="2475865,955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">
            <v:rect id="AutoShape 14" o:spid="_x0000_s1094" style="position:absolute;width:2475865;height:9555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608MA&#10;AADbAAAADwAAAGRycy9kb3ducmV2LnhtbERPy2oCMRTdC/5DuIIbqRltsTIaRXxA6XRhrQuX18l1&#10;ZnByMyRRp3/fLAouD+c9X7amFndyvrKsYDRMQBDnVldcKDj+7F6mIHxA1lhbJgW/5GG56HbmmGr7&#10;4G+6H0IhYgj7FBWUITSplD4vyaAf2oY4chfrDIYIXSG1w0cMN7UcJ8lEGqw4NpTY0Lqk/Hq4GQVv&#10;+2Z7Hpw+Odt8va5llmXFZuCU6vfa1QxEoDY8xf/uD63gPa6P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Q608MAAADbAAAADwAAAAAAAAAAAAAAAACYAgAAZHJzL2Rv&#10;d25yZXYueG1sUEsFBgAAAAAEAAQA9QAAAIgDAAAAAA==&#10;" strokecolor="#948a54" strokeweight="1.25pt">
              <v:textbox inset="14.4pt,36pt,14.4pt,5.76pt">
                <w:txbxContent>
                  <w:p w:rsidR="00064502" w:rsidRDefault="00064502" w:rsidP="0003549E">
                    <w:pPr>
                      <w:pStyle w:val="Titlu1"/>
                      <w:spacing w:before="0"/>
                      <w:jc w:val="center"/>
                      <w:rPr>
                        <w:rFonts w:ascii="Arial Narrow" w:hAnsi="Arial Narrow"/>
                        <w:sz w:val="22"/>
                        <w:szCs w:val="22"/>
                      </w:rPr>
                    </w:pPr>
                    <w:r>
                      <w:rPr>
                        <w:rFonts w:ascii="Arial Narrow" w:hAnsi="Arial Narrow"/>
                        <w:sz w:val="22"/>
                        <w:szCs w:val="22"/>
                      </w:rPr>
                      <w:t>Institutii si organizatii culturale</w:t>
                    </w:r>
                  </w:p>
                  <w:p w:rsidR="00064502" w:rsidRDefault="00064502" w:rsidP="0003549E">
                    <w:pPr>
                      <w:pStyle w:val="Titlu1"/>
                      <w:spacing w:before="0"/>
                      <w:jc w:val="center"/>
                      <w:rPr>
                        <w:rFonts w:ascii="Arial Narrow" w:hAnsi="Arial Narrow"/>
                        <w:sz w:val="22"/>
                        <w:szCs w:val="22"/>
                      </w:rPr>
                    </w:pP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National Targu Mures</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de papusi Prichindel Alba Iulia</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National Radu Stanca Sibiu</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Opera Brasov</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pentru Copii si Tineret Gong Sibiu</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pentru Copii si Tineret “Ariel” Mures</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Filarmonica de Stat Sibiu</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pentru copii Arlechino Brasov</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Filarmonica Brasov</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"Tomcsa Sandor" Odorheiul Secuiesc</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Filarmonica de Stat Targu Mures</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Ansamblul de dansuri Trei Scaune Haromszek Covasna</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Teatrul Sica Alexandrescu Brasov</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Muzeul Astra Sibiu</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Muzeul Castelul Bran Brasov</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Muzeul Unirii Alba Iulia</w:t>
                    </w:r>
                  </w:p>
                  <w:p w:rsidR="00064502" w:rsidRPr="00BE0FF3"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Muzeul Bruckental Sibiu</w:t>
                    </w:r>
                  </w:p>
                  <w:p w:rsidR="00064502" w:rsidRDefault="00064502" w:rsidP="0003549E">
                    <w:pPr>
                      <w:pStyle w:val="Titlu1"/>
                      <w:spacing w:before="0"/>
                      <w:rPr>
                        <w:rFonts w:ascii="Arial Narrow" w:hAnsi="Arial Narrow"/>
                        <w:b w:val="0"/>
                        <w:i/>
                        <w:color w:val="244061"/>
                        <w:sz w:val="20"/>
                        <w:szCs w:val="20"/>
                      </w:rPr>
                    </w:pPr>
                    <w:r w:rsidRPr="00BE0FF3">
                      <w:rPr>
                        <w:rFonts w:ascii="Arial Narrow" w:hAnsi="Arial Narrow"/>
                        <w:b w:val="0"/>
                        <w:i/>
                        <w:color w:val="244061"/>
                        <w:sz w:val="20"/>
                        <w:szCs w:val="20"/>
                      </w:rPr>
                      <w:t>Muzeul Civilizației Urbane Brasov</w:t>
                    </w:r>
                  </w:p>
                  <w:p w:rsidR="00064502" w:rsidRPr="00BE0FF3" w:rsidRDefault="00064502" w:rsidP="0003549E">
                    <w:pPr>
                      <w:pStyle w:val="Titlu1"/>
                      <w:spacing w:before="0"/>
                      <w:rPr>
                        <w:rFonts w:ascii="Arial Narrow" w:hAnsi="Arial Narrow"/>
                        <w:b w:val="0"/>
                        <w:i/>
                        <w:color w:val="244061"/>
                        <w:sz w:val="20"/>
                        <w:szCs w:val="20"/>
                      </w:rPr>
                    </w:pPr>
                    <w:r>
                      <w:rPr>
                        <w:rFonts w:ascii="Arial Narrow" w:hAnsi="Arial Narrow"/>
                        <w:b w:val="0"/>
                        <w:i/>
                        <w:color w:val="244061"/>
                        <w:sz w:val="20"/>
                        <w:szCs w:val="20"/>
                      </w:rPr>
                      <w:t>Muzeul National al Unirii Alba Iulia</w:t>
                    </w:r>
                  </w:p>
                  <w:p w:rsidR="00064502" w:rsidRPr="00BE0FF3" w:rsidRDefault="00064502" w:rsidP="0003549E">
                    <w:pPr>
                      <w:pStyle w:val="Titlu1"/>
                      <w:spacing w:before="0"/>
                      <w:rPr>
                        <w:rFonts w:ascii="Arial Narrow" w:hAnsi="Arial Narrow"/>
                        <w:b w:val="0"/>
                        <w:i/>
                        <w:color w:val="244061"/>
                        <w:sz w:val="20"/>
                        <w:szCs w:val="20"/>
                      </w:rPr>
                    </w:pPr>
                  </w:p>
                  <w:p w:rsidR="00064502" w:rsidRPr="00BE0FF3" w:rsidRDefault="00064502" w:rsidP="0003549E">
                    <w:pPr>
                      <w:pStyle w:val="Titlu1"/>
                      <w:spacing w:before="0"/>
                      <w:rPr>
                        <w:rFonts w:ascii="Arial Narrow" w:hAnsi="Arial Narrow"/>
                        <w:b w:val="0"/>
                        <w:i/>
                        <w:color w:val="244061"/>
                        <w:sz w:val="20"/>
                        <w:szCs w:val="20"/>
                      </w:rPr>
                    </w:pPr>
                  </w:p>
                  <w:p w:rsidR="00064502" w:rsidRPr="00BE0FF3" w:rsidRDefault="00064502" w:rsidP="0003549E">
                    <w:pPr>
                      <w:pStyle w:val="Titlu1"/>
                      <w:spacing w:before="0"/>
                      <w:rPr>
                        <w:rFonts w:ascii="Arial Narrow" w:hAnsi="Arial Narrow"/>
                        <w:i/>
                        <w:color w:val="365F91"/>
                        <w:sz w:val="20"/>
                        <w:szCs w:val="20"/>
                      </w:rPr>
                    </w:pPr>
                  </w:p>
                  <w:p w:rsidR="00064502" w:rsidRDefault="00064502" w:rsidP="0003549E">
                    <w:pPr>
                      <w:pStyle w:val="Titlu1"/>
                      <w:spacing w:before="0"/>
                      <w:jc w:val="center"/>
                      <w:rPr>
                        <w:rFonts w:ascii="Arial Narrow" w:hAnsi="Arial Narrow"/>
                        <w:sz w:val="22"/>
                        <w:szCs w:val="22"/>
                      </w:rPr>
                    </w:pPr>
                  </w:p>
                  <w:p w:rsidR="00064502" w:rsidRPr="008106AD" w:rsidRDefault="00064502" w:rsidP="0003549E">
                    <w:pPr>
                      <w:pStyle w:val="Titlu1"/>
                      <w:spacing w:before="0"/>
                      <w:jc w:val="center"/>
                      <w:rPr>
                        <w:rFonts w:ascii="Arial Narrow" w:hAnsi="Arial Narrow"/>
                        <w:sz w:val="22"/>
                        <w:szCs w:val="22"/>
                      </w:rPr>
                    </w:pPr>
                  </w:p>
                  <w:p w:rsidR="00064502" w:rsidRPr="008106AD" w:rsidRDefault="00064502" w:rsidP="0003549E">
                    <w:pPr>
                      <w:pStyle w:val="Titlu1"/>
                      <w:spacing w:before="0"/>
                      <w:jc w:val="center"/>
                      <w:rPr>
                        <w:rFonts w:ascii="Arial Narrow" w:hAnsi="Arial Narrow"/>
                        <w:b w:val="0"/>
                        <w:sz w:val="22"/>
                        <w:szCs w:val="22"/>
                      </w:rPr>
                    </w:pPr>
                  </w:p>
                  <w:p w:rsidR="00064502" w:rsidRPr="00BE0FF3" w:rsidRDefault="00064502" w:rsidP="0003549E">
                    <w:pPr>
                      <w:spacing w:line="480" w:lineRule="auto"/>
                      <w:rPr>
                        <w:color w:val="1F497D"/>
                      </w:rPr>
                    </w:pPr>
                    <w:r>
                      <w:rPr>
                        <w:noProof/>
                        <w:lang w:eastAsia="ro-RO"/>
                      </w:rPr>
                      <w:t xml:space="preserve">   </w:t>
                    </w:r>
                  </w:p>
                </w:txbxContent>
              </v:textbox>
            </v:rect>
            <v:rect id="Rectangle 45" o:spid="_x0000_s1095" style="position:absolute;left:71919;width:2331720;height:70421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BQMAA&#10;AADbAAAADwAAAGRycy9kb3ducmV2LnhtbESPzarCMBSE9xd8h3AEd7epRfypRpGLglutgu4OzbEt&#10;NielydX69kYQXA4z8w2zWHWmFndqXWVZwTCKQRDnVldcKDhm298pCOeRNdaWScGTHKyWvZ8Fpto+&#10;eE/3gy9EgLBLUUHpfZNK6fKSDLrINsTBu9rWoA+yLaRu8RHgppZJHI+lwYrDQokN/ZWU3w7/RgHH&#10;l7yaJbY4Z0afks0lG484U2rQ79ZzEJ46/w1/2jutYDKE9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jBQMAAAADbAAAADwAAAAAAAAAAAAAAAACYAgAAZHJzL2Rvd25y&#10;ZXYueG1sUEsFBgAAAAAEAAQA9QAAAIUDAAAAAA==&#10;" fillcolor="#1f497d" stroked="f" strokeweight="2pt">
              <v:textbox inset="14.4pt,14.4pt,14.4pt,28.8pt">
                <w:txbxContent>
                  <w:p w:rsidR="00064502" w:rsidRPr="00BE0FF3" w:rsidRDefault="00064502" w:rsidP="0003549E">
                    <w:pPr>
                      <w:spacing w:before="240"/>
                      <w:rPr>
                        <w:color w:val="FFFFFF"/>
                      </w:rPr>
                    </w:pPr>
                  </w:p>
                </w:txbxContent>
              </v:textbox>
            </v:rect>
            <v:rect id="Rectangle 46" o:spid="_x0000_s1096" style="position:absolute;left:71919;top:9308386;width:2331720;height:11874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mjcUA&#10;AADbAAAADwAAAGRycy9kb3ducmV2LnhtbESPT2vCQBTE7wW/w/KEXkQ3Sq0S3Yj0D5SebBTPj+wz&#10;Ccm+TXfXmH77bkHocZiZ3zDb3WBa0ZPztWUF81kCgriwuuZSwen4Pl2D8AFZY2uZFPyQh102ethi&#10;qu2Nv6jPQykihH2KCqoQulRKX1Rk0M9sRxy9i3UGQ5SulNrhLcJNKxdJ8iwN1hwXKuzopaKiya9G&#10;wZN0+fVcL/vJMT9MPl/tqfx+a5R6HA/7DYhAQ/gP39sfWsFqAX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KaNxQAAANsAAAAPAAAAAAAAAAAAAAAAAJgCAABkcnMv&#10;ZG93bnJldi54bWxQSwUGAAAAAAQABAD1AAAAigMAAAAA&#10;" fillcolor="#4f81bd" stroked="f" strokeweight="2pt">
              <v:textbox inset="14.4pt,14.4pt,14.4pt,28.8pt">
                <w:txbxContent>
                  <w:p w:rsidR="00064502" w:rsidRPr="00BE0FF3" w:rsidRDefault="00064502" w:rsidP="0003549E">
                    <w:pPr>
                      <w:spacing w:before="240"/>
                      <w:rPr>
                        <w:color w:val="FFFFFF"/>
                      </w:rPr>
                    </w:pPr>
                  </w:p>
                </w:txbxContent>
              </v:textbox>
            </v:rect>
            <w10:wrap type="square" anchorx="page" anchory="page"/>
          </v:group>
        </w:pict>
      </w:r>
      <w:r w:rsidR="0003549E">
        <w:rPr>
          <w:rFonts w:ascii="Arial Narrow" w:hAnsi="Arial Narrow"/>
        </w:rPr>
        <w:t xml:space="preserve">De asemenea, remarcabil este faptul ca, in ceea ce priveste </w:t>
      </w:r>
      <w:r w:rsidR="0003549E" w:rsidRPr="0053361C">
        <w:rPr>
          <w:rFonts w:ascii="Arial Narrow" w:hAnsi="Arial Narrow"/>
          <w:b/>
        </w:rPr>
        <w:t>Activitatile muzeale</w:t>
      </w:r>
      <w:r w:rsidR="0003549E">
        <w:rPr>
          <w:rFonts w:ascii="Arial Narrow" w:hAnsi="Arial Narrow"/>
        </w:rPr>
        <w:t>, regiunea Centru ocupa o pozitie aparent privilegiata. Conform Editiei 2016 a publicatiei Culture Statistics, editata de Eurostat</w:t>
      </w:r>
      <w:r w:rsidR="0003549E">
        <w:rPr>
          <w:rStyle w:val="Referinnotdesubsol"/>
          <w:rFonts w:ascii="Arial Narrow" w:hAnsi="Arial Narrow"/>
        </w:rPr>
        <w:footnoteReference w:id="115"/>
      </w:r>
      <w:r w:rsidR="0003549E">
        <w:rPr>
          <w:rFonts w:ascii="Arial Narrow" w:hAnsi="Arial Narrow"/>
        </w:rPr>
        <w:t xml:space="preserve">, primele doua locuri in top 5 muzee din Romania dupa numarul de vizitatori, in 2013 (cele mai recente date) sunt ocupate de Muzeul Castelul Bran, cu 490.000 de vizitatori, si Muzeul Astra din Sibiu, cu 400.000 de vizitatori, celelate trei locuri fiind ocupate, in ordine, de Muzeul Satului si Muzeul de Stiinte Naturale din Bucuresti si Muzeul Peles din Sinaia. De altfel, valorificarea patrimoniului, material si imaterial, reprezinta o tema de interes la nivel regional, in conditiile in care, la ultimele sesiuni de depunere de proiecte pentru finantare la AFCN, in domeniul </w:t>
      </w:r>
      <w:r w:rsidR="0003549E" w:rsidRPr="00B72E05">
        <w:rPr>
          <w:rFonts w:ascii="Arial Narrow" w:hAnsi="Arial Narrow"/>
          <w:b/>
        </w:rPr>
        <w:t>Patrimoniu Imaterial</w:t>
      </w:r>
      <w:r w:rsidR="0003549E">
        <w:rPr>
          <w:rFonts w:ascii="Arial Narrow" w:hAnsi="Arial Narrow"/>
        </w:rPr>
        <w:t xml:space="preserve">, 21,64% din proiecte au provenit din regiunea noastra (21 din 97) iar in ceea ce priveste </w:t>
      </w:r>
      <w:r w:rsidR="0003549E" w:rsidRPr="00B72E05">
        <w:rPr>
          <w:rFonts w:ascii="Arial Narrow" w:hAnsi="Arial Narrow"/>
          <w:b/>
        </w:rPr>
        <w:t>Patrimoniul Material</w:t>
      </w:r>
      <w:r w:rsidR="0003549E">
        <w:rPr>
          <w:rFonts w:ascii="Arial Narrow" w:hAnsi="Arial Narrow"/>
        </w:rPr>
        <w:t xml:space="preserve">, cu 23 de proiecte depuse dintr-un total de 173, din care 69 provenite din Bucuresti, Regiunea Centru acopera 22,11% (exceptand Bucurestiul). Preocuparea privind patrimoniul este evidenta si prin prisma faptului ca, din cele 6 site-uri UNESCO din Romania, 2 sunt pe teritoriul Regiunii Centru, respectiv Bisericile Fortificate din Transilvania si Cetatea Sighisoara. </w:t>
      </w:r>
    </w:p>
    <w:p w:rsidR="0003549E" w:rsidRDefault="0003549E" w:rsidP="0003549E">
      <w:pPr>
        <w:rPr>
          <w:rFonts w:ascii="Arial Narrow" w:hAnsi="Arial Narrow"/>
        </w:rPr>
      </w:pPr>
    </w:p>
    <w:p w:rsidR="0003549E" w:rsidRDefault="0003549E" w:rsidP="0003549E">
      <w:pPr>
        <w:rPr>
          <w:rFonts w:ascii="Arial Narrow" w:hAnsi="Arial Narrow"/>
        </w:rPr>
      </w:pPr>
      <w:r w:rsidRPr="00DC5673">
        <w:rPr>
          <w:rFonts w:ascii="Arial Narrow" w:hAnsi="Arial Narrow"/>
          <w:b/>
        </w:rPr>
        <w:t>Analiza de mai sus surprinde doar partial complexitatea ecosistemului creativ din Regiunea Centru. Industriile culturale si creative sunt alimentate de caracterul multicultural al Regiunii precum si de deschiderile transculturale determinate de recuperarea legaturilor cu comunitatile etnice care au edificat Transilvania istorica. De altfel, aceasta aprehensiune spre transculturalitate actioneaza, in cazul spatiului geografic studiat, ca un creuzet care dizolva si amesteca diferentele si deschide spiritul catre celalalt. De asemenea, transculturalitatea adauga un cosmopolitism cu radacini istorice, de alt gen decat cosmopolitismul marilor aglomerari urbane, insa cu efect similar, respectiv potentarea capacitatii de depasire a proiectului de conservare in care aluneca si incremenesc comunitatile mici. In contextul dat, transculturalitatea este esentiala deoarece asigura ingredientele necesare realizarii transferului de creativitate dinspre activitatile culturale spre industrie.</w:t>
      </w:r>
      <w:r>
        <w:rPr>
          <w:rFonts w:ascii="Arial Narrow" w:hAnsi="Arial Narrow"/>
        </w:rPr>
        <w:t xml:space="preserve"> Deschiderea </w:t>
      </w:r>
    </w:p>
    <w:p w:rsidR="0003549E" w:rsidRPr="00B7527E" w:rsidRDefault="0003549E" w:rsidP="0003549E">
      <w:pPr>
        <w:rPr>
          <w:rFonts w:ascii="Arial Narrow" w:hAnsi="Arial Narrow"/>
          <w:b/>
        </w:rPr>
      </w:pPr>
      <w:r w:rsidRPr="00B7527E">
        <w:rPr>
          <w:rFonts w:ascii="Arial Narrow" w:hAnsi="Arial Narrow"/>
          <w:b/>
        </w:rPr>
        <w:t>Invatamant si cercetare</w:t>
      </w:r>
    </w:p>
    <w:p w:rsidR="0003549E" w:rsidRDefault="0003549E" w:rsidP="0003549E">
      <w:pPr>
        <w:rPr>
          <w:rFonts w:ascii="Arial Narrow" w:hAnsi="Arial Narrow"/>
        </w:rPr>
      </w:pPr>
      <w:r>
        <w:rPr>
          <w:rFonts w:ascii="Arial Narrow" w:hAnsi="Arial Narrow"/>
        </w:rPr>
        <w:t>Unul din pilonii esentiali ai competitivitatii sectorului IT si Industrii culturale si creative este invatamantul. In Romania, in anul 2014, conform datelor Eurostat</w:t>
      </w:r>
      <w:r>
        <w:rPr>
          <w:rStyle w:val="Referinnotdesubsol"/>
          <w:rFonts w:ascii="Arial Narrow" w:hAnsi="Arial Narrow"/>
        </w:rPr>
        <w:footnoteReference w:id="116"/>
      </w:r>
      <w:r>
        <w:rPr>
          <w:rFonts w:ascii="Arial Narrow" w:hAnsi="Arial Narrow"/>
        </w:rPr>
        <w:t xml:space="preserve">, erau inregistrati 76,1 mii de studenti in domeniile culturale, ceea ce reprezenta 13,1% din totalul studentilor, sub media UE 27 de 15,7%. Aceste valori sunt esentiale pentru examinarea pozitiei Romaniei in ecosistemul creativ european deoarece aici se formeaza bazinul antreprenorial pentru industriile creative. In acest clasament, care cuprinde subdomeniile Arte, Stiinte Umane, Informatie si Jurnalism si Arhitectura si Urbanism, campionii industriilor creative, respectiv Irlanda, Marea Britanie, Italia, au ponderi de peste 18% din total studenti. Dezvoltarea inca incipienta a antreprenoriatului creativ in Romania este </w:t>
      </w:r>
      <w:r>
        <w:rPr>
          <w:rFonts w:ascii="Arial Narrow" w:hAnsi="Arial Narrow"/>
        </w:rPr>
        <w:lastRenderedPageBreak/>
        <w:t>vizibila si la examinarea numarului mediu de salariati in intreprinderile culturale</w:t>
      </w:r>
      <w:r>
        <w:rPr>
          <w:rStyle w:val="Referinnotdesubsol"/>
          <w:rFonts w:ascii="Arial Narrow" w:hAnsi="Arial Narrow"/>
        </w:rPr>
        <w:footnoteReference w:id="117"/>
      </w:r>
      <w:r>
        <w:rPr>
          <w:rFonts w:ascii="Arial Narrow" w:hAnsi="Arial Narrow"/>
        </w:rPr>
        <w:t xml:space="preserve"> – 4,6 angajati in 2013, fata de media europeana de 3,2 angajati, respectiv a treia cea mai mare valoare la nivel european, dupa Lituania (5,6 angajati) si Germania (6 angajati) – ceea ce, in interpretarea noastra, in absenta unei economii mature, </w:t>
      </w:r>
      <w:r w:rsidRPr="00DC5673">
        <w:rPr>
          <w:rFonts w:ascii="Arial Narrow" w:hAnsi="Arial Narrow"/>
          <w:b/>
        </w:rPr>
        <w:t>reprezinta un deficit de antreprenoriat</w:t>
      </w:r>
      <w:r>
        <w:rPr>
          <w:rFonts w:ascii="Arial Narrow" w:hAnsi="Arial Narrow"/>
        </w:rPr>
        <w:t>. Practic, intreprinderile culturale romanesti sunt putine si de mari dimensiuni, caracteristic stadiilor incipiente de dezvoltare. Tot ca efect al caracterului emergent al economiei romanesti, in domeniul comertului cu bunuri culturale, statisticile Eurostat</w:t>
      </w:r>
      <w:r>
        <w:rPr>
          <w:rStyle w:val="Referinnotdesubsol"/>
          <w:rFonts w:ascii="Arial Narrow" w:hAnsi="Arial Narrow"/>
        </w:rPr>
        <w:footnoteReference w:id="118"/>
      </w:r>
      <w:r>
        <w:rPr>
          <w:rFonts w:ascii="Arial Narrow" w:hAnsi="Arial Narrow"/>
        </w:rPr>
        <w:t xml:space="preserve"> constata existenta unui deficit destul de consistent, mai ales daca il raportam la marimea pietei. Institutul statistic european a luat in considerare, pentru anul 2014, comertul extern cu filme, jocuri si console video, opere de arta, carti, antichitati, instrumente muzicale, materiale impletite si crosetate, broderii, tapiterii, CD, DVD si discuri de gramofon, ziare, jurnale si periodice, hartie si film fotografic, harti si planuri si schite de arhitectura. Din totalul exporturilor UE, in valoare de 12,775 miliarde euro, Romania a exportat bunuri de gen in valoare de 71 milioane euro, mai mult de 60% din acest export fiind format din carti si ziare, jurnale si periodice. Importurile Romaniei de bunuri de gen, totalizeaza, in schimb, 154 milioane euro, deficitul balantei comerciale fiind de 116,9%, fata de un excedet UE 28 de 17,08% (valoarea importurilor de gen UE 28 a fost de 10,868 miliarde euro, valoarea absoluta a excedentului fiind de 1,907 miliarde euro). Cea mai mare pondere in aceste importuri o are categoria de bunuri materiale impletite si crosetate, broderii, tapiterii (49,2%), urmata de carti, cu 16,7%. Un alt aspect suprinzator il reprezinta modul in care arata piata de antichitati, Romania raportand 0 importuri de antichitati iar datele privind exporturile lipsesc.  </w:t>
      </w:r>
    </w:p>
    <w:p w:rsidR="0003549E" w:rsidRDefault="0003549E" w:rsidP="0003549E">
      <w:pPr>
        <w:rPr>
          <w:rFonts w:ascii="Arial Narrow" w:hAnsi="Arial Narrow"/>
        </w:rPr>
      </w:pPr>
      <w:r>
        <w:rPr>
          <w:rFonts w:ascii="Arial Narrow" w:hAnsi="Arial Narrow"/>
        </w:rPr>
        <w:t>Universitatea Transilvania Brasov</w:t>
      </w:r>
    </w:p>
    <w:p w:rsidR="0003549E" w:rsidRDefault="0003549E" w:rsidP="00981E9F">
      <w:pPr>
        <w:pStyle w:val="Listparagraf"/>
        <w:numPr>
          <w:ilvl w:val="0"/>
          <w:numId w:val="63"/>
        </w:numPr>
        <w:spacing w:after="0" w:line="240" w:lineRule="auto"/>
        <w:jc w:val="both"/>
        <w:rPr>
          <w:rFonts w:ascii="Arial Narrow" w:hAnsi="Arial Narrow"/>
        </w:rPr>
      </w:pPr>
      <w:r>
        <w:rPr>
          <w:rFonts w:ascii="Arial Narrow" w:hAnsi="Arial Narrow"/>
        </w:rPr>
        <w:t>programe de licenta relevante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Design industrial (romana si engleza)</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Calculatoare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Tehnologia Informatiei</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Informatica</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Informatica aplicata (romana si germana)</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Informatica economica</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Comunicare si relatii publice</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Limba si literatura romana - O limba si literatura moderna (engleza, franceza, germana)</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Limba si literatura engleza - O limba si literatura moderna (franceza, germana)/Limba si literatura romana</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Limba si literatura chineză - Limba si Literatura Română/ Engleză/ Franceză/ Germană</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Limbi moderne aplicate (limba franceza si limba engleza)</w:t>
      </w:r>
      <w:r>
        <w:rPr>
          <w:rFonts w:ascii="Arial Narrow" w:hAnsi="Arial Narrow"/>
        </w:rPr>
        <w:t xml:space="preserve"> </w:t>
      </w:r>
      <w:r w:rsidRPr="00EA3F94">
        <w:rPr>
          <w:rFonts w:ascii="Arial Narrow" w:hAnsi="Arial Narrow"/>
        </w:rPr>
        <w:t>(limba germana si limba engleza)</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 xml:space="preserve">Studii culturale - </w:t>
      </w:r>
      <w:r w:rsidRPr="00EA3F94">
        <w:rPr>
          <w:rFonts w:ascii="Arial Narrow" w:hAnsi="Arial Narrow"/>
        </w:rPr>
        <w:t>Studii americane (in limba engleza)</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 xml:space="preserve">Interpretare muzicala </w:t>
      </w:r>
      <w:r>
        <w:rPr>
          <w:rFonts w:ascii="Arial Narrow" w:hAnsi="Arial Narrow"/>
        </w:rPr>
        <w:t>–</w:t>
      </w:r>
      <w:r w:rsidRPr="00EA3F94">
        <w:rPr>
          <w:rFonts w:ascii="Arial Narrow" w:hAnsi="Arial Narrow"/>
        </w:rPr>
        <w:t xml:space="preserve"> instrumente</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 xml:space="preserve">Interpretare muzicala </w:t>
      </w:r>
      <w:r>
        <w:rPr>
          <w:rFonts w:ascii="Arial Narrow" w:hAnsi="Arial Narrow"/>
        </w:rPr>
        <w:t>–</w:t>
      </w:r>
      <w:r w:rsidRPr="00EA3F94">
        <w:rPr>
          <w:rFonts w:ascii="Arial Narrow" w:hAnsi="Arial Narrow"/>
        </w:rPr>
        <w:t xml:space="preserve"> canto</w:t>
      </w:r>
    </w:p>
    <w:p w:rsidR="0003549E" w:rsidRDefault="0003549E" w:rsidP="00981E9F">
      <w:pPr>
        <w:pStyle w:val="Listparagraf"/>
        <w:numPr>
          <w:ilvl w:val="1"/>
          <w:numId w:val="63"/>
        </w:numPr>
        <w:spacing w:after="0" w:line="240" w:lineRule="auto"/>
        <w:jc w:val="both"/>
        <w:rPr>
          <w:rFonts w:ascii="Arial Narrow" w:hAnsi="Arial Narrow"/>
        </w:rPr>
      </w:pPr>
      <w:r w:rsidRPr="00EA3F94">
        <w:rPr>
          <w:rFonts w:ascii="Arial Narrow" w:hAnsi="Arial Narrow"/>
        </w:rPr>
        <w:t>Pedagogie muzicala</w:t>
      </w:r>
    </w:p>
    <w:p w:rsidR="0003549E" w:rsidRDefault="0003549E" w:rsidP="0003549E">
      <w:pPr>
        <w:rPr>
          <w:rFonts w:ascii="Arial Narrow" w:hAnsi="Arial Narrow"/>
        </w:rPr>
      </w:pPr>
    </w:p>
    <w:p w:rsidR="0003549E" w:rsidRDefault="0003549E" w:rsidP="0003549E">
      <w:pPr>
        <w:rPr>
          <w:rFonts w:ascii="Arial Narrow" w:hAnsi="Arial Narrow"/>
        </w:rPr>
      </w:pPr>
      <w:r>
        <w:rPr>
          <w:rFonts w:ascii="Arial Narrow" w:hAnsi="Arial Narrow"/>
        </w:rPr>
        <w:t>Univesritatea Lucian Blaga Sibiu</w:t>
      </w:r>
    </w:p>
    <w:p w:rsidR="0003549E" w:rsidRDefault="0003549E" w:rsidP="00981E9F">
      <w:pPr>
        <w:pStyle w:val="Listparagraf"/>
        <w:numPr>
          <w:ilvl w:val="0"/>
          <w:numId w:val="63"/>
        </w:numPr>
        <w:spacing w:after="0" w:line="240" w:lineRule="auto"/>
        <w:jc w:val="both"/>
        <w:rPr>
          <w:rFonts w:ascii="Arial Narrow" w:hAnsi="Arial Narrow"/>
        </w:rPr>
      </w:pPr>
      <w:r>
        <w:rPr>
          <w:rFonts w:ascii="Arial Narrow" w:hAnsi="Arial Narrow"/>
        </w:rPr>
        <w:t>programe de licenta relevante</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Limba şi literatura</w:t>
      </w:r>
      <w:r>
        <w:rPr>
          <w:rFonts w:ascii="Arial Narrow" w:hAnsi="Arial Narrow"/>
        </w:rPr>
        <w:t xml:space="preserve"> </w:t>
      </w:r>
      <w:r w:rsidRPr="009166A8">
        <w:rPr>
          <w:rFonts w:ascii="Arial Narrow" w:hAnsi="Arial Narrow"/>
        </w:rPr>
        <w:t>engleză - O limbă şi</w:t>
      </w:r>
      <w:r>
        <w:rPr>
          <w:rFonts w:ascii="Arial Narrow" w:hAnsi="Arial Narrow"/>
        </w:rPr>
        <w:t xml:space="preserve"> </w:t>
      </w:r>
      <w:r w:rsidRPr="009166A8">
        <w:rPr>
          <w:rFonts w:ascii="Arial Narrow" w:hAnsi="Arial Narrow"/>
        </w:rPr>
        <w:t>literatură modernă</w:t>
      </w:r>
      <w:r>
        <w:rPr>
          <w:rFonts w:ascii="Arial Narrow" w:hAnsi="Arial Narrow"/>
        </w:rPr>
        <w:t xml:space="preserve"> </w:t>
      </w:r>
      <w:r w:rsidRPr="009166A8">
        <w:rPr>
          <w:rFonts w:ascii="Arial Narrow" w:hAnsi="Arial Narrow"/>
        </w:rPr>
        <w:t>(franceză/ germană)</w:t>
      </w:r>
      <w:r>
        <w:rPr>
          <w:rFonts w:ascii="Arial Narrow" w:hAnsi="Arial Narrow"/>
        </w:rPr>
        <w:t xml:space="preserve"> </w:t>
      </w:r>
      <w:r w:rsidRPr="009166A8">
        <w:rPr>
          <w:rFonts w:ascii="Arial Narrow" w:hAnsi="Arial Narrow"/>
        </w:rPr>
        <w:t>sau Limba şi</w:t>
      </w:r>
      <w:r>
        <w:rPr>
          <w:rFonts w:ascii="Arial Narrow" w:hAnsi="Arial Narrow"/>
        </w:rPr>
        <w:t xml:space="preserve"> literatura română</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Limba şi literatura germană - O limbă şi literatură modernă (engleză/ franceză) sau Limba şi literatura română</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Limba şi literatura franceză - O limbă şi literatură modernă (engleză/ germană) sau Limba şi literatura română</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Limba şi literatura română - O limbă şi literatură modernă (engleză/ franceză/ germană)</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Limba şi literatura chineză – Limba şi literatura engleză</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lastRenderedPageBreak/>
        <w:t>Limbi moderne aplicate: Engleză, Germană, Franceză</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Ştiinţe ale comunicării</w:t>
      </w:r>
      <w:r>
        <w:rPr>
          <w:rFonts w:ascii="Arial Narrow" w:hAnsi="Arial Narrow"/>
        </w:rPr>
        <w:t xml:space="preserve"> - </w:t>
      </w:r>
      <w:r w:rsidRPr="009166A8">
        <w:rPr>
          <w:rFonts w:ascii="Arial Narrow" w:hAnsi="Arial Narrow"/>
        </w:rPr>
        <w:t>Ştiinţe ale informării şi documentării</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Teatrologie - Management cultural</w:t>
      </w:r>
    </w:p>
    <w:p w:rsidR="0003549E" w:rsidRDefault="0003549E" w:rsidP="00981E9F">
      <w:pPr>
        <w:pStyle w:val="Listparagraf"/>
        <w:numPr>
          <w:ilvl w:val="1"/>
          <w:numId w:val="63"/>
        </w:numPr>
        <w:spacing w:after="0" w:line="240" w:lineRule="auto"/>
        <w:jc w:val="both"/>
        <w:rPr>
          <w:rFonts w:ascii="Arial Narrow" w:hAnsi="Arial Narrow"/>
        </w:rPr>
      </w:pPr>
      <w:r w:rsidRPr="009166A8">
        <w:rPr>
          <w:rFonts w:ascii="Arial Narrow" w:hAnsi="Arial Narrow"/>
        </w:rPr>
        <w:t>Artele spectacolului – Actorie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Informatica</w:t>
      </w:r>
    </w:p>
    <w:p w:rsidR="0003549E" w:rsidRDefault="0003549E" w:rsidP="00981E9F">
      <w:pPr>
        <w:pStyle w:val="Listparagraf"/>
        <w:numPr>
          <w:ilvl w:val="1"/>
          <w:numId w:val="63"/>
        </w:numPr>
        <w:spacing w:after="0" w:line="240" w:lineRule="auto"/>
        <w:jc w:val="both"/>
        <w:rPr>
          <w:rFonts w:ascii="Arial Narrow" w:hAnsi="Arial Narrow"/>
        </w:rPr>
      </w:pPr>
      <w:r w:rsidRPr="00645582">
        <w:rPr>
          <w:rFonts w:ascii="Arial Narrow" w:hAnsi="Arial Narrow"/>
        </w:rPr>
        <w:t>Științe ale comunicării / Jurnalism ID</w:t>
      </w:r>
    </w:p>
    <w:p w:rsidR="0003549E" w:rsidRDefault="0003549E" w:rsidP="00981E9F">
      <w:pPr>
        <w:pStyle w:val="Listparagraf"/>
        <w:numPr>
          <w:ilvl w:val="1"/>
          <w:numId w:val="63"/>
        </w:numPr>
        <w:spacing w:after="0" w:line="240" w:lineRule="auto"/>
        <w:jc w:val="both"/>
        <w:rPr>
          <w:rFonts w:ascii="Arial Narrow" w:hAnsi="Arial Narrow"/>
        </w:rPr>
      </w:pPr>
      <w:r w:rsidRPr="00645582">
        <w:rPr>
          <w:rFonts w:ascii="Arial Narrow" w:hAnsi="Arial Narrow"/>
        </w:rPr>
        <w:t>Științe ale comunicării / Comunicare și relații publice ID</w:t>
      </w:r>
    </w:p>
    <w:p w:rsidR="0003549E" w:rsidRDefault="0003549E" w:rsidP="0003549E">
      <w:pPr>
        <w:rPr>
          <w:rFonts w:ascii="Arial Narrow" w:hAnsi="Arial Narrow"/>
        </w:rPr>
      </w:pPr>
    </w:p>
    <w:p w:rsidR="0003549E" w:rsidRDefault="0003549E" w:rsidP="0003549E">
      <w:pPr>
        <w:rPr>
          <w:rFonts w:ascii="Arial Narrow" w:hAnsi="Arial Narrow"/>
        </w:rPr>
      </w:pPr>
      <w:r>
        <w:rPr>
          <w:rFonts w:ascii="Arial Narrow" w:hAnsi="Arial Narrow"/>
        </w:rPr>
        <w:t>Universitatea Petru Maior Targu Mures</w:t>
      </w:r>
    </w:p>
    <w:p w:rsidR="0003549E" w:rsidRDefault="0003549E" w:rsidP="00981E9F">
      <w:pPr>
        <w:pStyle w:val="Listparagraf"/>
        <w:numPr>
          <w:ilvl w:val="0"/>
          <w:numId w:val="63"/>
        </w:numPr>
        <w:spacing w:after="0" w:line="240" w:lineRule="auto"/>
        <w:jc w:val="both"/>
        <w:rPr>
          <w:rFonts w:ascii="Arial Narrow" w:hAnsi="Arial Narrow"/>
        </w:rPr>
      </w:pPr>
      <w:r w:rsidRPr="00645582">
        <w:rPr>
          <w:rFonts w:ascii="Arial Narrow" w:hAnsi="Arial Narrow"/>
        </w:rPr>
        <w:t>programe de licenta relevante</w:t>
      </w:r>
    </w:p>
    <w:p w:rsidR="0003549E" w:rsidRPr="00645582" w:rsidRDefault="0003549E" w:rsidP="00981E9F">
      <w:pPr>
        <w:pStyle w:val="Listparagraf"/>
        <w:numPr>
          <w:ilvl w:val="1"/>
          <w:numId w:val="63"/>
        </w:numPr>
        <w:spacing w:after="0" w:line="240" w:lineRule="auto"/>
        <w:jc w:val="both"/>
        <w:rPr>
          <w:rFonts w:ascii="Arial Narrow" w:hAnsi="Arial Narrow"/>
        </w:rPr>
      </w:pPr>
      <w:r w:rsidRPr="00645582">
        <w:rPr>
          <w:rFonts w:ascii="Arial Narrow" w:hAnsi="Arial Narrow"/>
        </w:rPr>
        <w:t>Automatică şi informatică aplicată</w:t>
      </w:r>
    </w:p>
    <w:p w:rsidR="0003549E" w:rsidRDefault="0003549E" w:rsidP="00981E9F">
      <w:pPr>
        <w:pStyle w:val="Listparagraf"/>
        <w:numPr>
          <w:ilvl w:val="1"/>
          <w:numId w:val="63"/>
        </w:numPr>
        <w:spacing w:after="0" w:line="240" w:lineRule="auto"/>
        <w:jc w:val="both"/>
        <w:rPr>
          <w:rFonts w:ascii="Arial Narrow" w:hAnsi="Arial Narrow"/>
        </w:rPr>
      </w:pPr>
      <w:r w:rsidRPr="00645582">
        <w:rPr>
          <w:rFonts w:ascii="Arial Narrow" w:hAnsi="Arial Narrow"/>
        </w:rPr>
        <w:t>Informatică</w:t>
      </w:r>
    </w:p>
    <w:p w:rsidR="0003549E" w:rsidRDefault="0003549E" w:rsidP="00981E9F">
      <w:pPr>
        <w:pStyle w:val="Listparagraf"/>
        <w:numPr>
          <w:ilvl w:val="1"/>
          <w:numId w:val="63"/>
        </w:numPr>
        <w:spacing w:after="0" w:line="240" w:lineRule="auto"/>
        <w:jc w:val="both"/>
        <w:rPr>
          <w:rFonts w:ascii="Arial Narrow" w:hAnsi="Arial Narrow"/>
        </w:rPr>
      </w:pPr>
      <w:r w:rsidRPr="00B8113C">
        <w:rPr>
          <w:rFonts w:ascii="Arial Narrow" w:hAnsi="Arial Narrow"/>
        </w:rPr>
        <w:t>Limba şi literatura română - Limba şi literatura engleză</w:t>
      </w:r>
    </w:p>
    <w:p w:rsidR="0003549E" w:rsidRDefault="0003549E" w:rsidP="00981E9F">
      <w:pPr>
        <w:pStyle w:val="Listparagraf"/>
        <w:numPr>
          <w:ilvl w:val="1"/>
          <w:numId w:val="63"/>
        </w:numPr>
        <w:spacing w:after="0" w:line="240" w:lineRule="auto"/>
        <w:jc w:val="both"/>
        <w:rPr>
          <w:rFonts w:ascii="Arial Narrow" w:hAnsi="Arial Narrow"/>
        </w:rPr>
      </w:pPr>
      <w:r w:rsidRPr="00B8113C">
        <w:rPr>
          <w:rFonts w:ascii="Arial Narrow" w:hAnsi="Arial Narrow"/>
        </w:rPr>
        <w:t>Limbi moderne aplicate</w:t>
      </w:r>
    </w:p>
    <w:p w:rsidR="0003549E" w:rsidRDefault="0003549E" w:rsidP="00981E9F">
      <w:pPr>
        <w:pStyle w:val="Listparagraf"/>
        <w:numPr>
          <w:ilvl w:val="1"/>
          <w:numId w:val="63"/>
        </w:numPr>
        <w:spacing w:after="0" w:line="240" w:lineRule="auto"/>
        <w:jc w:val="both"/>
        <w:rPr>
          <w:rFonts w:ascii="Arial Narrow" w:hAnsi="Arial Narrow"/>
        </w:rPr>
      </w:pPr>
      <w:r w:rsidRPr="00B8113C">
        <w:rPr>
          <w:rFonts w:ascii="Arial Narrow" w:hAnsi="Arial Narrow"/>
        </w:rPr>
        <w:t>Comunicare şi relaţii publice</w:t>
      </w:r>
    </w:p>
    <w:p w:rsidR="0003549E" w:rsidRDefault="0003549E" w:rsidP="00981E9F">
      <w:pPr>
        <w:pStyle w:val="Listparagraf"/>
        <w:numPr>
          <w:ilvl w:val="1"/>
          <w:numId w:val="63"/>
        </w:numPr>
        <w:spacing w:after="0" w:line="240" w:lineRule="auto"/>
        <w:jc w:val="both"/>
        <w:rPr>
          <w:rFonts w:ascii="Arial Narrow" w:hAnsi="Arial Narrow"/>
        </w:rPr>
      </w:pPr>
      <w:r w:rsidRPr="00B8113C">
        <w:rPr>
          <w:rFonts w:ascii="Arial Narrow" w:hAnsi="Arial Narrow"/>
        </w:rPr>
        <w:t>Istorie</w:t>
      </w:r>
    </w:p>
    <w:p w:rsidR="0003549E" w:rsidRDefault="0003549E" w:rsidP="0003549E">
      <w:pPr>
        <w:rPr>
          <w:rFonts w:ascii="Arial Narrow" w:hAnsi="Arial Narrow"/>
        </w:rPr>
      </w:pPr>
    </w:p>
    <w:p w:rsidR="0003549E" w:rsidRDefault="0003549E" w:rsidP="0003549E">
      <w:pPr>
        <w:rPr>
          <w:rFonts w:ascii="Arial Narrow" w:hAnsi="Arial Narrow"/>
        </w:rPr>
      </w:pPr>
      <w:r>
        <w:rPr>
          <w:rFonts w:ascii="Arial Narrow" w:hAnsi="Arial Narrow"/>
        </w:rPr>
        <w:t>Universitatea de Arte Targu Mures</w:t>
      </w:r>
    </w:p>
    <w:p w:rsidR="0003549E" w:rsidRDefault="0003549E" w:rsidP="00981E9F">
      <w:pPr>
        <w:pStyle w:val="Listparagraf"/>
        <w:numPr>
          <w:ilvl w:val="0"/>
          <w:numId w:val="63"/>
        </w:numPr>
        <w:spacing w:after="0" w:line="240" w:lineRule="auto"/>
        <w:jc w:val="both"/>
        <w:rPr>
          <w:rFonts w:ascii="Arial Narrow" w:hAnsi="Arial Narrow"/>
        </w:rPr>
      </w:pPr>
      <w:r>
        <w:rPr>
          <w:rFonts w:ascii="Arial Narrow" w:hAnsi="Arial Narrow"/>
        </w:rPr>
        <w:t>programe de licenta relevante (romana si maghiara)</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Artele Spectacolului – Actorie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Artele Spectacolului – Papusi – marionete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Artele Spectacolului – Regie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Artele Spectacolului – Coregrafie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Teatrologie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Scenografie si Eveniment artistic</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Pedagogie muzicala</w:t>
      </w:r>
    </w:p>
    <w:p w:rsidR="0003549E" w:rsidRPr="00B8113C"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Comunicare audio - vizuala</w:t>
      </w:r>
    </w:p>
    <w:p w:rsidR="0003549E" w:rsidRDefault="0003549E" w:rsidP="0003549E">
      <w:pPr>
        <w:rPr>
          <w:rFonts w:ascii="Arial Narrow" w:hAnsi="Arial Narrow"/>
        </w:rPr>
      </w:pPr>
    </w:p>
    <w:p w:rsidR="0003549E" w:rsidRDefault="0003549E" w:rsidP="0003549E">
      <w:pPr>
        <w:rPr>
          <w:rFonts w:ascii="Arial Narrow" w:hAnsi="Arial Narrow"/>
        </w:rPr>
      </w:pPr>
      <w:r>
        <w:rPr>
          <w:rFonts w:ascii="Arial Narrow" w:hAnsi="Arial Narrow"/>
        </w:rPr>
        <w:t>Universitatea 1 Decembrie 1918 Alba Iulia</w:t>
      </w:r>
    </w:p>
    <w:p w:rsidR="0003549E" w:rsidRDefault="0003549E" w:rsidP="00981E9F">
      <w:pPr>
        <w:pStyle w:val="Listparagraf"/>
        <w:numPr>
          <w:ilvl w:val="0"/>
          <w:numId w:val="63"/>
        </w:numPr>
        <w:spacing w:after="0" w:line="240" w:lineRule="auto"/>
        <w:jc w:val="both"/>
        <w:rPr>
          <w:rFonts w:ascii="Arial Narrow" w:hAnsi="Arial Narrow"/>
        </w:rPr>
      </w:pPr>
      <w:r>
        <w:rPr>
          <w:rFonts w:ascii="Arial Narrow" w:hAnsi="Arial Narrow"/>
        </w:rPr>
        <w:t>programe de licenta relevante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Istorie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Arheologie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Muzeologie</w:t>
      </w:r>
    </w:p>
    <w:p w:rsidR="0003549E" w:rsidRDefault="0003549E" w:rsidP="00981E9F">
      <w:pPr>
        <w:pStyle w:val="Listparagraf"/>
        <w:numPr>
          <w:ilvl w:val="1"/>
          <w:numId w:val="63"/>
        </w:numPr>
        <w:spacing w:after="0" w:line="240" w:lineRule="auto"/>
        <w:jc w:val="both"/>
        <w:rPr>
          <w:rFonts w:ascii="Arial Narrow" w:hAnsi="Arial Narrow"/>
        </w:rPr>
      </w:pPr>
      <w:r w:rsidRPr="000173FB">
        <w:rPr>
          <w:rFonts w:ascii="Arial Narrow" w:hAnsi="Arial Narrow"/>
        </w:rPr>
        <w:t>Limba şi literatura română-Limba şi literatura franceză</w:t>
      </w:r>
    </w:p>
    <w:p w:rsidR="0003549E" w:rsidRDefault="0003549E" w:rsidP="00981E9F">
      <w:pPr>
        <w:pStyle w:val="Listparagraf"/>
        <w:numPr>
          <w:ilvl w:val="1"/>
          <w:numId w:val="63"/>
        </w:numPr>
        <w:spacing w:after="0" w:line="240" w:lineRule="auto"/>
        <w:jc w:val="both"/>
        <w:rPr>
          <w:rFonts w:ascii="Arial Narrow" w:hAnsi="Arial Narrow"/>
        </w:rPr>
      </w:pPr>
      <w:r w:rsidRPr="000173FB">
        <w:rPr>
          <w:rFonts w:ascii="Arial Narrow" w:hAnsi="Arial Narrow"/>
        </w:rPr>
        <w:t>Limba şi literatura română-Limba şi literatura engleză</w:t>
      </w:r>
    </w:p>
    <w:p w:rsidR="0003549E" w:rsidRDefault="0003549E" w:rsidP="00981E9F">
      <w:pPr>
        <w:pStyle w:val="Listparagraf"/>
        <w:numPr>
          <w:ilvl w:val="1"/>
          <w:numId w:val="63"/>
        </w:numPr>
        <w:spacing w:after="0" w:line="240" w:lineRule="auto"/>
        <w:jc w:val="both"/>
        <w:rPr>
          <w:rFonts w:ascii="Arial Narrow" w:hAnsi="Arial Narrow"/>
        </w:rPr>
      </w:pPr>
      <w:r w:rsidRPr="000173FB">
        <w:rPr>
          <w:rFonts w:ascii="Arial Narrow" w:hAnsi="Arial Narrow"/>
        </w:rPr>
        <w:t>Limba şi literatura franceză-Limba şi literatura engleză</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 xml:space="preserve">Limbi moderne aplicate - </w:t>
      </w:r>
      <w:r w:rsidRPr="000173FB">
        <w:rPr>
          <w:rFonts w:ascii="Arial Narrow" w:hAnsi="Arial Narrow"/>
        </w:rPr>
        <w:t>Traducere si interpretare</w:t>
      </w:r>
    </w:p>
    <w:p w:rsidR="0003549E" w:rsidRDefault="0003549E" w:rsidP="00981E9F">
      <w:pPr>
        <w:pStyle w:val="Listparagraf"/>
        <w:numPr>
          <w:ilvl w:val="1"/>
          <w:numId w:val="63"/>
        </w:numPr>
        <w:spacing w:after="0" w:line="240" w:lineRule="auto"/>
        <w:jc w:val="both"/>
        <w:rPr>
          <w:rFonts w:ascii="Arial Narrow" w:hAnsi="Arial Narrow"/>
        </w:rPr>
      </w:pPr>
      <w:r>
        <w:rPr>
          <w:rFonts w:ascii="Arial Narrow" w:hAnsi="Arial Narrow"/>
        </w:rPr>
        <w:t>Informatica</w:t>
      </w:r>
    </w:p>
    <w:p w:rsidR="0003549E" w:rsidRPr="00926687" w:rsidRDefault="0003549E" w:rsidP="0003549E">
      <w:pPr>
        <w:rPr>
          <w:rFonts w:ascii="Arial Narrow" w:hAnsi="Arial Narrow"/>
        </w:rPr>
      </w:pPr>
    </w:p>
    <w:p w:rsidR="0003549E" w:rsidRPr="00CD19E1" w:rsidRDefault="0003549E" w:rsidP="0003549E">
      <w:pPr>
        <w:rPr>
          <w:rFonts w:ascii="Arial Narrow" w:hAnsi="Arial Narrow"/>
        </w:rPr>
      </w:pPr>
      <w:r w:rsidRPr="00CD19E1">
        <w:rPr>
          <w:rFonts w:ascii="Arial Narrow" w:hAnsi="Arial Narrow"/>
        </w:rPr>
        <w:t>DOMENIUL "TEHNOLOGIA INFORMATIEI SI A COMUNICATIILOR, SPATIU SI SECURITATE"</w:t>
      </w:r>
    </w:p>
    <w:p w:rsidR="0003549E" w:rsidRDefault="0003549E" w:rsidP="0003549E">
      <w:pPr>
        <w:rPr>
          <w:rFonts w:ascii="Arial Narrow" w:hAnsi="Arial Narrow"/>
        </w:rPr>
      </w:pPr>
      <w:r w:rsidRPr="00CD19E1">
        <w:rPr>
          <w:rFonts w:ascii="Arial Narrow" w:hAnsi="Arial Narrow"/>
        </w:rPr>
        <w:t>LISTA REZULTATELOR FINALE LA COMPETITIA BRIDGE GRANT 2016</w:t>
      </w:r>
    </w:p>
    <w:p w:rsidR="0003549E" w:rsidRDefault="0003549E" w:rsidP="0003549E">
      <w:pPr>
        <w:rPr>
          <w:rFonts w:ascii="Arial Narrow" w:hAnsi="Arial Narrow"/>
        </w:rPr>
      </w:pPr>
      <w:r>
        <w:rPr>
          <w:rFonts w:ascii="Arial Narrow" w:hAnsi="Arial Narrow"/>
        </w:rPr>
        <w:t xml:space="preserve">Universitatea Petru Maior – SC Hasel Invent SRL - </w:t>
      </w:r>
      <w:r w:rsidRPr="00CD19E1">
        <w:rPr>
          <w:rFonts w:ascii="Arial Narrow" w:hAnsi="Arial Narrow"/>
        </w:rPr>
        <w:t>Protejarea comunicațiilor în sistemele de transport a gazelor naturale</w:t>
      </w:r>
    </w:p>
    <w:p w:rsidR="0003549E" w:rsidRDefault="0003549E" w:rsidP="0003549E">
      <w:pPr>
        <w:autoSpaceDE w:val="0"/>
        <w:autoSpaceDN w:val="0"/>
        <w:adjustRightInd w:val="0"/>
        <w:rPr>
          <w:rFonts w:ascii="Arial Narrow" w:hAnsi="Arial Narrow" w:cs="Calibri"/>
          <w:color w:val="000000"/>
        </w:rPr>
      </w:pPr>
      <w:r w:rsidRPr="00CD19E1">
        <w:rPr>
          <w:rFonts w:ascii="Arial Narrow" w:hAnsi="Arial Narrow" w:cs="Calibri"/>
          <w:color w:val="000000"/>
        </w:rPr>
        <w:t>UNIVERSITATEA 1 DECEMBRIE 1918 ALBA IULIA – SC IPEC SA</w:t>
      </w:r>
      <w:r>
        <w:rPr>
          <w:rFonts w:ascii="Arial Narrow" w:hAnsi="Arial Narrow" w:cs="Calibri"/>
          <w:color w:val="000000"/>
        </w:rPr>
        <w:t xml:space="preserve"> - </w:t>
      </w:r>
      <w:r w:rsidRPr="00CD19E1">
        <w:rPr>
          <w:rFonts w:ascii="Arial Narrow" w:hAnsi="Arial Narrow" w:cs="Calibri"/>
          <w:color w:val="000000"/>
        </w:rPr>
        <w:t>Sistem inteligent bazat pe învățare automată și vedere artificială pentru optimizarea fluxului de fabricație a porțelanului</w:t>
      </w:r>
    </w:p>
    <w:p w:rsidR="0003549E" w:rsidRDefault="0003549E" w:rsidP="0003549E">
      <w:pPr>
        <w:autoSpaceDE w:val="0"/>
        <w:autoSpaceDN w:val="0"/>
        <w:adjustRightInd w:val="0"/>
        <w:rPr>
          <w:rFonts w:ascii="Arial Narrow" w:hAnsi="Arial Narrow" w:cs="Calibri"/>
          <w:color w:val="000000"/>
        </w:rPr>
      </w:pPr>
      <w:r w:rsidRPr="00CD19E1">
        <w:rPr>
          <w:rFonts w:ascii="Arial Narrow" w:hAnsi="Arial Narrow" w:cs="Calibri"/>
          <w:color w:val="000000"/>
        </w:rPr>
        <w:lastRenderedPageBreak/>
        <w:t>UNIVERSITATEA LUCIAN BLAGA</w:t>
      </w:r>
      <w:r>
        <w:rPr>
          <w:rFonts w:ascii="Arial Narrow" w:hAnsi="Arial Narrow" w:cs="Calibri"/>
          <w:color w:val="000000"/>
        </w:rPr>
        <w:t xml:space="preserve"> - </w:t>
      </w:r>
      <w:r w:rsidRPr="00CD19E1">
        <w:rPr>
          <w:rFonts w:ascii="Arial Narrow" w:hAnsi="Arial Narrow" w:cs="Calibri"/>
          <w:color w:val="000000"/>
        </w:rPr>
        <w:t>CONTINENTAL AUTOMOTIVE SYSTEMS SRL</w:t>
      </w:r>
      <w:r>
        <w:rPr>
          <w:rFonts w:ascii="Arial Narrow" w:hAnsi="Arial Narrow" w:cs="Calibri"/>
          <w:color w:val="000000"/>
        </w:rPr>
        <w:t xml:space="preserve"> - </w:t>
      </w:r>
      <w:r w:rsidRPr="00CD19E1">
        <w:rPr>
          <w:rFonts w:ascii="Arial Narrow" w:hAnsi="Arial Narrow" w:cs="Calibri"/>
          <w:color w:val="000000"/>
        </w:rPr>
        <w:t>Optimizarea tehnologiilor ICT pentru evaluarea și valorificarea Capitalului Intelectual în centrele de Cercetare &amp; Dezvoltare ale Continental Automotive Systems prin procesare Big Data</w:t>
      </w:r>
    </w:p>
    <w:p w:rsidR="0003549E" w:rsidRDefault="0003549E" w:rsidP="0003549E">
      <w:pPr>
        <w:pStyle w:val="Default"/>
        <w:jc w:val="both"/>
        <w:rPr>
          <w:rFonts w:ascii="Arial Narrow" w:hAnsi="Arial Narrow"/>
          <w:sz w:val="22"/>
          <w:szCs w:val="22"/>
        </w:rPr>
      </w:pPr>
      <w:r w:rsidRPr="00CD19E1">
        <w:rPr>
          <w:rFonts w:ascii="Arial Narrow" w:hAnsi="Arial Narrow"/>
          <w:sz w:val="22"/>
          <w:szCs w:val="22"/>
        </w:rPr>
        <w:t>UNIVERSITATEA LUCIAN BLAGA - MARQUARDT SCHALTSYSTEME SCS - Optimizarea tehnologiilor ICT pentru Marquardt GmbH prin dezvoltarea unei tranzacții SAP de planificare a producției, procesare algoritmică și transfer de cunoaștere</w:t>
      </w:r>
    </w:p>
    <w:p w:rsidR="0003549E" w:rsidRDefault="0003549E" w:rsidP="0003549E">
      <w:pPr>
        <w:pStyle w:val="Default"/>
        <w:jc w:val="both"/>
        <w:rPr>
          <w:rFonts w:ascii="Arial Narrow" w:hAnsi="Arial Narrow"/>
          <w:sz w:val="22"/>
          <w:szCs w:val="22"/>
        </w:rPr>
      </w:pPr>
      <w:r w:rsidRPr="00CD19E1">
        <w:rPr>
          <w:rFonts w:ascii="Arial Narrow" w:hAnsi="Arial Narrow"/>
          <w:sz w:val="22"/>
          <w:szCs w:val="22"/>
        </w:rPr>
        <w:t>UNIVERSITATEA TRANSILVANIA BRASOV</w:t>
      </w:r>
      <w:r>
        <w:rPr>
          <w:rFonts w:ascii="Arial Narrow" w:hAnsi="Arial Narrow"/>
          <w:sz w:val="22"/>
          <w:szCs w:val="22"/>
        </w:rPr>
        <w:t xml:space="preserve"> - </w:t>
      </w:r>
      <w:r w:rsidRPr="00CD19E1">
        <w:rPr>
          <w:rFonts w:ascii="Arial Narrow" w:hAnsi="Arial Narrow"/>
          <w:sz w:val="22"/>
          <w:szCs w:val="22"/>
        </w:rPr>
        <w:t>SCHAEFFLER ROMANIA SRL</w:t>
      </w:r>
      <w:r>
        <w:rPr>
          <w:rFonts w:ascii="Arial Narrow" w:hAnsi="Arial Narrow"/>
          <w:sz w:val="22"/>
          <w:szCs w:val="22"/>
        </w:rPr>
        <w:t xml:space="preserve"> - </w:t>
      </w:r>
      <w:r w:rsidRPr="00CD19E1">
        <w:rPr>
          <w:rFonts w:ascii="Arial Narrow" w:hAnsi="Arial Narrow"/>
          <w:sz w:val="22"/>
          <w:szCs w:val="22"/>
        </w:rPr>
        <w:t>MARKETINGUL CARIEREI PRIN ASISTAREA DECIZIEI ÎN RESURSE UMANE</w:t>
      </w:r>
    </w:p>
    <w:p w:rsidR="0003549E" w:rsidRDefault="0003549E" w:rsidP="0003549E">
      <w:pPr>
        <w:pStyle w:val="Default"/>
        <w:jc w:val="both"/>
        <w:rPr>
          <w:rFonts w:ascii="Arial Narrow" w:hAnsi="Arial Narrow"/>
          <w:sz w:val="22"/>
          <w:szCs w:val="22"/>
        </w:rPr>
      </w:pPr>
      <w:r w:rsidRPr="00CD19E1">
        <w:rPr>
          <w:rFonts w:ascii="Arial Narrow" w:hAnsi="Arial Narrow"/>
          <w:sz w:val="22"/>
          <w:szCs w:val="22"/>
        </w:rPr>
        <w:t>UNIVERSITATEA TRANSILVANIA BRASOV</w:t>
      </w:r>
      <w:r>
        <w:rPr>
          <w:rFonts w:ascii="Arial Narrow" w:hAnsi="Arial Narrow"/>
          <w:sz w:val="22"/>
          <w:szCs w:val="22"/>
        </w:rPr>
        <w:t xml:space="preserve"> – SC </w:t>
      </w:r>
      <w:r w:rsidRPr="00CD19E1">
        <w:rPr>
          <w:rFonts w:ascii="Arial Narrow" w:hAnsi="Arial Narrow"/>
          <w:sz w:val="22"/>
          <w:szCs w:val="22"/>
        </w:rPr>
        <w:t>DIP &amp; GIP SRL</w:t>
      </w:r>
      <w:r>
        <w:rPr>
          <w:rFonts w:ascii="Arial Narrow" w:hAnsi="Arial Narrow"/>
          <w:sz w:val="22"/>
          <w:szCs w:val="22"/>
        </w:rPr>
        <w:t xml:space="preserve"> – </w:t>
      </w:r>
      <w:r w:rsidRPr="00CD19E1">
        <w:rPr>
          <w:rFonts w:ascii="Arial Narrow" w:hAnsi="Arial Narrow"/>
          <w:sz w:val="22"/>
          <w:szCs w:val="22"/>
        </w:rPr>
        <w:t>Platforma informatica de tip comisionariat pentru mediul economic din industria de prelucrare a lemnului</w:t>
      </w:r>
    </w:p>
    <w:p w:rsidR="0003549E" w:rsidRDefault="0003549E" w:rsidP="0003549E">
      <w:pPr>
        <w:pStyle w:val="Default"/>
        <w:jc w:val="both"/>
        <w:rPr>
          <w:rFonts w:ascii="Arial Narrow" w:hAnsi="Arial Narrow"/>
          <w:sz w:val="22"/>
          <w:szCs w:val="22"/>
        </w:rPr>
      </w:pPr>
    </w:p>
    <w:p w:rsidR="0003549E" w:rsidRDefault="0003549E" w:rsidP="0003549E">
      <w:pPr>
        <w:pStyle w:val="Default"/>
        <w:jc w:val="both"/>
        <w:rPr>
          <w:rFonts w:ascii="Arial Narrow" w:hAnsi="Arial Narrow"/>
          <w:sz w:val="22"/>
          <w:szCs w:val="22"/>
        </w:rPr>
      </w:pPr>
      <w:r w:rsidRPr="00CD19E1">
        <w:rPr>
          <w:rFonts w:ascii="Arial Narrow" w:hAnsi="Arial Narrow"/>
          <w:sz w:val="22"/>
          <w:szCs w:val="22"/>
        </w:rPr>
        <w:t xml:space="preserve">TRANSFER LA OPERATORUL ECONOMIC </w:t>
      </w:r>
      <w:r>
        <w:rPr>
          <w:rFonts w:ascii="Arial Narrow" w:hAnsi="Arial Narrow"/>
          <w:sz w:val="22"/>
          <w:szCs w:val="22"/>
        </w:rPr>
        <w:t>–</w:t>
      </w:r>
      <w:r w:rsidRPr="00CD19E1">
        <w:rPr>
          <w:rFonts w:ascii="Arial Narrow" w:hAnsi="Arial Narrow"/>
          <w:sz w:val="22"/>
          <w:szCs w:val="22"/>
        </w:rPr>
        <w:t xml:space="preserve"> PTE</w:t>
      </w:r>
      <w:r>
        <w:rPr>
          <w:rFonts w:ascii="Arial Narrow" w:hAnsi="Arial Narrow"/>
          <w:sz w:val="22"/>
          <w:szCs w:val="22"/>
        </w:rPr>
        <w:t xml:space="preserve"> 2016</w:t>
      </w:r>
    </w:p>
    <w:p w:rsidR="0003549E" w:rsidRDefault="0003549E" w:rsidP="0003549E">
      <w:pPr>
        <w:pStyle w:val="Default"/>
        <w:jc w:val="both"/>
        <w:rPr>
          <w:rFonts w:ascii="Arial Narrow" w:hAnsi="Arial Narrow"/>
          <w:sz w:val="22"/>
          <w:szCs w:val="22"/>
        </w:rPr>
      </w:pPr>
      <w:r>
        <w:rPr>
          <w:rFonts w:ascii="Arial Narrow" w:hAnsi="Arial Narrow"/>
          <w:sz w:val="22"/>
          <w:szCs w:val="22"/>
        </w:rPr>
        <w:t>S</w:t>
      </w:r>
      <w:r w:rsidRPr="00CD19E1">
        <w:rPr>
          <w:rFonts w:ascii="Arial Narrow" w:hAnsi="Arial Narrow"/>
          <w:sz w:val="22"/>
          <w:szCs w:val="22"/>
        </w:rPr>
        <w:t>C SAS SRL</w:t>
      </w:r>
      <w:r>
        <w:rPr>
          <w:rFonts w:ascii="Arial Narrow" w:hAnsi="Arial Narrow"/>
          <w:sz w:val="22"/>
          <w:szCs w:val="22"/>
        </w:rPr>
        <w:t xml:space="preserve"> - </w:t>
      </w:r>
      <w:r w:rsidRPr="00CD19E1">
        <w:rPr>
          <w:rFonts w:ascii="Arial Narrow" w:hAnsi="Arial Narrow"/>
          <w:sz w:val="22"/>
          <w:szCs w:val="22"/>
        </w:rPr>
        <w:t>Partener 1 (P1) - UNIVERSITATEA LUCIAN BLAGA; Partener 2 (P2) - ASOCIATIA ROMANIAN QUANTITATIVE STUDIES ASSOCIATION</w:t>
      </w:r>
      <w:r>
        <w:rPr>
          <w:rFonts w:ascii="Arial Narrow" w:hAnsi="Arial Narrow"/>
          <w:sz w:val="22"/>
          <w:szCs w:val="22"/>
        </w:rPr>
        <w:t xml:space="preserve"> - </w:t>
      </w:r>
      <w:r w:rsidRPr="00CD19E1">
        <w:rPr>
          <w:rFonts w:ascii="Arial Narrow" w:hAnsi="Arial Narrow"/>
          <w:sz w:val="22"/>
          <w:szCs w:val="22"/>
        </w:rPr>
        <w:t>Măsurarea identității culturale într-o societate aflată în schimbare</w:t>
      </w:r>
    </w:p>
    <w:p w:rsidR="0003549E" w:rsidRDefault="0003549E" w:rsidP="0003549E">
      <w:pPr>
        <w:autoSpaceDE w:val="0"/>
        <w:autoSpaceDN w:val="0"/>
        <w:adjustRightInd w:val="0"/>
        <w:rPr>
          <w:rFonts w:ascii="Arial Narrow" w:hAnsi="Arial Narrow" w:cs="Calibri"/>
          <w:color w:val="000000"/>
        </w:rPr>
      </w:pPr>
      <w:r w:rsidRPr="00CB7200">
        <w:rPr>
          <w:rFonts w:ascii="Arial Narrow" w:hAnsi="Arial Narrow" w:cs="Calibri"/>
          <w:color w:val="000000"/>
        </w:rPr>
        <w:t xml:space="preserve">SC </w:t>
      </w:r>
      <w:r w:rsidRPr="00CD19E1">
        <w:rPr>
          <w:rFonts w:ascii="Arial Narrow" w:hAnsi="Arial Narrow" w:cs="Calibri"/>
          <w:color w:val="000000"/>
        </w:rPr>
        <w:t>INDUSTRIAL SOFTWARE S.R.L.</w:t>
      </w:r>
      <w:r w:rsidRPr="00CB7200">
        <w:rPr>
          <w:rFonts w:ascii="Arial Narrow" w:hAnsi="Arial Narrow" w:cs="Calibri"/>
          <w:color w:val="000000"/>
        </w:rPr>
        <w:t xml:space="preserve"> - Partener 1 (P1) - UNIVERSITATEA LUCIAN BLAGA - INSTEP - Platformă stigmergică pentru localizare indoor</w:t>
      </w:r>
    </w:p>
    <w:p w:rsidR="0003549E" w:rsidRDefault="0003549E" w:rsidP="0003549E">
      <w:pPr>
        <w:autoSpaceDE w:val="0"/>
        <w:autoSpaceDN w:val="0"/>
        <w:adjustRightInd w:val="0"/>
        <w:rPr>
          <w:rFonts w:ascii="Arial Narrow" w:hAnsi="Arial Narrow" w:cs="Calibri"/>
          <w:color w:val="000000"/>
        </w:rPr>
      </w:pPr>
    </w:p>
    <w:p w:rsidR="0003549E" w:rsidRPr="00B7527E" w:rsidRDefault="0003549E" w:rsidP="0003549E">
      <w:pPr>
        <w:autoSpaceDE w:val="0"/>
        <w:autoSpaceDN w:val="0"/>
        <w:adjustRightInd w:val="0"/>
        <w:rPr>
          <w:rFonts w:ascii="Arial Narrow" w:hAnsi="Arial Narrow" w:cs="Calibri"/>
          <w:color w:val="000000"/>
        </w:rPr>
      </w:pPr>
      <w:r w:rsidRPr="00B7527E">
        <w:rPr>
          <w:rFonts w:ascii="Arial Narrow" w:hAnsi="Arial Narrow" w:cs="Calibri"/>
          <w:color w:val="000000"/>
        </w:rPr>
        <w:t>DOMENIUL "PATRIMONIU SI IDENTITATE CULTURALA"</w:t>
      </w:r>
    </w:p>
    <w:p w:rsidR="0003549E" w:rsidRDefault="0003549E" w:rsidP="0003549E">
      <w:pPr>
        <w:autoSpaceDE w:val="0"/>
        <w:autoSpaceDN w:val="0"/>
        <w:adjustRightInd w:val="0"/>
        <w:rPr>
          <w:rFonts w:ascii="Arial Narrow" w:hAnsi="Arial Narrow" w:cs="Calibri"/>
          <w:color w:val="000000"/>
        </w:rPr>
      </w:pPr>
      <w:r w:rsidRPr="00B7527E">
        <w:rPr>
          <w:rFonts w:ascii="Arial Narrow" w:hAnsi="Arial Narrow" w:cs="Calibri"/>
          <w:color w:val="000000"/>
        </w:rPr>
        <w:t>LISTA REZULTATELOR FINALE LA COMPETITIA BRIDGE GRANT 2016</w:t>
      </w:r>
    </w:p>
    <w:p w:rsidR="0003549E" w:rsidRDefault="0003549E" w:rsidP="0003549E">
      <w:pPr>
        <w:autoSpaceDE w:val="0"/>
        <w:autoSpaceDN w:val="0"/>
        <w:adjustRightInd w:val="0"/>
        <w:rPr>
          <w:rFonts w:ascii="Arial Narrow" w:hAnsi="Arial Narrow" w:cs="Calibri"/>
          <w:color w:val="000000"/>
        </w:rPr>
      </w:pPr>
      <w:r w:rsidRPr="00B7527E">
        <w:rPr>
          <w:rFonts w:ascii="Arial Narrow" w:hAnsi="Arial Narrow" w:cs="Calibri"/>
          <w:color w:val="000000"/>
        </w:rPr>
        <w:t>UNIVERSITATEA 1 DECEMBRIE 1918 ALBA IULIA</w:t>
      </w:r>
      <w:r>
        <w:rPr>
          <w:rFonts w:ascii="Arial Narrow" w:hAnsi="Arial Narrow" w:cs="Calibri"/>
          <w:color w:val="000000"/>
        </w:rPr>
        <w:t xml:space="preserve"> – </w:t>
      </w:r>
      <w:r w:rsidRPr="00B7527E">
        <w:rPr>
          <w:rFonts w:ascii="Arial Narrow" w:hAnsi="Arial Narrow" w:cs="Calibri"/>
          <w:color w:val="000000"/>
        </w:rPr>
        <w:t>Partener 1 (P1) - TRANSILVANIA PREST SOLUTIONS SRL</w:t>
      </w:r>
      <w:r>
        <w:rPr>
          <w:rFonts w:ascii="Arial Narrow" w:hAnsi="Arial Narrow" w:cs="Calibri"/>
          <w:color w:val="000000"/>
        </w:rPr>
        <w:t xml:space="preserve"> - </w:t>
      </w:r>
      <w:r w:rsidRPr="00B7527E">
        <w:rPr>
          <w:rFonts w:ascii="Arial Narrow" w:hAnsi="Arial Narrow" w:cs="Calibri"/>
          <w:color w:val="000000"/>
        </w:rPr>
        <w:t>Optimizarea tehnologiilor de executie privind reabilitarea cladirilor de patrimoniu afectate de umiditate</w:t>
      </w:r>
      <w:r>
        <w:rPr>
          <w:rFonts w:ascii="Arial Narrow" w:hAnsi="Arial Narrow" w:cs="Calibri"/>
          <w:color w:val="000000"/>
        </w:rPr>
        <w:t xml:space="preserve"> </w:t>
      </w:r>
    </w:p>
    <w:p w:rsidR="0003549E" w:rsidRDefault="0003549E" w:rsidP="0003549E">
      <w:pPr>
        <w:autoSpaceDE w:val="0"/>
        <w:autoSpaceDN w:val="0"/>
        <w:adjustRightInd w:val="0"/>
        <w:rPr>
          <w:rFonts w:ascii="Arial Narrow" w:hAnsi="Arial Narrow"/>
        </w:rPr>
      </w:pPr>
      <w:r w:rsidRPr="00AC342B">
        <w:rPr>
          <w:rFonts w:ascii="Arial Narrow" w:hAnsi="Arial Narrow"/>
        </w:rPr>
        <w:t>UNIVERSITATEA TRANSILVANIA BRASOV - Partener 1 (P1) - AMADEUS SRL - Efectul muzicii de fundal asupra productivitatii in munca fizica repetitiva</w:t>
      </w:r>
    </w:p>
    <w:p w:rsidR="0003549E" w:rsidRDefault="0003549E" w:rsidP="0003549E">
      <w:pPr>
        <w:autoSpaceDE w:val="0"/>
        <w:autoSpaceDN w:val="0"/>
        <w:adjustRightInd w:val="0"/>
        <w:rPr>
          <w:rFonts w:ascii="Arial Narrow" w:hAnsi="Arial Narrow"/>
        </w:rPr>
      </w:pPr>
      <w:r w:rsidRPr="00AC342B">
        <w:rPr>
          <w:rFonts w:ascii="Arial Narrow" w:hAnsi="Arial Narrow"/>
        </w:rPr>
        <w:t>UNIVERSITATEA TRANSILVANIA BRASOV</w:t>
      </w:r>
      <w:r>
        <w:rPr>
          <w:rFonts w:ascii="Arial Narrow" w:hAnsi="Arial Narrow"/>
        </w:rPr>
        <w:t xml:space="preserve"> - </w:t>
      </w:r>
      <w:r w:rsidRPr="00AC342B">
        <w:rPr>
          <w:rFonts w:ascii="Arial Narrow" w:hAnsi="Arial Narrow"/>
        </w:rPr>
        <w:t>Partener 1 (P1) - MUZEUL CASA MURESENILOR; Partener 2 (P2) - BLUEMIND SOFTWARE SRL</w:t>
      </w:r>
      <w:r>
        <w:rPr>
          <w:rFonts w:ascii="Arial Narrow" w:hAnsi="Arial Narrow"/>
        </w:rPr>
        <w:t xml:space="preserve"> - R</w:t>
      </w:r>
      <w:r w:rsidRPr="00AC342B">
        <w:rPr>
          <w:rFonts w:ascii="Arial Narrow" w:hAnsi="Arial Narrow"/>
        </w:rPr>
        <w:t>ealitate Augmentată pentru Interpretarea Patrimoniului Cultural și Integrarea Noilor Audiențe în Muze</w:t>
      </w:r>
      <w:r>
        <w:rPr>
          <w:rFonts w:ascii="Arial Narrow" w:hAnsi="Arial Narrow"/>
        </w:rPr>
        <w:t>e</w:t>
      </w:r>
    </w:p>
    <w:p w:rsidR="0003549E" w:rsidRDefault="0003549E" w:rsidP="0003549E">
      <w:pPr>
        <w:autoSpaceDE w:val="0"/>
        <w:autoSpaceDN w:val="0"/>
        <w:adjustRightInd w:val="0"/>
        <w:rPr>
          <w:rFonts w:ascii="Arial Narrow" w:hAnsi="Arial Narrow"/>
        </w:rPr>
      </w:pPr>
      <w:r w:rsidRPr="00AC342B">
        <w:rPr>
          <w:rFonts w:ascii="Arial Narrow" w:hAnsi="Arial Narrow"/>
        </w:rPr>
        <w:t>UNIVERSITATEA TRANSILVANIA BRASOV</w:t>
      </w:r>
      <w:r>
        <w:rPr>
          <w:rFonts w:ascii="Arial Narrow" w:hAnsi="Arial Narrow"/>
        </w:rPr>
        <w:t xml:space="preserve"> - </w:t>
      </w:r>
      <w:r w:rsidRPr="00AC342B">
        <w:rPr>
          <w:rFonts w:ascii="Arial Narrow" w:hAnsi="Arial Narrow"/>
        </w:rPr>
        <w:t>Partener 1 (P1) - ABEONA SRL</w:t>
      </w:r>
      <w:r>
        <w:rPr>
          <w:rFonts w:ascii="Arial Narrow" w:hAnsi="Arial Narrow"/>
        </w:rPr>
        <w:t xml:space="preserve"> - </w:t>
      </w:r>
      <w:r w:rsidRPr="00752AB6">
        <w:rPr>
          <w:rFonts w:ascii="Arial Narrow" w:hAnsi="Arial Narrow"/>
        </w:rPr>
        <w:t>OENOTURISMUL ROMÂNESC PILON DE PROMOVARE ȘI DEZVOLTARE A IDENTITAȚII NAȚIONALE</w:t>
      </w:r>
    </w:p>
    <w:p w:rsidR="0003549E" w:rsidRPr="00AC342B" w:rsidRDefault="0003549E" w:rsidP="0003549E">
      <w:pPr>
        <w:autoSpaceDE w:val="0"/>
        <w:autoSpaceDN w:val="0"/>
        <w:adjustRightInd w:val="0"/>
        <w:rPr>
          <w:rFonts w:ascii="Arial Narrow" w:hAnsi="Arial Narrow"/>
        </w:rPr>
      </w:pPr>
      <w:r w:rsidRPr="00752AB6">
        <w:rPr>
          <w:rFonts w:ascii="Arial Narrow" w:hAnsi="Arial Narrow"/>
        </w:rPr>
        <w:t>UNIVERSITATEA 1 DECEMBRIE 1918 ALBA IULIA</w:t>
      </w:r>
      <w:r>
        <w:rPr>
          <w:rFonts w:ascii="Arial Narrow" w:hAnsi="Arial Narrow"/>
        </w:rPr>
        <w:t xml:space="preserve"> - </w:t>
      </w:r>
      <w:r w:rsidRPr="00752AB6">
        <w:rPr>
          <w:rFonts w:ascii="Arial Narrow" w:hAnsi="Arial Narrow"/>
        </w:rPr>
        <w:t>Partener 1 (P1) - TIPO-REX SERVICE SRL</w:t>
      </w:r>
      <w:r>
        <w:rPr>
          <w:rFonts w:ascii="Arial Narrow" w:hAnsi="Arial Narrow"/>
        </w:rPr>
        <w:t xml:space="preserve"> - </w:t>
      </w:r>
      <w:r w:rsidRPr="00752AB6">
        <w:rPr>
          <w:rFonts w:ascii="Arial Narrow" w:hAnsi="Arial Narrow"/>
        </w:rPr>
        <w:t>Antologie muzicală, laică şi religioasă, şi tradiții din Munții Apuseni</w:t>
      </w:r>
      <w:r>
        <w:rPr>
          <w:rFonts w:ascii="Arial Narrow" w:hAnsi="Arial Narrow"/>
        </w:rPr>
        <w:t xml:space="preserve"> </w:t>
      </w:r>
    </w:p>
    <w:p w:rsidR="0003549E" w:rsidRPr="00CB7200" w:rsidRDefault="0003549E" w:rsidP="0003549E">
      <w:pPr>
        <w:autoSpaceDE w:val="0"/>
        <w:autoSpaceDN w:val="0"/>
        <w:adjustRightInd w:val="0"/>
        <w:rPr>
          <w:rFonts w:ascii="Arial Narrow" w:hAnsi="Arial Narrow" w:cs="Calibri"/>
          <w:color w:val="000000"/>
        </w:rPr>
      </w:pPr>
    </w:p>
    <w:p w:rsidR="0003549E" w:rsidRPr="00CD19E1" w:rsidRDefault="0003549E" w:rsidP="0003549E">
      <w:pPr>
        <w:pStyle w:val="Default"/>
        <w:jc w:val="both"/>
        <w:rPr>
          <w:rFonts w:ascii="Arial Narrow" w:hAnsi="Arial Narrow"/>
          <w:sz w:val="22"/>
          <w:szCs w:val="22"/>
        </w:rPr>
      </w:pPr>
    </w:p>
    <w:p w:rsidR="0003549E" w:rsidRPr="00CD19E1" w:rsidRDefault="0003549E" w:rsidP="0003549E">
      <w:pPr>
        <w:autoSpaceDE w:val="0"/>
        <w:autoSpaceDN w:val="0"/>
        <w:adjustRightInd w:val="0"/>
        <w:rPr>
          <w:rFonts w:ascii="Arial Narrow" w:hAnsi="Arial Narrow" w:cs="Calibri"/>
          <w:color w:val="000000"/>
        </w:rPr>
      </w:pPr>
    </w:p>
    <w:p w:rsidR="0003549E" w:rsidRPr="009166A8" w:rsidRDefault="0003549E" w:rsidP="0003549E">
      <w:pPr>
        <w:rPr>
          <w:rFonts w:ascii="Arial Narrow" w:hAnsi="Arial Narrow"/>
        </w:rPr>
      </w:pPr>
    </w:p>
    <w:p w:rsidR="00B45835" w:rsidRDefault="00B45835"/>
    <w:p w:rsidR="0066147D" w:rsidRDefault="0066147D"/>
    <w:p w:rsidR="0066147D" w:rsidRDefault="0066147D"/>
    <w:p w:rsidR="0066147D" w:rsidRDefault="0066147D"/>
    <w:p w:rsidR="00643600" w:rsidRPr="00A474E5" w:rsidRDefault="00643600" w:rsidP="00643600">
      <w:pPr>
        <w:spacing w:after="0" w:line="240" w:lineRule="auto"/>
        <w:jc w:val="center"/>
        <w:rPr>
          <w:rFonts w:ascii="Arial Narrow" w:hAnsi="Arial Narrow"/>
          <w:sz w:val="40"/>
          <w:szCs w:val="40"/>
        </w:rPr>
      </w:pPr>
      <w:r w:rsidRPr="00661CC3">
        <w:rPr>
          <w:rFonts w:ascii="Arial Narrow" w:hAnsi="Arial Narrow"/>
          <w:sz w:val="40"/>
          <w:szCs w:val="40"/>
        </w:rPr>
        <w:lastRenderedPageBreak/>
        <w:t xml:space="preserve">Analiza sectorului medical și </w:t>
      </w:r>
      <w:r>
        <w:rPr>
          <w:rFonts w:ascii="Arial Narrow" w:hAnsi="Arial Narrow"/>
          <w:sz w:val="40"/>
          <w:szCs w:val="40"/>
        </w:rPr>
        <w:t>farmaceutic din Regiunea Centru</w:t>
      </w:r>
    </w:p>
    <w:p w:rsidR="00643600" w:rsidRPr="00FE5C30" w:rsidRDefault="00643600" w:rsidP="00643600">
      <w:pPr>
        <w:pStyle w:val="Listparagraf"/>
        <w:spacing w:after="0" w:line="240" w:lineRule="auto"/>
        <w:ind w:left="644"/>
        <w:jc w:val="both"/>
        <w:rPr>
          <w:rFonts w:ascii="Arial Narrow" w:hAnsi="Arial Narrow"/>
          <w:b/>
          <w:color w:val="000000"/>
          <w:sz w:val="24"/>
          <w:szCs w:val="24"/>
        </w:rPr>
      </w:pPr>
    </w:p>
    <w:p w:rsidR="00643600" w:rsidRPr="00FE5C30" w:rsidRDefault="00643600" w:rsidP="00643600">
      <w:pPr>
        <w:pStyle w:val="Listparagraf"/>
        <w:numPr>
          <w:ilvl w:val="0"/>
          <w:numId w:val="64"/>
        </w:numPr>
        <w:spacing w:after="0" w:line="240" w:lineRule="auto"/>
        <w:jc w:val="both"/>
        <w:rPr>
          <w:rFonts w:ascii="Arial Narrow" w:hAnsi="Arial Narrow"/>
          <w:b/>
          <w:color w:val="000000"/>
          <w:sz w:val="24"/>
          <w:szCs w:val="24"/>
        </w:rPr>
      </w:pPr>
      <w:r w:rsidRPr="00FE5C30">
        <w:rPr>
          <w:rFonts w:ascii="Arial Narrow" w:hAnsi="Arial Narrow"/>
          <w:b/>
          <w:color w:val="000000"/>
          <w:sz w:val="24"/>
          <w:szCs w:val="24"/>
        </w:rPr>
        <w:t xml:space="preserve">Prezentare generală </w:t>
      </w:r>
    </w:p>
    <w:p w:rsidR="00643600" w:rsidRPr="00FE5C30" w:rsidRDefault="00643600" w:rsidP="00643600">
      <w:pPr>
        <w:pStyle w:val="Listparagraf"/>
        <w:spacing w:after="0" w:line="240" w:lineRule="auto"/>
        <w:ind w:left="644"/>
        <w:jc w:val="both"/>
        <w:rPr>
          <w:rFonts w:ascii="Arial Narrow" w:hAnsi="Arial Narrow"/>
          <w:b/>
          <w:color w:val="000000"/>
          <w:sz w:val="24"/>
          <w:szCs w:val="24"/>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Sistemul de sănătate este reprezentat de ansamblul tuturor structurilor medicale, organizaţiilor publice şi private, instituţiilor şi resurselor mandatate să prevină, menţină, să îmbunătăţească şi să redea sănătatea populaţiei.</w:t>
      </w:r>
    </w:p>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Pr>
          <w:rFonts w:ascii="Arial Narrow" w:hAnsi="Arial Narrow"/>
          <w:sz w:val="24"/>
          <w:szCs w:val="24"/>
        </w:rPr>
        <w:t>Starea de sănătate a populației este esențială pentru prosperitatea economică a unei țări/regiuni, iar u</w:t>
      </w:r>
      <w:r w:rsidRPr="00661CC3">
        <w:rPr>
          <w:rFonts w:ascii="Arial Narrow" w:hAnsi="Arial Narrow"/>
          <w:sz w:val="24"/>
          <w:szCs w:val="24"/>
        </w:rPr>
        <w:t xml:space="preserve">n sistem de sănătate dezvoltat presupune acces </w:t>
      </w:r>
      <w:r>
        <w:rPr>
          <w:rFonts w:ascii="Arial Narrow" w:hAnsi="Arial Narrow"/>
          <w:sz w:val="24"/>
          <w:szCs w:val="24"/>
        </w:rPr>
        <w:t>la servicii</w:t>
      </w:r>
      <w:r w:rsidRPr="00661CC3">
        <w:rPr>
          <w:rFonts w:ascii="Arial Narrow" w:hAnsi="Arial Narrow"/>
          <w:sz w:val="24"/>
          <w:szCs w:val="24"/>
        </w:rPr>
        <w:t xml:space="preserve"> medicale de </w:t>
      </w:r>
      <w:r>
        <w:rPr>
          <w:rFonts w:ascii="Arial Narrow" w:hAnsi="Arial Narrow"/>
          <w:sz w:val="24"/>
          <w:szCs w:val="24"/>
        </w:rPr>
        <w:t xml:space="preserve">calitate, personal medical bine pregătit și investiții care să susțină dezvoltarea continuă a acestui sector. </w:t>
      </w:r>
    </w:p>
    <w:p w:rsidR="00643600" w:rsidRPr="00FE5C30" w:rsidRDefault="00643600" w:rsidP="00643600">
      <w:pPr>
        <w:pStyle w:val="Listparagraf"/>
        <w:spacing w:after="0" w:line="240" w:lineRule="auto"/>
        <w:ind w:left="644"/>
        <w:jc w:val="both"/>
        <w:rPr>
          <w:rFonts w:ascii="Arial Narrow" w:hAnsi="Arial Narrow"/>
          <w:b/>
          <w:color w:val="000000"/>
          <w:sz w:val="24"/>
          <w:szCs w:val="24"/>
        </w:rPr>
      </w:pPr>
    </w:p>
    <w:p w:rsidR="00643600" w:rsidRDefault="00643600" w:rsidP="00643600">
      <w:pPr>
        <w:tabs>
          <w:tab w:val="left" w:pos="1635"/>
        </w:tabs>
        <w:spacing w:after="0" w:line="240" w:lineRule="auto"/>
        <w:jc w:val="both"/>
        <w:rPr>
          <w:rFonts w:ascii="Arial Narrow" w:hAnsi="Arial Narrow"/>
          <w:sz w:val="24"/>
          <w:szCs w:val="24"/>
        </w:rPr>
      </w:pPr>
      <w:r>
        <w:rPr>
          <w:rFonts w:ascii="Arial Narrow" w:hAnsi="Arial Narrow"/>
          <w:sz w:val="24"/>
          <w:szCs w:val="24"/>
        </w:rPr>
        <w:t xml:space="preserve">Pentru o avea o viziune de ansamblu asupra infrastructurii de sănătate, s-a pornit de la situația curentă și s-au identificat cele mai importante date statistice atât la nivel național, cât și regional. </w:t>
      </w:r>
    </w:p>
    <w:p w:rsidR="00643600" w:rsidRDefault="00643600" w:rsidP="00643600">
      <w:pPr>
        <w:tabs>
          <w:tab w:val="left" w:pos="1635"/>
        </w:tabs>
        <w:spacing w:after="0" w:line="240" w:lineRule="auto"/>
        <w:jc w:val="both"/>
        <w:rPr>
          <w:rFonts w:ascii="Arial Narrow" w:hAnsi="Arial Narrow"/>
          <w:sz w:val="24"/>
          <w:szCs w:val="24"/>
        </w:rPr>
      </w:pPr>
    </w:p>
    <w:p w:rsidR="00643600" w:rsidRDefault="00643600" w:rsidP="00643600">
      <w:pPr>
        <w:tabs>
          <w:tab w:val="left" w:pos="1635"/>
        </w:tabs>
        <w:spacing w:after="0" w:line="240" w:lineRule="auto"/>
        <w:jc w:val="both"/>
        <w:rPr>
          <w:rFonts w:ascii="Arial Narrow" w:hAnsi="Arial Narrow"/>
          <w:sz w:val="24"/>
          <w:szCs w:val="24"/>
        </w:rPr>
      </w:pPr>
      <w:r w:rsidRPr="005A0F19">
        <w:rPr>
          <w:rFonts w:ascii="Arial Narrow" w:hAnsi="Arial Narrow"/>
          <w:sz w:val="24"/>
          <w:szCs w:val="24"/>
        </w:rPr>
        <w:t xml:space="preserve">La nivel național, în perioada 2011-2015, infrastructura de sănătate s-a dezvoltat constant prin creșterea numărului de unități sanitare, așa cum rezultă din Graficul 1, cu excepția Regiunii Vest care a înregistrat un trend ușor descendent în perioada analizată.  </w:t>
      </w:r>
    </w:p>
    <w:p w:rsidR="00643600" w:rsidRDefault="00643600" w:rsidP="00643600">
      <w:pPr>
        <w:tabs>
          <w:tab w:val="left" w:pos="1635"/>
        </w:tabs>
        <w:spacing w:after="0" w:line="240" w:lineRule="auto"/>
        <w:jc w:val="both"/>
        <w:rPr>
          <w:rFonts w:ascii="Arial Narrow" w:hAnsi="Arial Narrow"/>
          <w:sz w:val="24"/>
          <w:szCs w:val="24"/>
        </w:rPr>
      </w:pPr>
      <w:r w:rsidRPr="00BB5483">
        <w:rPr>
          <w:rFonts w:ascii="Arial Narrow" w:hAnsi="Arial Narrow"/>
          <w:sz w:val="24"/>
          <w:szCs w:val="24"/>
        </w:rPr>
        <w:t>Unit</w:t>
      </w:r>
      <w:r w:rsidRPr="00BB5483">
        <w:rPr>
          <w:rFonts w:ascii="Arial Narrow" w:hAnsi="Arial Narrow"/>
          <w:sz w:val="24"/>
          <w:szCs w:val="24"/>
          <w:lang w:val="ro-RO"/>
        </w:rPr>
        <w:t>ă</w:t>
      </w:r>
      <w:r w:rsidRPr="00BB5483">
        <w:rPr>
          <w:rFonts w:ascii="Arial Narrow" w:hAnsi="Arial Narrow"/>
          <w:sz w:val="24"/>
          <w:szCs w:val="24"/>
        </w:rPr>
        <w:t>țile sanitare reprezintă unitățile care asigură populației asistență medicală curativă și profilactică prin următoarele unități sanitare din sectorul public și privat: spitale, dispensare medicale, policlinici, sanatorii, centre de diagnostic și tratament, ambulatorii integrate spitalelor și de specialitate, preventorii, cabinete medicale de familie, cabinete stomatologice, cabinete medicale de specialitate, cabinete medicale școlare/studențești, laboratoare medicale, creșe, farmacii și puncte farmaceutice etc.</w:t>
      </w:r>
    </w:p>
    <w:p w:rsidR="00643600" w:rsidRPr="005A0F19" w:rsidRDefault="00643600" w:rsidP="00643600">
      <w:pPr>
        <w:tabs>
          <w:tab w:val="left" w:pos="1635"/>
        </w:tabs>
        <w:spacing w:after="0" w:line="240" w:lineRule="auto"/>
        <w:jc w:val="both"/>
        <w:rPr>
          <w:rFonts w:ascii="Arial Narrow" w:hAnsi="Arial Narrow"/>
          <w:sz w:val="24"/>
          <w:szCs w:val="24"/>
        </w:rPr>
      </w:pPr>
    </w:p>
    <w:p w:rsidR="00643600" w:rsidRDefault="00643600" w:rsidP="00643600">
      <w:pPr>
        <w:tabs>
          <w:tab w:val="left" w:pos="1635"/>
        </w:tabs>
        <w:spacing w:after="0" w:line="240" w:lineRule="auto"/>
        <w:jc w:val="both"/>
        <w:rPr>
          <w:rFonts w:ascii="Arial Narrow" w:hAnsi="Arial Narrow"/>
          <w:sz w:val="24"/>
          <w:szCs w:val="24"/>
        </w:rPr>
      </w:pPr>
      <w:r w:rsidRPr="005A0F19">
        <w:rPr>
          <w:rFonts w:ascii="Arial Narrow" w:hAnsi="Arial Narrow"/>
          <w:sz w:val="24"/>
          <w:szCs w:val="24"/>
        </w:rPr>
        <w:t>Din totalul numărului de unități sanitare raportat la nivel național, cele mai multe sunt concentrate în Regiunea București-Ilfov, aceasta fiind bine reprezentată atât în sectorul public, cât și în cel privat.</w:t>
      </w:r>
    </w:p>
    <w:p w:rsidR="00643600" w:rsidRPr="005A0F19" w:rsidRDefault="00643600" w:rsidP="00643600">
      <w:pPr>
        <w:tabs>
          <w:tab w:val="left" w:pos="1635"/>
        </w:tabs>
        <w:spacing w:after="0" w:line="240" w:lineRule="auto"/>
        <w:jc w:val="both"/>
        <w:rPr>
          <w:rFonts w:ascii="Arial Narrow" w:hAnsi="Arial Narrow"/>
          <w:sz w:val="24"/>
          <w:szCs w:val="24"/>
        </w:rPr>
      </w:pPr>
    </w:p>
    <w:tbl>
      <w:tblPr>
        <w:tblW w:w="793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780"/>
        <w:gridCol w:w="1043"/>
        <w:gridCol w:w="992"/>
        <w:gridCol w:w="992"/>
        <w:gridCol w:w="992"/>
        <w:gridCol w:w="1134"/>
      </w:tblGrid>
      <w:tr w:rsidR="00643600" w:rsidRPr="00FE5C30" w:rsidTr="00643600">
        <w:trPr>
          <w:trHeight w:val="300"/>
          <w:jc w:val="center"/>
        </w:trPr>
        <w:tc>
          <w:tcPr>
            <w:tcW w:w="2780" w:type="dxa"/>
            <w:tcBorders>
              <w:top w:val="single" w:sz="4" w:space="0" w:color="FFFFFF"/>
              <w:left w:val="single" w:sz="4" w:space="0" w:color="FFFFFF"/>
              <w:right w:val="nil"/>
            </w:tcBorders>
            <w:shd w:val="clear" w:color="auto" w:fill="70AD47"/>
            <w:noWrap/>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Regiuni / Nr. unitati sanitare</w:t>
            </w:r>
          </w:p>
        </w:tc>
        <w:tc>
          <w:tcPr>
            <w:tcW w:w="1043" w:type="dxa"/>
            <w:tcBorders>
              <w:top w:val="single" w:sz="4" w:space="0" w:color="FFFFFF"/>
              <w:left w:val="nil"/>
              <w:right w:val="nil"/>
            </w:tcBorders>
            <w:shd w:val="clear" w:color="auto" w:fill="70AD47"/>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An 2011</w:t>
            </w:r>
          </w:p>
        </w:tc>
        <w:tc>
          <w:tcPr>
            <w:tcW w:w="992" w:type="dxa"/>
            <w:tcBorders>
              <w:top w:val="single" w:sz="4" w:space="0" w:color="FFFFFF"/>
              <w:left w:val="nil"/>
              <w:right w:val="nil"/>
            </w:tcBorders>
            <w:shd w:val="clear" w:color="auto" w:fill="70AD47"/>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An 2012</w:t>
            </w:r>
          </w:p>
        </w:tc>
        <w:tc>
          <w:tcPr>
            <w:tcW w:w="992" w:type="dxa"/>
            <w:tcBorders>
              <w:top w:val="single" w:sz="4" w:space="0" w:color="FFFFFF"/>
              <w:left w:val="nil"/>
              <w:right w:val="nil"/>
            </w:tcBorders>
            <w:shd w:val="clear" w:color="auto" w:fill="70AD47"/>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An 2013</w:t>
            </w:r>
          </w:p>
        </w:tc>
        <w:tc>
          <w:tcPr>
            <w:tcW w:w="992" w:type="dxa"/>
            <w:tcBorders>
              <w:top w:val="single" w:sz="4" w:space="0" w:color="FFFFFF"/>
              <w:left w:val="nil"/>
              <w:right w:val="nil"/>
            </w:tcBorders>
            <w:shd w:val="clear" w:color="auto" w:fill="70AD47"/>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An 2014</w:t>
            </w:r>
          </w:p>
        </w:tc>
        <w:tc>
          <w:tcPr>
            <w:tcW w:w="1134" w:type="dxa"/>
            <w:tcBorders>
              <w:top w:val="single" w:sz="4" w:space="0" w:color="FFFFFF"/>
              <w:left w:val="nil"/>
              <w:right w:val="single" w:sz="4" w:space="0" w:color="FFFFFF"/>
            </w:tcBorders>
            <w:shd w:val="clear" w:color="auto" w:fill="70AD47"/>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An 2015</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Cs/>
                <w:color w:val="000000"/>
                <w:sz w:val="20"/>
                <w:szCs w:val="20"/>
              </w:rPr>
              <w:t>Regiunea N-V</w:t>
            </w:r>
          </w:p>
        </w:tc>
        <w:tc>
          <w:tcPr>
            <w:tcW w:w="1043"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7239</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7451</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7652</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7723</w:t>
            </w:r>
          </w:p>
        </w:tc>
        <w:tc>
          <w:tcPr>
            <w:tcW w:w="1134"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Cs/>
                <w:color w:val="000000"/>
                <w:sz w:val="20"/>
                <w:szCs w:val="20"/>
              </w:rPr>
              <w:t>7878</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Regiunea CENTRU</w:t>
            </w:r>
          </w:p>
        </w:tc>
        <w:tc>
          <w:tcPr>
            <w:tcW w:w="1043"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6217</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6271</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6472</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6655</w:t>
            </w:r>
          </w:p>
        </w:tc>
        <w:tc>
          <w:tcPr>
            <w:tcW w:w="1134"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6810</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Regiunea N-E</w:t>
            </w:r>
          </w:p>
        </w:tc>
        <w:tc>
          <w:tcPr>
            <w:tcW w:w="1043"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7940</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8185</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8279</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8481</w:t>
            </w:r>
          </w:p>
        </w:tc>
        <w:tc>
          <w:tcPr>
            <w:tcW w:w="1134"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8709</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Regiunea S-E</w:t>
            </w:r>
          </w:p>
        </w:tc>
        <w:tc>
          <w:tcPr>
            <w:tcW w:w="1043"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6152</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6405</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6589</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6959</w:t>
            </w:r>
          </w:p>
        </w:tc>
        <w:tc>
          <w:tcPr>
            <w:tcW w:w="1134"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7316</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Regiunea Sud-Muntenia</w:t>
            </w:r>
          </w:p>
        </w:tc>
        <w:tc>
          <w:tcPr>
            <w:tcW w:w="1043"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6005</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6053</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6429</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6621</w:t>
            </w:r>
          </w:p>
        </w:tc>
        <w:tc>
          <w:tcPr>
            <w:tcW w:w="1134"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6874</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Regiunea B-If</w:t>
            </w:r>
          </w:p>
        </w:tc>
        <w:tc>
          <w:tcPr>
            <w:tcW w:w="1043"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8416</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8429</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8620</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9328</w:t>
            </w:r>
          </w:p>
        </w:tc>
        <w:tc>
          <w:tcPr>
            <w:tcW w:w="1134"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10206</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Regiunea S-V Oltenia</w:t>
            </w:r>
          </w:p>
        </w:tc>
        <w:tc>
          <w:tcPr>
            <w:tcW w:w="1043"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5111</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5405</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5654</w:t>
            </w:r>
          </w:p>
        </w:tc>
        <w:tc>
          <w:tcPr>
            <w:tcW w:w="992"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5446</w:t>
            </w:r>
          </w:p>
        </w:tc>
        <w:tc>
          <w:tcPr>
            <w:tcW w:w="1134" w:type="dxa"/>
            <w:shd w:val="clear" w:color="auto" w:fill="C5E0B3"/>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5558</w:t>
            </w:r>
          </w:p>
        </w:tc>
      </w:tr>
      <w:tr w:rsidR="00643600" w:rsidRPr="00FE5C30" w:rsidTr="00643600">
        <w:trPr>
          <w:trHeight w:val="300"/>
          <w:jc w:val="center"/>
        </w:trPr>
        <w:tc>
          <w:tcPr>
            <w:tcW w:w="2780" w:type="dxa"/>
            <w:tcBorders>
              <w:left w:val="single" w:sz="4" w:space="0" w:color="FFFFFF"/>
            </w:tcBorders>
            <w:shd w:val="clear" w:color="auto" w:fill="70AD47"/>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Regiunea Vest</w:t>
            </w:r>
          </w:p>
        </w:tc>
        <w:tc>
          <w:tcPr>
            <w:tcW w:w="1043"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5552</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5445</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5577</w:t>
            </w:r>
          </w:p>
        </w:tc>
        <w:tc>
          <w:tcPr>
            <w:tcW w:w="992"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5423</w:t>
            </w:r>
          </w:p>
        </w:tc>
        <w:tc>
          <w:tcPr>
            <w:tcW w:w="1134" w:type="dxa"/>
            <w:shd w:val="clear" w:color="auto" w:fill="E2EFD9"/>
            <w:noWrap/>
            <w:hideMark/>
          </w:tcPr>
          <w:p w:rsidR="00643600" w:rsidRPr="00FE5C30" w:rsidRDefault="00643600" w:rsidP="00643600">
            <w:pPr>
              <w:spacing w:after="0" w:line="240" w:lineRule="auto"/>
              <w:jc w:val="center"/>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5550</w:t>
            </w:r>
          </w:p>
        </w:tc>
      </w:tr>
      <w:tr w:rsidR="00643600" w:rsidRPr="00FE5C30" w:rsidTr="00643600">
        <w:trPr>
          <w:trHeight w:val="300"/>
          <w:jc w:val="center"/>
        </w:trPr>
        <w:tc>
          <w:tcPr>
            <w:tcW w:w="2780" w:type="dxa"/>
            <w:tcBorders>
              <w:left w:val="single" w:sz="4" w:space="0" w:color="FFFFFF"/>
              <w:bottom w:val="single" w:sz="4" w:space="0" w:color="FFFFFF"/>
            </w:tcBorders>
            <w:shd w:val="clear" w:color="auto" w:fill="70AD47"/>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Cs/>
                <w:color w:val="000000"/>
                <w:sz w:val="20"/>
                <w:szCs w:val="20"/>
              </w:rPr>
              <w:t>Total unitati la nivel national</w:t>
            </w:r>
          </w:p>
        </w:tc>
        <w:tc>
          <w:tcPr>
            <w:tcW w:w="1043" w:type="dxa"/>
            <w:shd w:val="clear" w:color="auto" w:fill="C5E0B3"/>
            <w:noWrap/>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52762</w:t>
            </w:r>
          </w:p>
        </w:tc>
        <w:tc>
          <w:tcPr>
            <w:tcW w:w="992" w:type="dxa"/>
            <w:shd w:val="clear" w:color="auto" w:fill="C5E0B3"/>
            <w:noWrap/>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53780</w:t>
            </w:r>
          </w:p>
        </w:tc>
        <w:tc>
          <w:tcPr>
            <w:tcW w:w="992" w:type="dxa"/>
            <w:shd w:val="clear" w:color="auto" w:fill="C5E0B3"/>
            <w:noWrap/>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55404</w:t>
            </w:r>
          </w:p>
        </w:tc>
        <w:tc>
          <w:tcPr>
            <w:tcW w:w="992" w:type="dxa"/>
            <w:shd w:val="clear" w:color="auto" w:fill="C5E0B3"/>
            <w:noWrap/>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56771</w:t>
            </w:r>
          </w:p>
        </w:tc>
        <w:tc>
          <w:tcPr>
            <w:tcW w:w="1134" w:type="dxa"/>
            <w:shd w:val="clear" w:color="auto" w:fill="C5E0B3"/>
            <w:noWrap/>
          </w:tcPr>
          <w:p w:rsidR="00643600" w:rsidRPr="00FE5C30" w:rsidRDefault="00643600" w:rsidP="00643600">
            <w:pPr>
              <w:spacing w:after="0" w:line="240" w:lineRule="auto"/>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59039</w:t>
            </w:r>
          </w:p>
        </w:tc>
      </w:tr>
    </w:tbl>
    <w:p w:rsidR="00643600" w:rsidRPr="005A0F19" w:rsidRDefault="00643600" w:rsidP="00643600">
      <w:pPr>
        <w:tabs>
          <w:tab w:val="left" w:pos="1635"/>
        </w:tabs>
        <w:spacing w:after="0" w:line="240" w:lineRule="auto"/>
        <w:jc w:val="both"/>
        <w:rPr>
          <w:rFonts w:ascii="Arial Narrow" w:hAnsi="Arial Narrow"/>
          <w:sz w:val="16"/>
          <w:szCs w:val="16"/>
        </w:rPr>
      </w:pPr>
      <w:r w:rsidRPr="005A0F19">
        <w:rPr>
          <w:rFonts w:ascii="Arial Narrow" w:hAnsi="Arial Narrow"/>
          <w:sz w:val="16"/>
          <w:szCs w:val="16"/>
        </w:rPr>
        <w:t xml:space="preserve">                                     Sursa datelor: Prelucrare după baza de date TEMPO, Institutul Național de Statistică</w:t>
      </w:r>
    </w:p>
    <w:p w:rsidR="00643600" w:rsidRDefault="00643600" w:rsidP="00643600">
      <w:pPr>
        <w:tabs>
          <w:tab w:val="left" w:pos="1635"/>
        </w:tabs>
        <w:spacing w:after="0" w:line="240" w:lineRule="auto"/>
        <w:jc w:val="both"/>
        <w:rPr>
          <w:rFonts w:ascii="Arial Narrow" w:hAnsi="Arial Narrow"/>
          <w:sz w:val="20"/>
          <w:szCs w:val="20"/>
        </w:rPr>
      </w:pPr>
    </w:p>
    <w:p w:rsidR="00643600" w:rsidRDefault="00643600"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6147D" w:rsidRDefault="0066147D" w:rsidP="00643600">
      <w:pPr>
        <w:tabs>
          <w:tab w:val="left" w:pos="1635"/>
        </w:tabs>
        <w:spacing w:after="0" w:line="240" w:lineRule="auto"/>
        <w:jc w:val="both"/>
        <w:rPr>
          <w:rFonts w:ascii="Arial Narrow" w:hAnsi="Arial Narrow"/>
          <w:sz w:val="20"/>
          <w:szCs w:val="20"/>
        </w:rPr>
      </w:pPr>
    </w:p>
    <w:p w:rsidR="00643600" w:rsidRPr="006C6D9C" w:rsidRDefault="00643600" w:rsidP="00643600">
      <w:pPr>
        <w:tabs>
          <w:tab w:val="left" w:pos="1635"/>
        </w:tabs>
        <w:spacing w:after="0" w:line="240" w:lineRule="auto"/>
        <w:jc w:val="both"/>
        <w:rPr>
          <w:rFonts w:ascii="Arial Narrow" w:hAnsi="Arial Narrow"/>
          <w:sz w:val="20"/>
          <w:szCs w:val="20"/>
        </w:rPr>
      </w:pPr>
      <w:r w:rsidRPr="006C6D9C">
        <w:rPr>
          <w:rFonts w:ascii="Arial Narrow" w:hAnsi="Arial Narrow"/>
          <w:sz w:val="20"/>
          <w:szCs w:val="20"/>
        </w:rPr>
        <w:lastRenderedPageBreak/>
        <w:t>Grafic 1</w:t>
      </w:r>
    </w:p>
    <w:p w:rsidR="00643600" w:rsidRPr="005A0F19" w:rsidRDefault="00643600" w:rsidP="00643600">
      <w:pPr>
        <w:tabs>
          <w:tab w:val="left" w:pos="1635"/>
        </w:tabs>
        <w:spacing w:after="0" w:line="240" w:lineRule="auto"/>
        <w:jc w:val="both"/>
        <w:rPr>
          <w:rFonts w:ascii="Arial Narrow" w:hAnsi="Arial Narrow"/>
          <w:sz w:val="24"/>
          <w:szCs w:val="24"/>
        </w:rPr>
      </w:pPr>
      <w:r>
        <w:rPr>
          <w:rFonts w:ascii="Arial Narrow" w:hAnsi="Arial Narrow"/>
          <w:noProof/>
          <w:sz w:val="24"/>
          <w:szCs w:val="24"/>
        </w:rPr>
        <w:drawing>
          <wp:inline distT="0" distB="0" distL="0" distR="0">
            <wp:extent cx="6000750" cy="1752600"/>
            <wp:effectExtent l="19050" t="0" r="19050" b="0"/>
            <wp:docPr id="59"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43600" w:rsidRDefault="00643600" w:rsidP="00643600">
      <w:pPr>
        <w:pStyle w:val="Default"/>
        <w:jc w:val="both"/>
        <w:rPr>
          <w:rFonts w:ascii="Arial Narrow" w:hAnsi="Arial Narrow"/>
          <w:sz w:val="18"/>
          <w:szCs w:val="18"/>
        </w:rPr>
      </w:pPr>
      <w:r w:rsidRPr="006B6C54">
        <w:rPr>
          <w:rFonts w:ascii="Arial Narrow" w:hAnsi="Arial Narrow"/>
          <w:sz w:val="18"/>
          <w:szCs w:val="18"/>
        </w:rPr>
        <w:t>Sursa datelor: Prelucrare după baza de date TEMPO, Institutul Național de Statistică</w:t>
      </w:r>
    </w:p>
    <w:p w:rsidR="00643600" w:rsidRDefault="00643600" w:rsidP="00643600">
      <w:pPr>
        <w:pStyle w:val="Default"/>
        <w:jc w:val="both"/>
        <w:rPr>
          <w:rFonts w:ascii="Arial Narrow" w:hAnsi="Arial Narrow"/>
        </w:rPr>
      </w:pPr>
    </w:p>
    <w:p w:rsidR="00643600" w:rsidRDefault="00643600" w:rsidP="00643600">
      <w:pPr>
        <w:pStyle w:val="Default"/>
        <w:jc w:val="both"/>
        <w:rPr>
          <w:rFonts w:ascii="Arial Narrow" w:hAnsi="Arial Narrow"/>
        </w:rPr>
      </w:pPr>
      <w:r>
        <w:rPr>
          <w:noProof/>
          <w:lang w:val="en-US"/>
        </w:rPr>
        <w:drawing>
          <wp:anchor distT="0" distB="0" distL="114300" distR="114300" simplePos="0" relativeHeight="251711488" behindDoc="0" locked="0" layoutInCell="1" allowOverlap="1">
            <wp:simplePos x="0" y="0"/>
            <wp:positionH relativeFrom="column">
              <wp:posOffset>2286</wp:posOffset>
            </wp:positionH>
            <wp:positionV relativeFrom="paragraph">
              <wp:posOffset>-4064</wp:posOffset>
            </wp:positionV>
            <wp:extent cx="3876802" cy="2514346"/>
            <wp:effectExtent l="6096" t="6096" r="6477" b="3048"/>
            <wp:wrapSquare wrapText="bothSides"/>
            <wp:docPr id="76" name="Diagramă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Pr>
          <w:rFonts w:ascii="Arial Narrow" w:hAnsi="Arial Narrow"/>
        </w:rPr>
        <w:t xml:space="preserve">Conform datelor statistice, la nivel național rezultă o medie de aproximativ 3 unități sanitare/1.000 locuitori (2.97). Cele mai multe unități sanitare au fost raportate în Regiunea </w:t>
      </w:r>
    </w:p>
    <w:p w:rsidR="00643600" w:rsidRDefault="00643600" w:rsidP="00643600">
      <w:pPr>
        <w:pStyle w:val="Default"/>
        <w:jc w:val="both"/>
        <w:rPr>
          <w:rFonts w:ascii="Arial Narrow" w:hAnsi="Arial Narrow"/>
        </w:rPr>
      </w:pPr>
      <w:r>
        <w:rPr>
          <w:rFonts w:ascii="Arial Narrow" w:hAnsi="Arial Narrow"/>
        </w:rPr>
        <w:t xml:space="preserve">București-Ilfov (4.47), în timp ce în Regiunea Sud-Muntenia s-a înregistrat cea mai scăzută valoare, 2.25 unități/1.000 locuitori. </w:t>
      </w:r>
    </w:p>
    <w:p w:rsidR="00643600" w:rsidRDefault="00643600" w:rsidP="00643600">
      <w:pPr>
        <w:pStyle w:val="Default"/>
        <w:jc w:val="both"/>
        <w:rPr>
          <w:rFonts w:ascii="Arial Narrow" w:hAnsi="Arial Narrow"/>
        </w:rPr>
      </w:pPr>
      <w:r>
        <w:rPr>
          <w:rFonts w:ascii="Arial Narrow" w:hAnsi="Arial Narrow"/>
        </w:rPr>
        <w:t xml:space="preserve">Regiunea Centru se clasează pe locul 5, cu o densitate de 2.90 unități sanitare, sub media     </w:t>
      </w:r>
    </w:p>
    <w:p w:rsidR="00643600" w:rsidRDefault="00643600" w:rsidP="00643600">
      <w:pPr>
        <w:pStyle w:val="Default"/>
        <w:jc w:val="both"/>
        <w:rPr>
          <w:rFonts w:ascii="Arial Narrow" w:hAnsi="Arial Narrow"/>
        </w:rPr>
      </w:pPr>
    </w:p>
    <w:p w:rsidR="00643600" w:rsidRPr="00D3591E" w:rsidRDefault="00643600" w:rsidP="00643600">
      <w:pPr>
        <w:pStyle w:val="Default"/>
        <w:jc w:val="both"/>
        <w:rPr>
          <w:rFonts w:ascii="Arial Narrow" w:hAnsi="Arial Narrow"/>
          <w:sz w:val="18"/>
          <w:szCs w:val="18"/>
        </w:rPr>
      </w:pPr>
      <w:r w:rsidRPr="006B6C54">
        <w:rPr>
          <w:rFonts w:ascii="Arial Narrow" w:hAnsi="Arial Narrow"/>
          <w:sz w:val="18"/>
          <w:szCs w:val="18"/>
        </w:rPr>
        <w:t>Sursa datelor: Prelucrare după baza de date TEMPO, Institutul Național de Statistică</w:t>
      </w:r>
    </w:p>
    <w:p w:rsidR="00643600" w:rsidRDefault="00643600" w:rsidP="00643600">
      <w:pPr>
        <w:pStyle w:val="Default"/>
        <w:jc w:val="both"/>
        <w:rPr>
          <w:rFonts w:ascii="Arial Narrow" w:hAnsi="Arial Narrow"/>
        </w:rPr>
      </w:pPr>
      <w:r>
        <w:rPr>
          <w:rFonts w:ascii="Arial Narrow" w:hAnsi="Arial Narrow"/>
        </w:rPr>
        <w:t xml:space="preserve">de la nivel național, cele mai multe unități fiind concentrate în principal în județele Mureș, Brașov și Sibiu. </w:t>
      </w:r>
    </w:p>
    <w:p w:rsidR="00643600" w:rsidRDefault="00643600" w:rsidP="00643600">
      <w:pPr>
        <w:pStyle w:val="Default"/>
        <w:jc w:val="both"/>
        <w:rPr>
          <w:rFonts w:ascii="Arial Narrow" w:hAnsi="Arial Narrow"/>
        </w:rPr>
      </w:pPr>
    </w:p>
    <w:p w:rsidR="00643600" w:rsidRPr="006B6C54" w:rsidRDefault="00643600" w:rsidP="00643600">
      <w:pPr>
        <w:pStyle w:val="Default"/>
        <w:jc w:val="both"/>
        <w:rPr>
          <w:rFonts w:ascii="Arial Narrow" w:hAnsi="Arial Narrow"/>
          <w:sz w:val="16"/>
          <w:szCs w:val="16"/>
          <w:vertAlign w:val="subscript"/>
        </w:rPr>
      </w:pPr>
      <w:r w:rsidRPr="005A0F19">
        <w:rPr>
          <w:rFonts w:ascii="Arial Narrow" w:hAnsi="Arial Narrow"/>
        </w:rPr>
        <w:t>Regiunea Centru a înregistrat un trend ascendent atât în ceea ce privește numărul total de unități sanitare, cât și pe categorii de unități sanitare, cea mai accelerată creștere înregistrându-se în domeniul privat, prin apariția unui număr semnificativ de cabinete stomatologice, cabinet</w:t>
      </w:r>
      <w:r>
        <w:rPr>
          <w:rFonts w:ascii="Arial Narrow" w:hAnsi="Arial Narrow"/>
        </w:rPr>
        <w:t>e</w:t>
      </w:r>
      <w:r w:rsidRPr="005A0F19">
        <w:rPr>
          <w:rFonts w:ascii="Arial Narrow" w:hAnsi="Arial Narrow"/>
        </w:rPr>
        <w:t xml:space="preserve"> medicale de specialitate, farmacii și laboratoare medicale.</w:t>
      </w:r>
    </w:p>
    <w:p w:rsidR="00643600" w:rsidRDefault="00643600" w:rsidP="00643600">
      <w:pPr>
        <w:pStyle w:val="Default"/>
        <w:jc w:val="both"/>
        <w:rPr>
          <w:rFonts w:ascii="Arial Narrow" w:hAnsi="Arial Narrow"/>
        </w:rPr>
      </w:pPr>
    </w:p>
    <w:p w:rsidR="00643600" w:rsidRPr="006C6D9C" w:rsidRDefault="00643600" w:rsidP="00643600">
      <w:pPr>
        <w:pStyle w:val="Default"/>
        <w:jc w:val="both"/>
        <w:rPr>
          <w:rFonts w:ascii="Arial Narrow" w:hAnsi="Arial Narrow"/>
          <w:sz w:val="20"/>
          <w:szCs w:val="20"/>
        </w:rPr>
      </w:pPr>
      <w:r w:rsidRPr="006C6D9C">
        <w:rPr>
          <w:rFonts w:ascii="Arial Narrow" w:hAnsi="Arial Narrow"/>
          <w:sz w:val="20"/>
          <w:szCs w:val="20"/>
        </w:rPr>
        <w:t xml:space="preserve">Tabelul 1 </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680"/>
        <w:gridCol w:w="700"/>
        <w:gridCol w:w="622"/>
        <w:gridCol w:w="700"/>
        <w:gridCol w:w="680"/>
      </w:tblGrid>
      <w:tr w:rsidR="00643600" w:rsidRPr="00FE5C30" w:rsidTr="00643600">
        <w:trPr>
          <w:trHeight w:val="510"/>
          <w:jc w:val="center"/>
        </w:trPr>
        <w:tc>
          <w:tcPr>
            <w:tcW w:w="6516" w:type="dxa"/>
            <w:shd w:val="clear" w:color="auto" w:fill="5B9BD5"/>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lang w:val="ro-RO"/>
              </w:rPr>
            </w:pPr>
            <w:r w:rsidRPr="00FE5C30">
              <w:rPr>
                <w:rFonts w:ascii="Arial Narrow" w:eastAsia="Times New Roman" w:hAnsi="Arial Narrow"/>
                <w:color w:val="000000"/>
                <w:sz w:val="20"/>
                <w:szCs w:val="20"/>
              </w:rPr>
              <w:t>Categorii de unități sanitare / Nr. unit</w:t>
            </w:r>
            <w:r w:rsidRPr="00FE5C30">
              <w:rPr>
                <w:rFonts w:ascii="Arial Narrow" w:eastAsia="Times New Roman" w:hAnsi="Arial Narrow"/>
                <w:color w:val="000000"/>
                <w:sz w:val="20"/>
                <w:szCs w:val="20"/>
                <w:lang w:val="ro-RO"/>
              </w:rPr>
              <w:t>ăți sanitare – Regiunea CENTRU</w:t>
            </w:r>
          </w:p>
        </w:tc>
        <w:tc>
          <w:tcPr>
            <w:tcW w:w="680" w:type="dxa"/>
            <w:shd w:val="clear" w:color="auto" w:fill="5B9BD5"/>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2011</w:t>
            </w:r>
          </w:p>
        </w:tc>
        <w:tc>
          <w:tcPr>
            <w:tcW w:w="700" w:type="dxa"/>
            <w:shd w:val="clear" w:color="auto" w:fill="5B9BD5"/>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2012</w:t>
            </w:r>
          </w:p>
        </w:tc>
        <w:tc>
          <w:tcPr>
            <w:tcW w:w="622" w:type="dxa"/>
            <w:shd w:val="clear" w:color="auto" w:fill="5B9BD5"/>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2013</w:t>
            </w:r>
          </w:p>
        </w:tc>
        <w:tc>
          <w:tcPr>
            <w:tcW w:w="700" w:type="dxa"/>
            <w:shd w:val="clear" w:color="auto" w:fill="5B9BD5"/>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2014</w:t>
            </w:r>
          </w:p>
        </w:tc>
        <w:tc>
          <w:tcPr>
            <w:tcW w:w="680" w:type="dxa"/>
            <w:shd w:val="clear" w:color="auto" w:fill="5B9BD5"/>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2015</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Spitale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59</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65</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69</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71</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Ambulatorii de specialitate si integrate spitalului</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59</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61</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65</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70</w:t>
            </w:r>
          </w:p>
        </w:tc>
        <w:tc>
          <w:tcPr>
            <w:tcW w:w="680" w:type="dxa"/>
            <w:shd w:val="clear" w:color="auto" w:fill="auto"/>
            <w:hideMark/>
          </w:tcPr>
          <w:p w:rsidR="00643600" w:rsidRPr="00FE5C30" w:rsidRDefault="00643600" w:rsidP="00643600">
            <w:pPr>
              <w:spacing w:after="0" w:line="240" w:lineRule="auto"/>
              <w:contextualSpacing/>
              <w:jc w:val="both"/>
              <w:rPr>
                <w:rFonts w:ascii="Arial Narrow" w:hAnsi="Arial Narrow"/>
                <w:bCs/>
                <w:color w:val="000000"/>
                <w:sz w:val="20"/>
                <w:szCs w:val="20"/>
              </w:rPr>
            </w:pPr>
            <w:r w:rsidRPr="00FE5C30">
              <w:rPr>
                <w:rFonts w:ascii="Arial Narrow" w:hAnsi="Arial Narrow"/>
                <w:bCs/>
                <w:color w:val="000000"/>
                <w:sz w:val="20"/>
                <w:szCs w:val="20"/>
              </w:rPr>
              <w:t>73</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Policlinici si dispensare medicale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90</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94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91</w:t>
            </w:r>
          </w:p>
        </w:tc>
        <w:tc>
          <w:tcPr>
            <w:tcW w:w="680" w:type="dxa"/>
            <w:shd w:val="clear" w:color="auto" w:fill="auto"/>
            <w:hideMark/>
          </w:tcPr>
          <w:p w:rsidR="00643600" w:rsidRPr="00FE5C30" w:rsidRDefault="00643600" w:rsidP="00643600">
            <w:pPr>
              <w:spacing w:after="0" w:line="240" w:lineRule="auto"/>
              <w:contextualSpacing/>
              <w:jc w:val="both"/>
              <w:rPr>
                <w:rFonts w:ascii="Arial Narrow" w:hAnsi="Arial Narrow"/>
                <w:bCs/>
                <w:color w:val="000000"/>
                <w:sz w:val="20"/>
                <w:szCs w:val="20"/>
              </w:rPr>
            </w:pPr>
            <w:r w:rsidRPr="00FE5C30">
              <w:rPr>
                <w:rFonts w:ascii="Arial Narrow" w:hAnsi="Arial Narrow"/>
                <w:bCs/>
                <w:color w:val="000000"/>
                <w:sz w:val="20"/>
                <w:szCs w:val="20"/>
              </w:rPr>
              <w:t>89</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Centre de sanatate si  sanatate mintala</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15</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15</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15</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16</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15</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Sanatorii TBC si balneare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Unitati medico-sociale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Centre de diagnostic si tratament</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Centre medicale de specialitate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7</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8</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13</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Cabinete medicale de medicina generala</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65</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63</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58</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52</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 xml:space="preserve">Cabinete medicale scolare si studentesti </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224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225</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221</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223</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229</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Cabinete medicale de familie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1423</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1418</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1428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1445</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1443</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Societate medicala civila</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16</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20</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lastRenderedPageBreak/>
              <w:t>Cabinete stomatologice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1404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1415</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1501</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1575</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1631</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 xml:space="preserve">Cabinete stomatologice scolare si studentesti </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41</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41</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40</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41</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40</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Cabinete medicale de specialitate si societate civila medicala de specialitate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1024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1019</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1016</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1083</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1145</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Farmacii si puncte farmaceutice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963</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1009</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1067</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1093</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1103</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Depozite farmaceutice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40</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39</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39</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40</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41</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Laboratoare medicale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394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390</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425</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427</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447</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Laboratoare de tehnica dentara</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314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321</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329</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316</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315</w:t>
            </w:r>
          </w:p>
        </w:tc>
      </w:tr>
      <w:tr w:rsidR="00643600" w:rsidRPr="00FE5C30" w:rsidTr="00643600">
        <w:trPr>
          <w:trHeight w:val="255"/>
          <w:jc w:val="center"/>
        </w:trPr>
        <w:tc>
          <w:tcPr>
            <w:tcW w:w="6516" w:type="dxa"/>
            <w:shd w:val="clear" w:color="auto" w:fill="FFFFFF"/>
            <w:hideMark/>
          </w:tcPr>
          <w:p w:rsidR="00643600" w:rsidRPr="00FE5C30" w:rsidRDefault="00643600" w:rsidP="00643600">
            <w:pPr>
              <w:tabs>
                <w:tab w:val="left" w:pos="4032"/>
              </w:tabs>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Centre de transfuzie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w:t>
            </w:r>
          </w:p>
        </w:tc>
      </w:tr>
      <w:tr w:rsidR="00643600" w:rsidRPr="00FE5C30" w:rsidTr="00643600">
        <w:trPr>
          <w:trHeight w:val="255"/>
          <w:jc w:val="center"/>
        </w:trPr>
        <w:tc>
          <w:tcPr>
            <w:tcW w:w="6516" w:type="dxa"/>
            <w:shd w:val="clear" w:color="auto" w:fill="FFFFFF"/>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Alte tipuri de cabinete medicale</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68</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68</w:t>
            </w:r>
          </w:p>
        </w:tc>
        <w:tc>
          <w:tcPr>
            <w:tcW w:w="622"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64</w:t>
            </w:r>
          </w:p>
        </w:tc>
        <w:tc>
          <w:tcPr>
            <w:tcW w:w="70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69</w:t>
            </w:r>
          </w:p>
        </w:tc>
        <w:tc>
          <w:tcPr>
            <w:tcW w:w="680" w:type="dxa"/>
            <w:shd w:val="clear" w:color="auto" w:fill="auto"/>
            <w:hideMark/>
          </w:tcPr>
          <w:p w:rsidR="00643600" w:rsidRPr="00FE5C30" w:rsidRDefault="00643600" w:rsidP="00643600">
            <w:pPr>
              <w:spacing w:after="0" w:line="240" w:lineRule="auto"/>
              <w:contextualSpacing/>
              <w:jc w:val="both"/>
              <w:rPr>
                <w:rFonts w:ascii="Arial Narrow" w:eastAsia="Times New Roman" w:hAnsi="Arial Narrow"/>
                <w:bCs/>
                <w:color w:val="000000"/>
                <w:sz w:val="20"/>
                <w:szCs w:val="20"/>
              </w:rPr>
            </w:pPr>
            <w:r w:rsidRPr="00FE5C30">
              <w:rPr>
                <w:rFonts w:ascii="Arial Narrow" w:eastAsia="Times New Roman" w:hAnsi="Arial Narrow"/>
                <w:bCs/>
                <w:color w:val="000000"/>
                <w:sz w:val="20"/>
                <w:szCs w:val="20"/>
              </w:rPr>
              <w:t>67</w:t>
            </w:r>
          </w:p>
        </w:tc>
      </w:tr>
      <w:tr w:rsidR="00643600" w:rsidRPr="00FE5C30" w:rsidTr="00643600">
        <w:trPr>
          <w:trHeight w:val="255"/>
          <w:jc w:val="center"/>
        </w:trPr>
        <w:tc>
          <w:tcPr>
            <w:tcW w:w="6516" w:type="dxa"/>
            <w:shd w:val="clear" w:color="auto" w:fill="FFFFFF"/>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color w:val="000000"/>
                <w:sz w:val="20"/>
                <w:szCs w:val="20"/>
              </w:rPr>
              <w:t>Total unități sanitare</w:t>
            </w:r>
          </w:p>
        </w:tc>
        <w:tc>
          <w:tcPr>
            <w:tcW w:w="680" w:type="dxa"/>
            <w:shd w:val="clear" w:color="auto" w:fill="auto"/>
          </w:tcPr>
          <w:p w:rsidR="00643600" w:rsidRPr="00FE5C30" w:rsidRDefault="00643600" w:rsidP="00643600">
            <w:pPr>
              <w:spacing w:after="0" w:line="240" w:lineRule="auto"/>
              <w:contextualSpacing/>
              <w:jc w:val="both"/>
              <w:rPr>
                <w:rFonts w:ascii="Arial Narrow" w:hAnsi="Arial Narrow"/>
                <w:b/>
                <w:bCs/>
                <w:color w:val="000000"/>
                <w:sz w:val="20"/>
                <w:szCs w:val="20"/>
              </w:rPr>
            </w:pPr>
            <w:r w:rsidRPr="00FE5C30">
              <w:rPr>
                <w:rFonts w:ascii="Arial Narrow" w:hAnsi="Arial Narrow"/>
                <w:b/>
                <w:bCs/>
                <w:color w:val="000000"/>
                <w:sz w:val="20"/>
                <w:szCs w:val="20"/>
              </w:rPr>
              <w:t>6217</w:t>
            </w:r>
          </w:p>
        </w:tc>
        <w:tc>
          <w:tcPr>
            <w:tcW w:w="700" w:type="dxa"/>
            <w:shd w:val="clear" w:color="auto" w:fill="auto"/>
          </w:tcPr>
          <w:p w:rsidR="00643600" w:rsidRPr="00FE5C30" w:rsidRDefault="00643600" w:rsidP="00643600">
            <w:pPr>
              <w:spacing w:after="0" w:line="240" w:lineRule="auto"/>
              <w:contextualSpacing/>
              <w:jc w:val="both"/>
              <w:rPr>
                <w:rFonts w:ascii="Arial Narrow" w:hAnsi="Arial Narrow"/>
                <w:b/>
                <w:bCs/>
                <w:color w:val="000000"/>
                <w:sz w:val="20"/>
                <w:szCs w:val="20"/>
              </w:rPr>
            </w:pPr>
            <w:r w:rsidRPr="00FE5C30">
              <w:rPr>
                <w:rFonts w:ascii="Arial Narrow" w:hAnsi="Arial Narrow"/>
                <w:b/>
                <w:bCs/>
                <w:color w:val="000000"/>
                <w:sz w:val="20"/>
                <w:szCs w:val="20"/>
              </w:rPr>
              <w:t>6271</w:t>
            </w:r>
          </w:p>
        </w:tc>
        <w:tc>
          <w:tcPr>
            <w:tcW w:w="622" w:type="dxa"/>
            <w:shd w:val="clear" w:color="auto" w:fill="auto"/>
          </w:tcPr>
          <w:p w:rsidR="00643600" w:rsidRPr="00FE5C30" w:rsidRDefault="00643600" w:rsidP="00643600">
            <w:pPr>
              <w:spacing w:after="0" w:line="240" w:lineRule="auto"/>
              <w:contextualSpacing/>
              <w:jc w:val="both"/>
              <w:rPr>
                <w:rFonts w:ascii="Arial Narrow" w:hAnsi="Arial Narrow"/>
                <w:b/>
                <w:bCs/>
                <w:color w:val="000000"/>
                <w:sz w:val="20"/>
                <w:szCs w:val="20"/>
              </w:rPr>
            </w:pPr>
            <w:r w:rsidRPr="00FE5C30">
              <w:rPr>
                <w:rFonts w:ascii="Arial Narrow" w:hAnsi="Arial Narrow"/>
                <w:b/>
                <w:bCs/>
                <w:color w:val="000000"/>
                <w:sz w:val="20"/>
                <w:szCs w:val="20"/>
              </w:rPr>
              <w:t>6472</w:t>
            </w:r>
          </w:p>
        </w:tc>
        <w:tc>
          <w:tcPr>
            <w:tcW w:w="700" w:type="dxa"/>
            <w:shd w:val="clear" w:color="auto" w:fill="auto"/>
          </w:tcPr>
          <w:p w:rsidR="00643600" w:rsidRPr="00FE5C30" w:rsidRDefault="00643600" w:rsidP="00643600">
            <w:pPr>
              <w:spacing w:after="0" w:line="240" w:lineRule="auto"/>
              <w:contextualSpacing/>
              <w:jc w:val="both"/>
              <w:rPr>
                <w:rFonts w:ascii="Arial Narrow" w:hAnsi="Arial Narrow"/>
                <w:b/>
                <w:bCs/>
                <w:color w:val="000000"/>
                <w:sz w:val="20"/>
                <w:szCs w:val="20"/>
              </w:rPr>
            </w:pPr>
            <w:r w:rsidRPr="00FE5C30">
              <w:rPr>
                <w:rFonts w:ascii="Arial Narrow" w:hAnsi="Arial Narrow"/>
                <w:b/>
                <w:bCs/>
                <w:color w:val="000000"/>
                <w:sz w:val="20"/>
                <w:szCs w:val="20"/>
              </w:rPr>
              <w:t>6655</w:t>
            </w:r>
          </w:p>
        </w:tc>
        <w:tc>
          <w:tcPr>
            <w:tcW w:w="680" w:type="dxa"/>
            <w:shd w:val="clear" w:color="auto" w:fill="auto"/>
          </w:tcPr>
          <w:p w:rsidR="00643600" w:rsidRPr="00FE5C30" w:rsidRDefault="00643600" w:rsidP="00643600">
            <w:pPr>
              <w:spacing w:after="0" w:line="240" w:lineRule="auto"/>
              <w:contextualSpacing/>
              <w:jc w:val="both"/>
              <w:rPr>
                <w:rFonts w:ascii="Arial Narrow" w:hAnsi="Arial Narrow"/>
                <w:b/>
                <w:bCs/>
                <w:color w:val="000000"/>
                <w:sz w:val="20"/>
                <w:szCs w:val="20"/>
              </w:rPr>
            </w:pPr>
            <w:r w:rsidRPr="00FE5C30">
              <w:rPr>
                <w:rFonts w:ascii="Arial Narrow" w:hAnsi="Arial Narrow"/>
                <w:b/>
                <w:bCs/>
                <w:color w:val="000000"/>
                <w:sz w:val="20"/>
                <w:szCs w:val="20"/>
              </w:rPr>
              <w:t>6810</w:t>
            </w:r>
          </w:p>
        </w:tc>
      </w:tr>
    </w:tbl>
    <w:p w:rsidR="00643600" w:rsidRPr="005A0F19" w:rsidRDefault="00643600" w:rsidP="00643600">
      <w:pPr>
        <w:pStyle w:val="Default"/>
        <w:jc w:val="both"/>
        <w:rPr>
          <w:rFonts w:ascii="Arial Narrow" w:hAnsi="Arial Narrow"/>
          <w:sz w:val="16"/>
          <w:szCs w:val="16"/>
        </w:rPr>
      </w:pPr>
      <w:r w:rsidRPr="005A0F19">
        <w:rPr>
          <w:rFonts w:ascii="Arial Narrow" w:hAnsi="Arial Narrow"/>
          <w:sz w:val="16"/>
          <w:szCs w:val="16"/>
        </w:rPr>
        <w:t>Sursa datelor: Prelucrare după baza de date TEMPO, Institutul Național de Statistică</w:t>
      </w:r>
    </w:p>
    <w:p w:rsidR="00643600" w:rsidRPr="005A0F19" w:rsidRDefault="00643600" w:rsidP="00643600">
      <w:pPr>
        <w:tabs>
          <w:tab w:val="left" w:pos="1635"/>
        </w:tabs>
        <w:spacing w:after="0" w:line="240" w:lineRule="auto"/>
        <w:jc w:val="both"/>
        <w:rPr>
          <w:rFonts w:ascii="Arial Narrow" w:hAnsi="Arial Narrow"/>
          <w:sz w:val="16"/>
          <w:szCs w:val="16"/>
        </w:rPr>
      </w:pPr>
    </w:p>
    <w:p w:rsidR="00643600" w:rsidRPr="006B6C54" w:rsidRDefault="00643600" w:rsidP="00643600">
      <w:pPr>
        <w:tabs>
          <w:tab w:val="left" w:pos="1635"/>
        </w:tabs>
        <w:spacing w:after="0" w:line="240" w:lineRule="auto"/>
        <w:jc w:val="both"/>
        <w:rPr>
          <w:rFonts w:ascii="Arial Narrow" w:hAnsi="Arial Narrow"/>
          <w:sz w:val="24"/>
          <w:szCs w:val="24"/>
        </w:rPr>
      </w:pPr>
      <w:r w:rsidRPr="005A0F19">
        <w:rPr>
          <w:rFonts w:ascii="Arial Narrow" w:hAnsi="Arial Narrow"/>
          <w:sz w:val="24"/>
          <w:szCs w:val="24"/>
        </w:rPr>
        <w:t>În continuare, a fost realizată o analiză a evoluției numărului de unități active pe piața de servicii medicale care au raportat activitate pe codurile CAEN din clasa 86 “Activități referitoare la sănătatea umană”, atât din sistemul public, cât și din cel privat.</w:t>
      </w:r>
      <w:r>
        <w:rPr>
          <w:rFonts w:ascii="Arial Narrow" w:hAnsi="Arial Narrow"/>
          <w:sz w:val="24"/>
          <w:szCs w:val="24"/>
        </w:rPr>
        <w:t xml:space="preserve"> </w:t>
      </w:r>
    </w:p>
    <w:p w:rsidR="00643600" w:rsidRDefault="00643600" w:rsidP="00643600">
      <w:pPr>
        <w:tabs>
          <w:tab w:val="left" w:pos="1635"/>
        </w:tabs>
        <w:spacing w:after="0" w:line="240" w:lineRule="auto"/>
        <w:jc w:val="both"/>
        <w:rPr>
          <w:rFonts w:ascii="Arial Narrow" w:hAnsi="Arial Narrow"/>
          <w:sz w:val="24"/>
          <w:szCs w:val="24"/>
        </w:rPr>
      </w:pPr>
      <w:r w:rsidRPr="005A0F19">
        <w:rPr>
          <w:rFonts w:ascii="Arial Narrow" w:hAnsi="Arial Narrow"/>
          <w:sz w:val="24"/>
          <w:szCs w:val="24"/>
        </w:rPr>
        <w:t xml:space="preserve"> </w:t>
      </w:r>
      <w:r>
        <w:rPr>
          <w:rFonts w:ascii="Arial Narrow" w:hAnsi="Arial Narrow"/>
          <w:noProof/>
          <w:sz w:val="24"/>
          <w:szCs w:val="24"/>
        </w:rPr>
        <w:drawing>
          <wp:inline distT="0" distB="0" distL="0" distR="0">
            <wp:extent cx="5886450" cy="2857500"/>
            <wp:effectExtent l="19050" t="0" r="19050" b="0"/>
            <wp:docPr id="58" name="Diagramă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43600" w:rsidRPr="006B6C54" w:rsidRDefault="00643600" w:rsidP="00643600">
      <w:pPr>
        <w:pStyle w:val="Default"/>
        <w:jc w:val="both"/>
        <w:rPr>
          <w:rFonts w:ascii="Arial Narrow" w:hAnsi="Arial Narrow"/>
          <w:sz w:val="18"/>
          <w:szCs w:val="18"/>
        </w:rPr>
      </w:pPr>
      <w:r w:rsidRPr="006B6C54">
        <w:rPr>
          <w:rFonts w:ascii="Arial Narrow" w:hAnsi="Arial Narrow"/>
          <w:sz w:val="18"/>
          <w:szCs w:val="18"/>
        </w:rPr>
        <w:t>Sursa datelor: Prelucrare după baza de date TEMPO, Institutul Național de Statistică</w:t>
      </w:r>
      <w:r>
        <w:rPr>
          <w:rFonts w:ascii="Arial Narrow" w:hAnsi="Arial Narrow"/>
          <w:sz w:val="18"/>
          <w:szCs w:val="18"/>
        </w:rPr>
        <w:t xml:space="preserve">, </w:t>
      </w:r>
      <w:r w:rsidRPr="005842E8">
        <w:rPr>
          <w:rFonts w:ascii="Arial Narrow" w:hAnsi="Arial Narrow"/>
          <w:sz w:val="18"/>
          <w:szCs w:val="18"/>
        </w:rPr>
        <w:t xml:space="preserve">date disponibile </w:t>
      </w:r>
      <w:r>
        <w:rPr>
          <w:rFonts w:ascii="Arial Narrow" w:hAnsi="Arial Narrow"/>
          <w:sz w:val="18"/>
          <w:szCs w:val="18"/>
        </w:rPr>
        <w:t>la nivelul anului 2014</w:t>
      </w:r>
    </w:p>
    <w:p w:rsidR="00643600" w:rsidRDefault="00643600" w:rsidP="00643600">
      <w:pPr>
        <w:tabs>
          <w:tab w:val="left" w:pos="1635"/>
        </w:tabs>
        <w:spacing w:after="0" w:line="240" w:lineRule="auto"/>
        <w:jc w:val="both"/>
        <w:rPr>
          <w:rFonts w:ascii="Arial Narrow" w:hAnsi="Arial Narrow"/>
          <w:sz w:val="24"/>
          <w:szCs w:val="24"/>
          <w:lang w:val="ro-RO"/>
        </w:rPr>
      </w:pPr>
    </w:p>
    <w:p w:rsidR="00643600" w:rsidRDefault="00643600" w:rsidP="00643600">
      <w:pPr>
        <w:tabs>
          <w:tab w:val="left" w:pos="1635"/>
        </w:tabs>
        <w:spacing w:after="0" w:line="240" w:lineRule="auto"/>
        <w:jc w:val="both"/>
        <w:rPr>
          <w:rFonts w:ascii="Arial Narrow" w:hAnsi="Arial Narrow"/>
          <w:sz w:val="24"/>
          <w:szCs w:val="24"/>
        </w:rPr>
      </w:pPr>
      <w:r w:rsidRPr="005A0F19">
        <w:rPr>
          <w:rFonts w:ascii="Arial Narrow" w:hAnsi="Arial Narrow"/>
          <w:sz w:val="24"/>
          <w:szCs w:val="24"/>
        </w:rPr>
        <w:t>La nivel național, cei mai mulți furnizori de servicii medicale desfășoară activități de asistență stomatologică și asistență medicală specializată (clinici</w:t>
      </w:r>
      <w:r>
        <w:rPr>
          <w:rFonts w:ascii="Arial Narrow" w:hAnsi="Arial Narrow"/>
          <w:sz w:val="24"/>
          <w:szCs w:val="24"/>
        </w:rPr>
        <w:t>/centre medicale</w:t>
      </w:r>
      <w:r w:rsidRPr="005A0F19">
        <w:rPr>
          <w:rFonts w:ascii="Arial Narrow" w:hAnsi="Arial Narrow"/>
          <w:sz w:val="24"/>
          <w:szCs w:val="24"/>
        </w:rPr>
        <w:t xml:space="preserve"> private). Se observă, în perioada analizată, o creștere constantă a numărului de unități active, anul 2012 fiind singurul în care s-au înregistrat ușoare scăderi ale numărului de furnizori de servicii medicale. Cu toate acestea, zona privată de </w:t>
      </w:r>
      <w:r>
        <w:rPr>
          <w:rFonts w:ascii="Arial Narrow" w:hAnsi="Arial Narrow"/>
          <w:sz w:val="24"/>
          <w:szCs w:val="24"/>
        </w:rPr>
        <w:t>companii care desfășoară activități de asistență medicală specializată</w:t>
      </w:r>
      <w:r w:rsidRPr="005A0F19">
        <w:rPr>
          <w:rFonts w:ascii="Arial Narrow" w:hAnsi="Arial Narrow"/>
          <w:sz w:val="24"/>
          <w:szCs w:val="24"/>
        </w:rPr>
        <w:t xml:space="preserve"> </w:t>
      </w:r>
      <w:r>
        <w:rPr>
          <w:rFonts w:ascii="Arial Narrow" w:hAnsi="Arial Narrow"/>
          <w:sz w:val="24"/>
          <w:szCs w:val="24"/>
        </w:rPr>
        <w:t xml:space="preserve">(CAEN 8622) </w:t>
      </w:r>
      <w:r w:rsidRPr="005A0F19">
        <w:rPr>
          <w:rFonts w:ascii="Arial Narrow" w:hAnsi="Arial Narrow"/>
          <w:sz w:val="24"/>
          <w:szCs w:val="24"/>
        </w:rPr>
        <w:t>a înregistrat creșteri semnificative în fiecare an, ajungând în anul 2014 la peste 3</w:t>
      </w:r>
      <w:r>
        <w:rPr>
          <w:rFonts w:ascii="Arial Narrow" w:hAnsi="Arial Narrow"/>
          <w:sz w:val="24"/>
          <w:szCs w:val="24"/>
        </w:rPr>
        <w:t>.</w:t>
      </w:r>
      <w:r w:rsidRPr="005A0F19">
        <w:rPr>
          <w:rFonts w:ascii="Arial Narrow" w:hAnsi="Arial Narrow"/>
          <w:sz w:val="24"/>
          <w:szCs w:val="24"/>
        </w:rPr>
        <w:t xml:space="preserve">000 de unități active. </w:t>
      </w:r>
    </w:p>
    <w:p w:rsidR="00643600" w:rsidRPr="00545737" w:rsidRDefault="00643600" w:rsidP="00643600">
      <w:pPr>
        <w:tabs>
          <w:tab w:val="left" w:pos="1635"/>
        </w:tabs>
        <w:spacing w:after="0" w:line="240" w:lineRule="auto"/>
        <w:jc w:val="both"/>
        <w:rPr>
          <w:rFonts w:ascii="Arial Narrow" w:hAnsi="Arial Narrow"/>
          <w:sz w:val="24"/>
          <w:szCs w:val="24"/>
        </w:rPr>
      </w:pPr>
    </w:p>
    <w:p w:rsidR="00643600" w:rsidRPr="005A0F19" w:rsidRDefault="00643600" w:rsidP="00643600">
      <w:pPr>
        <w:tabs>
          <w:tab w:val="left" w:pos="1635"/>
        </w:tabs>
        <w:spacing w:after="0" w:line="24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6186170" cy="2496185"/>
            <wp:effectExtent l="19050" t="0" r="24130" b="0"/>
            <wp:docPr id="57" name="Diagramă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43600" w:rsidRPr="00F803A6" w:rsidRDefault="00643600" w:rsidP="00643600">
      <w:pPr>
        <w:pStyle w:val="Default"/>
        <w:jc w:val="both"/>
        <w:rPr>
          <w:rFonts w:ascii="Arial Narrow" w:hAnsi="Arial Narrow"/>
          <w:sz w:val="18"/>
          <w:szCs w:val="18"/>
        </w:rPr>
      </w:pPr>
      <w:r w:rsidRPr="006B6C54">
        <w:rPr>
          <w:rFonts w:ascii="Arial Narrow" w:hAnsi="Arial Narrow"/>
          <w:sz w:val="18"/>
          <w:szCs w:val="18"/>
        </w:rPr>
        <w:t>Sursa datelor: Prelucrare după baza de date TEMPO, Institutul Național de Statistică</w:t>
      </w:r>
      <w:r>
        <w:rPr>
          <w:rFonts w:ascii="Arial Narrow" w:hAnsi="Arial Narrow"/>
          <w:sz w:val="18"/>
          <w:szCs w:val="18"/>
        </w:rPr>
        <w:t xml:space="preserve">, </w:t>
      </w:r>
      <w:r w:rsidRPr="005842E8">
        <w:rPr>
          <w:rFonts w:ascii="Arial Narrow" w:hAnsi="Arial Narrow"/>
          <w:sz w:val="18"/>
          <w:szCs w:val="18"/>
        </w:rPr>
        <w:t xml:space="preserve">date disponibile </w:t>
      </w:r>
      <w:r>
        <w:rPr>
          <w:rFonts w:ascii="Arial Narrow" w:hAnsi="Arial Narrow"/>
          <w:sz w:val="18"/>
          <w:szCs w:val="18"/>
        </w:rPr>
        <w:t>la nivelul anului 2014</w:t>
      </w:r>
    </w:p>
    <w:p w:rsidR="00643600" w:rsidRDefault="00643600" w:rsidP="00643600">
      <w:pPr>
        <w:tabs>
          <w:tab w:val="left" w:pos="1635"/>
        </w:tabs>
        <w:spacing w:after="0" w:line="240" w:lineRule="auto"/>
        <w:jc w:val="both"/>
        <w:rPr>
          <w:rFonts w:ascii="Arial Narrow" w:hAnsi="Arial Narrow"/>
          <w:sz w:val="24"/>
          <w:szCs w:val="24"/>
        </w:rPr>
      </w:pPr>
    </w:p>
    <w:p w:rsidR="00643600" w:rsidRPr="005A0F19" w:rsidRDefault="00643600" w:rsidP="00643600">
      <w:pPr>
        <w:tabs>
          <w:tab w:val="left" w:pos="1635"/>
        </w:tabs>
        <w:spacing w:after="0" w:line="240" w:lineRule="auto"/>
        <w:jc w:val="both"/>
        <w:rPr>
          <w:rFonts w:ascii="Arial Narrow" w:hAnsi="Arial Narrow"/>
          <w:sz w:val="24"/>
          <w:szCs w:val="24"/>
        </w:rPr>
      </w:pPr>
      <w:r>
        <w:rPr>
          <w:rFonts w:ascii="Arial Narrow" w:hAnsi="Arial Narrow"/>
          <w:sz w:val="24"/>
          <w:szCs w:val="24"/>
        </w:rPr>
        <w:t>În aceeași perioadă</w:t>
      </w:r>
      <w:r w:rsidRPr="005A0F19">
        <w:rPr>
          <w:rFonts w:ascii="Arial Narrow" w:hAnsi="Arial Narrow"/>
          <w:sz w:val="24"/>
          <w:szCs w:val="24"/>
        </w:rPr>
        <w:t>, Regiunea Centru a urmat un trend diferit de cel de la nivel național, ea înregistrând în mare parte o stagnare în ceea ce privește numărul de spitale și unități de asistență medicală și o ușoară creștere în zona de cabinete stomatologice și unități care desfășoară alte activități referitoare la sănătatea umană. Singura creștere seminficativă s-</w:t>
      </w:r>
      <w:r>
        <w:rPr>
          <w:rFonts w:ascii="Arial Narrow" w:hAnsi="Arial Narrow"/>
          <w:sz w:val="24"/>
          <w:szCs w:val="24"/>
        </w:rPr>
        <w:t>a înregistrat în zona de centre medicale</w:t>
      </w:r>
      <w:r w:rsidRPr="005A0F19">
        <w:rPr>
          <w:rFonts w:ascii="Arial Narrow" w:hAnsi="Arial Narrow"/>
          <w:sz w:val="24"/>
          <w:szCs w:val="24"/>
        </w:rPr>
        <w:t xml:space="preserve"> private, ace</w:t>
      </w:r>
      <w:r>
        <w:rPr>
          <w:rFonts w:ascii="Arial Narrow" w:hAnsi="Arial Narrow"/>
          <w:sz w:val="24"/>
          <w:szCs w:val="24"/>
        </w:rPr>
        <w:t>a</w:t>
      </w:r>
      <w:r w:rsidRPr="005A0F19">
        <w:rPr>
          <w:rFonts w:ascii="Arial Narrow" w:hAnsi="Arial Narrow"/>
          <w:sz w:val="24"/>
          <w:szCs w:val="24"/>
        </w:rPr>
        <w:t xml:space="preserve">sta ajungând la peste 400 de unități, Regiunea Centru având o pondere de 13,5% din numărul de unități active </w:t>
      </w:r>
      <w:r>
        <w:rPr>
          <w:rFonts w:ascii="Arial Narrow" w:hAnsi="Arial Narrow"/>
          <w:sz w:val="24"/>
          <w:szCs w:val="24"/>
        </w:rPr>
        <w:t xml:space="preserve">de </w:t>
      </w:r>
      <w:r w:rsidRPr="005A0F19">
        <w:rPr>
          <w:rFonts w:ascii="Arial Narrow" w:hAnsi="Arial Narrow"/>
          <w:sz w:val="24"/>
          <w:szCs w:val="24"/>
        </w:rPr>
        <w:t xml:space="preserve">asistență medicală specializată de la nivel </w:t>
      </w:r>
      <w:r>
        <w:rPr>
          <w:rFonts w:ascii="Arial Narrow" w:hAnsi="Arial Narrow"/>
          <w:sz w:val="24"/>
          <w:szCs w:val="24"/>
        </w:rPr>
        <w:t>național</w:t>
      </w:r>
      <w:r w:rsidRPr="005A0F19">
        <w:rPr>
          <w:rFonts w:ascii="Arial Narrow" w:hAnsi="Arial Narrow"/>
          <w:sz w:val="24"/>
          <w:szCs w:val="24"/>
        </w:rPr>
        <w:t>.</w:t>
      </w:r>
    </w:p>
    <w:p w:rsidR="00643600" w:rsidRPr="005A0F19" w:rsidRDefault="00643600" w:rsidP="00643600">
      <w:pPr>
        <w:tabs>
          <w:tab w:val="left" w:pos="1635"/>
        </w:tabs>
        <w:spacing w:after="0" w:line="240" w:lineRule="auto"/>
        <w:jc w:val="both"/>
        <w:rPr>
          <w:rFonts w:ascii="Arial Narrow" w:hAnsi="Arial Narrow"/>
          <w:sz w:val="24"/>
          <w:szCs w:val="24"/>
        </w:rPr>
      </w:pPr>
      <w:r>
        <w:rPr>
          <w:rFonts w:ascii="Arial Narrow" w:hAnsi="Arial Narrow"/>
          <w:sz w:val="24"/>
          <w:szCs w:val="24"/>
        </w:rPr>
        <w:t>Referitor la</w:t>
      </w:r>
      <w:r w:rsidRPr="005A0F19">
        <w:rPr>
          <w:rFonts w:ascii="Arial Narrow" w:hAnsi="Arial Narrow"/>
          <w:sz w:val="24"/>
          <w:szCs w:val="24"/>
        </w:rPr>
        <w:t xml:space="preserve"> numărul total de unități active pe piața de servicii medicale, se constată un ecart semnificativ între Regiunea București-Ilfov care deține 28% din ponderea totală și celelalte regiuni, diferența fiind distribuită uniform, între 9-12%. </w:t>
      </w:r>
    </w:p>
    <w:p w:rsidR="00643600" w:rsidRDefault="00643600" w:rsidP="00643600">
      <w:pPr>
        <w:tabs>
          <w:tab w:val="left" w:pos="1635"/>
        </w:tabs>
        <w:spacing w:after="0" w:line="240" w:lineRule="auto"/>
        <w:jc w:val="both"/>
        <w:rPr>
          <w:rFonts w:ascii="Arial Narrow" w:hAnsi="Arial Narrow"/>
          <w:sz w:val="24"/>
          <w:szCs w:val="24"/>
        </w:rPr>
      </w:pPr>
    </w:p>
    <w:p w:rsidR="003D1904" w:rsidRPr="005A0F19" w:rsidRDefault="003D1904" w:rsidP="00643600">
      <w:pPr>
        <w:tabs>
          <w:tab w:val="left" w:pos="1635"/>
        </w:tabs>
        <w:spacing w:after="0" w:line="240" w:lineRule="auto"/>
        <w:jc w:val="both"/>
        <w:rPr>
          <w:rFonts w:ascii="Arial Narrow" w:hAnsi="Arial Narrow"/>
          <w:sz w:val="24"/>
          <w:szCs w:val="24"/>
        </w:rPr>
      </w:pPr>
      <w:r>
        <w:rPr>
          <w:rFonts w:ascii="Arial Narrow" w:hAnsi="Arial Narrow"/>
          <w:noProof/>
          <w:sz w:val="24"/>
          <w:szCs w:val="24"/>
        </w:rPr>
        <w:drawing>
          <wp:inline distT="0" distB="0" distL="0" distR="0">
            <wp:extent cx="3419184" cy="2733675"/>
            <wp:effectExtent l="19050" t="0" r="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r="1446" b="1802"/>
                    <a:stretch>
                      <a:fillRect/>
                    </a:stretch>
                  </pic:blipFill>
                  <pic:spPr bwMode="auto">
                    <a:xfrm>
                      <a:off x="0" y="0"/>
                      <a:ext cx="3421561" cy="2735575"/>
                    </a:xfrm>
                    <a:prstGeom prst="rect">
                      <a:avLst/>
                    </a:prstGeom>
                    <a:noFill/>
                    <a:ln>
                      <a:noFill/>
                    </a:ln>
                  </pic:spPr>
                </pic:pic>
              </a:graphicData>
            </a:graphic>
          </wp:inline>
        </w:drawing>
      </w:r>
      <w:r>
        <w:rPr>
          <w:rFonts w:ascii="Arial Narrow" w:hAnsi="Arial Narrow"/>
          <w:noProof/>
          <w:sz w:val="24"/>
          <w:szCs w:val="24"/>
        </w:rPr>
        <w:drawing>
          <wp:inline distT="0" distB="0" distL="0" distR="0">
            <wp:extent cx="2228850" cy="2420580"/>
            <wp:effectExtent l="19050" t="0" r="0" b="0"/>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a:srcRect r="2105" b="9009"/>
                    <a:stretch>
                      <a:fillRect/>
                    </a:stretch>
                  </pic:blipFill>
                  <pic:spPr bwMode="auto">
                    <a:xfrm>
                      <a:off x="0" y="0"/>
                      <a:ext cx="2230391" cy="2422254"/>
                    </a:xfrm>
                    <a:prstGeom prst="rect">
                      <a:avLst/>
                    </a:prstGeom>
                    <a:noFill/>
                    <a:ln>
                      <a:noFill/>
                    </a:ln>
                  </pic:spPr>
                </pic:pic>
              </a:graphicData>
            </a:graphic>
          </wp:inline>
        </w:drawing>
      </w:r>
    </w:p>
    <w:p w:rsidR="00643600" w:rsidRDefault="00643600" w:rsidP="00643600">
      <w:pPr>
        <w:pStyle w:val="Default"/>
        <w:jc w:val="both"/>
        <w:rPr>
          <w:rFonts w:ascii="Arial Narrow" w:hAnsi="Arial Narrow"/>
          <w:sz w:val="18"/>
          <w:szCs w:val="18"/>
        </w:rPr>
      </w:pPr>
    </w:p>
    <w:p w:rsidR="00643600" w:rsidRPr="00F803A6" w:rsidRDefault="00643600" w:rsidP="00643600">
      <w:pPr>
        <w:pStyle w:val="Default"/>
        <w:jc w:val="both"/>
        <w:rPr>
          <w:rFonts w:ascii="Arial Narrow" w:hAnsi="Arial Narrow"/>
          <w:sz w:val="18"/>
          <w:szCs w:val="18"/>
        </w:rPr>
      </w:pPr>
      <w:r w:rsidRPr="006B6C54">
        <w:rPr>
          <w:rFonts w:ascii="Arial Narrow" w:hAnsi="Arial Narrow"/>
          <w:sz w:val="18"/>
          <w:szCs w:val="18"/>
        </w:rPr>
        <w:t>Sursa datelor: Prelucrare după baza de date TEMPO, Institutul Național de Statistică</w:t>
      </w:r>
    </w:p>
    <w:p w:rsidR="00643600" w:rsidRDefault="00643600" w:rsidP="00643600">
      <w:pPr>
        <w:tabs>
          <w:tab w:val="left" w:pos="1635"/>
        </w:tabs>
        <w:spacing w:after="0" w:line="240" w:lineRule="auto"/>
        <w:jc w:val="both"/>
        <w:rPr>
          <w:rFonts w:ascii="Arial Narrow" w:hAnsi="Arial Narrow"/>
          <w:sz w:val="24"/>
          <w:szCs w:val="24"/>
        </w:rPr>
      </w:pPr>
    </w:p>
    <w:p w:rsidR="00643600" w:rsidRPr="005A0F19" w:rsidRDefault="00643600" w:rsidP="00643600">
      <w:pPr>
        <w:tabs>
          <w:tab w:val="left" w:pos="1635"/>
        </w:tabs>
        <w:spacing w:after="0" w:line="240" w:lineRule="auto"/>
        <w:jc w:val="both"/>
        <w:rPr>
          <w:rFonts w:ascii="Arial Narrow" w:hAnsi="Arial Narrow"/>
          <w:sz w:val="24"/>
          <w:szCs w:val="24"/>
        </w:rPr>
      </w:pPr>
      <w:r w:rsidRPr="005A0F19">
        <w:rPr>
          <w:rFonts w:ascii="Arial Narrow" w:hAnsi="Arial Narrow"/>
          <w:sz w:val="24"/>
          <w:szCs w:val="24"/>
        </w:rPr>
        <w:t xml:space="preserve">La nivel de regiune, județele Brașov și Mureș sunt </w:t>
      </w:r>
      <w:r>
        <w:rPr>
          <w:rFonts w:ascii="Arial Narrow" w:hAnsi="Arial Narrow"/>
          <w:sz w:val="24"/>
          <w:szCs w:val="24"/>
        </w:rPr>
        <w:t xml:space="preserve">cele mai dezvoltate pe piața </w:t>
      </w:r>
      <w:r w:rsidRPr="005A0F19">
        <w:rPr>
          <w:rFonts w:ascii="Arial Narrow" w:hAnsi="Arial Narrow"/>
          <w:sz w:val="24"/>
          <w:szCs w:val="24"/>
        </w:rPr>
        <w:t>servicii</w:t>
      </w:r>
      <w:r>
        <w:rPr>
          <w:rFonts w:ascii="Arial Narrow" w:hAnsi="Arial Narrow"/>
          <w:sz w:val="24"/>
          <w:szCs w:val="24"/>
        </w:rPr>
        <w:t>lor</w:t>
      </w:r>
      <w:r w:rsidRPr="005A0F19">
        <w:rPr>
          <w:rFonts w:ascii="Arial Narrow" w:hAnsi="Arial Narrow"/>
          <w:sz w:val="24"/>
          <w:szCs w:val="24"/>
        </w:rPr>
        <w:t xml:space="preserve"> medicale, urmate de Sibiu, Alba, Harghita și Covasna, ultimele două județe înregistrând un număr scăzut de unități active în acest sector.</w:t>
      </w:r>
    </w:p>
    <w:p w:rsidR="00643600" w:rsidRDefault="00643600" w:rsidP="00643600">
      <w:pPr>
        <w:spacing w:after="0" w:line="240" w:lineRule="auto"/>
        <w:jc w:val="both"/>
        <w:rPr>
          <w:rFonts w:ascii="Arial Narrow" w:hAnsi="Arial Narrow"/>
          <w:sz w:val="24"/>
          <w:szCs w:val="24"/>
        </w:rPr>
      </w:pPr>
    </w:p>
    <w:p w:rsidR="00643600" w:rsidRPr="00E569E2"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 xml:space="preserve">În județul Mureș se remarcă Institutul de Boli Cardiovasculare și Transplant Tg. Mureș (Centru de excelență) </w:t>
      </w:r>
      <w:r>
        <w:rPr>
          <w:rFonts w:ascii="Arial Narrow" w:hAnsi="Arial Narrow"/>
          <w:sz w:val="24"/>
          <w:szCs w:val="24"/>
        </w:rPr>
        <w:t>având în structura sa secţii clinice pentru adulți și copii:</w:t>
      </w:r>
      <w:r w:rsidRPr="00E569E2">
        <w:rPr>
          <w:rFonts w:ascii="Arial Narrow" w:hAnsi="Arial Narrow"/>
          <w:sz w:val="24"/>
          <w:szCs w:val="24"/>
        </w:rPr>
        <w:t xml:space="preserve"> </w:t>
      </w:r>
      <w:r>
        <w:rPr>
          <w:rFonts w:ascii="Arial Narrow" w:hAnsi="Arial Narrow"/>
          <w:sz w:val="24"/>
          <w:szCs w:val="24"/>
        </w:rPr>
        <w:t>c</w:t>
      </w:r>
      <w:r w:rsidRPr="00E569E2">
        <w:rPr>
          <w:rFonts w:ascii="Arial Narrow" w:hAnsi="Arial Narrow"/>
          <w:sz w:val="24"/>
          <w:szCs w:val="24"/>
        </w:rPr>
        <w:t>hirurgie cardiovasculară</w:t>
      </w:r>
      <w:r>
        <w:rPr>
          <w:rFonts w:ascii="Arial Narrow" w:hAnsi="Arial Narrow"/>
          <w:sz w:val="24"/>
          <w:szCs w:val="24"/>
        </w:rPr>
        <w:t xml:space="preserve"> și </w:t>
      </w:r>
      <w:r>
        <w:rPr>
          <w:rFonts w:ascii="Arial Narrow" w:hAnsi="Arial Narrow"/>
          <w:bCs/>
          <w:sz w:val="24"/>
          <w:szCs w:val="24"/>
        </w:rPr>
        <w:lastRenderedPageBreak/>
        <w:t>c</w:t>
      </w:r>
      <w:r w:rsidRPr="00E569E2">
        <w:rPr>
          <w:rFonts w:ascii="Arial Narrow" w:hAnsi="Arial Narrow"/>
          <w:bCs/>
          <w:sz w:val="24"/>
          <w:szCs w:val="24"/>
        </w:rPr>
        <w:t>ardiologie</w:t>
      </w:r>
      <w:r>
        <w:rPr>
          <w:rFonts w:ascii="Arial Narrow" w:hAnsi="Arial Narrow"/>
          <w:bCs/>
          <w:sz w:val="24"/>
          <w:szCs w:val="24"/>
        </w:rPr>
        <w:t>, c</w:t>
      </w:r>
      <w:r w:rsidRPr="00E569E2">
        <w:rPr>
          <w:rFonts w:ascii="Arial Narrow" w:hAnsi="Arial Narrow"/>
          <w:sz w:val="24"/>
          <w:szCs w:val="24"/>
        </w:rPr>
        <w:t>ompartiment de </w:t>
      </w:r>
      <w:r>
        <w:rPr>
          <w:rFonts w:ascii="Arial Narrow" w:hAnsi="Arial Narrow"/>
          <w:bCs/>
          <w:sz w:val="24"/>
          <w:szCs w:val="24"/>
        </w:rPr>
        <w:t>r</w:t>
      </w:r>
      <w:r w:rsidRPr="00E569E2">
        <w:rPr>
          <w:rFonts w:ascii="Arial Narrow" w:hAnsi="Arial Narrow"/>
          <w:bCs/>
          <w:sz w:val="24"/>
          <w:szCs w:val="24"/>
        </w:rPr>
        <w:t>ecuperare cardiovasculară</w:t>
      </w:r>
      <w:r>
        <w:rPr>
          <w:rFonts w:ascii="Arial Narrow" w:hAnsi="Arial Narrow"/>
          <w:sz w:val="24"/>
          <w:szCs w:val="24"/>
        </w:rPr>
        <w:t xml:space="preserve">, laboratoare de analize medicale, de imunologie-transplant HLA, de </w:t>
      </w:r>
      <w:r w:rsidRPr="00E569E2">
        <w:rPr>
          <w:rFonts w:ascii="Arial Narrow" w:hAnsi="Arial Narrow"/>
          <w:sz w:val="24"/>
          <w:szCs w:val="24"/>
        </w:rPr>
        <w:t xml:space="preserve">radiologie şi imagistică </w:t>
      </w:r>
      <w:r>
        <w:rPr>
          <w:rFonts w:ascii="Arial Narrow" w:hAnsi="Arial Narrow"/>
          <w:sz w:val="24"/>
          <w:szCs w:val="24"/>
        </w:rPr>
        <w:t>medical ș.a.</w:t>
      </w:r>
    </w:p>
    <w:p w:rsidR="00643600" w:rsidRPr="00E569E2" w:rsidRDefault="00643600" w:rsidP="00643600">
      <w:pPr>
        <w:spacing w:after="0" w:line="240" w:lineRule="auto"/>
        <w:jc w:val="both"/>
        <w:rPr>
          <w:rFonts w:ascii="Arial Narrow" w:hAnsi="Arial Narrow"/>
          <w:sz w:val="24"/>
          <w:szCs w:val="24"/>
        </w:rPr>
      </w:pPr>
    </w:p>
    <w:p w:rsidR="00643600" w:rsidRPr="00FE5C30" w:rsidRDefault="00643600" w:rsidP="00643600">
      <w:p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color w:val="000000"/>
          <w:sz w:val="24"/>
          <w:szCs w:val="24"/>
          <w:lang w:val="ro-RO" w:eastAsia="ro-RO"/>
        </w:rPr>
        <w:t>Regiunea Centru se remarcă și prin unitățile sanitare private prezente la nivel de regiune capabile să ofere servicii medicale diversificate.</w:t>
      </w:r>
    </w:p>
    <w:p w:rsidR="00643600" w:rsidRPr="00FE5C30" w:rsidRDefault="00643600" w:rsidP="00643600">
      <w:p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color w:val="000000"/>
          <w:sz w:val="24"/>
          <w:szCs w:val="24"/>
          <w:lang w:val="ro-RO" w:eastAsia="ro-RO"/>
        </w:rPr>
        <w:t>Lista prezentată în continuare nu se dorește a fi una exhaustivă, ci una care enumeră o parte dintre unitățile private cu performanțe deosebite.</w:t>
      </w:r>
    </w:p>
    <w:p w:rsidR="00643600" w:rsidRPr="00FE5C30" w:rsidRDefault="00643600" w:rsidP="00643600">
      <w:pPr>
        <w:spacing w:after="0" w:line="240" w:lineRule="auto"/>
        <w:jc w:val="both"/>
        <w:rPr>
          <w:rFonts w:ascii="Arial Narrow" w:eastAsia="Times New Roman" w:hAnsi="Arial Narrow"/>
          <w:b/>
          <w:color w:val="000000"/>
          <w:sz w:val="24"/>
          <w:szCs w:val="24"/>
          <w:lang w:val="ro-RO" w:eastAsia="ro-RO"/>
        </w:rPr>
      </w:pPr>
    </w:p>
    <w:p w:rsidR="00643600" w:rsidRPr="00FE5C30" w:rsidRDefault="00643600" w:rsidP="00643600">
      <w:p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b/>
          <w:color w:val="000000"/>
          <w:sz w:val="24"/>
          <w:szCs w:val="24"/>
          <w:lang w:val="ro-RO" w:eastAsia="ro-RO"/>
        </w:rPr>
        <w:t>Judeţul Braşov</w:t>
      </w:r>
      <w:r w:rsidRPr="00FE5C30">
        <w:rPr>
          <w:rFonts w:ascii="Arial Narrow" w:eastAsia="Times New Roman" w:hAnsi="Arial Narrow"/>
          <w:color w:val="000000"/>
          <w:sz w:val="24"/>
          <w:szCs w:val="24"/>
          <w:lang w:val="ro-RO" w:eastAsia="ro-RO"/>
        </w:rPr>
        <w:t>:</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 xml:space="preserve">SC HIPERDIA SA, </w:t>
      </w:r>
      <w:r w:rsidRPr="00FE5C30">
        <w:rPr>
          <w:rFonts w:ascii="Arial Narrow" w:eastAsia="Times New Roman" w:hAnsi="Arial Narrow"/>
          <w:color w:val="000000"/>
          <w:sz w:val="24"/>
          <w:szCs w:val="24"/>
          <w:lang w:val="ro-RO" w:eastAsia="ro-RO"/>
        </w:rPr>
        <w:t>prezentă cu 3 centre medicale în Brașov și în incinta Spitalului Clinic Judetean de Urgență, este specializată în investigaţii de imagistica medicala de inalta performanta şi înregistrează un număr mediu de 383 salariati  (2015) si o cifra de afaceri de 77.079.368 lei</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color w:val="000000"/>
          <w:sz w:val="24"/>
          <w:szCs w:val="24"/>
          <w:lang w:val="ro-RO" w:eastAsia="ro-RO"/>
        </w:rPr>
        <w:t xml:space="preserve">SC TEO HEALTH S.A. - </w:t>
      </w:r>
      <w:r w:rsidRPr="00FE5C30">
        <w:rPr>
          <w:rFonts w:ascii="Arial Narrow" w:eastAsia="Times New Roman" w:hAnsi="Arial Narrow"/>
          <w:i/>
          <w:color w:val="000000"/>
          <w:sz w:val="24"/>
          <w:szCs w:val="24"/>
          <w:lang w:val="ro-RO" w:eastAsia="ro-RO"/>
        </w:rPr>
        <w:t>Spitalul Sf. Constantin</w:t>
      </w:r>
      <w:r w:rsidRPr="00FE5C30">
        <w:rPr>
          <w:rFonts w:ascii="Arial Narrow" w:eastAsia="Times New Roman" w:hAnsi="Arial Narrow"/>
          <w:color w:val="000000"/>
          <w:sz w:val="24"/>
          <w:szCs w:val="24"/>
          <w:lang w:val="ro-RO" w:eastAsia="ro-RO"/>
        </w:rPr>
        <w:t xml:space="preserve"> este un spital privat cu profil multidisciplinar și singurul centru de Chimioterapie Hipertermica Intraperitoneala și Centru Bariatric LESS din România. Înregistrează un număr mediu de 151 salariati (2015) si o cifra de afaceri de 30.696.496 lei</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Spitalul privat Clinicco Brasov</w:t>
      </w:r>
      <w:r w:rsidRPr="00FE5C30">
        <w:rPr>
          <w:rFonts w:ascii="Arial Narrow" w:hAnsi="Arial Narrow"/>
          <w:color w:val="000000"/>
          <w:sz w:val="24"/>
          <w:szCs w:val="24"/>
          <w:lang w:val="ro-RO"/>
        </w:rPr>
        <w:t xml:space="preserve"> - </w:t>
      </w:r>
      <w:r w:rsidRPr="00FE5C30">
        <w:rPr>
          <w:rFonts w:ascii="Arial Narrow" w:eastAsia="Times New Roman" w:hAnsi="Arial Narrow"/>
          <w:color w:val="000000"/>
          <w:sz w:val="24"/>
          <w:szCs w:val="24"/>
          <w:lang w:val="ro-RO" w:eastAsia="ro-RO"/>
        </w:rPr>
        <w:t xml:space="preserve">înregistrează un număr mediu de 84 salariati (2015) si o cifra de afaceri de 14.066.625 lei și  este cunoscut în întreaga tara pentru Centrul de Cardiologie Interventionala, Chirurgie Cardiovasculara si pentru Clinica moderna de </w:t>
      </w:r>
      <w:hyperlink r:id="rId98" w:history="1">
        <w:r w:rsidRPr="00FE5C30">
          <w:rPr>
            <w:rFonts w:ascii="Arial Narrow" w:eastAsia="Times New Roman" w:hAnsi="Arial Narrow"/>
            <w:color w:val="000000"/>
            <w:sz w:val="24"/>
            <w:szCs w:val="24"/>
            <w:lang w:val="ro-RO" w:eastAsia="ro-RO"/>
          </w:rPr>
          <w:t>Ortopedie.</w:t>
        </w:r>
      </w:hyperlink>
    </w:p>
    <w:p w:rsidR="00643600" w:rsidRPr="00FE5C30" w:rsidRDefault="00643600" w:rsidP="002617A6">
      <w:pPr>
        <w:numPr>
          <w:ilvl w:val="0"/>
          <w:numId w:val="71"/>
        </w:numPr>
        <w:spacing w:after="0" w:line="240" w:lineRule="auto"/>
        <w:jc w:val="both"/>
        <w:rPr>
          <w:rFonts w:ascii="Arial Narrow" w:hAnsi="Arial Narrow"/>
          <w:color w:val="000000"/>
          <w:sz w:val="24"/>
          <w:szCs w:val="24"/>
          <w:lang w:val="ro-RO"/>
        </w:rPr>
      </w:pPr>
      <w:r w:rsidRPr="00FE5C30">
        <w:rPr>
          <w:rFonts w:ascii="Arial Narrow" w:eastAsia="Times New Roman" w:hAnsi="Arial Narrow"/>
          <w:i/>
          <w:color w:val="000000"/>
          <w:sz w:val="24"/>
          <w:szCs w:val="24"/>
          <w:lang w:val="ro-RO" w:eastAsia="ro-RO"/>
        </w:rPr>
        <w:t>Sistemul medical Medlife</w:t>
      </w:r>
      <w:r w:rsidRPr="00FE5C30">
        <w:rPr>
          <w:rFonts w:ascii="Arial Narrow" w:eastAsia="Times New Roman" w:hAnsi="Arial Narrow"/>
          <w:color w:val="000000"/>
          <w:sz w:val="24"/>
          <w:szCs w:val="24"/>
          <w:lang w:val="ro-RO" w:eastAsia="ro-RO"/>
        </w:rPr>
        <w:t>, cu sediul central la București, este prezent în Brașov cu 2 hyperclinici, 2 spitale, 1 maternitate și 4 centre medicale din cele 12 de la nivel național. Alte două centre se regăsesc în județul Mureș.</w:t>
      </w:r>
    </w:p>
    <w:p w:rsidR="00643600" w:rsidRPr="00FE5C30" w:rsidRDefault="00643600" w:rsidP="002617A6">
      <w:pPr>
        <w:numPr>
          <w:ilvl w:val="0"/>
          <w:numId w:val="71"/>
        </w:numPr>
        <w:spacing w:after="0" w:line="240" w:lineRule="auto"/>
        <w:jc w:val="both"/>
        <w:rPr>
          <w:rFonts w:ascii="Arial Narrow" w:hAnsi="Arial Narrow"/>
          <w:color w:val="000000"/>
          <w:sz w:val="24"/>
          <w:szCs w:val="24"/>
          <w:lang w:val="ro-RO"/>
        </w:rPr>
      </w:pPr>
      <w:r w:rsidRPr="00FE5C30">
        <w:rPr>
          <w:rFonts w:ascii="Arial Narrow" w:hAnsi="Arial Narrow"/>
          <w:color w:val="000000"/>
          <w:sz w:val="24"/>
          <w:szCs w:val="24"/>
          <w:lang w:val="ro-RO"/>
        </w:rPr>
        <w:t>Rețeaua privată de sănătate REGINA MARIA, prezentă în Brașov cu Spitalul de obstetrica-ginecologie și pediatrie, parte integrantă a  singurului Campus medical privat din Brașov.</w:t>
      </w:r>
    </w:p>
    <w:p w:rsidR="00643600" w:rsidRPr="00FE5C30" w:rsidRDefault="00643600" w:rsidP="00643600">
      <w:pPr>
        <w:spacing w:after="0" w:line="240" w:lineRule="auto"/>
        <w:jc w:val="both"/>
        <w:rPr>
          <w:rFonts w:ascii="Arial Narrow" w:eastAsia="Times New Roman" w:hAnsi="Arial Narrow"/>
          <w:b/>
          <w:color w:val="000000"/>
          <w:sz w:val="24"/>
          <w:szCs w:val="24"/>
          <w:lang w:val="ro-RO" w:eastAsia="ro-RO"/>
        </w:rPr>
      </w:pPr>
    </w:p>
    <w:p w:rsidR="00643600" w:rsidRPr="00FE5C30" w:rsidRDefault="00643600" w:rsidP="00643600">
      <w:pPr>
        <w:spacing w:after="0" w:line="240" w:lineRule="auto"/>
        <w:jc w:val="both"/>
        <w:rPr>
          <w:rFonts w:ascii="Arial Narrow" w:eastAsia="Times New Roman" w:hAnsi="Arial Narrow"/>
          <w:b/>
          <w:color w:val="000000"/>
          <w:sz w:val="24"/>
          <w:szCs w:val="24"/>
          <w:lang w:val="ro-RO" w:eastAsia="ro-RO"/>
        </w:rPr>
      </w:pPr>
    </w:p>
    <w:p w:rsidR="00643600" w:rsidRPr="00FE5C30" w:rsidRDefault="00643600" w:rsidP="00643600">
      <w:p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b/>
          <w:color w:val="000000"/>
          <w:sz w:val="24"/>
          <w:szCs w:val="24"/>
          <w:lang w:val="ro-RO" w:eastAsia="ro-RO"/>
        </w:rPr>
        <w:t xml:space="preserve">Judeţul </w:t>
      </w:r>
      <w:hyperlink r:id="rId99" w:tooltip="Județul Mureș" w:history="1">
        <w:r w:rsidRPr="00FE5C30">
          <w:rPr>
            <w:rFonts w:ascii="Arial Narrow" w:eastAsia="Times New Roman" w:hAnsi="Arial Narrow"/>
            <w:b/>
            <w:color w:val="000000"/>
            <w:sz w:val="24"/>
            <w:szCs w:val="24"/>
            <w:lang w:val="ro-RO" w:eastAsia="ro-RO"/>
          </w:rPr>
          <w:t>Mureș</w:t>
        </w:r>
      </w:hyperlink>
      <w:r w:rsidRPr="00FE5C30">
        <w:rPr>
          <w:rFonts w:ascii="Arial Narrow" w:eastAsia="Times New Roman" w:hAnsi="Arial Narrow"/>
          <w:color w:val="000000"/>
          <w:sz w:val="24"/>
          <w:szCs w:val="24"/>
          <w:lang w:val="ro-RO" w:eastAsia="ro-RO"/>
        </w:rPr>
        <w:t>:</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SC Cardiomed SRL</w:t>
      </w:r>
      <w:r w:rsidRPr="00FE5C30">
        <w:rPr>
          <w:rFonts w:ascii="Arial Narrow" w:eastAsia="Times New Roman" w:hAnsi="Arial Narrow"/>
          <w:color w:val="000000"/>
          <w:sz w:val="24"/>
          <w:szCs w:val="24"/>
          <w:lang w:val="ro-RO" w:eastAsia="ro-RO"/>
        </w:rPr>
        <w:t xml:space="preserve"> – este un  centru de excelență, lider naţional și regional, recunoscut în diagnosticul şi tratamentul bolilor cardiovasculare şi formator acreditat prin platformă universitară de medici cardiologi, rezidenţi în cardiologie, cardiologie intervenţională.</w:t>
      </w:r>
      <w:r w:rsidRPr="00FE5C30">
        <w:rPr>
          <w:rFonts w:ascii="Arial Narrow" w:hAnsi="Arial Narrow"/>
          <w:color w:val="000000"/>
          <w:sz w:val="24"/>
          <w:szCs w:val="24"/>
          <w:lang w:val="ro-RO"/>
        </w:rPr>
        <w:t xml:space="preserve"> </w:t>
      </w:r>
      <w:r w:rsidRPr="00FE5C30">
        <w:rPr>
          <w:rFonts w:ascii="Arial Narrow" w:eastAsia="Times New Roman" w:hAnsi="Arial Narrow"/>
          <w:color w:val="000000"/>
          <w:sz w:val="24"/>
          <w:szCs w:val="24"/>
          <w:lang w:val="ro-RO" w:eastAsia="ro-RO"/>
        </w:rPr>
        <w:t xml:space="preserve"> Înregistrează un număr mediu de 33 salariati (2015) si o cifra de afaceri de  6.301.632 lei.</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NOVA VITA HOSPITAL SA</w:t>
      </w:r>
      <w:r w:rsidRPr="00FE5C30">
        <w:rPr>
          <w:rFonts w:ascii="Arial Narrow" w:hAnsi="Arial Narrow"/>
          <w:color w:val="000000"/>
          <w:sz w:val="24"/>
          <w:szCs w:val="24"/>
          <w:lang w:val="ro-RO"/>
        </w:rPr>
        <w:t xml:space="preserve"> – </w:t>
      </w:r>
      <w:r w:rsidRPr="00FE5C30">
        <w:rPr>
          <w:rFonts w:ascii="Arial Narrow" w:eastAsia="Times New Roman" w:hAnsi="Arial Narrow"/>
          <w:color w:val="000000"/>
          <w:sz w:val="24"/>
          <w:szCs w:val="24"/>
          <w:lang w:val="ro-RO" w:eastAsia="ro-RO"/>
        </w:rPr>
        <w:t>este un spital privat care acoperă o gamă largă de specialități medico-chirurgicale. Înregistrează un număr mediu de 193 salariati (2015) si o cifra de afaceri de  19.414.382 lei.</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iCs/>
          <w:color w:val="000000"/>
          <w:sz w:val="24"/>
          <w:szCs w:val="24"/>
          <w:lang w:val="ro-RO" w:eastAsia="ro-RO"/>
        </w:rPr>
        <w:t>Centrul Medical PULS</w:t>
      </w:r>
      <w:r w:rsidRPr="00FE5C30">
        <w:rPr>
          <w:rFonts w:ascii="Arial Narrow" w:eastAsia="Times New Roman" w:hAnsi="Arial Narrow"/>
          <w:bCs/>
          <w:color w:val="000000"/>
          <w:sz w:val="24"/>
          <w:szCs w:val="24"/>
          <w:lang w:val="ro-RO" w:eastAsia="ro-RO"/>
        </w:rPr>
        <w:t xml:space="preserve">- </w:t>
      </w:r>
      <w:r w:rsidRPr="00FE5C30">
        <w:rPr>
          <w:rFonts w:ascii="Arial Narrow" w:eastAsia="Times New Roman" w:hAnsi="Arial Narrow"/>
          <w:color w:val="000000"/>
          <w:sz w:val="24"/>
          <w:szCs w:val="24"/>
          <w:lang w:val="ro-RO" w:eastAsia="ro-RO"/>
        </w:rPr>
        <w:t>este un centru multidisciplinar şi un spital privat care asigură servicii medicale în diverse specializări.  Înregistrează un număr mediu de 15 salariati (2015) si o cifra de afaceri de  1.020.849 lei.</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color w:val="000000"/>
          <w:sz w:val="24"/>
          <w:szCs w:val="24"/>
          <w:lang w:val="ro-RO" w:eastAsia="ro-RO"/>
        </w:rPr>
        <w:t xml:space="preserve">SC ADRIA MED SRL – </w:t>
      </w:r>
      <w:r w:rsidRPr="00FE5C30">
        <w:rPr>
          <w:rFonts w:ascii="Arial Narrow" w:eastAsia="Times New Roman" w:hAnsi="Arial Narrow"/>
          <w:i/>
          <w:color w:val="000000"/>
          <w:sz w:val="24"/>
          <w:szCs w:val="24"/>
          <w:lang w:val="ro-RO" w:eastAsia="ro-RO"/>
        </w:rPr>
        <w:t>Centrul medical Galenus</w:t>
      </w:r>
      <w:r w:rsidRPr="00FE5C30">
        <w:rPr>
          <w:rFonts w:ascii="Arial Narrow" w:eastAsia="Times New Roman" w:hAnsi="Arial Narrow"/>
          <w:color w:val="000000"/>
          <w:sz w:val="24"/>
          <w:szCs w:val="24"/>
          <w:lang w:val="ro-RO" w:eastAsia="ro-RO"/>
        </w:rPr>
        <w:t xml:space="preserve"> este o instituţie privată  multifuncţională de diagnostic şi asistenţă medicală. Înregistrează un număr mediu de 82 salariati (2015) si o cifra de afaceri de  5.700.287 lei.</w:t>
      </w:r>
    </w:p>
    <w:p w:rsidR="00643600" w:rsidRPr="00FE5C30" w:rsidRDefault="00643600" w:rsidP="002617A6">
      <w:pPr>
        <w:numPr>
          <w:ilvl w:val="0"/>
          <w:numId w:val="71"/>
        </w:numPr>
        <w:spacing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CENTRUL MEDICAL TOPMED SRL</w:t>
      </w:r>
      <w:r w:rsidRPr="00FE5C30">
        <w:rPr>
          <w:rFonts w:ascii="Arial Narrow" w:eastAsia="Times New Roman" w:hAnsi="Arial Narrow"/>
          <w:color w:val="000000"/>
          <w:sz w:val="24"/>
          <w:szCs w:val="24"/>
          <w:lang w:val="ro-RO" w:eastAsia="ro-RO"/>
        </w:rPr>
        <w:t xml:space="preserve"> este un spital privat cu sectie de specialităţi medicale - medicină internă, cardiologie, neurologie, psihiatrie, diabetologie şi dermatologie. Înregistrează un număr mediu de 123 salariati (2015) si o cifra de afaceri de  5.700.287 lei.</w:t>
      </w:r>
    </w:p>
    <w:p w:rsidR="00643600" w:rsidRPr="00FE5C30" w:rsidRDefault="00643600" w:rsidP="00643600">
      <w:pPr>
        <w:spacing w:after="0" w:line="240" w:lineRule="auto"/>
        <w:jc w:val="both"/>
        <w:rPr>
          <w:rFonts w:ascii="Arial Narrow" w:eastAsia="Times New Roman" w:hAnsi="Arial Narrow"/>
          <w:b/>
          <w:color w:val="000000"/>
          <w:sz w:val="24"/>
          <w:szCs w:val="24"/>
          <w:lang w:val="ro-RO" w:eastAsia="ro-RO"/>
        </w:rPr>
      </w:pPr>
      <w:r w:rsidRPr="00FE5C30">
        <w:rPr>
          <w:rFonts w:ascii="Arial Narrow" w:eastAsia="Times New Roman" w:hAnsi="Arial Narrow"/>
          <w:b/>
          <w:color w:val="000000"/>
          <w:sz w:val="24"/>
          <w:szCs w:val="24"/>
          <w:lang w:val="ro-RO" w:eastAsia="ro-RO"/>
        </w:rPr>
        <w:t>Județul Sibiu</w:t>
      </w:r>
    </w:p>
    <w:p w:rsidR="00643600" w:rsidRPr="00FE5C30" w:rsidRDefault="00643600" w:rsidP="002617A6">
      <w:pPr>
        <w:numPr>
          <w:ilvl w:val="0"/>
          <w:numId w:val="71"/>
        </w:num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Clinica</w:t>
      </w:r>
      <w:r w:rsidRPr="00FE5C30">
        <w:rPr>
          <w:rFonts w:ascii="Arial Narrow" w:eastAsia="Times New Roman" w:hAnsi="Arial Narrow"/>
          <w:color w:val="000000"/>
          <w:sz w:val="24"/>
          <w:szCs w:val="24"/>
          <w:lang w:val="ro-RO" w:eastAsia="ro-RO"/>
        </w:rPr>
        <w:t xml:space="preserve"> </w:t>
      </w:r>
      <w:r w:rsidRPr="00FE5C30">
        <w:rPr>
          <w:rFonts w:ascii="Arial Narrow" w:eastAsia="Times New Roman" w:hAnsi="Arial Narrow"/>
          <w:i/>
          <w:color w:val="000000"/>
          <w:sz w:val="24"/>
          <w:szCs w:val="24"/>
          <w:lang w:val="ro-RO" w:eastAsia="ro-RO"/>
        </w:rPr>
        <w:t xml:space="preserve">Polisano, </w:t>
      </w:r>
      <w:r w:rsidRPr="00FE5C30">
        <w:rPr>
          <w:rFonts w:ascii="Arial Narrow" w:eastAsia="Times New Roman" w:hAnsi="Arial Narrow"/>
          <w:color w:val="000000"/>
          <w:sz w:val="24"/>
          <w:szCs w:val="24"/>
          <w:lang w:val="ro-RO" w:eastAsia="ro-RO"/>
        </w:rPr>
        <w:t>parte a grupului POLISANO</w:t>
      </w:r>
      <w:r w:rsidRPr="00FE5C30">
        <w:rPr>
          <w:rFonts w:ascii="Arial Narrow" w:eastAsia="Times New Roman" w:hAnsi="Arial Narrow"/>
          <w:i/>
          <w:color w:val="000000"/>
          <w:sz w:val="24"/>
          <w:szCs w:val="24"/>
          <w:lang w:val="ro-RO" w:eastAsia="ro-RO"/>
        </w:rPr>
        <w:t>,</w:t>
      </w:r>
      <w:r w:rsidRPr="00FE5C30">
        <w:rPr>
          <w:rFonts w:ascii="Arial Narrow" w:hAnsi="Arial Narrow"/>
          <w:color w:val="000000"/>
          <w:sz w:val="24"/>
          <w:szCs w:val="24"/>
          <w:lang w:val="ro-RO"/>
        </w:rPr>
        <w:t xml:space="preserve"> </w:t>
      </w:r>
      <w:r w:rsidRPr="00FE5C30">
        <w:rPr>
          <w:rFonts w:ascii="Arial Narrow" w:eastAsia="Times New Roman" w:hAnsi="Arial Narrow"/>
          <w:color w:val="000000"/>
          <w:sz w:val="24"/>
          <w:szCs w:val="24"/>
          <w:lang w:val="ro-RO" w:eastAsia="ro-RO"/>
        </w:rPr>
        <w:t>a fost primul spital privat din România şi oferă în prezent o gamă largă de intervenții și proceduri medicale de calitate în scop diagnostic și/sau terapeutic, acoperind următoarele arii medicale: gastroenterologia, ginecologie, chirurgie generala, chirurgie oncologica, chirurgie oro-maxilo-faciala, ATI, urologie, nefrologie, ORL.</w:t>
      </w:r>
    </w:p>
    <w:p w:rsidR="00643600" w:rsidRPr="00FE5C30" w:rsidRDefault="00643600" w:rsidP="00643600">
      <w:pPr>
        <w:spacing w:after="0" w:line="240" w:lineRule="auto"/>
        <w:ind w:firstLine="360"/>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 xml:space="preserve">Spitalul European Polisano  </w:t>
      </w:r>
      <w:r w:rsidRPr="00FE5C30">
        <w:rPr>
          <w:rFonts w:ascii="Arial Narrow" w:eastAsia="Times New Roman" w:hAnsi="Arial Narrow"/>
          <w:color w:val="000000"/>
          <w:sz w:val="24"/>
          <w:szCs w:val="24"/>
          <w:lang w:val="ro-RO" w:eastAsia="ro-RO"/>
        </w:rPr>
        <w:t>face parte dintr-o structură integrată de centre de excelență în medicină la nivelul Europei</w:t>
      </w:r>
    </w:p>
    <w:p w:rsidR="00643600" w:rsidRPr="00FE5C30" w:rsidRDefault="00643600" w:rsidP="00643600">
      <w:pPr>
        <w:spacing w:line="240" w:lineRule="auto"/>
        <w:ind w:firstLine="360"/>
        <w:jc w:val="both"/>
        <w:rPr>
          <w:rFonts w:ascii="Arial Narrow" w:eastAsia="Times New Roman" w:hAnsi="Arial Narrow"/>
          <w:color w:val="000000"/>
          <w:sz w:val="24"/>
          <w:szCs w:val="24"/>
          <w:lang w:val="ro-RO" w:eastAsia="ro-RO"/>
        </w:rPr>
      </w:pPr>
      <w:r w:rsidRPr="00FE5C30">
        <w:rPr>
          <w:rFonts w:ascii="Arial Narrow" w:eastAsia="Times New Roman" w:hAnsi="Arial Narrow"/>
          <w:color w:val="000000"/>
          <w:sz w:val="24"/>
          <w:szCs w:val="24"/>
          <w:lang w:val="ro-RO" w:eastAsia="ro-RO"/>
        </w:rPr>
        <w:lastRenderedPageBreak/>
        <w:t xml:space="preserve"> înregistrează un număr mediu de 501 salariaţi (2015) si o cifra de afaceri de  73.166.999 lei.</w:t>
      </w:r>
    </w:p>
    <w:p w:rsidR="00643600" w:rsidRPr="00FE5C30" w:rsidRDefault="00643600" w:rsidP="00643600">
      <w:pPr>
        <w:spacing w:after="0" w:line="240" w:lineRule="auto"/>
        <w:jc w:val="both"/>
        <w:rPr>
          <w:rFonts w:ascii="Arial Narrow" w:eastAsia="Times New Roman" w:hAnsi="Arial Narrow"/>
          <w:b/>
          <w:color w:val="000000"/>
          <w:sz w:val="24"/>
          <w:szCs w:val="24"/>
          <w:lang w:val="ro-RO" w:eastAsia="ro-RO"/>
        </w:rPr>
      </w:pPr>
      <w:r w:rsidRPr="00FE5C30">
        <w:rPr>
          <w:rFonts w:ascii="Arial Narrow" w:eastAsia="Times New Roman" w:hAnsi="Arial Narrow"/>
          <w:b/>
          <w:color w:val="000000"/>
          <w:sz w:val="24"/>
          <w:szCs w:val="24"/>
          <w:lang w:val="ro-RO" w:eastAsia="ro-RO"/>
        </w:rPr>
        <w:t>Județul Alba</w:t>
      </w:r>
    </w:p>
    <w:p w:rsidR="00643600" w:rsidRPr="00FE5C30" w:rsidRDefault="00643600" w:rsidP="002617A6">
      <w:pPr>
        <w:pStyle w:val="Listparagraf"/>
        <w:numPr>
          <w:ilvl w:val="0"/>
          <w:numId w:val="83"/>
        </w:numPr>
        <w:spacing w:after="0" w:line="240" w:lineRule="auto"/>
        <w:jc w:val="both"/>
        <w:rPr>
          <w:rFonts w:ascii="Arial Narrow" w:eastAsia="Times New Roman" w:hAnsi="Arial Narrow"/>
          <w:color w:val="000000"/>
          <w:sz w:val="24"/>
          <w:szCs w:val="24"/>
        </w:rPr>
      </w:pPr>
      <w:r w:rsidRPr="00FE5C30">
        <w:rPr>
          <w:rFonts w:ascii="Arial Narrow" w:eastAsia="Times New Roman" w:hAnsi="Arial Narrow"/>
          <w:i/>
          <w:color w:val="000000"/>
          <w:sz w:val="24"/>
          <w:szCs w:val="24"/>
        </w:rPr>
        <w:t>Centrul Medical TERRA ASTER</w:t>
      </w:r>
      <w:r w:rsidRPr="00FE5C30">
        <w:rPr>
          <w:rFonts w:ascii="Arial Narrow" w:eastAsia="Times New Roman" w:hAnsi="Arial Narrow"/>
          <w:color w:val="000000"/>
          <w:sz w:val="24"/>
          <w:szCs w:val="24"/>
        </w:rPr>
        <w:t xml:space="preserve"> înregistrează un număr mediu de 47 salariati (2015) si o cifra de afaceri de  4.410.467 lei.</w:t>
      </w:r>
    </w:p>
    <w:p w:rsidR="00643600" w:rsidRPr="00FE5C30" w:rsidRDefault="00643600" w:rsidP="002617A6">
      <w:pPr>
        <w:pStyle w:val="Listparagraf"/>
        <w:numPr>
          <w:ilvl w:val="0"/>
          <w:numId w:val="83"/>
        </w:numPr>
        <w:spacing w:line="240" w:lineRule="auto"/>
        <w:jc w:val="both"/>
        <w:rPr>
          <w:rFonts w:ascii="Arial Narrow" w:eastAsia="Times New Roman" w:hAnsi="Arial Narrow"/>
          <w:color w:val="000000"/>
          <w:sz w:val="24"/>
          <w:szCs w:val="24"/>
        </w:rPr>
      </w:pPr>
      <w:r w:rsidRPr="00FE5C30">
        <w:rPr>
          <w:rFonts w:ascii="Arial Narrow" w:eastAsia="Times New Roman" w:hAnsi="Arial Narrow"/>
          <w:i/>
          <w:color w:val="000000"/>
          <w:sz w:val="24"/>
          <w:szCs w:val="24"/>
        </w:rPr>
        <w:t>Centrul medical CLINIMED</w:t>
      </w:r>
      <w:r w:rsidRPr="00FE5C30">
        <w:rPr>
          <w:rFonts w:ascii="Arial Narrow" w:eastAsia="Times New Roman" w:hAnsi="Arial Narrow"/>
          <w:color w:val="000000"/>
          <w:sz w:val="24"/>
          <w:szCs w:val="24"/>
        </w:rPr>
        <w:t xml:space="preserve"> înregistrează un număr mediu de 28 salariati (2015) si o cifra de afaceri de  2.648.261 lei.</w:t>
      </w:r>
    </w:p>
    <w:p w:rsidR="00643600" w:rsidRPr="00FE5C30" w:rsidRDefault="00643600" w:rsidP="00643600">
      <w:pPr>
        <w:spacing w:after="0"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b/>
          <w:color w:val="000000"/>
          <w:sz w:val="24"/>
          <w:szCs w:val="24"/>
          <w:lang w:val="ro-RO" w:eastAsia="ro-RO"/>
        </w:rPr>
        <w:t>Judeţul Harghita</w:t>
      </w:r>
      <w:r w:rsidRPr="00FE5C30">
        <w:rPr>
          <w:rFonts w:ascii="Arial Narrow" w:eastAsia="Times New Roman" w:hAnsi="Arial Narrow"/>
          <w:color w:val="000000"/>
          <w:sz w:val="24"/>
          <w:szCs w:val="24"/>
          <w:lang w:val="ro-RO" w:eastAsia="ro-RO"/>
        </w:rPr>
        <w:t>:</w:t>
      </w:r>
    </w:p>
    <w:p w:rsidR="00643600" w:rsidRPr="00FE5C30" w:rsidRDefault="00643600" w:rsidP="002617A6">
      <w:pPr>
        <w:numPr>
          <w:ilvl w:val="0"/>
          <w:numId w:val="83"/>
        </w:numPr>
        <w:spacing w:line="240" w:lineRule="auto"/>
        <w:jc w:val="both"/>
        <w:rPr>
          <w:rFonts w:ascii="Arial Narrow" w:eastAsia="Times New Roman" w:hAnsi="Arial Narrow"/>
          <w:color w:val="000000"/>
          <w:sz w:val="24"/>
          <w:szCs w:val="24"/>
          <w:lang w:val="ro-RO" w:eastAsia="ro-RO"/>
        </w:rPr>
      </w:pPr>
      <w:r w:rsidRPr="00FE5C30">
        <w:rPr>
          <w:rFonts w:ascii="Arial Narrow" w:eastAsia="Times New Roman" w:hAnsi="Arial Narrow"/>
          <w:i/>
          <w:color w:val="000000"/>
          <w:sz w:val="24"/>
          <w:szCs w:val="24"/>
          <w:lang w:val="ro-RO" w:eastAsia="ro-RO"/>
        </w:rPr>
        <w:t xml:space="preserve">HIPERDIA – </w:t>
      </w:r>
      <w:r w:rsidRPr="00FE5C30">
        <w:rPr>
          <w:rFonts w:ascii="Arial Narrow" w:eastAsia="Times New Roman" w:hAnsi="Arial Narrow"/>
          <w:color w:val="000000"/>
          <w:sz w:val="24"/>
          <w:szCs w:val="24"/>
          <w:lang w:val="ro-RO" w:eastAsia="ro-RO"/>
        </w:rPr>
        <w:t>centru imagistică medicală</w:t>
      </w:r>
      <w:r w:rsidRPr="00FE5C30">
        <w:rPr>
          <w:rFonts w:ascii="Arial Narrow" w:eastAsia="Times New Roman" w:hAnsi="Arial Narrow"/>
          <w:i/>
          <w:color w:val="000000"/>
          <w:sz w:val="24"/>
          <w:szCs w:val="24"/>
          <w:lang w:val="ro-RO" w:eastAsia="ro-RO"/>
        </w:rPr>
        <w:t xml:space="preserve"> </w:t>
      </w:r>
    </w:p>
    <w:p w:rsidR="00643600" w:rsidRPr="00FE5C30" w:rsidRDefault="00643600" w:rsidP="00643600">
      <w:pPr>
        <w:spacing w:after="0" w:line="240" w:lineRule="auto"/>
        <w:jc w:val="both"/>
        <w:rPr>
          <w:rFonts w:ascii="Arial Narrow" w:eastAsia="Times New Roman" w:hAnsi="Arial Narrow"/>
          <w:b/>
          <w:color w:val="000000"/>
          <w:sz w:val="24"/>
          <w:szCs w:val="24"/>
          <w:lang w:val="ro-RO" w:eastAsia="ro-RO"/>
        </w:rPr>
      </w:pPr>
      <w:r w:rsidRPr="00FE5C30">
        <w:rPr>
          <w:rFonts w:ascii="Arial Narrow" w:eastAsia="Times New Roman" w:hAnsi="Arial Narrow"/>
          <w:b/>
          <w:color w:val="000000"/>
          <w:sz w:val="24"/>
          <w:szCs w:val="24"/>
          <w:lang w:val="ro-RO" w:eastAsia="ro-RO"/>
        </w:rPr>
        <w:t xml:space="preserve">Județul Covasna </w:t>
      </w:r>
    </w:p>
    <w:p w:rsidR="00643600" w:rsidRPr="00FE5C30" w:rsidRDefault="00643600" w:rsidP="002617A6">
      <w:pPr>
        <w:pStyle w:val="Listparagraf"/>
        <w:numPr>
          <w:ilvl w:val="0"/>
          <w:numId w:val="83"/>
        </w:numPr>
        <w:spacing w:after="0" w:line="240" w:lineRule="auto"/>
        <w:jc w:val="both"/>
        <w:rPr>
          <w:rFonts w:ascii="Arial Narrow" w:eastAsia="Times New Roman" w:hAnsi="Arial Narrow"/>
          <w:color w:val="000000"/>
          <w:sz w:val="24"/>
          <w:szCs w:val="24"/>
        </w:rPr>
      </w:pPr>
      <w:r w:rsidRPr="00FE5C30">
        <w:rPr>
          <w:rFonts w:ascii="Arial Narrow" w:eastAsia="Times New Roman" w:hAnsi="Arial Narrow"/>
          <w:i/>
          <w:color w:val="000000"/>
          <w:sz w:val="24"/>
          <w:szCs w:val="24"/>
        </w:rPr>
        <w:t>Centrul de Diagnostic și Tratament PRO-VITAM</w:t>
      </w:r>
      <w:r w:rsidRPr="00FE5C30">
        <w:rPr>
          <w:rFonts w:ascii="Arial Narrow" w:eastAsia="Times New Roman" w:hAnsi="Arial Narrow"/>
          <w:color w:val="000000"/>
          <w:sz w:val="24"/>
          <w:szCs w:val="24"/>
        </w:rPr>
        <w:t xml:space="preserve"> înregistrează un număr mediu de 31 salariati (2015) si o cifra de afaceri de  2.028.329 lei.</w:t>
      </w:r>
    </w:p>
    <w:p w:rsidR="00643600" w:rsidRPr="005A0F19" w:rsidRDefault="00643600" w:rsidP="00643600">
      <w:pPr>
        <w:spacing w:after="0" w:line="240" w:lineRule="auto"/>
        <w:jc w:val="both"/>
        <w:rPr>
          <w:rFonts w:ascii="Arial Narrow" w:hAnsi="Arial Narrow"/>
          <w:sz w:val="24"/>
          <w:szCs w:val="24"/>
        </w:rPr>
      </w:pPr>
    </w:p>
    <w:p w:rsidR="00643600" w:rsidRPr="005A0F19" w:rsidRDefault="00643600" w:rsidP="00643600">
      <w:pPr>
        <w:pStyle w:val="Listparagraf"/>
        <w:numPr>
          <w:ilvl w:val="0"/>
          <w:numId w:val="64"/>
        </w:numPr>
        <w:spacing w:after="0" w:line="240" w:lineRule="auto"/>
        <w:jc w:val="both"/>
        <w:rPr>
          <w:rFonts w:ascii="Arial Narrow" w:hAnsi="Arial Narrow"/>
          <w:b/>
          <w:sz w:val="24"/>
          <w:szCs w:val="24"/>
        </w:rPr>
      </w:pPr>
      <w:r w:rsidRPr="005A0F19">
        <w:rPr>
          <w:rFonts w:ascii="Arial Narrow" w:hAnsi="Arial Narrow"/>
          <w:b/>
          <w:sz w:val="24"/>
          <w:szCs w:val="24"/>
        </w:rPr>
        <w:t xml:space="preserve">Sectorul medical și farmaceutic - lanțul valoric </w:t>
      </w:r>
    </w:p>
    <w:p w:rsidR="00643600" w:rsidRDefault="00643600" w:rsidP="00643600">
      <w:pPr>
        <w:spacing w:after="0" w:line="240" w:lineRule="auto"/>
        <w:ind w:left="360"/>
        <w:jc w:val="both"/>
        <w:rPr>
          <w:rFonts w:ascii="Arial Narrow" w:hAnsi="Arial Narrow"/>
          <w:sz w:val="24"/>
          <w:szCs w:val="24"/>
        </w:rPr>
      </w:pPr>
    </w:p>
    <w:p w:rsidR="00643600" w:rsidRPr="005A0F19" w:rsidRDefault="00643600" w:rsidP="00643600">
      <w:pPr>
        <w:spacing w:after="0" w:line="240" w:lineRule="auto"/>
        <w:ind w:left="360"/>
        <w:jc w:val="both"/>
        <w:rPr>
          <w:rFonts w:ascii="Arial Narrow" w:hAnsi="Arial Narrow"/>
          <w:sz w:val="24"/>
          <w:szCs w:val="24"/>
        </w:rPr>
      </w:pPr>
      <w:r w:rsidRPr="005A0F19">
        <w:rPr>
          <w:rFonts w:ascii="Arial Narrow" w:hAnsi="Arial Narrow"/>
          <w:sz w:val="24"/>
          <w:szCs w:val="24"/>
        </w:rPr>
        <w:t xml:space="preserve">În analiza regională a sectorului medical și farmaceutic, s-a pornit de la identificarea principalelor activități din domeniu și au fost selectate codurile CAEN reprezentative pentru acest sector, respectiv: </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sidRPr="005A0F19">
        <w:rPr>
          <w:rFonts w:ascii="Arial Narrow" w:hAnsi="Arial Narrow"/>
          <w:sz w:val="24"/>
          <w:szCs w:val="24"/>
        </w:rPr>
        <w:t>2110 Fabricarea produselor farmaceutice de baza</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sidRPr="005A0F19">
        <w:rPr>
          <w:rFonts w:ascii="Arial Narrow" w:hAnsi="Arial Narrow"/>
          <w:sz w:val="24"/>
          <w:szCs w:val="24"/>
        </w:rPr>
        <w:t>2120 Fabricarea preparatelor farmaceutice</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sidRPr="005A0F19">
        <w:rPr>
          <w:rFonts w:ascii="Arial Narrow" w:hAnsi="Arial Narrow"/>
          <w:sz w:val="24"/>
          <w:szCs w:val="24"/>
        </w:rPr>
        <w:t xml:space="preserve">2660 Fabricarea de echipamente pentru radiologie, electrodiagnostic </w:t>
      </w:r>
      <w:r>
        <w:rPr>
          <w:rFonts w:ascii="Arial Narrow" w:hAnsi="Arial Narrow"/>
          <w:sz w:val="24"/>
          <w:szCs w:val="24"/>
        </w:rPr>
        <w:t>ş</w:t>
      </w:r>
      <w:r w:rsidRPr="005A0F19">
        <w:rPr>
          <w:rFonts w:ascii="Arial Narrow" w:hAnsi="Arial Narrow"/>
          <w:sz w:val="24"/>
          <w:szCs w:val="24"/>
        </w:rPr>
        <w:t>i electroterapie</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sidRPr="005A0F19">
        <w:rPr>
          <w:rFonts w:ascii="Arial Narrow" w:hAnsi="Arial Narrow"/>
          <w:sz w:val="24"/>
          <w:szCs w:val="24"/>
        </w:rPr>
        <w:t xml:space="preserve">3250 Fabricarea de dispozitive, aparate </w:t>
      </w:r>
      <w:r>
        <w:rPr>
          <w:rFonts w:ascii="Arial Narrow" w:hAnsi="Arial Narrow"/>
          <w:sz w:val="24"/>
          <w:szCs w:val="24"/>
        </w:rPr>
        <w:t>ş</w:t>
      </w:r>
      <w:r w:rsidRPr="005A0F19">
        <w:rPr>
          <w:rFonts w:ascii="Arial Narrow" w:hAnsi="Arial Narrow"/>
          <w:sz w:val="24"/>
          <w:szCs w:val="24"/>
        </w:rPr>
        <w:t>i instrumente medicale stomatologice</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sidRPr="005A0F19">
        <w:rPr>
          <w:rFonts w:ascii="Arial Narrow" w:hAnsi="Arial Narrow"/>
          <w:sz w:val="24"/>
          <w:szCs w:val="24"/>
        </w:rPr>
        <w:t>4646 Comer</w:t>
      </w:r>
      <w:r>
        <w:rPr>
          <w:rFonts w:ascii="Arial Narrow" w:hAnsi="Arial Narrow"/>
          <w:sz w:val="24"/>
          <w:szCs w:val="24"/>
        </w:rPr>
        <w:t>ţ</w:t>
      </w:r>
      <w:r w:rsidRPr="005A0F19">
        <w:rPr>
          <w:rFonts w:ascii="Arial Narrow" w:hAnsi="Arial Narrow"/>
          <w:sz w:val="24"/>
          <w:szCs w:val="24"/>
        </w:rPr>
        <w:t xml:space="preserve"> cu ridicata al produselor farmaceutice</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sidRPr="005A0F19">
        <w:rPr>
          <w:rFonts w:ascii="Arial Narrow" w:hAnsi="Arial Narrow"/>
          <w:sz w:val="24"/>
          <w:szCs w:val="24"/>
        </w:rPr>
        <w:t>4773 Comer</w:t>
      </w:r>
      <w:r>
        <w:rPr>
          <w:rFonts w:ascii="Arial Narrow" w:hAnsi="Arial Narrow"/>
          <w:sz w:val="24"/>
          <w:szCs w:val="24"/>
        </w:rPr>
        <w:t>ţ cu amă</w:t>
      </w:r>
      <w:r w:rsidRPr="005A0F19">
        <w:rPr>
          <w:rFonts w:ascii="Arial Narrow" w:hAnsi="Arial Narrow"/>
          <w:sz w:val="24"/>
          <w:szCs w:val="24"/>
        </w:rPr>
        <w:t xml:space="preserve">nuntul al produselor farmaceutice, </w:t>
      </w:r>
      <w:r>
        <w:rPr>
          <w:rFonts w:ascii="Arial Narrow" w:hAnsi="Arial Narrow"/>
          <w:sz w:val="24"/>
          <w:szCs w:val="24"/>
        </w:rPr>
        <w:t>î</w:t>
      </w:r>
      <w:r w:rsidRPr="005A0F19">
        <w:rPr>
          <w:rFonts w:ascii="Arial Narrow" w:hAnsi="Arial Narrow"/>
          <w:sz w:val="24"/>
          <w:szCs w:val="24"/>
        </w:rPr>
        <w:t xml:space="preserve">n magazine specializate </w:t>
      </w:r>
    </w:p>
    <w:p w:rsidR="00643600" w:rsidRPr="005A0F19" w:rsidRDefault="00643600" w:rsidP="002617A6">
      <w:pPr>
        <w:pStyle w:val="Listparagraf"/>
        <w:numPr>
          <w:ilvl w:val="0"/>
          <w:numId w:val="68"/>
        </w:numPr>
        <w:spacing w:after="0" w:line="240" w:lineRule="auto"/>
        <w:jc w:val="both"/>
        <w:rPr>
          <w:rFonts w:ascii="Arial Narrow" w:hAnsi="Arial Narrow"/>
          <w:sz w:val="24"/>
          <w:szCs w:val="24"/>
        </w:rPr>
      </w:pPr>
      <w:r>
        <w:rPr>
          <w:rFonts w:ascii="Arial Narrow" w:hAnsi="Arial Narrow"/>
          <w:sz w:val="24"/>
          <w:szCs w:val="24"/>
        </w:rPr>
        <w:t>4774 Comerţ cu amănuntul al articolelor medicale şi ortopedice, î</w:t>
      </w:r>
      <w:r w:rsidRPr="005A0F19">
        <w:rPr>
          <w:rFonts w:ascii="Arial Narrow" w:hAnsi="Arial Narrow"/>
          <w:sz w:val="24"/>
          <w:szCs w:val="24"/>
        </w:rPr>
        <w:t>n magazine specializate</w:t>
      </w:r>
    </w:p>
    <w:p w:rsidR="00643600" w:rsidRDefault="00643600" w:rsidP="00643600">
      <w:pPr>
        <w:spacing w:after="0" w:line="240" w:lineRule="auto"/>
        <w:jc w:val="both"/>
        <w:rPr>
          <w:rFonts w:ascii="Arial Narrow" w:hAnsi="Arial Narrow"/>
          <w:sz w:val="20"/>
          <w:szCs w:val="20"/>
        </w:rPr>
      </w:pPr>
    </w:p>
    <w:p w:rsidR="00643600" w:rsidRDefault="00643600" w:rsidP="00643600">
      <w:pPr>
        <w:spacing w:after="0" w:line="240" w:lineRule="auto"/>
        <w:jc w:val="both"/>
        <w:rPr>
          <w:rFonts w:ascii="Arial Narrow" w:hAnsi="Arial Narrow"/>
          <w:sz w:val="20"/>
          <w:szCs w:val="20"/>
        </w:rPr>
      </w:pPr>
      <w:r w:rsidRPr="00E30880">
        <w:rPr>
          <w:rFonts w:ascii="Arial Narrow" w:hAnsi="Arial Narrow"/>
          <w:sz w:val="20"/>
          <w:szCs w:val="20"/>
        </w:rPr>
        <w:t>Grafic 2</w:t>
      </w:r>
      <w:r>
        <w:rPr>
          <w:rFonts w:ascii="Arial Narrow" w:hAnsi="Arial Narrow"/>
          <w:sz w:val="20"/>
          <w:szCs w:val="20"/>
        </w:rPr>
        <w:t xml:space="preserve"> - Evoluția n</w:t>
      </w:r>
      <w:r w:rsidRPr="00751973">
        <w:rPr>
          <w:rFonts w:ascii="Arial Narrow" w:hAnsi="Arial Narrow"/>
          <w:sz w:val="20"/>
          <w:szCs w:val="20"/>
        </w:rPr>
        <w:t>r. de întreprinderi active în producție din regiunea Centru în perioada 2010-2014</w:t>
      </w:r>
    </w:p>
    <w:p w:rsidR="00643600" w:rsidRDefault="00643600" w:rsidP="00643600">
      <w:pPr>
        <w:spacing w:after="0" w:line="240" w:lineRule="auto"/>
        <w:jc w:val="both"/>
        <w:rPr>
          <w:rFonts w:ascii="Arial Narrow" w:hAnsi="Arial Narrow"/>
          <w:sz w:val="20"/>
          <w:szCs w:val="20"/>
        </w:rPr>
      </w:pPr>
      <w:r>
        <w:rPr>
          <w:rFonts w:ascii="Arial Narrow" w:hAnsi="Arial Narrow"/>
          <w:noProof/>
          <w:sz w:val="24"/>
          <w:szCs w:val="24"/>
        </w:rPr>
        <w:drawing>
          <wp:inline distT="0" distB="0" distL="0" distR="0">
            <wp:extent cx="6099810" cy="2218055"/>
            <wp:effectExtent l="19050" t="0" r="15240" b="0"/>
            <wp:docPr id="54" name="Diagramă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D1904" w:rsidRPr="00751973" w:rsidRDefault="003D1904" w:rsidP="00643600">
      <w:pPr>
        <w:spacing w:after="0" w:line="240" w:lineRule="auto"/>
        <w:jc w:val="both"/>
        <w:rPr>
          <w:rFonts w:ascii="Arial Narrow" w:hAnsi="Arial Narrow"/>
          <w:sz w:val="20"/>
          <w:szCs w:val="20"/>
        </w:rPr>
      </w:pPr>
    </w:p>
    <w:tbl>
      <w:tblPr>
        <w:tblW w:w="9974" w:type="dxa"/>
        <w:tblBorders>
          <w:top w:val="single" w:sz="4" w:space="0" w:color="5B9BD5"/>
          <w:left w:val="single" w:sz="4" w:space="0" w:color="5B9BD5"/>
          <w:bottom w:val="single" w:sz="4" w:space="0" w:color="5B9BD5"/>
          <w:right w:val="single" w:sz="4" w:space="0" w:color="5B9BD5"/>
        </w:tblBorders>
        <w:tblLook w:val="04A0"/>
      </w:tblPr>
      <w:tblGrid>
        <w:gridCol w:w="5080"/>
        <w:gridCol w:w="1105"/>
        <w:gridCol w:w="878"/>
        <w:gridCol w:w="1015"/>
        <w:gridCol w:w="948"/>
        <w:gridCol w:w="948"/>
      </w:tblGrid>
      <w:tr w:rsidR="00643600" w:rsidRPr="00FE5C30" w:rsidTr="003D1904">
        <w:trPr>
          <w:trHeight w:val="435"/>
        </w:trPr>
        <w:tc>
          <w:tcPr>
            <w:tcW w:w="5080" w:type="dxa"/>
            <w:tcBorders>
              <w:bottom w:val="nil"/>
              <w:right w:val="nil"/>
            </w:tcBorders>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CAEN/An</w:t>
            </w:r>
          </w:p>
        </w:tc>
        <w:tc>
          <w:tcPr>
            <w:tcW w:w="1105" w:type="dxa"/>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 2010</w:t>
            </w:r>
          </w:p>
        </w:tc>
        <w:tc>
          <w:tcPr>
            <w:tcW w:w="878" w:type="dxa"/>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 2011</w:t>
            </w:r>
          </w:p>
        </w:tc>
        <w:tc>
          <w:tcPr>
            <w:tcW w:w="1015" w:type="dxa"/>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2012</w:t>
            </w:r>
          </w:p>
        </w:tc>
        <w:tc>
          <w:tcPr>
            <w:tcW w:w="948" w:type="dxa"/>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2013</w:t>
            </w:r>
          </w:p>
        </w:tc>
        <w:tc>
          <w:tcPr>
            <w:tcW w:w="948" w:type="dxa"/>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 2014</w:t>
            </w:r>
          </w:p>
        </w:tc>
      </w:tr>
      <w:tr w:rsidR="00643600" w:rsidRPr="00FE5C30" w:rsidTr="003D1904">
        <w:trPr>
          <w:trHeight w:val="269"/>
        </w:trPr>
        <w:tc>
          <w:tcPr>
            <w:tcW w:w="5080" w:type="dxa"/>
            <w:tcBorders>
              <w:top w:val="single" w:sz="4" w:space="0" w:color="5B9BD5"/>
              <w:bottom w:val="single" w:sz="4" w:space="0" w:color="5B9BD5"/>
              <w:right w:val="nil"/>
            </w:tcBorders>
            <w:shd w:val="clear" w:color="auto" w:fill="FFFFFF"/>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4646 - Comert cu ridicata al produselor farmaceutice</w:t>
            </w:r>
          </w:p>
        </w:tc>
        <w:tc>
          <w:tcPr>
            <w:tcW w:w="1105" w:type="dxa"/>
            <w:tcBorders>
              <w:top w:val="single" w:sz="4" w:space="0" w:color="5B9BD5"/>
              <w:bottom w:val="single" w:sz="4" w:space="0" w:color="5B9BD5"/>
            </w:tcBorders>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139</w:t>
            </w:r>
          </w:p>
        </w:tc>
        <w:tc>
          <w:tcPr>
            <w:tcW w:w="878" w:type="dxa"/>
            <w:tcBorders>
              <w:top w:val="single" w:sz="4" w:space="0" w:color="5B9BD5"/>
              <w:bottom w:val="single" w:sz="4" w:space="0" w:color="5B9BD5"/>
            </w:tcBorders>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129</w:t>
            </w:r>
          </w:p>
        </w:tc>
        <w:tc>
          <w:tcPr>
            <w:tcW w:w="1015" w:type="dxa"/>
            <w:tcBorders>
              <w:top w:val="single" w:sz="4" w:space="0" w:color="5B9BD5"/>
              <w:bottom w:val="single" w:sz="4" w:space="0" w:color="5B9BD5"/>
            </w:tcBorders>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132</w:t>
            </w:r>
          </w:p>
        </w:tc>
        <w:tc>
          <w:tcPr>
            <w:tcW w:w="948" w:type="dxa"/>
            <w:tcBorders>
              <w:top w:val="single" w:sz="4" w:space="0" w:color="5B9BD5"/>
              <w:bottom w:val="single" w:sz="4" w:space="0" w:color="5B9BD5"/>
            </w:tcBorders>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138</w:t>
            </w:r>
          </w:p>
        </w:tc>
        <w:tc>
          <w:tcPr>
            <w:tcW w:w="948" w:type="dxa"/>
            <w:tcBorders>
              <w:top w:val="single" w:sz="4" w:space="0" w:color="5B9BD5"/>
              <w:bottom w:val="single" w:sz="4" w:space="0" w:color="5B9BD5"/>
            </w:tcBorders>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135</w:t>
            </w:r>
          </w:p>
        </w:tc>
      </w:tr>
      <w:tr w:rsidR="00643600" w:rsidRPr="00FE5C30" w:rsidTr="003D1904">
        <w:trPr>
          <w:trHeight w:val="435"/>
        </w:trPr>
        <w:tc>
          <w:tcPr>
            <w:tcW w:w="5080" w:type="dxa"/>
            <w:tcBorders>
              <w:right w:val="nil"/>
            </w:tcBorders>
            <w:shd w:val="clear" w:color="auto" w:fill="FFFFFF"/>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4773 - Comert cu amanuntul al produselor farmaceutice, in magazine specializate</w:t>
            </w:r>
          </w:p>
        </w:tc>
        <w:tc>
          <w:tcPr>
            <w:tcW w:w="1105" w:type="dxa"/>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610</w:t>
            </w:r>
          </w:p>
        </w:tc>
        <w:tc>
          <w:tcPr>
            <w:tcW w:w="878" w:type="dxa"/>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609</w:t>
            </w:r>
          </w:p>
        </w:tc>
        <w:tc>
          <w:tcPr>
            <w:tcW w:w="1015" w:type="dxa"/>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602</w:t>
            </w:r>
          </w:p>
        </w:tc>
        <w:tc>
          <w:tcPr>
            <w:tcW w:w="948" w:type="dxa"/>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582</w:t>
            </w:r>
          </w:p>
        </w:tc>
        <w:tc>
          <w:tcPr>
            <w:tcW w:w="948" w:type="dxa"/>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593</w:t>
            </w:r>
          </w:p>
        </w:tc>
      </w:tr>
      <w:tr w:rsidR="00643600" w:rsidRPr="00FE5C30" w:rsidTr="003D1904">
        <w:trPr>
          <w:trHeight w:val="435"/>
        </w:trPr>
        <w:tc>
          <w:tcPr>
            <w:tcW w:w="5080" w:type="dxa"/>
            <w:tcBorders>
              <w:top w:val="single" w:sz="4" w:space="0" w:color="5B9BD5"/>
              <w:bottom w:val="single" w:sz="4" w:space="0" w:color="5B9BD5"/>
              <w:right w:val="nil"/>
            </w:tcBorders>
            <w:shd w:val="clear" w:color="auto" w:fill="FFFFFF"/>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4774 - Comert cu amanuntul al articolelor medicale si ortopedice, in magazine specializate</w:t>
            </w:r>
          </w:p>
        </w:tc>
        <w:tc>
          <w:tcPr>
            <w:tcW w:w="1105" w:type="dxa"/>
            <w:tcBorders>
              <w:top w:val="single" w:sz="4" w:space="0" w:color="5B9BD5"/>
              <w:bottom w:val="single" w:sz="4" w:space="0" w:color="5B9BD5"/>
            </w:tcBorders>
            <w:shd w:val="clear" w:color="auto" w:fill="auto"/>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sz w:val="20"/>
                <w:szCs w:val="20"/>
              </w:rPr>
              <w:t>85</w:t>
            </w:r>
          </w:p>
        </w:tc>
        <w:tc>
          <w:tcPr>
            <w:tcW w:w="878" w:type="dxa"/>
            <w:tcBorders>
              <w:top w:val="single" w:sz="4" w:space="0" w:color="5B9BD5"/>
              <w:bottom w:val="single" w:sz="4" w:space="0" w:color="5B9BD5"/>
            </w:tcBorders>
            <w:shd w:val="clear" w:color="auto" w:fill="auto"/>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sz w:val="20"/>
                <w:szCs w:val="20"/>
              </w:rPr>
              <w:t>86</w:t>
            </w:r>
          </w:p>
        </w:tc>
        <w:tc>
          <w:tcPr>
            <w:tcW w:w="1015" w:type="dxa"/>
            <w:tcBorders>
              <w:top w:val="single" w:sz="4" w:space="0" w:color="5B9BD5"/>
              <w:bottom w:val="single" w:sz="4" w:space="0" w:color="5B9BD5"/>
            </w:tcBorders>
            <w:shd w:val="clear" w:color="auto" w:fill="auto"/>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sz w:val="20"/>
                <w:szCs w:val="20"/>
              </w:rPr>
              <w:t>97</w:t>
            </w:r>
          </w:p>
        </w:tc>
        <w:tc>
          <w:tcPr>
            <w:tcW w:w="948" w:type="dxa"/>
            <w:tcBorders>
              <w:top w:val="single" w:sz="4" w:space="0" w:color="5B9BD5"/>
              <w:bottom w:val="single" w:sz="4" w:space="0" w:color="5B9BD5"/>
            </w:tcBorders>
            <w:shd w:val="clear" w:color="auto" w:fill="auto"/>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sz w:val="20"/>
                <w:szCs w:val="20"/>
              </w:rPr>
              <w:t>101</w:t>
            </w:r>
          </w:p>
        </w:tc>
        <w:tc>
          <w:tcPr>
            <w:tcW w:w="948" w:type="dxa"/>
            <w:tcBorders>
              <w:top w:val="single" w:sz="4" w:space="0" w:color="5B9BD5"/>
              <w:bottom w:val="single" w:sz="4" w:space="0" w:color="5B9BD5"/>
            </w:tcBorders>
            <w:shd w:val="clear" w:color="auto" w:fill="auto"/>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sz w:val="20"/>
                <w:szCs w:val="20"/>
              </w:rPr>
              <w:t>89</w:t>
            </w:r>
          </w:p>
        </w:tc>
      </w:tr>
    </w:tbl>
    <w:p w:rsidR="00643600"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Lanțul valoric simplificat al sectorului supus spre analiză poate fi reprezentat astfel:</w:t>
      </w:r>
    </w:p>
    <w:p w:rsidR="00643600" w:rsidRDefault="00643600" w:rsidP="00643600">
      <w:pPr>
        <w:spacing w:after="0" w:line="240" w:lineRule="auto"/>
        <w:ind w:left="360"/>
        <w:jc w:val="both"/>
        <w:rPr>
          <w:rFonts w:ascii="Arial Narrow" w:hAnsi="Arial Narrow"/>
          <w:sz w:val="24"/>
          <w:szCs w:val="24"/>
        </w:rPr>
      </w:pPr>
    </w:p>
    <w:p w:rsidR="00643600" w:rsidRPr="005A0F19" w:rsidRDefault="00643600" w:rsidP="00643600">
      <w:pPr>
        <w:spacing w:after="0" w:line="240" w:lineRule="auto"/>
        <w:ind w:left="360"/>
        <w:jc w:val="both"/>
        <w:rPr>
          <w:rFonts w:ascii="Arial Narrow" w:hAnsi="Arial Narrow"/>
          <w:sz w:val="24"/>
          <w:szCs w:val="24"/>
        </w:rPr>
      </w:pPr>
      <w:r w:rsidRPr="005A0F19">
        <w:rPr>
          <w:rFonts w:ascii="Arial Narrow" w:hAnsi="Arial Narrow"/>
          <w:sz w:val="24"/>
          <w:szCs w:val="24"/>
        </w:rPr>
        <w:t xml:space="preserve">Tabel 2 </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tblPr>
      <w:tblGrid>
        <w:gridCol w:w="3096"/>
        <w:gridCol w:w="3213"/>
        <w:gridCol w:w="2979"/>
      </w:tblGrid>
      <w:tr w:rsidR="00643600" w:rsidRPr="00FE5C30" w:rsidTr="00643600">
        <w:trPr>
          <w:trHeight w:val="313"/>
        </w:trPr>
        <w:tc>
          <w:tcPr>
            <w:tcW w:w="3540" w:type="dxa"/>
            <w:tcBorders>
              <w:top w:val="single" w:sz="4" w:space="0" w:color="auto"/>
              <w:left w:val="single" w:sz="4" w:space="0" w:color="auto"/>
              <w:bottom w:val="single" w:sz="4" w:space="0" w:color="auto"/>
              <w:right w:val="single" w:sz="4" w:space="0" w:color="auto"/>
            </w:tcBorders>
            <w:shd w:val="clear" w:color="auto" w:fill="70AD47"/>
          </w:tcPr>
          <w:p w:rsidR="00643600" w:rsidRPr="00FE5C30" w:rsidRDefault="00643600" w:rsidP="00643600">
            <w:pPr>
              <w:spacing w:after="0" w:line="240" w:lineRule="auto"/>
              <w:jc w:val="both"/>
              <w:rPr>
                <w:rFonts w:ascii="Arial Narrow" w:hAnsi="Arial Narrow"/>
                <w:b/>
                <w:bCs/>
                <w:color w:val="FFFFFF"/>
                <w:sz w:val="20"/>
                <w:szCs w:val="20"/>
              </w:rPr>
            </w:pPr>
            <w:r w:rsidRPr="00FE5C30">
              <w:rPr>
                <w:rFonts w:ascii="Arial Narrow" w:hAnsi="Arial Narrow"/>
                <w:b/>
                <w:bCs/>
                <w:color w:val="FFFFFF"/>
                <w:sz w:val="20"/>
                <w:szCs w:val="20"/>
              </w:rPr>
              <w:t>Producători</w:t>
            </w:r>
          </w:p>
        </w:tc>
        <w:tc>
          <w:tcPr>
            <w:tcW w:w="3685" w:type="dxa"/>
            <w:tcBorders>
              <w:top w:val="single" w:sz="4" w:space="0" w:color="auto"/>
              <w:left w:val="single" w:sz="4" w:space="0" w:color="auto"/>
              <w:bottom w:val="single" w:sz="4" w:space="0" w:color="auto"/>
              <w:right w:val="single" w:sz="4" w:space="0" w:color="auto"/>
            </w:tcBorders>
            <w:shd w:val="clear" w:color="auto" w:fill="70AD47"/>
          </w:tcPr>
          <w:p w:rsidR="00643600" w:rsidRPr="00FE5C30" w:rsidRDefault="00643600" w:rsidP="00643600">
            <w:pPr>
              <w:spacing w:after="0" w:line="240" w:lineRule="auto"/>
              <w:jc w:val="both"/>
              <w:rPr>
                <w:rFonts w:ascii="Arial Narrow" w:hAnsi="Arial Narrow"/>
                <w:b/>
                <w:bCs/>
                <w:color w:val="FFFFFF"/>
                <w:sz w:val="20"/>
                <w:szCs w:val="20"/>
              </w:rPr>
            </w:pPr>
            <w:r w:rsidRPr="00FE5C30">
              <w:rPr>
                <w:rFonts w:ascii="Arial Narrow" w:hAnsi="Arial Narrow"/>
                <w:b/>
                <w:bCs/>
                <w:color w:val="FFFFFF"/>
                <w:sz w:val="20"/>
                <w:szCs w:val="20"/>
              </w:rPr>
              <w:t>Distrbuitori</w:t>
            </w:r>
          </w:p>
        </w:tc>
        <w:tc>
          <w:tcPr>
            <w:tcW w:w="3396" w:type="dxa"/>
            <w:tcBorders>
              <w:top w:val="single" w:sz="4" w:space="0" w:color="auto"/>
              <w:left w:val="single" w:sz="4" w:space="0" w:color="auto"/>
              <w:bottom w:val="single" w:sz="4" w:space="0" w:color="auto"/>
              <w:right w:val="single" w:sz="4" w:space="0" w:color="auto"/>
            </w:tcBorders>
            <w:shd w:val="clear" w:color="auto" w:fill="70AD47"/>
          </w:tcPr>
          <w:p w:rsidR="00643600" w:rsidRPr="00FE5C30" w:rsidRDefault="00643600" w:rsidP="00643600">
            <w:pPr>
              <w:spacing w:after="0" w:line="240" w:lineRule="auto"/>
              <w:jc w:val="both"/>
              <w:rPr>
                <w:rFonts w:ascii="Arial Narrow" w:hAnsi="Arial Narrow"/>
                <w:b/>
                <w:bCs/>
                <w:color w:val="FFFFFF"/>
                <w:sz w:val="20"/>
                <w:szCs w:val="20"/>
              </w:rPr>
            </w:pPr>
            <w:r w:rsidRPr="00FE5C30">
              <w:rPr>
                <w:rFonts w:ascii="Arial Narrow" w:hAnsi="Arial Narrow"/>
                <w:b/>
                <w:bCs/>
                <w:color w:val="FFFFFF"/>
                <w:sz w:val="20"/>
                <w:szCs w:val="20"/>
              </w:rPr>
              <w:t>Retaileri</w:t>
            </w:r>
          </w:p>
        </w:tc>
      </w:tr>
      <w:tr w:rsidR="00643600" w:rsidRPr="00FE5C30" w:rsidTr="00643600">
        <w:tc>
          <w:tcPr>
            <w:tcW w:w="3540" w:type="dxa"/>
            <w:tcBorders>
              <w:top w:val="single" w:sz="4" w:space="0" w:color="auto"/>
            </w:tcBorders>
            <w:shd w:val="clear" w:color="auto" w:fill="E2EFD9"/>
          </w:tcPr>
          <w:p w:rsidR="00643600" w:rsidRPr="00FE5C30" w:rsidRDefault="00643600" w:rsidP="002617A6">
            <w:pPr>
              <w:pStyle w:val="Listparagraf"/>
              <w:numPr>
                <w:ilvl w:val="0"/>
                <w:numId w:val="66"/>
              </w:numPr>
              <w:spacing w:after="0" w:line="240" w:lineRule="auto"/>
              <w:jc w:val="both"/>
              <w:rPr>
                <w:rFonts w:ascii="Arial Narrow" w:hAnsi="Arial Narrow"/>
                <w:b/>
                <w:bCs/>
                <w:sz w:val="20"/>
                <w:szCs w:val="20"/>
              </w:rPr>
            </w:pPr>
            <w:r w:rsidRPr="00FE5C30">
              <w:rPr>
                <w:rFonts w:ascii="Arial Narrow" w:hAnsi="Arial Narrow"/>
                <w:b/>
                <w:bCs/>
                <w:sz w:val="20"/>
                <w:szCs w:val="20"/>
              </w:rPr>
              <w:t>Produse farmaceutice (CAEN 2110,2120): 148 companii</w:t>
            </w:r>
          </w:p>
          <w:p w:rsidR="00643600" w:rsidRPr="00FE5C30" w:rsidRDefault="00643600" w:rsidP="00643600">
            <w:pPr>
              <w:pStyle w:val="Listparagraf"/>
              <w:spacing w:after="0" w:line="240" w:lineRule="auto"/>
              <w:jc w:val="both"/>
              <w:rPr>
                <w:rFonts w:ascii="Arial Narrow" w:hAnsi="Arial Narrow"/>
                <w:b/>
                <w:bCs/>
                <w:sz w:val="20"/>
                <w:szCs w:val="20"/>
              </w:rPr>
            </w:pPr>
          </w:p>
        </w:tc>
        <w:tc>
          <w:tcPr>
            <w:tcW w:w="3685" w:type="dxa"/>
            <w:tcBorders>
              <w:top w:val="single" w:sz="4" w:space="0" w:color="auto"/>
            </w:tcBorders>
            <w:shd w:val="clear" w:color="auto" w:fill="E2EFD9"/>
          </w:tcPr>
          <w:p w:rsidR="00643600" w:rsidRPr="00FE5C30" w:rsidRDefault="00643600" w:rsidP="002617A6">
            <w:pPr>
              <w:pStyle w:val="Listparagraf"/>
              <w:numPr>
                <w:ilvl w:val="0"/>
                <w:numId w:val="67"/>
              </w:numPr>
              <w:spacing w:after="0" w:line="240" w:lineRule="auto"/>
              <w:jc w:val="both"/>
              <w:rPr>
                <w:rFonts w:ascii="Arial Narrow" w:hAnsi="Arial Narrow"/>
                <w:b/>
                <w:sz w:val="20"/>
                <w:szCs w:val="20"/>
              </w:rPr>
            </w:pPr>
            <w:r w:rsidRPr="00FE5C30">
              <w:rPr>
                <w:rFonts w:ascii="Arial Narrow" w:hAnsi="Arial Narrow"/>
                <w:b/>
                <w:sz w:val="20"/>
                <w:szCs w:val="20"/>
              </w:rPr>
              <w:t>Produse farmaceutice (CAEN 4646): 135 companii</w:t>
            </w:r>
          </w:p>
          <w:p w:rsidR="00643600" w:rsidRPr="00FE5C30" w:rsidRDefault="00643600" w:rsidP="00643600">
            <w:pPr>
              <w:pStyle w:val="Listparagraf"/>
              <w:spacing w:after="0" w:line="240" w:lineRule="auto"/>
              <w:jc w:val="both"/>
              <w:rPr>
                <w:rFonts w:ascii="Arial Narrow" w:hAnsi="Arial Narrow"/>
                <w:b/>
                <w:sz w:val="20"/>
                <w:szCs w:val="20"/>
              </w:rPr>
            </w:pPr>
          </w:p>
        </w:tc>
        <w:tc>
          <w:tcPr>
            <w:tcW w:w="3396" w:type="dxa"/>
            <w:tcBorders>
              <w:top w:val="single" w:sz="4" w:space="0" w:color="auto"/>
            </w:tcBorders>
            <w:shd w:val="clear" w:color="auto" w:fill="E2EFD9"/>
          </w:tcPr>
          <w:p w:rsidR="00643600" w:rsidRPr="00FE5C30" w:rsidRDefault="00643600" w:rsidP="002617A6">
            <w:pPr>
              <w:pStyle w:val="Listparagraf"/>
              <w:numPr>
                <w:ilvl w:val="0"/>
                <w:numId w:val="67"/>
              </w:numPr>
              <w:spacing w:after="0" w:line="240" w:lineRule="auto"/>
              <w:jc w:val="both"/>
              <w:rPr>
                <w:rFonts w:ascii="Arial Narrow" w:hAnsi="Arial Narrow"/>
                <w:b/>
                <w:sz w:val="20"/>
                <w:szCs w:val="20"/>
              </w:rPr>
            </w:pPr>
            <w:r w:rsidRPr="00FE5C30">
              <w:rPr>
                <w:rFonts w:ascii="Arial Narrow" w:hAnsi="Arial Narrow"/>
                <w:b/>
                <w:sz w:val="20"/>
                <w:szCs w:val="20"/>
              </w:rPr>
              <w:t>Produse farmaceutice (CAEN 4773): 593 companii</w:t>
            </w:r>
          </w:p>
          <w:p w:rsidR="00643600" w:rsidRPr="00FE5C30" w:rsidRDefault="00643600" w:rsidP="00643600">
            <w:pPr>
              <w:spacing w:after="0" w:line="240" w:lineRule="auto"/>
              <w:jc w:val="both"/>
              <w:rPr>
                <w:rFonts w:ascii="Arial Narrow" w:hAnsi="Arial Narrow"/>
                <w:b/>
                <w:sz w:val="20"/>
                <w:szCs w:val="20"/>
              </w:rPr>
            </w:pPr>
          </w:p>
        </w:tc>
      </w:tr>
      <w:tr w:rsidR="00643600" w:rsidRPr="00FE5C30" w:rsidTr="00643600">
        <w:tc>
          <w:tcPr>
            <w:tcW w:w="7225" w:type="dxa"/>
            <w:gridSpan w:val="2"/>
            <w:shd w:val="clear" w:color="auto" w:fill="auto"/>
          </w:tcPr>
          <w:p w:rsidR="00643600" w:rsidRPr="00FE5C30" w:rsidRDefault="00643600" w:rsidP="002617A6">
            <w:pPr>
              <w:pStyle w:val="Listparagraf"/>
              <w:numPr>
                <w:ilvl w:val="0"/>
                <w:numId w:val="67"/>
              </w:numPr>
              <w:spacing w:after="0" w:line="240" w:lineRule="auto"/>
              <w:jc w:val="both"/>
              <w:rPr>
                <w:rFonts w:ascii="Arial Narrow" w:hAnsi="Arial Narrow"/>
                <w:b/>
                <w:bCs/>
                <w:sz w:val="20"/>
                <w:szCs w:val="20"/>
              </w:rPr>
            </w:pPr>
            <w:r w:rsidRPr="00FE5C30">
              <w:rPr>
                <w:rFonts w:ascii="Arial Narrow" w:hAnsi="Arial Narrow"/>
                <w:b/>
                <w:bCs/>
                <w:sz w:val="20"/>
                <w:szCs w:val="20"/>
              </w:rPr>
              <w:t>Echipamente și dispozitive medicale (CAEN 2660, 3250): 954 companii *</w:t>
            </w:r>
          </w:p>
          <w:p w:rsidR="00643600" w:rsidRPr="00FE5C30" w:rsidRDefault="00643600" w:rsidP="00643600">
            <w:pPr>
              <w:pStyle w:val="Listparagraf"/>
              <w:spacing w:after="0" w:line="240" w:lineRule="auto"/>
              <w:jc w:val="both"/>
              <w:rPr>
                <w:rFonts w:ascii="Arial Narrow" w:hAnsi="Arial Narrow"/>
                <w:b/>
                <w:bCs/>
                <w:sz w:val="20"/>
                <w:szCs w:val="20"/>
              </w:rPr>
            </w:pPr>
          </w:p>
        </w:tc>
        <w:tc>
          <w:tcPr>
            <w:tcW w:w="3396" w:type="dxa"/>
            <w:shd w:val="clear" w:color="auto" w:fill="auto"/>
          </w:tcPr>
          <w:p w:rsidR="00643600" w:rsidRPr="00FE5C30" w:rsidRDefault="00643600" w:rsidP="002617A6">
            <w:pPr>
              <w:pStyle w:val="Listparagraf"/>
              <w:numPr>
                <w:ilvl w:val="0"/>
                <w:numId w:val="67"/>
              </w:numPr>
              <w:spacing w:after="0" w:line="240" w:lineRule="auto"/>
              <w:jc w:val="both"/>
              <w:rPr>
                <w:rFonts w:ascii="Arial Narrow" w:hAnsi="Arial Narrow"/>
                <w:b/>
                <w:sz w:val="20"/>
                <w:szCs w:val="20"/>
              </w:rPr>
            </w:pPr>
            <w:r w:rsidRPr="00FE5C30">
              <w:rPr>
                <w:rFonts w:ascii="Arial Narrow" w:hAnsi="Arial Narrow"/>
                <w:b/>
                <w:sz w:val="20"/>
                <w:szCs w:val="20"/>
              </w:rPr>
              <w:t>Produse medicale și ortopedice (CAEN 4774) : 89 companii</w:t>
            </w:r>
          </w:p>
        </w:tc>
      </w:tr>
    </w:tbl>
    <w:p w:rsidR="00643600" w:rsidRPr="00545737" w:rsidRDefault="00643600" w:rsidP="002617A6">
      <w:pPr>
        <w:pStyle w:val="Default"/>
        <w:numPr>
          <w:ilvl w:val="0"/>
          <w:numId w:val="65"/>
        </w:numPr>
        <w:jc w:val="both"/>
        <w:rPr>
          <w:rFonts w:ascii="Arial Narrow" w:hAnsi="Arial Narrow"/>
          <w:sz w:val="16"/>
          <w:szCs w:val="16"/>
        </w:rPr>
      </w:pPr>
      <w:r w:rsidRPr="00545737">
        <w:rPr>
          <w:rFonts w:ascii="Arial Narrow" w:hAnsi="Arial Narrow"/>
          <w:sz w:val="16"/>
          <w:szCs w:val="16"/>
        </w:rPr>
        <w:t xml:space="preserve">Sursa datelor: Prelucrare după baza de date TEMPO, Institutul Național de Statistică, date disponibile la nivelul anului 2014 </w:t>
      </w:r>
    </w:p>
    <w:p w:rsidR="00643600" w:rsidRDefault="00643600" w:rsidP="00643600">
      <w:pPr>
        <w:spacing w:after="0" w:line="240" w:lineRule="auto"/>
        <w:jc w:val="both"/>
        <w:rPr>
          <w:rFonts w:ascii="Arial Narrow" w:hAnsi="Arial Narrow"/>
          <w:i/>
          <w:sz w:val="20"/>
          <w:szCs w:val="20"/>
        </w:rPr>
      </w:pPr>
      <w:r w:rsidRPr="00545737">
        <w:rPr>
          <w:rFonts w:ascii="Arial Narrow" w:hAnsi="Arial Narrow"/>
          <w:i/>
          <w:sz w:val="20"/>
          <w:szCs w:val="20"/>
        </w:rPr>
        <w:t xml:space="preserve"> </w:t>
      </w:r>
    </w:p>
    <w:p w:rsidR="00643600" w:rsidRPr="00545737" w:rsidRDefault="00643600" w:rsidP="00643600">
      <w:pPr>
        <w:spacing w:after="0" w:line="240" w:lineRule="auto"/>
        <w:jc w:val="both"/>
        <w:rPr>
          <w:rFonts w:ascii="Arial Narrow" w:hAnsi="Arial Narrow"/>
          <w:i/>
          <w:sz w:val="20"/>
          <w:szCs w:val="20"/>
        </w:rPr>
      </w:pPr>
      <w:r w:rsidRPr="00545737">
        <w:rPr>
          <w:rFonts w:ascii="Arial Narrow" w:hAnsi="Arial Narrow"/>
          <w:i/>
          <w:sz w:val="20"/>
          <w:szCs w:val="20"/>
        </w:rPr>
        <w:t>* În urma verificărilor detaliate s-a constatat că foarte multe dintre companiile înregistrate cu activitate principală de producție, sunt în fapt companii importatoare și distribuitoare de echipamente și dispozitive medicale, așadar numărul mare de companii este reprezentat în mare parte de firme care importă și distribuie dispozitive medicale, foarte puține realizând activitate de producție.</w:t>
      </w:r>
    </w:p>
    <w:p w:rsidR="00643600" w:rsidRPr="005A0F19"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sidRPr="00545737">
        <w:rPr>
          <w:rFonts w:ascii="Arial Narrow" w:hAnsi="Arial Narrow"/>
          <w:sz w:val="24"/>
          <w:szCs w:val="24"/>
        </w:rPr>
        <w:t xml:space="preserve">Fiecare din cele </w:t>
      </w:r>
      <w:r>
        <w:rPr>
          <w:rFonts w:ascii="Arial Narrow" w:hAnsi="Arial Narrow"/>
          <w:sz w:val="24"/>
          <w:szCs w:val="24"/>
        </w:rPr>
        <w:t>trei</w:t>
      </w:r>
      <w:r w:rsidRPr="00545737">
        <w:rPr>
          <w:rFonts w:ascii="Arial Narrow" w:hAnsi="Arial Narrow"/>
          <w:sz w:val="24"/>
          <w:szCs w:val="24"/>
        </w:rPr>
        <w:t xml:space="preserve"> mari categorii de actori implicați în lanțul de valoare al serviciilor medicale joacă un rol extrem de important. </w:t>
      </w:r>
    </w:p>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Pr>
          <w:rFonts w:ascii="Arial Narrow" w:hAnsi="Arial Narrow"/>
          <w:sz w:val="24"/>
          <w:szCs w:val="24"/>
        </w:rPr>
        <w:t>Pe partea</w:t>
      </w:r>
      <w:r w:rsidRPr="005A0F19">
        <w:rPr>
          <w:rFonts w:ascii="Arial Narrow" w:hAnsi="Arial Narrow"/>
          <w:sz w:val="24"/>
          <w:szCs w:val="24"/>
        </w:rPr>
        <w:t xml:space="preserve"> de distribuție activează</w:t>
      </w:r>
      <w:r>
        <w:rPr>
          <w:rFonts w:ascii="Arial Narrow" w:hAnsi="Arial Narrow"/>
          <w:sz w:val="24"/>
          <w:szCs w:val="24"/>
        </w:rPr>
        <w:t xml:space="preserve"> </w:t>
      </w:r>
      <w:r w:rsidRPr="005A0F19">
        <w:rPr>
          <w:rFonts w:ascii="Arial Narrow" w:hAnsi="Arial Narrow"/>
          <w:sz w:val="24"/>
          <w:szCs w:val="24"/>
        </w:rPr>
        <w:t>Fresenius Kabi</w:t>
      </w:r>
      <w:r>
        <w:rPr>
          <w:rFonts w:ascii="Arial Narrow" w:hAnsi="Arial Narrow"/>
          <w:sz w:val="24"/>
          <w:szCs w:val="24"/>
        </w:rPr>
        <w:t xml:space="preserve"> cu sediul central la Brașov, </w:t>
      </w:r>
      <w:r w:rsidRPr="005A0F19">
        <w:rPr>
          <w:rFonts w:ascii="Arial Narrow" w:hAnsi="Arial Narrow"/>
          <w:sz w:val="24"/>
          <w:szCs w:val="24"/>
        </w:rPr>
        <w:t xml:space="preserve">lider </w:t>
      </w:r>
      <w:r>
        <w:rPr>
          <w:rFonts w:ascii="Arial Narrow" w:hAnsi="Arial Narrow"/>
          <w:sz w:val="24"/>
          <w:szCs w:val="24"/>
        </w:rPr>
        <w:t>în domeniul Nutriţ</w:t>
      </w:r>
      <w:r w:rsidRPr="005A0F19">
        <w:rPr>
          <w:rFonts w:ascii="Arial Narrow" w:hAnsi="Arial Narrow"/>
          <w:sz w:val="24"/>
          <w:szCs w:val="24"/>
        </w:rPr>
        <w:t>iei C</w:t>
      </w:r>
      <w:r>
        <w:rPr>
          <w:rFonts w:ascii="Arial Narrow" w:hAnsi="Arial Narrow"/>
          <w:sz w:val="24"/>
          <w:szCs w:val="24"/>
        </w:rPr>
        <w:t>linice şi Terapiei Volemice, atâ</w:t>
      </w:r>
      <w:r w:rsidRPr="005A0F19">
        <w:rPr>
          <w:rFonts w:ascii="Arial Narrow" w:hAnsi="Arial Narrow"/>
          <w:sz w:val="24"/>
          <w:szCs w:val="24"/>
        </w:rPr>
        <w:t xml:space="preserve">t </w:t>
      </w:r>
      <w:r>
        <w:rPr>
          <w:rFonts w:ascii="Arial Narrow" w:hAnsi="Arial Narrow"/>
          <w:sz w:val="24"/>
          <w:szCs w:val="24"/>
        </w:rPr>
        <w:t>î</w:t>
      </w:r>
      <w:r w:rsidRPr="005A0F19">
        <w:rPr>
          <w:rFonts w:ascii="Arial Narrow" w:hAnsi="Arial Narrow"/>
          <w:sz w:val="24"/>
          <w:szCs w:val="24"/>
        </w:rPr>
        <w:t>n Europa,</w:t>
      </w:r>
      <w:r>
        <w:rPr>
          <w:rFonts w:ascii="Arial Narrow" w:hAnsi="Arial Narrow"/>
          <w:sz w:val="24"/>
          <w:szCs w:val="24"/>
        </w:rPr>
        <w:t xml:space="preserve"> cât si în numeroase ță</w:t>
      </w:r>
      <w:r w:rsidRPr="005A0F19">
        <w:rPr>
          <w:rFonts w:ascii="Arial Narrow" w:hAnsi="Arial Narrow"/>
          <w:sz w:val="24"/>
          <w:szCs w:val="24"/>
        </w:rPr>
        <w:t xml:space="preserve">ri din America Latina si </w:t>
      </w:r>
      <w:r>
        <w:rPr>
          <w:rFonts w:ascii="Arial Narrow" w:hAnsi="Arial Narrow"/>
          <w:sz w:val="24"/>
          <w:szCs w:val="24"/>
        </w:rPr>
        <w:t>Asia Pacific, având o gama largă</w:t>
      </w:r>
      <w:r w:rsidRPr="005A0F19">
        <w:rPr>
          <w:rFonts w:ascii="Arial Narrow" w:hAnsi="Arial Narrow"/>
          <w:sz w:val="24"/>
          <w:szCs w:val="24"/>
        </w:rPr>
        <w:t xml:space="preserve"> de medicamente generice administrate i.v. pentru domenii terapeutice diverse: o</w:t>
      </w:r>
      <w:r>
        <w:rPr>
          <w:rFonts w:ascii="Arial Narrow" w:hAnsi="Arial Narrow"/>
          <w:sz w:val="24"/>
          <w:szCs w:val="24"/>
        </w:rPr>
        <w:t>ncologie, anestezie, analgezie ş</w:t>
      </w:r>
      <w:r w:rsidRPr="005A0F19">
        <w:rPr>
          <w:rFonts w:ascii="Arial Narrow" w:hAnsi="Arial Narrow"/>
          <w:sz w:val="24"/>
          <w:szCs w:val="24"/>
        </w:rPr>
        <w:t xml:space="preserve">i boli critice. </w:t>
      </w:r>
      <w:r w:rsidRPr="005A0F19">
        <w:rPr>
          <w:rFonts w:ascii="Arial Narrow" w:hAnsi="Arial Narrow"/>
          <w:sz w:val="24"/>
          <w:szCs w:val="24"/>
          <w:lang w:val="ro-RO"/>
        </w:rPr>
        <w:t>Odata cu introducerea gene</w:t>
      </w:r>
      <w:r>
        <w:rPr>
          <w:rFonts w:ascii="Arial Narrow" w:hAnsi="Arial Narrow"/>
          <w:sz w:val="24"/>
          <w:szCs w:val="24"/>
          <w:lang w:val="ro-RO"/>
        </w:rPr>
        <w:t>ricelor i.v. Fresenius Kabi se înscrie î</w:t>
      </w:r>
      <w:r w:rsidRPr="005A0F19">
        <w:rPr>
          <w:rFonts w:ascii="Arial Narrow" w:hAnsi="Arial Narrow"/>
          <w:sz w:val="24"/>
          <w:szCs w:val="24"/>
          <w:lang w:val="ro-RO"/>
        </w:rPr>
        <w:t>ntre furnizorii cei mai import</w:t>
      </w:r>
      <w:r>
        <w:rPr>
          <w:rFonts w:ascii="Arial Narrow" w:hAnsi="Arial Narrow"/>
          <w:sz w:val="24"/>
          <w:szCs w:val="24"/>
          <w:lang w:val="ro-RO"/>
        </w:rPr>
        <w:t>anţi de pe piaţa farmaceutică</w:t>
      </w:r>
      <w:r w:rsidRPr="005A0F19">
        <w:rPr>
          <w:rFonts w:ascii="Arial Narrow" w:hAnsi="Arial Narrow"/>
          <w:sz w:val="24"/>
          <w:szCs w:val="24"/>
          <w:lang w:val="ro-RO"/>
        </w:rPr>
        <w:t xml:space="preserve"> din Statele Unite.</w:t>
      </w:r>
      <w:r w:rsidRPr="005A0F19">
        <w:rPr>
          <w:rFonts w:ascii="Arial Narrow" w:hAnsi="Arial Narrow"/>
          <w:sz w:val="24"/>
          <w:szCs w:val="24"/>
        </w:rPr>
        <w:t xml:space="preserve"> </w:t>
      </w:r>
    </w:p>
    <w:p w:rsidR="00643600" w:rsidRPr="005B4739"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rPr>
      </w:pPr>
      <w:r>
        <w:rPr>
          <w:rFonts w:ascii="Arial Narrow" w:eastAsia="Times New Roman" w:hAnsi="Arial Narrow"/>
          <w:color w:val="000000"/>
          <w:sz w:val="24"/>
          <w:szCs w:val="24"/>
        </w:rPr>
        <w:t xml:space="preserve">În zona de retail din acest domeniu se remarcă </w:t>
      </w:r>
      <w:r w:rsidRPr="005A0F19">
        <w:rPr>
          <w:rFonts w:ascii="Arial Narrow" w:eastAsia="Times New Roman" w:hAnsi="Arial Narrow"/>
          <w:color w:val="000000"/>
          <w:sz w:val="24"/>
          <w:szCs w:val="24"/>
        </w:rPr>
        <w:t xml:space="preserve">GEDEON RICHTER FARMACIA SA </w:t>
      </w:r>
      <w:r>
        <w:rPr>
          <w:rFonts w:ascii="Arial Narrow" w:eastAsia="Times New Roman" w:hAnsi="Arial Narrow"/>
          <w:color w:val="000000"/>
          <w:sz w:val="24"/>
          <w:szCs w:val="24"/>
        </w:rPr>
        <w:t xml:space="preserve">(Mureș), ROPHARMA SA (Brașov) și POLISANO PHARMA SRL (Sibiu), </w:t>
      </w:r>
      <w:r>
        <w:rPr>
          <w:rFonts w:ascii="Arial Narrow" w:hAnsi="Arial Narrow"/>
          <w:sz w:val="24"/>
          <w:szCs w:val="24"/>
        </w:rPr>
        <w:t>3 mari companii care î</w:t>
      </w:r>
      <w:r w:rsidRPr="005A0F19">
        <w:rPr>
          <w:rFonts w:ascii="Arial Narrow" w:hAnsi="Arial Narrow"/>
          <w:sz w:val="24"/>
          <w:szCs w:val="24"/>
        </w:rPr>
        <w:t>și desfășoară activitatea conform CAEN “4773 - Comer</w:t>
      </w:r>
      <w:r>
        <w:rPr>
          <w:rFonts w:ascii="Arial Narrow" w:hAnsi="Arial Narrow"/>
          <w:sz w:val="24"/>
          <w:szCs w:val="24"/>
        </w:rPr>
        <w:t>ţ</w:t>
      </w:r>
      <w:r w:rsidRPr="005A0F19">
        <w:rPr>
          <w:rFonts w:ascii="Arial Narrow" w:hAnsi="Arial Narrow"/>
          <w:sz w:val="24"/>
          <w:szCs w:val="24"/>
        </w:rPr>
        <w:t xml:space="preserve"> cu am</w:t>
      </w:r>
      <w:r>
        <w:rPr>
          <w:rFonts w:ascii="Arial Narrow" w:hAnsi="Arial Narrow"/>
          <w:sz w:val="24"/>
          <w:szCs w:val="24"/>
        </w:rPr>
        <w:t>ă</w:t>
      </w:r>
      <w:r w:rsidRPr="005A0F19">
        <w:rPr>
          <w:rFonts w:ascii="Arial Narrow" w:hAnsi="Arial Narrow"/>
          <w:sz w:val="24"/>
          <w:szCs w:val="24"/>
        </w:rPr>
        <w:t xml:space="preserve">nuntul al produselor farmaceutice, </w:t>
      </w:r>
      <w:r>
        <w:rPr>
          <w:rFonts w:ascii="Arial Narrow" w:hAnsi="Arial Narrow"/>
          <w:sz w:val="24"/>
          <w:szCs w:val="24"/>
        </w:rPr>
        <w:t>î</w:t>
      </w:r>
      <w:r w:rsidRPr="005A0F19">
        <w:rPr>
          <w:rFonts w:ascii="Arial Narrow" w:hAnsi="Arial Narrow"/>
          <w:sz w:val="24"/>
          <w:szCs w:val="24"/>
        </w:rPr>
        <w:t>n magazine specializate”.</w:t>
      </w:r>
    </w:p>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eastAsia="Times New Roman" w:hAnsi="Arial Narrow"/>
          <w:color w:val="000000"/>
          <w:sz w:val="24"/>
          <w:szCs w:val="24"/>
        </w:rPr>
      </w:pPr>
      <w:r w:rsidRPr="005A0F19">
        <w:rPr>
          <w:rFonts w:ascii="Arial Narrow" w:hAnsi="Arial Narrow"/>
          <w:sz w:val="24"/>
          <w:szCs w:val="24"/>
        </w:rPr>
        <w:t xml:space="preserve">„Farmacia Richter” este brand-ul sub care activează la nivelul intregii țări cele peste 120 de farmacii ale SC </w:t>
      </w:r>
      <w:r w:rsidRPr="005A0F19">
        <w:rPr>
          <w:rFonts w:ascii="Arial Narrow" w:eastAsia="Times New Roman" w:hAnsi="Arial Narrow"/>
          <w:color w:val="000000"/>
          <w:sz w:val="24"/>
          <w:szCs w:val="24"/>
        </w:rPr>
        <w:t>GEDEON RICHTER FARMACIA SA</w:t>
      </w:r>
      <w:r>
        <w:rPr>
          <w:rFonts w:ascii="Arial Narrow" w:eastAsia="Times New Roman" w:hAnsi="Arial Narrow"/>
          <w:color w:val="000000"/>
          <w:sz w:val="24"/>
          <w:szCs w:val="24"/>
        </w:rPr>
        <w:t>.</w:t>
      </w:r>
    </w:p>
    <w:p w:rsidR="00643600" w:rsidRPr="005A0F19"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Grupul Ropharma activează în următoarele sectoare:</w:t>
      </w:r>
    </w:p>
    <w:p w:rsidR="00643600" w:rsidRPr="005A0F19" w:rsidRDefault="00643600" w:rsidP="002617A6">
      <w:pPr>
        <w:pStyle w:val="Listparagraf"/>
        <w:numPr>
          <w:ilvl w:val="0"/>
          <w:numId w:val="69"/>
        </w:numPr>
        <w:spacing w:after="0" w:line="240" w:lineRule="auto"/>
        <w:jc w:val="both"/>
        <w:rPr>
          <w:rFonts w:ascii="Arial Narrow" w:hAnsi="Arial Narrow"/>
          <w:sz w:val="24"/>
          <w:szCs w:val="24"/>
        </w:rPr>
      </w:pPr>
      <w:r w:rsidRPr="005A0F19">
        <w:rPr>
          <w:rFonts w:ascii="Arial Narrow" w:hAnsi="Arial Narrow"/>
          <w:sz w:val="24"/>
          <w:szCs w:val="24"/>
        </w:rPr>
        <w:t>produc</w:t>
      </w:r>
      <w:r>
        <w:rPr>
          <w:rFonts w:ascii="Arial Narrow" w:hAnsi="Arial Narrow"/>
          <w:sz w:val="24"/>
          <w:szCs w:val="24"/>
        </w:rPr>
        <w:t>ţ</w:t>
      </w:r>
      <w:r w:rsidRPr="005A0F19">
        <w:rPr>
          <w:rFonts w:ascii="Arial Narrow" w:hAnsi="Arial Narrow"/>
          <w:sz w:val="24"/>
          <w:szCs w:val="24"/>
        </w:rPr>
        <w:t>ie de medicamente, suplimente alimentare pri</w:t>
      </w:r>
      <w:r>
        <w:rPr>
          <w:rFonts w:ascii="Arial Narrow" w:hAnsi="Arial Narrow"/>
          <w:sz w:val="24"/>
          <w:szCs w:val="24"/>
        </w:rPr>
        <w:t>n Aesculap Prod S.R.L.(Tg. Mureş</w:t>
      </w:r>
      <w:r w:rsidRPr="005A0F19">
        <w:rPr>
          <w:rFonts w:ascii="Arial Narrow" w:hAnsi="Arial Narrow"/>
          <w:sz w:val="24"/>
          <w:szCs w:val="24"/>
        </w:rPr>
        <w:t>), Eurofarmaco Chi</w:t>
      </w:r>
      <w:r>
        <w:rPr>
          <w:rFonts w:ascii="Arial Narrow" w:hAnsi="Arial Narrow"/>
          <w:sz w:val="24"/>
          <w:szCs w:val="24"/>
        </w:rPr>
        <w:t>ş</w:t>
      </w:r>
      <w:r w:rsidRPr="005A0F19">
        <w:rPr>
          <w:rFonts w:ascii="Arial Narrow" w:hAnsi="Arial Narrow"/>
          <w:sz w:val="24"/>
          <w:szCs w:val="24"/>
        </w:rPr>
        <w:t>in</w:t>
      </w:r>
      <w:r>
        <w:rPr>
          <w:rFonts w:ascii="Arial Narrow" w:hAnsi="Arial Narrow"/>
          <w:sz w:val="24"/>
          <w:szCs w:val="24"/>
        </w:rPr>
        <w:t>ă</w:t>
      </w:r>
      <w:r w:rsidRPr="005A0F19">
        <w:rPr>
          <w:rFonts w:ascii="Arial Narrow" w:hAnsi="Arial Narrow"/>
          <w:sz w:val="24"/>
          <w:szCs w:val="24"/>
        </w:rPr>
        <w:t xml:space="preserve">u </w:t>
      </w:r>
      <w:r>
        <w:rPr>
          <w:rFonts w:ascii="Arial Narrow" w:hAnsi="Arial Narrow"/>
          <w:sz w:val="24"/>
          <w:szCs w:val="24"/>
        </w:rPr>
        <w:t>ş</w:t>
      </w:r>
      <w:r w:rsidRPr="005A0F19">
        <w:rPr>
          <w:rFonts w:ascii="Arial Narrow" w:hAnsi="Arial Narrow"/>
          <w:sz w:val="24"/>
          <w:szCs w:val="24"/>
        </w:rPr>
        <w:t>i lapte praf prin Bioef SRL Do</w:t>
      </w:r>
      <w:r>
        <w:rPr>
          <w:rFonts w:ascii="Arial Narrow" w:hAnsi="Arial Narrow"/>
          <w:sz w:val="24"/>
          <w:szCs w:val="24"/>
        </w:rPr>
        <w:t>ş</w:t>
      </w:r>
      <w:r w:rsidRPr="005A0F19">
        <w:rPr>
          <w:rFonts w:ascii="Arial Narrow" w:hAnsi="Arial Narrow"/>
          <w:sz w:val="24"/>
          <w:szCs w:val="24"/>
        </w:rPr>
        <w:t>tat</w:t>
      </w:r>
    </w:p>
    <w:p w:rsidR="00643600" w:rsidRPr="005A0F19" w:rsidRDefault="00643600" w:rsidP="002617A6">
      <w:pPr>
        <w:pStyle w:val="Listparagraf"/>
        <w:numPr>
          <w:ilvl w:val="0"/>
          <w:numId w:val="69"/>
        </w:numPr>
        <w:spacing w:after="0" w:line="240" w:lineRule="auto"/>
        <w:jc w:val="both"/>
        <w:rPr>
          <w:rFonts w:ascii="Arial Narrow" w:hAnsi="Arial Narrow"/>
          <w:sz w:val="24"/>
          <w:szCs w:val="24"/>
        </w:rPr>
      </w:pPr>
      <w:r w:rsidRPr="005A0F19">
        <w:rPr>
          <w:rFonts w:ascii="Arial Narrow" w:hAnsi="Arial Narrow"/>
          <w:sz w:val="24"/>
          <w:szCs w:val="24"/>
        </w:rPr>
        <w:t>5 depozite care asigur</w:t>
      </w:r>
      <w:r>
        <w:rPr>
          <w:rFonts w:ascii="Arial Narrow" w:hAnsi="Arial Narrow"/>
          <w:sz w:val="24"/>
          <w:szCs w:val="24"/>
        </w:rPr>
        <w:t>ă distribuţ</w:t>
      </w:r>
      <w:r w:rsidRPr="005A0F19">
        <w:rPr>
          <w:rFonts w:ascii="Arial Narrow" w:hAnsi="Arial Narrow"/>
          <w:sz w:val="24"/>
          <w:szCs w:val="24"/>
        </w:rPr>
        <w:t>ia de medicamente, suplimente alimen</w:t>
      </w:r>
      <w:r>
        <w:rPr>
          <w:rFonts w:ascii="Arial Narrow" w:hAnsi="Arial Narrow"/>
          <w:sz w:val="24"/>
          <w:szCs w:val="24"/>
        </w:rPr>
        <w:t>tare, produse parafarmaceutice ş</w:t>
      </w:r>
      <w:r w:rsidRPr="005A0F19">
        <w:rPr>
          <w:rFonts w:ascii="Arial Narrow" w:hAnsi="Arial Narrow"/>
          <w:sz w:val="24"/>
          <w:szCs w:val="24"/>
        </w:rPr>
        <w:t>i dermatocosmetice</w:t>
      </w:r>
    </w:p>
    <w:p w:rsidR="00643600" w:rsidRPr="005A0F19" w:rsidRDefault="00643600" w:rsidP="002617A6">
      <w:pPr>
        <w:pStyle w:val="Listparagraf"/>
        <w:numPr>
          <w:ilvl w:val="0"/>
          <w:numId w:val="69"/>
        </w:numPr>
        <w:spacing w:after="0" w:line="240" w:lineRule="auto"/>
        <w:jc w:val="both"/>
        <w:rPr>
          <w:rFonts w:ascii="Arial Narrow" w:hAnsi="Arial Narrow"/>
          <w:sz w:val="24"/>
          <w:szCs w:val="24"/>
        </w:rPr>
      </w:pPr>
      <w:r w:rsidRPr="005A0F19">
        <w:rPr>
          <w:rFonts w:ascii="Arial Narrow" w:hAnsi="Arial Narrow"/>
          <w:sz w:val="24"/>
          <w:szCs w:val="24"/>
        </w:rPr>
        <w:t>Servicii medicale prin spitalul multidisciplinar Sf. Constantin Brasov.</w:t>
      </w:r>
    </w:p>
    <w:p w:rsidR="00643600" w:rsidRPr="005A0F19" w:rsidRDefault="00643600" w:rsidP="002617A6">
      <w:pPr>
        <w:pStyle w:val="Listparagraf"/>
        <w:numPr>
          <w:ilvl w:val="0"/>
          <w:numId w:val="69"/>
        </w:numPr>
        <w:spacing w:after="0" w:line="240" w:lineRule="auto"/>
        <w:jc w:val="both"/>
        <w:rPr>
          <w:rFonts w:ascii="Arial Narrow" w:hAnsi="Arial Narrow"/>
          <w:sz w:val="24"/>
          <w:szCs w:val="24"/>
        </w:rPr>
      </w:pPr>
      <w:r w:rsidRPr="005A0F19">
        <w:rPr>
          <w:rFonts w:ascii="Arial Narrow" w:hAnsi="Arial Narrow"/>
          <w:sz w:val="24"/>
          <w:szCs w:val="24"/>
        </w:rPr>
        <w:t>Retail prin lanțul propriu de farmacii (125 unități localizate în toată țara)</w:t>
      </w:r>
    </w:p>
    <w:p w:rsidR="00643600" w:rsidRPr="0016566C" w:rsidRDefault="00643600" w:rsidP="00643600">
      <w:pPr>
        <w:spacing w:after="0" w:line="240" w:lineRule="auto"/>
        <w:jc w:val="both"/>
        <w:rPr>
          <w:rFonts w:ascii="Arial Narrow" w:hAnsi="Arial Narrow"/>
          <w:sz w:val="24"/>
          <w:szCs w:val="24"/>
        </w:rPr>
      </w:pPr>
      <w:r w:rsidRPr="0016566C">
        <w:rPr>
          <w:rFonts w:ascii="Arial Narrow" w:hAnsi="Arial Narrow"/>
          <w:sz w:val="24"/>
          <w:szCs w:val="24"/>
        </w:rPr>
        <w:t xml:space="preserve">Farmaciile Reteta fac parte din grupul Polisano și sunt </w:t>
      </w:r>
      <w:r w:rsidRPr="00FE5C30">
        <w:rPr>
          <w:rFonts w:ascii="Arial Narrow" w:hAnsi="Arial Narrow"/>
          <w:color w:val="000000"/>
          <w:sz w:val="24"/>
          <w:szCs w:val="24"/>
        </w:rPr>
        <w:t xml:space="preserve">prezente </w:t>
      </w:r>
      <w:r w:rsidRPr="00FE5C30">
        <w:rPr>
          <w:rFonts w:ascii="Arial Narrow" w:hAnsi="Arial Narrow" w:cs="Tahoma"/>
          <w:color w:val="000000"/>
          <w:sz w:val="24"/>
          <w:szCs w:val="24"/>
          <w:shd w:val="clear" w:color="auto" w:fill="FFFFFF"/>
        </w:rPr>
        <w:t>în 80 de puncte de vanzare cu acoperire națională</w:t>
      </w:r>
      <w:r w:rsidRPr="0016566C">
        <w:rPr>
          <w:rFonts w:ascii="Arial Narrow" w:hAnsi="Arial Narrow" w:cs="Tahoma"/>
          <w:color w:val="686868"/>
          <w:sz w:val="24"/>
          <w:szCs w:val="24"/>
          <w:shd w:val="clear" w:color="auto" w:fill="FFFFFF"/>
        </w:rPr>
        <w:t xml:space="preserve">. </w:t>
      </w:r>
    </w:p>
    <w:p w:rsidR="00643600" w:rsidRPr="005A0F19" w:rsidRDefault="00643600" w:rsidP="00643600">
      <w:pPr>
        <w:spacing w:after="0" w:line="240" w:lineRule="auto"/>
        <w:jc w:val="both"/>
        <w:rPr>
          <w:rFonts w:ascii="Arial Narrow" w:hAnsi="Arial Narrow"/>
          <w:sz w:val="24"/>
          <w:szCs w:val="24"/>
          <w:highlight w:val="yellow"/>
        </w:rPr>
      </w:pPr>
    </w:p>
    <w:p w:rsidR="00643600" w:rsidRPr="00545737" w:rsidRDefault="00643600" w:rsidP="00643600">
      <w:pPr>
        <w:spacing w:after="0" w:line="240" w:lineRule="auto"/>
        <w:jc w:val="both"/>
        <w:rPr>
          <w:rFonts w:ascii="Arial Narrow" w:hAnsi="Arial Narrow"/>
          <w:sz w:val="24"/>
          <w:szCs w:val="24"/>
        </w:rPr>
      </w:pPr>
      <w:r w:rsidRPr="00545737">
        <w:rPr>
          <w:rFonts w:ascii="Arial Narrow" w:hAnsi="Arial Narrow"/>
          <w:sz w:val="24"/>
          <w:szCs w:val="24"/>
        </w:rPr>
        <w:t>Numărul total al producătorilor și distribuitorilor de medicamente din România este semnif</w:t>
      </w:r>
      <w:r>
        <w:rPr>
          <w:rFonts w:ascii="Arial Narrow" w:hAnsi="Arial Narrow"/>
          <w:sz w:val="24"/>
          <w:szCs w:val="24"/>
        </w:rPr>
        <w:t>icativ (aproximativ 280</w:t>
      </w:r>
      <w:r w:rsidRPr="00545737">
        <w:rPr>
          <w:rFonts w:ascii="Arial Narrow" w:hAnsi="Arial Narrow"/>
          <w:sz w:val="24"/>
          <w:szCs w:val="24"/>
        </w:rPr>
        <w:t>), însă există un număr restrâns de jucători care controlează peste jumătate din această piață, singurele modificări inter</w:t>
      </w:r>
      <w:r>
        <w:rPr>
          <w:rFonts w:ascii="Arial Narrow" w:hAnsi="Arial Narrow"/>
          <w:sz w:val="24"/>
          <w:szCs w:val="24"/>
        </w:rPr>
        <w:t xml:space="preserve">venind la poziția din clasament, 4 dintre primele 10 fiind localizate în Regiunea Centru. </w:t>
      </w:r>
      <w:r w:rsidRPr="00545737">
        <w:rPr>
          <w:rFonts w:ascii="Arial Narrow" w:hAnsi="Arial Narrow"/>
          <w:sz w:val="24"/>
          <w:szCs w:val="24"/>
        </w:rPr>
        <w:t xml:space="preserve"> </w:t>
      </w:r>
    </w:p>
    <w:p w:rsidR="00643600" w:rsidRDefault="00643600" w:rsidP="00643600">
      <w:pPr>
        <w:spacing w:after="0" w:line="240" w:lineRule="auto"/>
        <w:rPr>
          <w:rFonts w:ascii="Arial Narrow" w:hAnsi="Arial Narrow"/>
          <w:b/>
          <w:sz w:val="24"/>
          <w:szCs w:val="24"/>
        </w:rPr>
      </w:pPr>
    </w:p>
    <w:p w:rsidR="003D1904" w:rsidRDefault="003D1904" w:rsidP="00643600">
      <w:pPr>
        <w:spacing w:after="0" w:line="240" w:lineRule="auto"/>
        <w:rPr>
          <w:rFonts w:ascii="Arial Narrow" w:hAnsi="Arial Narrow"/>
          <w:b/>
          <w:sz w:val="24"/>
          <w:szCs w:val="24"/>
        </w:rPr>
      </w:pPr>
    </w:p>
    <w:p w:rsidR="003D1904" w:rsidRDefault="003D1904" w:rsidP="00643600">
      <w:pPr>
        <w:spacing w:after="0" w:line="240" w:lineRule="auto"/>
        <w:rPr>
          <w:rFonts w:ascii="Arial Narrow" w:hAnsi="Arial Narrow"/>
          <w:b/>
          <w:sz w:val="24"/>
          <w:szCs w:val="24"/>
        </w:rPr>
      </w:pPr>
    </w:p>
    <w:p w:rsidR="003D1904" w:rsidRDefault="003D1904" w:rsidP="00643600">
      <w:pPr>
        <w:spacing w:after="0" w:line="240" w:lineRule="auto"/>
        <w:rPr>
          <w:rFonts w:ascii="Arial Narrow" w:hAnsi="Arial Narrow"/>
          <w:b/>
          <w:sz w:val="24"/>
          <w:szCs w:val="24"/>
        </w:rPr>
      </w:pPr>
    </w:p>
    <w:p w:rsidR="003D1904" w:rsidRDefault="003D1904" w:rsidP="00643600">
      <w:pPr>
        <w:spacing w:after="0" w:line="240" w:lineRule="auto"/>
        <w:rPr>
          <w:rFonts w:ascii="Arial Narrow" w:hAnsi="Arial Narrow"/>
          <w:b/>
          <w:sz w:val="24"/>
          <w:szCs w:val="24"/>
        </w:rPr>
      </w:pPr>
    </w:p>
    <w:p w:rsidR="00643600" w:rsidRPr="00545737" w:rsidRDefault="00643600" w:rsidP="00643600">
      <w:pPr>
        <w:spacing w:after="0" w:line="240" w:lineRule="auto"/>
        <w:jc w:val="center"/>
        <w:rPr>
          <w:rFonts w:ascii="Arial Narrow" w:hAnsi="Arial Narrow"/>
          <w:b/>
          <w:sz w:val="24"/>
          <w:szCs w:val="24"/>
        </w:rPr>
      </w:pPr>
      <w:r>
        <w:rPr>
          <w:rFonts w:ascii="Arial Narrow" w:hAnsi="Arial Narrow"/>
          <w:b/>
          <w:sz w:val="24"/>
          <w:szCs w:val="24"/>
        </w:rPr>
        <w:lastRenderedPageBreak/>
        <w:t xml:space="preserve">Top 10 </w:t>
      </w:r>
      <w:r>
        <w:rPr>
          <w:rFonts w:ascii="Arial Narrow" w:hAnsi="Arial Narrow"/>
          <w:b/>
          <w:sz w:val="24"/>
          <w:szCs w:val="24"/>
          <w:lang w:val="ro-RO"/>
        </w:rPr>
        <w:t xml:space="preserve">producători </w:t>
      </w:r>
      <w:r>
        <w:rPr>
          <w:rFonts w:ascii="Arial Narrow" w:hAnsi="Arial Narrow"/>
          <w:b/>
          <w:sz w:val="24"/>
          <w:szCs w:val="24"/>
        </w:rPr>
        <w:t>de medicamente</w:t>
      </w:r>
      <w:r w:rsidRPr="00545737">
        <w:rPr>
          <w:rFonts w:ascii="Arial Narrow" w:hAnsi="Arial Narrow"/>
          <w:b/>
          <w:sz w:val="24"/>
          <w:szCs w:val="24"/>
        </w:rPr>
        <w:t xml:space="preserve"> </w:t>
      </w:r>
      <w:r>
        <w:rPr>
          <w:rFonts w:ascii="Arial Narrow" w:hAnsi="Arial Narrow"/>
          <w:b/>
          <w:sz w:val="24"/>
          <w:szCs w:val="24"/>
        </w:rPr>
        <w:t>după</w:t>
      </w:r>
      <w:r w:rsidRPr="00545737">
        <w:rPr>
          <w:rFonts w:ascii="Arial Narrow" w:hAnsi="Arial Narrow"/>
          <w:b/>
          <w:sz w:val="24"/>
          <w:szCs w:val="24"/>
        </w:rPr>
        <w:t xml:space="preserve"> cifra de afaceri în anul 2015</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475"/>
        <w:gridCol w:w="2127"/>
        <w:gridCol w:w="1275"/>
        <w:gridCol w:w="4153"/>
        <w:gridCol w:w="1425"/>
        <w:gridCol w:w="992"/>
      </w:tblGrid>
      <w:tr w:rsidR="00643600" w:rsidRPr="00FE5C30" w:rsidTr="00643600">
        <w:trPr>
          <w:trHeight w:val="570"/>
          <w:jc w:val="center"/>
        </w:trPr>
        <w:tc>
          <w:tcPr>
            <w:tcW w:w="475" w:type="dxa"/>
            <w:tcBorders>
              <w:top w:val="single" w:sz="4" w:space="0" w:color="FFFFFF"/>
              <w:left w:val="single" w:sz="4" w:space="0" w:color="FFFFFF"/>
              <w:right w:val="nil"/>
            </w:tcBorders>
            <w:shd w:val="clear" w:color="auto" w:fill="4472C4"/>
            <w:noWrap/>
            <w:hideMark/>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p>
        </w:tc>
        <w:tc>
          <w:tcPr>
            <w:tcW w:w="2127" w:type="dxa"/>
            <w:tcBorders>
              <w:top w:val="single" w:sz="4" w:space="0" w:color="FFFFFF"/>
              <w:left w:val="nil"/>
              <w:right w:val="nil"/>
            </w:tcBorders>
            <w:shd w:val="clear" w:color="auto" w:fill="4472C4"/>
            <w:noWrap/>
            <w:hideMark/>
          </w:tcPr>
          <w:p w:rsidR="00643600" w:rsidRPr="00FE5C30" w:rsidRDefault="00643600" w:rsidP="00643600">
            <w:pPr>
              <w:spacing w:after="0" w:line="240" w:lineRule="auto"/>
              <w:contextualSpacing/>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Firma</w:t>
            </w:r>
          </w:p>
        </w:tc>
        <w:tc>
          <w:tcPr>
            <w:tcW w:w="1275" w:type="dxa"/>
            <w:tcBorders>
              <w:top w:val="single" w:sz="4" w:space="0" w:color="FFFFFF"/>
              <w:left w:val="nil"/>
              <w:right w:val="nil"/>
            </w:tcBorders>
            <w:shd w:val="clear" w:color="auto" w:fill="4472C4"/>
            <w:noWrap/>
            <w:hideMark/>
          </w:tcPr>
          <w:p w:rsidR="00643600" w:rsidRPr="00FE5C30" w:rsidRDefault="00643600" w:rsidP="00643600">
            <w:pPr>
              <w:spacing w:after="0" w:line="240" w:lineRule="auto"/>
              <w:contextualSpacing/>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Judet</w:t>
            </w:r>
          </w:p>
        </w:tc>
        <w:tc>
          <w:tcPr>
            <w:tcW w:w="4153" w:type="dxa"/>
            <w:tcBorders>
              <w:top w:val="single" w:sz="4" w:space="0" w:color="FFFFFF"/>
              <w:left w:val="nil"/>
              <w:right w:val="nil"/>
            </w:tcBorders>
            <w:shd w:val="clear" w:color="auto" w:fill="4472C4"/>
            <w:noWrap/>
            <w:hideMark/>
          </w:tcPr>
          <w:p w:rsidR="00643600" w:rsidRPr="00FE5C30" w:rsidRDefault="00643600" w:rsidP="00643600">
            <w:pPr>
              <w:spacing w:after="0" w:line="240" w:lineRule="auto"/>
              <w:contextualSpacing/>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Cod CAEN</w:t>
            </w:r>
          </w:p>
        </w:tc>
        <w:tc>
          <w:tcPr>
            <w:tcW w:w="1425" w:type="dxa"/>
            <w:tcBorders>
              <w:top w:val="single" w:sz="4" w:space="0" w:color="FFFFFF"/>
              <w:left w:val="nil"/>
              <w:right w:val="nil"/>
            </w:tcBorders>
            <w:shd w:val="clear" w:color="auto" w:fill="4472C4"/>
            <w:noWrap/>
            <w:hideMark/>
          </w:tcPr>
          <w:p w:rsidR="00643600" w:rsidRPr="00FE5C30" w:rsidRDefault="00643600" w:rsidP="00643600">
            <w:pPr>
              <w:spacing w:after="0" w:line="240" w:lineRule="auto"/>
              <w:contextualSpacing/>
              <w:jc w:val="center"/>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CA</w:t>
            </w:r>
          </w:p>
        </w:tc>
        <w:tc>
          <w:tcPr>
            <w:tcW w:w="992" w:type="dxa"/>
            <w:tcBorders>
              <w:top w:val="single" w:sz="4" w:space="0" w:color="FFFFFF"/>
              <w:left w:val="nil"/>
              <w:right w:val="single" w:sz="4" w:space="0" w:color="FFFFFF"/>
            </w:tcBorders>
            <w:shd w:val="clear" w:color="auto" w:fill="4472C4"/>
          </w:tcPr>
          <w:p w:rsidR="00643600" w:rsidRPr="00FE5C30" w:rsidRDefault="00643600" w:rsidP="00643600">
            <w:pPr>
              <w:spacing w:after="0" w:line="240" w:lineRule="auto"/>
              <w:jc w:val="center"/>
              <w:rPr>
                <w:rFonts w:ascii="Arial Narrow" w:hAnsi="Arial Narrow"/>
                <w:b/>
                <w:bCs/>
                <w:color w:val="000000"/>
                <w:sz w:val="20"/>
                <w:szCs w:val="20"/>
              </w:rPr>
            </w:pPr>
            <w:r w:rsidRPr="00FE5C30">
              <w:rPr>
                <w:rFonts w:ascii="Arial Narrow" w:hAnsi="Arial Narrow"/>
                <w:color w:val="000000"/>
                <w:sz w:val="20"/>
                <w:szCs w:val="20"/>
              </w:rPr>
              <w:t>Nr. mediu salariati</w:t>
            </w:r>
          </w:p>
        </w:tc>
      </w:tr>
      <w:tr w:rsidR="00643600" w:rsidRPr="00FE5C30" w:rsidTr="00643600">
        <w:trPr>
          <w:trHeight w:val="339"/>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w:t>
            </w:r>
          </w:p>
        </w:tc>
        <w:tc>
          <w:tcPr>
            <w:tcW w:w="2127"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EUROPHARM SA</w:t>
            </w:r>
          </w:p>
        </w:tc>
        <w:tc>
          <w:tcPr>
            <w:tcW w:w="1275"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BRASOV</w:t>
            </w:r>
          </w:p>
        </w:tc>
        <w:tc>
          <w:tcPr>
            <w:tcW w:w="4153"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2120 - Fabricarea preparatelor farmaceutice</w:t>
            </w:r>
          </w:p>
        </w:tc>
        <w:tc>
          <w:tcPr>
            <w:tcW w:w="1425" w:type="dxa"/>
            <w:shd w:val="clear" w:color="auto" w:fill="B4C6E7"/>
          </w:tcPr>
          <w:p w:rsidR="00643600" w:rsidRPr="00FE5C30" w:rsidRDefault="00643600" w:rsidP="00643600">
            <w:pPr>
              <w:spacing w:after="0" w:line="240" w:lineRule="auto"/>
              <w:contextualSpacing/>
              <w:jc w:val="center"/>
              <w:rPr>
                <w:rFonts w:ascii="Arial Narrow" w:eastAsia="Times New Roman" w:hAnsi="Arial Narrow"/>
                <w:color w:val="000000"/>
                <w:sz w:val="20"/>
                <w:szCs w:val="20"/>
              </w:rPr>
            </w:pPr>
            <w:r w:rsidRPr="00FE5C30">
              <w:rPr>
                <w:rFonts w:ascii="Arial Narrow" w:eastAsia="Times New Roman" w:hAnsi="Arial Narrow"/>
                <w:color w:val="000000"/>
                <w:sz w:val="20"/>
                <w:szCs w:val="20"/>
              </w:rPr>
              <w:t>612,646,625.00</w:t>
            </w:r>
          </w:p>
        </w:tc>
        <w:tc>
          <w:tcPr>
            <w:tcW w:w="992" w:type="dxa"/>
            <w:shd w:val="clear" w:color="auto" w:fill="B4C6E7"/>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170</w:t>
            </w:r>
          </w:p>
        </w:tc>
      </w:tr>
      <w:tr w:rsidR="00643600" w:rsidRPr="00FE5C30" w:rsidTr="00643600">
        <w:trPr>
          <w:trHeight w:val="339"/>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2</w:t>
            </w:r>
          </w:p>
        </w:tc>
        <w:tc>
          <w:tcPr>
            <w:tcW w:w="2127"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TERAPIA SA</w:t>
            </w:r>
          </w:p>
        </w:tc>
        <w:tc>
          <w:tcPr>
            <w:tcW w:w="1275"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CLUJ</w:t>
            </w:r>
          </w:p>
        </w:tc>
        <w:tc>
          <w:tcPr>
            <w:tcW w:w="4153"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 xml:space="preserve">2120 - Fabricarea preparatelor farmaceutice </w:t>
            </w:r>
          </w:p>
        </w:tc>
        <w:tc>
          <w:tcPr>
            <w:tcW w:w="1425"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538,846,798.00</w:t>
            </w:r>
          </w:p>
        </w:tc>
        <w:tc>
          <w:tcPr>
            <w:tcW w:w="992" w:type="dxa"/>
            <w:shd w:val="clear" w:color="auto" w:fill="D9E2F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863</w:t>
            </w:r>
          </w:p>
        </w:tc>
      </w:tr>
      <w:tr w:rsidR="00643600" w:rsidRPr="00FE5C30" w:rsidTr="00643600">
        <w:trPr>
          <w:trHeight w:val="323"/>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3</w:t>
            </w:r>
          </w:p>
        </w:tc>
        <w:tc>
          <w:tcPr>
            <w:tcW w:w="2127"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 xml:space="preserve">ZENTIVA SA </w:t>
            </w:r>
          </w:p>
        </w:tc>
        <w:tc>
          <w:tcPr>
            <w:tcW w:w="1275"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BUCURESTI</w:t>
            </w:r>
          </w:p>
        </w:tc>
        <w:tc>
          <w:tcPr>
            <w:tcW w:w="4153"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 xml:space="preserve">2120 - Fabricarea preparatelor farmaceutice </w:t>
            </w:r>
          </w:p>
        </w:tc>
        <w:tc>
          <w:tcPr>
            <w:tcW w:w="1425"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396,824,592.00</w:t>
            </w:r>
          </w:p>
        </w:tc>
        <w:tc>
          <w:tcPr>
            <w:tcW w:w="992" w:type="dxa"/>
            <w:shd w:val="clear" w:color="auto" w:fill="B4C6E7"/>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497</w:t>
            </w:r>
          </w:p>
        </w:tc>
      </w:tr>
      <w:tr w:rsidR="00643600" w:rsidRPr="00FE5C30" w:rsidTr="00643600">
        <w:trPr>
          <w:trHeight w:val="270"/>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4</w:t>
            </w:r>
          </w:p>
        </w:tc>
        <w:tc>
          <w:tcPr>
            <w:tcW w:w="2127"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SANDOZ SRL</w:t>
            </w:r>
          </w:p>
        </w:tc>
        <w:tc>
          <w:tcPr>
            <w:tcW w:w="1275"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4153"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 xml:space="preserve">2110 - Fabricarea produselor farmaceutice de baza </w:t>
            </w:r>
          </w:p>
        </w:tc>
        <w:tc>
          <w:tcPr>
            <w:tcW w:w="1425"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338,174,107.00</w:t>
            </w:r>
          </w:p>
        </w:tc>
        <w:tc>
          <w:tcPr>
            <w:tcW w:w="992" w:type="dxa"/>
            <w:shd w:val="clear" w:color="auto" w:fill="D9E2F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284</w:t>
            </w:r>
          </w:p>
        </w:tc>
      </w:tr>
      <w:tr w:rsidR="00643600" w:rsidRPr="00FE5C30" w:rsidTr="00643600">
        <w:trPr>
          <w:trHeight w:val="275"/>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w:t>
            </w:r>
          </w:p>
        </w:tc>
        <w:tc>
          <w:tcPr>
            <w:tcW w:w="2127"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 xml:space="preserve">ANTIBIOTICE SA </w:t>
            </w:r>
          </w:p>
        </w:tc>
        <w:tc>
          <w:tcPr>
            <w:tcW w:w="1275"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IASI</w:t>
            </w:r>
          </w:p>
        </w:tc>
        <w:tc>
          <w:tcPr>
            <w:tcW w:w="4153"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 xml:space="preserve">2110 - Fabricarea produselor farmaceutice de baza </w:t>
            </w:r>
          </w:p>
        </w:tc>
        <w:tc>
          <w:tcPr>
            <w:tcW w:w="1425"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331,740,206.00</w:t>
            </w:r>
          </w:p>
        </w:tc>
        <w:tc>
          <w:tcPr>
            <w:tcW w:w="992" w:type="dxa"/>
            <w:shd w:val="clear" w:color="auto" w:fill="B4C6E7"/>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1458</w:t>
            </w:r>
          </w:p>
        </w:tc>
      </w:tr>
      <w:tr w:rsidR="00643600" w:rsidRPr="00FE5C30" w:rsidTr="00643600">
        <w:trPr>
          <w:trHeight w:val="265"/>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w:t>
            </w:r>
          </w:p>
        </w:tc>
        <w:tc>
          <w:tcPr>
            <w:tcW w:w="2127"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BIO EEL SRL</w:t>
            </w:r>
          </w:p>
        </w:tc>
        <w:tc>
          <w:tcPr>
            <w:tcW w:w="1275"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4153"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 xml:space="preserve">4646 - Comert cu ridicata al produselor farmaceutice </w:t>
            </w:r>
          </w:p>
        </w:tc>
        <w:tc>
          <w:tcPr>
            <w:tcW w:w="1425"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209,444,875.00</w:t>
            </w:r>
          </w:p>
        </w:tc>
        <w:tc>
          <w:tcPr>
            <w:tcW w:w="992" w:type="dxa"/>
            <w:shd w:val="clear" w:color="auto" w:fill="D9E2F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175</w:t>
            </w:r>
          </w:p>
        </w:tc>
      </w:tr>
      <w:tr w:rsidR="00643600" w:rsidRPr="00FE5C30" w:rsidTr="00643600">
        <w:trPr>
          <w:trHeight w:val="283"/>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7</w:t>
            </w:r>
          </w:p>
        </w:tc>
        <w:tc>
          <w:tcPr>
            <w:tcW w:w="2127"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BIOFARM SA</w:t>
            </w:r>
          </w:p>
        </w:tc>
        <w:tc>
          <w:tcPr>
            <w:tcW w:w="1275"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BUCURESTI</w:t>
            </w:r>
          </w:p>
        </w:tc>
        <w:tc>
          <w:tcPr>
            <w:tcW w:w="4153"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 xml:space="preserve">2120 - Fabricarea preparatelor farmaceutice </w:t>
            </w:r>
          </w:p>
        </w:tc>
        <w:tc>
          <w:tcPr>
            <w:tcW w:w="1425" w:type="dxa"/>
            <w:shd w:val="clear" w:color="auto" w:fill="B4C6E7"/>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149,691,393.00</w:t>
            </w:r>
          </w:p>
        </w:tc>
        <w:tc>
          <w:tcPr>
            <w:tcW w:w="992" w:type="dxa"/>
            <w:shd w:val="clear" w:color="auto" w:fill="B4C6E7"/>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394</w:t>
            </w:r>
          </w:p>
        </w:tc>
      </w:tr>
      <w:tr w:rsidR="00643600" w:rsidRPr="00FE5C30" w:rsidTr="00643600">
        <w:trPr>
          <w:trHeight w:val="253"/>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8</w:t>
            </w:r>
          </w:p>
        </w:tc>
        <w:tc>
          <w:tcPr>
            <w:tcW w:w="2127"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 xml:space="preserve">LABORMED-PHARMA SA </w:t>
            </w:r>
          </w:p>
        </w:tc>
        <w:tc>
          <w:tcPr>
            <w:tcW w:w="1275"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BUCURESTI</w:t>
            </w:r>
          </w:p>
        </w:tc>
        <w:tc>
          <w:tcPr>
            <w:tcW w:w="4153"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 xml:space="preserve">2120 - Fabricarea preparatelor farmaceutice </w:t>
            </w:r>
          </w:p>
        </w:tc>
        <w:tc>
          <w:tcPr>
            <w:tcW w:w="1425" w:type="dxa"/>
            <w:shd w:val="clear" w:color="auto" w:fill="D9E2F3"/>
            <w:hideMark/>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129,323,928.00</w:t>
            </w:r>
          </w:p>
        </w:tc>
        <w:tc>
          <w:tcPr>
            <w:tcW w:w="992" w:type="dxa"/>
            <w:shd w:val="clear" w:color="auto" w:fill="D9E2F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239</w:t>
            </w:r>
          </w:p>
        </w:tc>
      </w:tr>
      <w:tr w:rsidR="00643600" w:rsidRPr="00FE5C30" w:rsidTr="00643600">
        <w:trPr>
          <w:trHeight w:val="253"/>
          <w:jc w:val="center"/>
        </w:trPr>
        <w:tc>
          <w:tcPr>
            <w:tcW w:w="475" w:type="dxa"/>
            <w:tcBorders>
              <w:left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9</w:t>
            </w:r>
          </w:p>
        </w:tc>
        <w:tc>
          <w:tcPr>
            <w:tcW w:w="2127"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GEDEON RICHTER ROMANIA SA</w:t>
            </w:r>
          </w:p>
        </w:tc>
        <w:tc>
          <w:tcPr>
            <w:tcW w:w="1275"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4153"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2120 - Fabricarea preparatelor farmaceutice</w:t>
            </w:r>
          </w:p>
        </w:tc>
        <w:tc>
          <w:tcPr>
            <w:tcW w:w="1425" w:type="dxa"/>
            <w:shd w:val="clear" w:color="auto" w:fill="B4C6E7"/>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118,713,274.00</w:t>
            </w:r>
          </w:p>
        </w:tc>
        <w:tc>
          <w:tcPr>
            <w:tcW w:w="992" w:type="dxa"/>
            <w:shd w:val="clear" w:color="auto" w:fill="B4C6E7"/>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535</w:t>
            </w:r>
          </w:p>
        </w:tc>
      </w:tr>
      <w:tr w:rsidR="00643600" w:rsidRPr="00FE5C30" w:rsidTr="00643600">
        <w:trPr>
          <w:trHeight w:val="253"/>
          <w:jc w:val="center"/>
        </w:trPr>
        <w:tc>
          <w:tcPr>
            <w:tcW w:w="475" w:type="dxa"/>
            <w:tcBorders>
              <w:left w:val="single" w:sz="4" w:space="0" w:color="FFFFFF"/>
              <w:bottom w:val="single" w:sz="4" w:space="0" w:color="FFFFFF"/>
            </w:tcBorders>
            <w:shd w:val="clear" w:color="auto" w:fill="4472C4"/>
          </w:tcPr>
          <w:p w:rsidR="00643600" w:rsidRPr="00FE5C30" w:rsidRDefault="00643600" w:rsidP="00643600">
            <w:pPr>
              <w:spacing w:after="0" w:line="240" w:lineRule="auto"/>
              <w:contextualSpacing/>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10</w:t>
            </w:r>
          </w:p>
        </w:tc>
        <w:tc>
          <w:tcPr>
            <w:tcW w:w="2127"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INFOMED FLUIDS SRL</w:t>
            </w:r>
          </w:p>
        </w:tc>
        <w:tc>
          <w:tcPr>
            <w:tcW w:w="1275"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BUCURESTI</w:t>
            </w:r>
          </w:p>
        </w:tc>
        <w:tc>
          <w:tcPr>
            <w:tcW w:w="4153"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sz w:val="20"/>
                <w:szCs w:val="20"/>
              </w:rPr>
            </w:pPr>
            <w:r w:rsidRPr="00FE5C30">
              <w:rPr>
                <w:rFonts w:ascii="Arial Narrow" w:eastAsia="Times New Roman" w:hAnsi="Arial Narrow"/>
                <w:sz w:val="20"/>
                <w:szCs w:val="20"/>
              </w:rPr>
              <w:t>2120 - Fabricarea preparatelor farmaceutice</w:t>
            </w:r>
          </w:p>
        </w:tc>
        <w:tc>
          <w:tcPr>
            <w:tcW w:w="1425" w:type="dxa"/>
            <w:shd w:val="clear" w:color="auto" w:fill="D9E2F3"/>
          </w:tcPr>
          <w:p w:rsidR="00643600" w:rsidRPr="00FE5C30" w:rsidRDefault="00643600" w:rsidP="00643600">
            <w:pPr>
              <w:spacing w:after="0" w:line="240" w:lineRule="auto"/>
              <w:contextualSpacing/>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110,453,559.00</w:t>
            </w:r>
          </w:p>
        </w:tc>
        <w:tc>
          <w:tcPr>
            <w:tcW w:w="992" w:type="dxa"/>
            <w:shd w:val="clear" w:color="auto" w:fill="D9E2F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437</w:t>
            </w:r>
          </w:p>
        </w:tc>
      </w:tr>
    </w:tbl>
    <w:p w:rsidR="00643600" w:rsidRDefault="00643600" w:rsidP="00643600">
      <w:pPr>
        <w:spacing w:after="0" w:line="240" w:lineRule="auto"/>
        <w:jc w:val="both"/>
        <w:rPr>
          <w:rFonts w:ascii="Arial Narrow" w:hAnsi="Arial Narrow"/>
          <w:sz w:val="24"/>
          <w:szCs w:val="24"/>
        </w:rPr>
      </w:pPr>
    </w:p>
    <w:p w:rsidR="00643600" w:rsidRPr="00245CB7" w:rsidRDefault="00643600" w:rsidP="00643600">
      <w:pPr>
        <w:spacing w:after="0" w:line="240" w:lineRule="auto"/>
        <w:jc w:val="both"/>
        <w:rPr>
          <w:rFonts w:ascii="Arial Narrow" w:hAnsi="Arial Narrow"/>
          <w:b/>
          <w:sz w:val="24"/>
          <w:szCs w:val="24"/>
        </w:rPr>
      </w:pPr>
      <w:r w:rsidRPr="00245CB7">
        <w:rPr>
          <w:rFonts w:ascii="Arial Narrow" w:hAnsi="Arial Narrow"/>
          <w:b/>
          <w:sz w:val="24"/>
          <w:szCs w:val="24"/>
        </w:rPr>
        <w:t xml:space="preserve">Analiză sectorială </w:t>
      </w:r>
    </w:p>
    <w:p w:rsidR="00643600"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 xml:space="preserve">Pentru o analiză detaliată a indicatorilor de performanță, în Regiunea Centru au fost identificate companiile care raportează activitate pe codurile CAEN de producție ”2110 </w:t>
      </w:r>
      <w:r w:rsidRPr="00210DA9">
        <w:rPr>
          <w:rFonts w:ascii="Arial Narrow" w:hAnsi="Arial Narrow"/>
          <w:i/>
          <w:sz w:val="24"/>
          <w:szCs w:val="24"/>
        </w:rPr>
        <w:t>Fabricarea produselor farmaceutice de baza</w:t>
      </w:r>
      <w:r w:rsidRPr="005A0F19">
        <w:rPr>
          <w:rFonts w:ascii="Arial Narrow" w:hAnsi="Arial Narrow"/>
          <w:sz w:val="24"/>
          <w:szCs w:val="24"/>
        </w:rPr>
        <w:t xml:space="preserve">”, ”2120 </w:t>
      </w:r>
      <w:r w:rsidRPr="00210DA9">
        <w:rPr>
          <w:rFonts w:ascii="Arial Narrow" w:hAnsi="Arial Narrow"/>
          <w:i/>
          <w:sz w:val="24"/>
          <w:szCs w:val="24"/>
        </w:rPr>
        <w:t>Fabricarea preparatelor farmaceutice</w:t>
      </w:r>
      <w:r w:rsidRPr="005A0F19">
        <w:rPr>
          <w:rFonts w:ascii="Arial Narrow" w:hAnsi="Arial Narrow"/>
          <w:sz w:val="24"/>
          <w:szCs w:val="24"/>
        </w:rPr>
        <w:t xml:space="preserve">”, ”2660 </w:t>
      </w:r>
      <w:r w:rsidRPr="00210DA9">
        <w:rPr>
          <w:rFonts w:ascii="Arial Narrow" w:hAnsi="Arial Narrow"/>
          <w:i/>
          <w:sz w:val="24"/>
          <w:szCs w:val="24"/>
        </w:rPr>
        <w:t>Fabricarea de echipamente pentru radiologie, electrodiagnostic si electroterapie</w:t>
      </w:r>
      <w:r w:rsidRPr="005A0F19">
        <w:rPr>
          <w:rFonts w:ascii="Arial Narrow" w:hAnsi="Arial Narrow"/>
          <w:sz w:val="24"/>
          <w:szCs w:val="24"/>
        </w:rPr>
        <w:t xml:space="preserve">”, ”3250 </w:t>
      </w:r>
      <w:r w:rsidRPr="00210DA9">
        <w:rPr>
          <w:rFonts w:ascii="Arial Narrow" w:hAnsi="Arial Narrow"/>
          <w:i/>
          <w:sz w:val="24"/>
          <w:szCs w:val="24"/>
        </w:rPr>
        <w:t>Fabricarea de dispozitive, aparate si instrumente medicale stomatologice</w:t>
      </w:r>
      <w:r w:rsidRPr="005A0F19">
        <w:rPr>
          <w:rFonts w:ascii="Arial Narrow" w:hAnsi="Arial Narrow"/>
          <w:sz w:val="24"/>
          <w:szCs w:val="24"/>
        </w:rPr>
        <w:t xml:space="preserve">” și 1 companie care raportează activitate pe codul CAEN de comerț  “4646 </w:t>
      </w:r>
      <w:r w:rsidRPr="00210DA9">
        <w:rPr>
          <w:rFonts w:ascii="Arial Narrow" w:hAnsi="Arial Narrow"/>
          <w:i/>
          <w:sz w:val="24"/>
          <w:szCs w:val="24"/>
        </w:rPr>
        <w:t>Comert cu ridicata al produselor farmaceutice</w:t>
      </w:r>
      <w:r w:rsidRPr="005A0F19">
        <w:rPr>
          <w:rFonts w:ascii="Arial Narrow" w:hAnsi="Arial Narrow"/>
          <w:sz w:val="24"/>
          <w:szCs w:val="24"/>
        </w:rPr>
        <w:t>”</w:t>
      </w:r>
      <w:r>
        <w:rPr>
          <w:rFonts w:ascii="Arial Narrow" w:hAnsi="Arial Narrow"/>
          <w:sz w:val="24"/>
          <w:szCs w:val="24"/>
        </w:rPr>
        <w:t>, dar care desfășoară și activități de producție de medicamente.</w:t>
      </w:r>
    </w:p>
    <w:p w:rsidR="00643600" w:rsidRDefault="00BD7229" w:rsidP="00643600">
      <w:pPr>
        <w:pStyle w:val="Listparagraf"/>
        <w:spacing w:after="0" w:line="240" w:lineRule="auto"/>
        <w:jc w:val="both"/>
      </w:pPr>
      <w:r w:rsidRPr="00BD7229">
        <w:fldChar w:fldCharType="begin"/>
      </w:r>
      <w:r w:rsidR="00643600">
        <w:instrText xml:space="preserve"> LINK Excel.Sheet.12 "\\\\SRV-VM-FS.por.adrcentru\\Company2$\\Levi\\Analiza sectorului medical farmaceutic\\Info Utile\\Statistici Ramo\\Info firme.xlsx" "Foaie1!R1C1:R19C5" \a \f 4 \h  \* MERGEFORMAT </w:instrText>
      </w:r>
      <w:r w:rsidRPr="00BD7229">
        <w:fldChar w:fldCharType="separate"/>
      </w:r>
    </w:p>
    <w:p w:rsidR="00643600" w:rsidRPr="005A0F19" w:rsidRDefault="00BD7229" w:rsidP="00643600">
      <w:pPr>
        <w:pStyle w:val="Listparagraf"/>
        <w:spacing w:after="0" w:line="240" w:lineRule="auto"/>
        <w:jc w:val="both"/>
        <w:rPr>
          <w:rFonts w:ascii="Arial Narrow" w:hAnsi="Arial Narrow"/>
          <w:sz w:val="24"/>
          <w:szCs w:val="24"/>
        </w:rPr>
      </w:pPr>
      <w:r>
        <w:rPr>
          <w:rFonts w:ascii="Arial Narrow" w:hAnsi="Arial Narrow"/>
          <w:sz w:val="24"/>
          <w:szCs w:val="24"/>
        </w:rPr>
        <w:fldChar w:fldCharType="end"/>
      </w: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tblPr>
      <w:tblGrid>
        <w:gridCol w:w="457"/>
        <w:gridCol w:w="1336"/>
        <w:gridCol w:w="849"/>
        <w:gridCol w:w="1820"/>
        <w:gridCol w:w="4826"/>
      </w:tblGrid>
      <w:tr w:rsidR="00643600" w:rsidRPr="00FE5C30" w:rsidTr="00643600">
        <w:trPr>
          <w:trHeight w:val="540"/>
        </w:trPr>
        <w:tc>
          <w:tcPr>
            <w:tcW w:w="246" w:type="pct"/>
            <w:tcBorders>
              <w:top w:val="single" w:sz="4" w:space="0" w:color="A5A5A5"/>
              <w:left w:val="single" w:sz="4" w:space="0" w:color="A5A5A5"/>
              <w:bottom w:val="single" w:sz="4" w:space="0" w:color="A5A5A5"/>
              <w:right w:val="nil"/>
            </w:tcBorders>
            <w:shd w:val="clear" w:color="auto" w:fill="A5A5A5"/>
            <w:hideMark/>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Nr. crt.</w:t>
            </w:r>
          </w:p>
        </w:tc>
        <w:tc>
          <w:tcPr>
            <w:tcW w:w="719" w:type="pct"/>
            <w:tcBorders>
              <w:top w:val="single" w:sz="4" w:space="0" w:color="A5A5A5"/>
              <w:left w:val="nil"/>
              <w:bottom w:val="single" w:sz="4" w:space="0" w:color="A5A5A5"/>
              <w:right w:val="nil"/>
            </w:tcBorders>
            <w:shd w:val="clear" w:color="auto" w:fill="A5A5A5"/>
            <w:hideMark/>
          </w:tcPr>
          <w:p w:rsidR="00643600" w:rsidRPr="00FE5C30" w:rsidRDefault="00643600" w:rsidP="00643600">
            <w:pPr>
              <w:spacing w:after="0" w:line="240" w:lineRule="auto"/>
              <w:jc w:val="center"/>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Companie</w:t>
            </w:r>
          </w:p>
        </w:tc>
        <w:tc>
          <w:tcPr>
            <w:tcW w:w="457" w:type="pct"/>
            <w:tcBorders>
              <w:top w:val="single" w:sz="4" w:space="0" w:color="A5A5A5"/>
              <w:left w:val="nil"/>
              <w:bottom w:val="single" w:sz="4" w:space="0" w:color="A5A5A5"/>
              <w:right w:val="nil"/>
            </w:tcBorders>
            <w:shd w:val="clear" w:color="auto" w:fill="A5A5A5"/>
            <w:hideMark/>
          </w:tcPr>
          <w:p w:rsidR="00643600" w:rsidRPr="00FE5C30" w:rsidRDefault="00643600" w:rsidP="00643600">
            <w:pPr>
              <w:spacing w:after="0" w:line="240" w:lineRule="auto"/>
              <w:jc w:val="center"/>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Județ</w:t>
            </w:r>
          </w:p>
        </w:tc>
        <w:tc>
          <w:tcPr>
            <w:tcW w:w="980" w:type="pct"/>
            <w:tcBorders>
              <w:top w:val="single" w:sz="4" w:space="0" w:color="A5A5A5"/>
              <w:left w:val="nil"/>
              <w:bottom w:val="single" w:sz="4" w:space="0" w:color="A5A5A5"/>
              <w:right w:val="nil"/>
            </w:tcBorders>
            <w:shd w:val="clear" w:color="auto" w:fill="A5A5A5"/>
            <w:hideMark/>
          </w:tcPr>
          <w:p w:rsidR="00643600" w:rsidRPr="00FE5C30" w:rsidRDefault="00643600" w:rsidP="00643600">
            <w:pPr>
              <w:spacing w:after="0" w:line="240" w:lineRule="auto"/>
              <w:jc w:val="center"/>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Activitate conform cod CAEN</w:t>
            </w:r>
          </w:p>
        </w:tc>
        <w:tc>
          <w:tcPr>
            <w:tcW w:w="2598" w:type="pct"/>
            <w:tcBorders>
              <w:top w:val="single" w:sz="4" w:space="0" w:color="A5A5A5"/>
              <w:left w:val="nil"/>
              <w:bottom w:val="single" w:sz="4" w:space="0" w:color="A5A5A5"/>
              <w:right w:val="single" w:sz="4" w:space="0" w:color="A5A5A5"/>
            </w:tcBorders>
            <w:shd w:val="clear" w:color="auto" w:fill="A5A5A5"/>
            <w:hideMark/>
          </w:tcPr>
          <w:p w:rsidR="00643600" w:rsidRPr="00FE5C30" w:rsidRDefault="00643600" w:rsidP="00643600">
            <w:pPr>
              <w:spacing w:after="0" w:line="240" w:lineRule="auto"/>
              <w:jc w:val="center"/>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Informații generale</w:t>
            </w:r>
          </w:p>
        </w:tc>
      </w:tr>
      <w:tr w:rsidR="00643600" w:rsidRPr="00FE5C30" w:rsidTr="00643600">
        <w:trPr>
          <w:trHeight w:hRule="exact" w:val="810"/>
        </w:trPr>
        <w:tc>
          <w:tcPr>
            <w:tcW w:w="246" w:type="pct"/>
            <w:shd w:val="clear" w:color="auto" w:fill="EDEDED"/>
            <w:hideMark/>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w:t>
            </w:r>
          </w:p>
        </w:tc>
        <w:tc>
          <w:tcPr>
            <w:tcW w:w="719" w:type="pct"/>
            <w:shd w:val="clear" w:color="auto" w:fill="EDEDED"/>
            <w:hideMark/>
          </w:tcPr>
          <w:p w:rsidR="00643600" w:rsidRPr="00FE5C30" w:rsidRDefault="00643600" w:rsidP="00643600">
            <w:pPr>
              <w:spacing w:after="0" w:line="240" w:lineRule="auto"/>
              <w:rPr>
                <w:rFonts w:ascii="Arial Narrow" w:eastAsia="Times New Roman" w:hAnsi="Arial Narrow"/>
                <w:color w:val="000000"/>
                <w:sz w:val="18"/>
                <w:szCs w:val="18"/>
              </w:rPr>
            </w:pPr>
            <w:r w:rsidRPr="00FE5C30">
              <w:rPr>
                <w:rFonts w:ascii="Arial Narrow" w:eastAsia="Times New Roman" w:hAnsi="Arial Narrow"/>
                <w:color w:val="000000"/>
                <w:sz w:val="18"/>
                <w:szCs w:val="18"/>
              </w:rPr>
              <w:t>AESCULAP PROD SRL</w:t>
            </w:r>
          </w:p>
        </w:tc>
        <w:tc>
          <w:tcPr>
            <w:tcW w:w="457" w:type="pct"/>
            <w:shd w:val="clear" w:color="auto" w:fill="EDEDED"/>
            <w:hideMark/>
          </w:tcPr>
          <w:p w:rsidR="00643600" w:rsidRPr="00FE5C30" w:rsidRDefault="00643600" w:rsidP="00643600">
            <w:pPr>
              <w:spacing w:after="0" w:line="240" w:lineRule="auto"/>
              <w:rPr>
                <w:rFonts w:ascii="Arial Narrow" w:eastAsia="Times New Roman" w:hAnsi="Arial Narrow"/>
                <w:color w:val="000000"/>
                <w:sz w:val="18"/>
                <w:szCs w:val="18"/>
              </w:rPr>
            </w:pPr>
            <w:r w:rsidRPr="00FE5C30">
              <w:rPr>
                <w:rFonts w:ascii="Arial Narrow" w:eastAsia="Times New Roman" w:hAnsi="Arial Narrow"/>
                <w:color w:val="000000"/>
                <w:sz w:val="18"/>
                <w:szCs w:val="18"/>
              </w:rPr>
              <w:t>MURES</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2110 - Fabricarea produselor farmaceutice de baza</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Este parte a grupului Ropharma și produce suplimente alimentare care contin un spectru larg de vitamine si minerale esentiale si  substante nutritive importante: lactoferina, luteina, imunoglobuline din colostru, silimarina, glucozamina, condroitin.</w:t>
            </w:r>
          </w:p>
        </w:tc>
      </w:tr>
      <w:tr w:rsidR="00643600" w:rsidRPr="00FE5C30" w:rsidTr="00643600">
        <w:trPr>
          <w:trHeight w:hRule="exact" w:val="540"/>
        </w:trPr>
        <w:tc>
          <w:tcPr>
            <w:tcW w:w="246" w:type="pct"/>
            <w:shd w:val="clear" w:color="auto" w:fill="auto"/>
            <w:hideMark/>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2</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SANDOZ SRL</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MURES</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2110 - Fabricarea produselor farmaceutice de baza</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 xml:space="preserve">Face parte din grupul elvețian Novartis, cea  mai mare companie farmaceutică din lume și este printre cei mai importanți producători de medicamente generice. </w:t>
            </w:r>
          </w:p>
        </w:tc>
      </w:tr>
      <w:tr w:rsidR="00643600" w:rsidRPr="00FE5C30" w:rsidTr="00643600">
        <w:trPr>
          <w:trHeight w:hRule="exact" w:val="1350"/>
        </w:trPr>
        <w:tc>
          <w:tcPr>
            <w:tcW w:w="246" w:type="pct"/>
            <w:shd w:val="clear" w:color="auto" w:fill="EDEDED"/>
            <w:hideMark/>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3</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BIO EEL SRL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MURES</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4646 - Comert cu ridicata al produselor farmaceutice </w:t>
            </w:r>
          </w:p>
        </w:tc>
        <w:tc>
          <w:tcPr>
            <w:tcW w:w="2598" w:type="pct"/>
            <w:shd w:val="clear" w:color="auto" w:fill="EDEDED"/>
            <w:noWrap/>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A început în 1992 cu producţia primelor medicamente şi cosmetice. Pe lângă activitatea de producţie, Bio Eel desfășoară activități de import şi distribuție pentru mai multe companii farmaceutice naţionale si internaţionale şi asigură servicii de logistică pentru 5 companii farmaceutice multinaţionale. Gama actuală conţine peste 100 de produse ce cuprind: medicamente cu prescripţie Rx, medicamente fara prescripţie OTC, produse cosmetice, alte produse (preparate galenice).</w:t>
            </w:r>
          </w:p>
        </w:tc>
      </w:tr>
      <w:tr w:rsidR="00643600" w:rsidRPr="00FE5C30" w:rsidTr="00643600">
        <w:trPr>
          <w:trHeight w:hRule="exact" w:val="1653"/>
        </w:trPr>
        <w:tc>
          <w:tcPr>
            <w:tcW w:w="246" w:type="pct"/>
            <w:shd w:val="clear" w:color="auto" w:fill="auto"/>
            <w:hideMark/>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4</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VIM SPECTRUM SRL </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MURES</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lang w:val="ro-RO"/>
              </w:rPr>
            </w:pPr>
            <w:r w:rsidRPr="00FE5C30">
              <w:rPr>
                <w:rFonts w:ascii="Arial Narrow" w:eastAsia="Times New Roman" w:hAnsi="Arial Narrow"/>
                <w:color w:val="000000"/>
                <w:sz w:val="18"/>
                <w:szCs w:val="18"/>
                <w:lang w:val="ro-RO"/>
              </w:rPr>
              <w:t>Societatea are în portofoliu peste 30 produse, medicamente și suplimente alimentare, prezente atât pe piața internă, cât și pe piața externă din diverse arii terapeutice: sistemul cardiovascular, sistemul nervos central, antimicotică sistemică, aparatul digestiv și metabolism, antiinflamatoare şi antireumatică, antihelmintică.</w:t>
            </w:r>
          </w:p>
          <w:p w:rsidR="00643600" w:rsidRPr="00FE5C30" w:rsidRDefault="00643600" w:rsidP="00643600">
            <w:pPr>
              <w:spacing w:after="0" w:line="240" w:lineRule="auto"/>
              <w:jc w:val="both"/>
              <w:rPr>
                <w:rFonts w:ascii="Arial Narrow" w:eastAsia="Times New Roman" w:hAnsi="Arial Narrow"/>
                <w:color w:val="000000"/>
                <w:sz w:val="18"/>
                <w:szCs w:val="18"/>
                <w:lang w:val="ro-RO"/>
              </w:rPr>
            </w:pPr>
            <w:r w:rsidRPr="00FE5C30">
              <w:rPr>
                <w:rFonts w:ascii="Arial Narrow" w:eastAsia="Times New Roman" w:hAnsi="Arial Narrow"/>
                <w:color w:val="000000"/>
                <w:sz w:val="18"/>
                <w:szCs w:val="18"/>
                <w:lang w:val="ro-RO"/>
              </w:rPr>
              <w:t>Unitatea de producţie este autorizată pentru producţia medicamentelor generice de uz uman în forme orale solide, comprimate şi capsule.</w:t>
            </w:r>
          </w:p>
        </w:tc>
      </w:tr>
      <w:tr w:rsidR="00643600" w:rsidRPr="00FE5C30" w:rsidTr="00643600">
        <w:trPr>
          <w:trHeight w:hRule="exact" w:val="838"/>
        </w:trPr>
        <w:tc>
          <w:tcPr>
            <w:tcW w:w="246" w:type="pct"/>
            <w:shd w:val="clear" w:color="auto" w:fill="EDEDED"/>
            <w:hideMark/>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5</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ORTOPROFIL PROD ROMANIA SRL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MURES</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3250 - Productia de dispozitive, aparate si instrumente medicale si de laborator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Este principalul producător de dispozitive medicale ortopedice, proteze, orteze, talonete, ghete ortopedice, ciorapi medicinali.</w:t>
            </w:r>
          </w:p>
        </w:tc>
      </w:tr>
      <w:tr w:rsidR="00643600" w:rsidRPr="00FE5C30" w:rsidTr="00643600">
        <w:trPr>
          <w:trHeight w:hRule="exact" w:val="1746"/>
        </w:trPr>
        <w:tc>
          <w:tcPr>
            <w:tcW w:w="246" w:type="pc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lastRenderedPageBreak/>
              <w:t>6</w:t>
            </w:r>
          </w:p>
        </w:tc>
        <w:tc>
          <w:tcPr>
            <w:tcW w:w="719"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GEDEON RICHTER ROMANIA SA</w:t>
            </w:r>
          </w:p>
        </w:tc>
        <w:tc>
          <w:tcPr>
            <w:tcW w:w="45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MURES</w:t>
            </w:r>
          </w:p>
        </w:tc>
        <w:tc>
          <w:tcPr>
            <w:tcW w:w="980"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2120 - Fabricarea preparatelor farmaceutice</w:t>
            </w:r>
          </w:p>
        </w:tc>
        <w:tc>
          <w:tcPr>
            <w:tcW w:w="2598"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18"/>
                <w:szCs w:val="18"/>
                <w:lang w:val="ro-RO"/>
              </w:rPr>
            </w:pPr>
            <w:r w:rsidRPr="00FE5C30">
              <w:rPr>
                <w:rFonts w:ascii="Arial Narrow" w:eastAsia="Times New Roman" w:hAnsi="Arial Narrow"/>
                <w:color w:val="000000"/>
                <w:sz w:val="18"/>
                <w:szCs w:val="18"/>
                <w:lang w:val="ro-RO"/>
              </w:rPr>
              <w:t>Gedeon Richter este unul dintre cele mai importante nume de pe piaţa farmaceutică din Europa Centrală şi de Est, grupul deţinând companii producătoare de medicamente în Ungaria, România, Rusia, Polonia, Germania şi India, precum şi o reţea de reprezentanţe dezvoltată pe mai multe continente.</w:t>
            </w:r>
          </w:p>
          <w:p w:rsidR="00643600" w:rsidRPr="00FE5C30" w:rsidRDefault="00643600" w:rsidP="00643600">
            <w:pPr>
              <w:spacing w:after="0" w:line="240" w:lineRule="auto"/>
              <w:jc w:val="both"/>
              <w:rPr>
                <w:rFonts w:ascii="Arial Narrow" w:eastAsia="Times New Roman" w:hAnsi="Arial Narrow"/>
                <w:color w:val="000000"/>
                <w:sz w:val="18"/>
                <w:szCs w:val="18"/>
                <w:lang w:val="ro-RO"/>
              </w:rPr>
            </w:pPr>
            <w:r w:rsidRPr="00FE5C30">
              <w:rPr>
                <w:rFonts w:ascii="Arial Narrow" w:eastAsia="Times New Roman" w:hAnsi="Arial Narrow"/>
                <w:color w:val="000000"/>
                <w:sz w:val="18"/>
                <w:szCs w:val="18"/>
                <w:lang w:val="ro-RO"/>
              </w:rPr>
              <w:t>În România, la nivel de grup, Gedeon Richter dezvoltă o activitate integrată: dezvoltare şi producţie de medicamente, distribuţie şi retail, toate acestea prin cele trei mari componente ale grupului - Gedeon Richter România S.A, Pharmafarm şi Gedeon Richter Farmacia S.A.</w:t>
            </w:r>
          </w:p>
        </w:tc>
      </w:tr>
      <w:tr w:rsidR="00643600" w:rsidRPr="00FE5C30" w:rsidTr="00643600">
        <w:trPr>
          <w:trHeight w:hRule="exact" w:val="1350"/>
        </w:trPr>
        <w:tc>
          <w:tcPr>
            <w:tcW w:w="246" w:type="pct"/>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7</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RAGUSE MEDIZINISCHE PRODUKTE ROMÂNIA SRL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SIBIU</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2660 - Fabricarea de echipamente pentru radiologie, electrodiagnostic si electroterapie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Are ca obiect de activitate producţia şi distribuţia de produse medicale, iar oferta companiei cuprinde o gamă largă de seturi şi câmpuri chirurgicale de unică folosinţă, îmbrăcăminte de unică folosinţă pentru bloc operator, echipamente de protecţie, dar şi alte accesorii utile în domeniul medical.</w:t>
            </w:r>
          </w:p>
        </w:tc>
      </w:tr>
      <w:tr w:rsidR="00643600" w:rsidRPr="00FE5C30" w:rsidTr="00643600">
        <w:trPr>
          <w:trHeight w:hRule="exact" w:val="1350"/>
        </w:trPr>
        <w:tc>
          <w:tcPr>
            <w:tcW w:w="246" w:type="pc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8</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POLISANO PHARMACEUTICALS SRL </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SIBIU</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 xml:space="preserve">Activitatea companiei se axează pe fabricarea medicamentelor şi suplimentelor nutritive, implicând mai multe forme de dozare farmaceutică, în principal produse generice, precum capsule, comprimate, comprimate filmate, pulberi pentru suspensii orale, pulberi sterile.Compania deţine 33.000 mp de hale, linii tehnologice automatizate și robotizate, echipamente de producție. </w:t>
            </w:r>
          </w:p>
        </w:tc>
      </w:tr>
      <w:tr w:rsidR="00643600" w:rsidRPr="00FE5C30" w:rsidTr="00643600">
        <w:trPr>
          <w:trHeight w:hRule="exact" w:val="1080"/>
        </w:trPr>
        <w:tc>
          <w:tcPr>
            <w:tcW w:w="246" w:type="pct"/>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9</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NATURA - CERCETARE SI INOVARE SRL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SIBIU</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Activitatea de bază constă în prelucrarea plantelor medicinale şi aromatice în scopul producerii de preparate farmaceutice, suplimente alimentare, produse cosmetice, tincturi, uleiuri volatile, ceaiuri medicinale, extracte naturale.</w:t>
            </w:r>
          </w:p>
        </w:tc>
      </w:tr>
      <w:tr w:rsidR="00643600" w:rsidRPr="00FE5C30" w:rsidTr="00643600">
        <w:trPr>
          <w:trHeight w:hRule="exact" w:val="858"/>
        </w:trPr>
        <w:tc>
          <w:tcPr>
            <w:tcW w:w="246" w:type="pc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10</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AKTIVORT SRL </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HARGHITA</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3250 - Productia de dispozitive, aparate si instrumente medicale si de laborator </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Activitatea principală a firmei este producerea şi comercializarea dispozitivelor medicale: lucrări de protezare si ortezare, încălţăminte ortopedică, susţinători plantari prin amprentarea computerizată.</w:t>
            </w:r>
          </w:p>
        </w:tc>
      </w:tr>
      <w:tr w:rsidR="00643600" w:rsidRPr="00FE5C30" w:rsidTr="00643600">
        <w:trPr>
          <w:trHeight w:hRule="exact" w:val="916"/>
        </w:trPr>
        <w:tc>
          <w:tcPr>
            <w:tcW w:w="246" w:type="pct"/>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11</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SUPORTH MED SRL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HARGHITA</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3250 - Productia de dispozitive, aparate si instrumente medicale si de laborator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Este specializată în producţia de dispozitive (încălţăminte ortopedice şi de corecţie), aparate şi instrumente medicale şi de laborator.</w:t>
            </w:r>
          </w:p>
        </w:tc>
      </w:tr>
      <w:tr w:rsidR="00643600" w:rsidRPr="00FE5C30" w:rsidTr="00643600">
        <w:trPr>
          <w:trHeight w:hRule="exact" w:val="540"/>
        </w:trPr>
        <w:tc>
          <w:tcPr>
            <w:tcW w:w="246" w:type="pc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12</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BIOEF SRL</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 xml:space="preserve">Este parte a grupului Ropharma și este specializata iîn productia de lapte praf pentru sugari si copii mici. </w:t>
            </w:r>
          </w:p>
        </w:tc>
      </w:tr>
      <w:tr w:rsidR="00643600" w:rsidRPr="00FE5C30" w:rsidTr="00643600">
        <w:trPr>
          <w:trHeight w:hRule="exact" w:val="1350"/>
        </w:trPr>
        <w:tc>
          <w:tcPr>
            <w:tcW w:w="246" w:type="pct"/>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13</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EUROPHARM SA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Este una dintre cele mai mari companii farmaceutice din lume, bazata pe cercetare si dezvoltare, având în portofoliu medicamente, vaccinuri, produse inovatoare in sanatate orala, produse fara prescriptie medicala (OTC) si suplimente alimentare, ingrijirea pielii si nutritie.  În urma semnării unui acord de vânzare, anul 2015  a fost ultimul an de activitate în România pentru fabrica de medicamente și distribuție localizată în județul Brașov.</w:t>
            </w:r>
          </w:p>
        </w:tc>
      </w:tr>
      <w:tr w:rsidR="00643600" w:rsidRPr="00FE5C30" w:rsidTr="00643600">
        <w:trPr>
          <w:trHeight w:hRule="exact" w:val="442"/>
        </w:trPr>
        <w:tc>
          <w:tcPr>
            <w:tcW w:w="246" w:type="pct"/>
            <w:vMerge w:val="restar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p>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14</w:t>
            </w:r>
          </w:p>
        </w:tc>
        <w:tc>
          <w:tcPr>
            <w:tcW w:w="719" w:type="pct"/>
            <w:vMerge w:val="restart"/>
            <w:shd w:val="clear" w:color="auto" w:fill="auto"/>
            <w:hideMark/>
          </w:tcPr>
          <w:p w:rsidR="00643600" w:rsidRPr="00FE5C30" w:rsidRDefault="00643600" w:rsidP="00643600">
            <w:pPr>
              <w:spacing w:after="0" w:line="240" w:lineRule="auto"/>
              <w:rPr>
                <w:rFonts w:ascii="Arial Narrow" w:eastAsia="Times New Roman" w:hAnsi="Arial Narrow"/>
                <w:color w:val="000000"/>
                <w:sz w:val="18"/>
                <w:szCs w:val="18"/>
              </w:rPr>
            </w:pPr>
            <w:r w:rsidRPr="00FE5C30">
              <w:rPr>
                <w:rFonts w:ascii="Arial Narrow" w:eastAsia="Times New Roman" w:hAnsi="Arial Narrow"/>
                <w:color w:val="000000"/>
                <w:sz w:val="18"/>
                <w:szCs w:val="18"/>
              </w:rPr>
              <w:t>FARMACOM PRODUCTIE SRL</w:t>
            </w:r>
          </w:p>
        </w:tc>
        <w:tc>
          <w:tcPr>
            <w:tcW w:w="457" w:type="pct"/>
            <w:vMerge w:val="restar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vMerge w:val="restar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vMerge w:val="restar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Activitatea companiei este structurată în două direcții: producție proprie de medicamente și de suplimente alimentare.</w:t>
            </w:r>
          </w:p>
        </w:tc>
      </w:tr>
      <w:tr w:rsidR="00643600" w:rsidRPr="00FE5C30" w:rsidTr="00643600">
        <w:trPr>
          <w:trHeight w:val="207"/>
        </w:trPr>
        <w:tc>
          <w:tcPr>
            <w:tcW w:w="246" w:type="pct"/>
            <w:vMerge/>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p>
        </w:tc>
        <w:tc>
          <w:tcPr>
            <w:tcW w:w="719" w:type="pct"/>
            <w:vMerge/>
            <w:shd w:val="clear" w:color="auto" w:fill="EDEDED"/>
            <w:hideMark/>
          </w:tcPr>
          <w:p w:rsidR="00643600" w:rsidRPr="00FE5C30" w:rsidRDefault="00643600" w:rsidP="00643600">
            <w:pPr>
              <w:spacing w:after="0" w:line="240" w:lineRule="auto"/>
              <w:rPr>
                <w:rFonts w:ascii="Arial Narrow" w:eastAsia="Times New Roman" w:hAnsi="Arial Narrow"/>
                <w:color w:val="000000"/>
                <w:sz w:val="18"/>
                <w:szCs w:val="18"/>
              </w:rPr>
            </w:pPr>
          </w:p>
        </w:tc>
        <w:tc>
          <w:tcPr>
            <w:tcW w:w="457" w:type="pct"/>
            <w:vMerge/>
            <w:shd w:val="clear" w:color="auto" w:fill="EDEDED"/>
            <w:hideMark/>
          </w:tcPr>
          <w:p w:rsidR="00643600" w:rsidRPr="00FE5C30" w:rsidRDefault="00643600" w:rsidP="00643600">
            <w:pPr>
              <w:spacing w:after="0" w:line="240" w:lineRule="auto"/>
              <w:rPr>
                <w:rFonts w:ascii="Arial Narrow" w:eastAsia="Times New Roman" w:hAnsi="Arial Narrow"/>
                <w:color w:val="000000"/>
                <w:sz w:val="18"/>
                <w:szCs w:val="18"/>
              </w:rPr>
            </w:pPr>
          </w:p>
        </w:tc>
        <w:tc>
          <w:tcPr>
            <w:tcW w:w="980" w:type="pct"/>
            <w:vMerge/>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p>
        </w:tc>
        <w:tc>
          <w:tcPr>
            <w:tcW w:w="2598" w:type="pct"/>
            <w:vMerge/>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p>
        </w:tc>
      </w:tr>
      <w:tr w:rsidR="00643600" w:rsidRPr="00FE5C30" w:rsidTr="00643600">
        <w:trPr>
          <w:trHeight w:hRule="exact" w:val="810"/>
        </w:trPr>
        <w:tc>
          <w:tcPr>
            <w:tcW w:w="246" w:type="pc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15</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MEBRA SRL</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Produce medicamente (OXIMED - spray folosit împotriva arsurilor şi altor afecţiuni dermatologice), suplimente nutritive, dispozitive medicale (leucoplaste - pansamente şi benzi adezive) prin brandul MEDPLAST și produse deramto-cosmetice.</w:t>
            </w:r>
          </w:p>
        </w:tc>
      </w:tr>
      <w:tr w:rsidR="00643600" w:rsidRPr="00FE5C30" w:rsidTr="00643600">
        <w:trPr>
          <w:trHeight w:hRule="exact" w:val="540"/>
        </w:trPr>
        <w:tc>
          <w:tcPr>
            <w:tcW w:w="246" w:type="pct"/>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16</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SANTA SA (SANOSAN)</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2120 - Fabricarea preparatelor farmaceutice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Produce medicamente generice sub brand propriu și sub contract pentru alte companii.</w:t>
            </w:r>
          </w:p>
        </w:tc>
      </w:tr>
      <w:tr w:rsidR="00643600" w:rsidRPr="00FE5C30" w:rsidTr="00643600">
        <w:trPr>
          <w:trHeight w:hRule="exact" w:val="540"/>
        </w:trPr>
        <w:tc>
          <w:tcPr>
            <w:tcW w:w="246" w:type="pct"/>
            <w:shd w:val="clear" w:color="auto" w:fill="auto"/>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17</w:t>
            </w:r>
          </w:p>
        </w:tc>
        <w:tc>
          <w:tcPr>
            <w:tcW w:w="719"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DACIA PLANT SRL </w:t>
            </w:r>
          </w:p>
        </w:tc>
        <w:tc>
          <w:tcPr>
            <w:tcW w:w="457"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1089 - Fabricarea altor produse alimentare n.c.a. </w:t>
            </w:r>
          </w:p>
        </w:tc>
        <w:tc>
          <w:tcPr>
            <w:tcW w:w="2598" w:type="pct"/>
            <w:shd w:val="clear" w:color="auto" w:fill="auto"/>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 xml:space="preserve">Produce comprimate, siropuri, ceaiuri, tincturi, pulberi si gemoderivate 100% naturale, cu ingrediente de cea mai buna calitate si cu efect terapeutic ridicat. </w:t>
            </w:r>
          </w:p>
        </w:tc>
      </w:tr>
      <w:tr w:rsidR="00643600" w:rsidRPr="00FE5C30" w:rsidTr="00643600">
        <w:trPr>
          <w:trHeight w:val="1080"/>
        </w:trPr>
        <w:tc>
          <w:tcPr>
            <w:tcW w:w="246" w:type="pct"/>
            <w:shd w:val="clear" w:color="auto" w:fill="EDEDED"/>
          </w:tcPr>
          <w:p w:rsidR="00643600" w:rsidRPr="00FE5C30" w:rsidRDefault="00643600" w:rsidP="00643600">
            <w:pPr>
              <w:spacing w:after="0" w:line="240" w:lineRule="auto"/>
              <w:rPr>
                <w:rFonts w:ascii="Arial Narrow" w:eastAsia="Times New Roman" w:hAnsi="Arial Narrow"/>
                <w:b/>
                <w:bCs/>
                <w:color w:val="000000"/>
                <w:sz w:val="18"/>
                <w:szCs w:val="18"/>
              </w:rPr>
            </w:pPr>
            <w:r w:rsidRPr="00FE5C30">
              <w:rPr>
                <w:rFonts w:ascii="Arial Narrow" w:eastAsia="Times New Roman" w:hAnsi="Arial Narrow"/>
                <w:color w:val="000000"/>
                <w:sz w:val="18"/>
                <w:szCs w:val="18"/>
              </w:rPr>
              <w:t>18</w:t>
            </w:r>
          </w:p>
        </w:tc>
        <w:tc>
          <w:tcPr>
            <w:tcW w:w="719"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ASIST ROM SRL </w:t>
            </w:r>
          </w:p>
        </w:tc>
        <w:tc>
          <w:tcPr>
            <w:tcW w:w="457"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BRASOV</w:t>
            </w:r>
          </w:p>
        </w:tc>
        <w:tc>
          <w:tcPr>
            <w:tcW w:w="980"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rPr>
              <w:t xml:space="preserve">3250 - Productia de dispozitive, aparate si instrumente medicale si de laborator </w:t>
            </w:r>
          </w:p>
        </w:tc>
        <w:tc>
          <w:tcPr>
            <w:tcW w:w="2598" w:type="pct"/>
            <w:shd w:val="clear" w:color="auto" w:fill="EDEDED"/>
            <w:hideMark/>
          </w:tcPr>
          <w:p w:rsidR="00643600" w:rsidRPr="00FE5C30" w:rsidRDefault="00643600" w:rsidP="00643600">
            <w:pPr>
              <w:spacing w:after="0" w:line="240" w:lineRule="auto"/>
              <w:jc w:val="both"/>
              <w:rPr>
                <w:rFonts w:ascii="Arial Narrow" w:eastAsia="Times New Roman" w:hAnsi="Arial Narrow"/>
                <w:color w:val="000000"/>
                <w:sz w:val="18"/>
                <w:szCs w:val="18"/>
              </w:rPr>
            </w:pPr>
            <w:r w:rsidRPr="00FE5C30">
              <w:rPr>
                <w:rFonts w:ascii="Arial Narrow" w:eastAsia="Times New Roman" w:hAnsi="Arial Narrow"/>
                <w:color w:val="000000"/>
                <w:sz w:val="18"/>
                <w:szCs w:val="18"/>
                <w:lang w:val="ro-RO"/>
              </w:rPr>
              <w:t>Este producator de unituri stomatologice, mobilier pentru laboratoarele de stomatologie si cabinete medicale, sisteme complet utilate pentru sali de curs unde studentii la stomatologie beneficiaza de sisteme complete de simulare a practicii stomatologice.</w:t>
            </w:r>
          </w:p>
        </w:tc>
      </w:tr>
    </w:tbl>
    <w:p w:rsidR="00643600" w:rsidRPr="00E30880" w:rsidRDefault="00643600" w:rsidP="00643600">
      <w:pPr>
        <w:pStyle w:val="Listparagraf"/>
        <w:spacing w:after="0" w:line="240" w:lineRule="auto"/>
        <w:jc w:val="both"/>
        <w:rPr>
          <w:rFonts w:ascii="Arial Narrow" w:hAnsi="Arial Narrow"/>
          <w:sz w:val="24"/>
          <w:szCs w:val="24"/>
        </w:rPr>
      </w:pPr>
      <w:r w:rsidRPr="005A0F19">
        <w:rPr>
          <w:rFonts w:ascii="Arial Narrow" w:hAnsi="Arial Narrow"/>
          <w:sz w:val="24"/>
          <w:szCs w:val="24"/>
        </w:rPr>
        <w:t xml:space="preserve">  </w:t>
      </w:r>
    </w:p>
    <w:p w:rsidR="00643600" w:rsidRDefault="00643600" w:rsidP="00643600">
      <w:pPr>
        <w:spacing w:after="0" w:line="240" w:lineRule="auto"/>
        <w:jc w:val="both"/>
        <w:rPr>
          <w:rFonts w:ascii="Arial Narrow" w:hAnsi="Arial Narrow"/>
          <w:i/>
          <w:sz w:val="24"/>
          <w:szCs w:val="24"/>
        </w:rPr>
      </w:pPr>
      <w:r w:rsidRPr="005A0F19">
        <w:rPr>
          <w:rFonts w:ascii="Arial Narrow" w:hAnsi="Arial Narrow"/>
          <w:sz w:val="24"/>
          <w:szCs w:val="24"/>
          <w:lang w:val="ro-RO"/>
        </w:rPr>
        <w:t xml:space="preserve">Din </w:t>
      </w:r>
      <w:r>
        <w:rPr>
          <w:rFonts w:ascii="Arial Narrow" w:hAnsi="Arial Narrow"/>
          <w:sz w:val="24"/>
          <w:szCs w:val="24"/>
          <w:lang w:val="ro-RO"/>
        </w:rPr>
        <w:t>cele 18</w:t>
      </w:r>
      <w:r w:rsidRPr="005A0F19">
        <w:rPr>
          <w:rFonts w:ascii="Arial Narrow" w:hAnsi="Arial Narrow"/>
          <w:sz w:val="24"/>
          <w:szCs w:val="24"/>
          <w:lang w:val="ro-RO"/>
        </w:rPr>
        <w:t xml:space="preserve"> companii identificate, cele mai multe iși desfășoară activitatea în județul Brașov. De asemenea, </w:t>
      </w:r>
      <w:r w:rsidRPr="005A0F19">
        <w:rPr>
          <w:rFonts w:ascii="Arial Narrow" w:hAnsi="Arial Narrow"/>
          <w:sz w:val="24"/>
          <w:szCs w:val="24"/>
        </w:rPr>
        <w:t>se observă o concentrare a firmelor în special în domeniul 2120 – ”</w:t>
      </w:r>
      <w:r w:rsidRPr="005A0F19">
        <w:rPr>
          <w:rFonts w:ascii="Arial Narrow" w:hAnsi="Arial Narrow"/>
          <w:i/>
          <w:iCs/>
          <w:sz w:val="24"/>
          <w:szCs w:val="24"/>
        </w:rPr>
        <w:t>Fabricarea preparatelor farmaceutice</w:t>
      </w:r>
      <w:r w:rsidRPr="005A0F19">
        <w:rPr>
          <w:rFonts w:ascii="Arial Narrow" w:hAnsi="Arial Narrow"/>
          <w:sz w:val="24"/>
          <w:szCs w:val="24"/>
        </w:rPr>
        <w:t>” și 3250 – “</w:t>
      </w:r>
      <w:r w:rsidRPr="005A0F19">
        <w:rPr>
          <w:rFonts w:ascii="Arial Narrow" w:hAnsi="Arial Narrow"/>
          <w:i/>
          <w:sz w:val="24"/>
          <w:szCs w:val="24"/>
        </w:rPr>
        <w:t>Productia de dispozitive, aparate si instrumente medicale si de laborator”.</w:t>
      </w:r>
    </w:p>
    <w:p w:rsidR="00643600" w:rsidRPr="005A0F19" w:rsidRDefault="00643600" w:rsidP="00643600">
      <w:pPr>
        <w:spacing w:after="0" w:line="240" w:lineRule="auto"/>
        <w:jc w:val="both"/>
        <w:rPr>
          <w:rFonts w:ascii="Arial Narrow" w:hAnsi="Arial Narrow"/>
          <w:i/>
          <w:sz w:val="24"/>
          <w:szCs w:val="24"/>
          <w:lang w:val="ro-RO"/>
        </w:rPr>
      </w:pPr>
    </w:p>
    <w:p w:rsidR="00643600" w:rsidRPr="005A0F19" w:rsidRDefault="00643600" w:rsidP="00643600">
      <w:pPr>
        <w:spacing w:after="0" w:line="240" w:lineRule="auto"/>
        <w:jc w:val="both"/>
        <w:rPr>
          <w:rFonts w:ascii="Arial Narrow" w:hAnsi="Arial Narrow"/>
          <w:i/>
          <w:sz w:val="24"/>
          <w:szCs w:val="24"/>
          <w:lang w:val="ro-RO"/>
        </w:rPr>
      </w:pPr>
      <w:r w:rsidRPr="005A0F19">
        <w:rPr>
          <w:rFonts w:ascii="Arial Narrow" w:hAnsi="Arial Narrow"/>
          <w:i/>
          <w:sz w:val="24"/>
          <w:szCs w:val="24"/>
          <w:lang w:val="ro-RO"/>
        </w:rPr>
        <w:t>Pentru a analiza performanțele sectorului medical și farmaceutic, s-au avut în vedere principalii indicatori economici ai companiilor identificate și au fost consolidate datele obținute, ținând cont inclusiv de valorile negative ale capitalurilor și/sau profitului, în anumite situații (Vim Spectrum, Polisano Pharmac</w:t>
      </w:r>
      <w:r>
        <w:rPr>
          <w:rFonts w:ascii="Arial Narrow" w:hAnsi="Arial Narrow"/>
          <w:i/>
          <w:sz w:val="24"/>
          <w:szCs w:val="24"/>
          <w:lang w:val="ro-RO"/>
        </w:rPr>
        <w:t xml:space="preserve">euticals, Gedeon Richter Romania, Farmacom Producție, </w:t>
      </w:r>
      <w:r w:rsidRPr="005A0F19">
        <w:rPr>
          <w:rFonts w:ascii="Arial Narrow" w:hAnsi="Arial Narrow"/>
          <w:i/>
          <w:sz w:val="24"/>
          <w:szCs w:val="24"/>
          <w:lang w:val="ro-RO"/>
        </w:rPr>
        <w:t>Asist Rom</w:t>
      </w:r>
      <w:r>
        <w:rPr>
          <w:rFonts w:ascii="Arial Narrow" w:hAnsi="Arial Narrow"/>
          <w:i/>
          <w:sz w:val="24"/>
          <w:szCs w:val="24"/>
          <w:lang w:val="ro-RO"/>
        </w:rPr>
        <w:t xml:space="preserve"> și Sandoz</w:t>
      </w:r>
      <w:r w:rsidRPr="005A0F19">
        <w:rPr>
          <w:rFonts w:ascii="Arial Narrow" w:hAnsi="Arial Narrow"/>
          <w:i/>
          <w:sz w:val="24"/>
          <w:szCs w:val="24"/>
          <w:lang w:val="ro-RO"/>
        </w:rPr>
        <w:t>).</w:t>
      </w:r>
    </w:p>
    <w:tbl>
      <w:tblPr>
        <w:tblpPr w:leftFromText="180" w:rightFromText="180" w:vertAnchor="text" w:horzAnchor="margin" w:tblpY="118"/>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767"/>
        <w:gridCol w:w="1187"/>
        <w:gridCol w:w="1004"/>
        <w:gridCol w:w="1004"/>
        <w:gridCol w:w="875"/>
        <w:gridCol w:w="1705"/>
      </w:tblGrid>
      <w:tr w:rsidR="003D1904" w:rsidRPr="00FE5C30" w:rsidTr="003D1904">
        <w:trPr>
          <w:trHeight w:val="423"/>
        </w:trPr>
        <w:tc>
          <w:tcPr>
            <w:tcW w:w="1767" w:type="dxa"/>
            <w:tcBorders>
              <w:top w:val="single" w:sz="4" w:space="0" w:color="4472C4"/>
              <w:left w:val="single" w:sz="4" w:space="0" w:color="4472C4"/>
              <w:bottom w:val="single" w:sz="4" w:space="0" w:color="4472C4"/>
              <w:right w:val="nil"/>
            </w:tcBorders>
            <w:shd w:val="clear" w:color="auto" w:fill="4472C4"/>
            <w:noWrap/>
            <w:hideMark/>
          </w:tcPr>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An/Indicator</w:t>
            </w:r>
          </w:p>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*(mil. lei)</w:t>
            </w:r>
          </w:p>
        </w:tc>
        <w:tc>
          <w:tcPr>
            <w:tcW w:w="1187" w:type="dxa"/>
            <w:tcBorders>
              <w:top w:val="single" w:sz="4" w:space="0" w:color="4472C4"/>
              <w:left w:val="nil"/>
              <w:bottom w:val="single" w:sz="4" w:space="0" w:color="4472C4"/>
              <w:right w:val="nil"/>
            </w:tcBorders>
            <w:shd w:val="clear" w:color="auto" w:fill="4472C4"/>
            <w:noWrap/>
            <w:hideMark/>
          </w:tcPr>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Active</w:t>
            </w:r>
          </w:p>
        </w:tc>
        <w:tc>
          <w:tcPr>
            <w:tcW w:w="1004" w:type="dxa"/>
            <w:tcBorders>
              <w:top w:val="single" w:sz="4" w:space="0" w:color="4472C4"/>
              <w:left w:val="nil"/>
              <w:bottom w:val="single" w:sz="4" w:space="0" w:color="4472C4"/>
              <w:right w:val="nil"/>
            </w:tcBorders>
            <w:shd w:val="clear" w:color="auto" w:fill="4472C4"/>
            <w:noWrap/>
            <w:hideMark/>
          </w:tcPr>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Capitaluri</w:t>
            </w:r>
          </w:p>
        </w:tc>
        <w:tc>
          <w:tcPr>
            <w:tcW w:w="1004" w:type="dxa"/>
            <w:tcBorders>
              <w:top w:val="single" w:sz="4" w:space="0" w:color="4472C4"/>
              <w:left w:val="nil"/>
              <w:bottom w:val="single" w:sz="4" w:space="0" w:color="4472C4"/>
              <w:right w:val="nil"/>
            </w:tcBorders>
            <w:shd w:val="clear" w:color="auto" w:fill="4472C4"/>
            <w:noWrap/>
            <w:hideMark/>
          </w:tcPr>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CA</w:t>
            </w:r>
          </w:p>
        </w:tc>
        <w:tc>
          <w:tcPr>
            <w:tcW w:w="875" w:type="dxa"/>
            <w:tcBorders>
              <w:top w:val="single" w:sz="4" w:space="0" w:color="4472C4"/>
              <w:left w:val="nil"/>
              <w:bottom w:val="single" w:sz="4" w:space="0" w:color="4472C4"/>
              <w:right w:val="nil"/>
            </w:tcBorders>
            <w:shd w:val="clear" w:color="auto" w:fill="4472C4"/>
            <w:noWrap/>
            <w:hideMark/>
          </w:tcPr>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Profit</w:t>
            </w:r>
          </w:p>
        </w:tc>
        <w:tc>
          <w:tcPr>
            <w:tcW w:w="1705" w:type="dxa"/>
            <w:tcBorders>
              <w:top w:val="single" w:sz="4" w:space="0" w:color="4472C4"/>
              <w:left w:val="nil"/>
              <w:bottom w:val="single" w:sz="4" w:space="0" w:color="4472C4"/>
              <w:right w:val="single" w:sz="4" w:space="0" w:color="4472C4"/>
            </w:tcBorders>
            <w:shd w:val="clear" w:color="auto" w:fill="4472C4"/>
            <w:noWrap/>
            <w:hideMark/>
          </w:tcPr>
          <w:p w:rsidR="003D1904" w:rsidRPr="00FE5C30" w:rsidRDefault="003D1904" w:rsidP="003D1904">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Nr. mediu salariati</w:t>
            </w:r>
          </w:p>
        </w:tc>
      </w:tr>
      <w:tr w:rsidR="003D1904" w:rsidRPr="00FE5C30" w:rsidTr="003D1904">
        <w:trPr>
          <w:trHeight w:val="467"/>
        </w:trPr>
        <w:tc>
          <w:tcPr>
            <w:tcW w:w="1767" w:type="dxa"/>
            <w:shd w:val="clear" w:color="auto" w:fill="D9E2F3"/>
            <w:noWrap/>
            <w:hideMark/>
          </w:tcPr>
          <w:p w:rsidR="003D1904" w:rsidRPr="00FE5C30" w:rsidRDefault="003D1904" w:rsidP="003D1904">
            <w:pPr>
              <w:spacing w:after="0" w:line="240" w:lineRule="auto"/>
              <w:jc w:val="both"/>
              <w:rPr>
                <w:rFonts w:ascii="Arial Narrow" w:hAnsi="Arial Narrow"/>
                <w:b/>
                <w:bCs/>
                <w:i/>
                <w:sz w:val="20"/>
                <w:szCs w:val="20"/>
              </w:rPr>
            </w:pPr>
            <w:r w:rsidRPr="00FE5C30">
              <w:rPr>
                <w:rFonts w:ascii="Arial Narrow" w:hAnsi="Arial Narrow"/>
                <w:b/>
                <w:bCs/>
                <w:i/>
                <w:sz w:val="20"/>
                <w:szCs w:val="20"/>
              </w:rPr>
              <w:t>2011</w:t>
            </w:r>
          </w:p>
        </w:tc>
        <w:tc>
          <w:tcPr>
            <w:tcW w:w="1187"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1,023.66</w:t>
            </w:r>
          </w:p>
        </w:tc>
        <w:tc>
          <w:tcPr>
            <w:tcW w:w="1004"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438.65</w:t>
            </w:r>
          </w:p>
        </w:tc>
        <w:tc>
          <w:tcPr>
            <w:tcW w:w="1004"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1,023.10</w:t>
            </w:r>
          </w:p>
        </w:tc>
        <w:tc>
          <w:tcPr>
            <w:tcW w:w="875"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color w:val="FF0000"/>
              </w:rPr>
              <w:t>93.01</w:t>
            </w:r>
          </w:p>
        </w:tc>
        <w:tc>
          <w:tcPr>
            <w:tcW w:w="1705"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1,916.00</w:t>
            </w:r>
          </w:p>
        </w:tc>
      </w:tr>
      <w:tr w:rsidR="003D1904" w:rsidRPr="00FE5C30" w:rsidTr="003D1904">
        <w:trPr>
          <w:trHeight w:val="467"/>
        </w:trPr>
        <w:tc>
          <w:tcPr>
            <w:tcW w:w="1767" w:type="dxa"/>
            <w:shd w:val="clear" w:color="auto" w:fill="auto"/>
            <w:noWrap/>
            <w:hideMark/>
          </w:tcPr>
          <w:p w:rsidR="003D1904" w:rsidRPr="00FE5C30" w:rsidRDefault="003D1904" w:rsidP="003D1904">
            <w:pPr>
              <w:spacing w:after="0" w:line="240" w:lineRule="auto"/>
              <w:jc w:val="both"/>
              <w:rPr>
                <w:rFonts w:ascii="Arial Narrow" w:hAnsi="Arial Narrow"/>
                <w:b/>
                <w:bCs/>
                <w:i/>
                <w:sz w:val="20"/>
                <w:szCs w:val="20"/>
              </w:rPr>
            </w:pPr>
            <w:r w:rsidRPr="00FE5C30">
              <w:rPr>
                <w:rFonts w:ascii="Arial Narrow" w:hAnsi="Arial Narrow"/>
                <w:b/>
                <w:bCs/>
                <w:i/>
                <w:sz w:val="20"/>
                <w:szCs w:val="20"/>
              </w:rPr>
              <w:t>2012</w:t>
            </w:r>
          </w:p>
        </w:tc>
        <w:tc>
          <w:tcPr>
            <w:tcW w:w="1187"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1,067.49</w:t>
            </w:r>
          </w:p>
        </w:tc>
        <w:tc>
          <w:tcPr>
            <w:tcW w:w="1004"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556.79</w:t>
            </w:r>
          </w:p>
        </w:tc>
        <w:tc>
          <w:tcPr>
            <w:tcW w:w="1004"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1,101.80</w:t>
            </w:r>
          </w:p>
        </w:tc>
        <w:tc>
          <w:tcPr>
            <w:tcW w:w="875"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59.65</w:t>
            </w:r>
          </w:p>
        </w:tc>
        <w:tc>
          <w:tcPr>
            <w:tcW w:w="1705"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2,029.00</w:t>
            </w:r>
          </w:p>
        </w:tc>
      </w:tr>
      <w:tr w:rsidR="003D1904" w:rsidRPr="00FE5C30" w:rsidTr="003D1904">
        <w:trPr>
          <w:trHeight w:val="467"/>
        </w:trPr>
        <w:tc>
          <w:tcPr>
            <w:tcW w:w="1767" w:type="dxa"/>
            <w:shd w:val="clear" w:color="auto" w:fill="D9E2F3"/>
            <w:noWrap/>
            <w:hideMark/>
          </w:tcPr>
          <w:p w:rsidR="003D1904" w:rsidRPr="00FE5C30" w:rsidRDefault="003D1904" w:rsidP="003D1904">
            <w:pPr>
              <w:spacing w:after="0" w:line="240" w:lineRule="auto"/>
              <w:jc w:val="both"/>
              <w:rPr>
                <w:rFonts w:ascii="Arial Narrow" w:hAnsi="Arial Narrow"/>
                <w:b/>
                <w:bCs/>
                <w:i/>
                <w:sz w:val="20"/>
                <w:szCs w:val="20"/>
              </w:rPr>
            </w:pPr>
            <w:r w:rsidRPr="00FE5C30">
              <w:rPr>
                <w:rFonts w:ascii="Arial Narrow" w:hAnsi="Arial Narrow"/>
                <w:b/>
                <w:bCs/>
                <w:i/>
                <w:sz w:val="20"/>
                <w:szCs w:val="20"/>
              </w:rPr>
              <w:t>2013</w:t>
            </w:r>
          </w:p>
        </w:tc>
        <w:tc>
          <w:tcPr>
            <w:tcW w:w="1187"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1,034.29</w:t>
            </w:r>
          </w:p>
        </w:tc>
        <w:tc>
          <w:tcPr>
            <w:tcW w:w="1004"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528.48</w:t>
            </w:r>
          </w:p>
        </w:tc>
        <w:tc>
          <w:tcPr>
            <w:tcW w:w="1004"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1,139.31</w:t>
            </w:r>
          </w:p>
        </w:tc>
        <w:tc>
          <w:tcPr>
            <w:tcW w:w="875"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13.12</w:t>
            </w:r>
          </w:p>
        </w:tc>
        <w:tc>
          <w:tcPr>
            <w:tcW w:w="1705"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2,271.00</w:t>
            </w:r>
          </w:p>
        </w:tc>
      </w:tr>
      <w:tr w:rsidR="003D1904" w:rsidRPr="00FE5C30" w:rsidTr="003D1904">
        <w:trPr>
          <w:trHeight w:val="467"/>
        </w:trPr>
        <w:tc>
          <w:tcPr>
            <w:tcW w:w="1767" w:type="dxa"/>
            <w:shd w:val="clear" w:color="auto" w:fill="auto"/>
            <w:noWrap/>
            <w:hideMark/>
          </w:tcPr>
          <w:p w:rsidR="003D1904" w:rsidRPr="00FE5C30" w:rsidRDefault="003D1904" w:rsidP="003D1904">
            <w:pPr>
              <w:spacing w:after="0" w:line="240" w:lineRule="auto"/>
              <w:jc w:val="both"/>
              <w:rPr>
                <w:rFonts w:ascii="Arial Narrow" w:hAnsi="Arial Narrow"/>
                <w:b/>
                <w:bCs/>
                <w:i/>
                <w:sz w:val="20"/>
                <w:szCs w:val="20"/>
              </w:rPr>
            </w:pPr>
            <w:r w:rsidRPr="00FE5C30">
              <w:rPr>
                <w:rFonts w:ascii="Arial Narrow" w:hAnsi="Arial Narrow"/>
                <w:b/>
                <w:bCs/>
                <w:i/>
                <w:sz w:val="20"/>
                <w:szCs w:val="20"/>
              </w:rPr>
              <w:t>2014</w:t>
            </w:r>
          </w:p>
        </w:tc>
        <w:tc>
          <w:tcPr>
            <w:tcW w:w="1187"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1,167.78</w:t>
            </w:r>
          </w:p>
        </w:tc>
        <w:tc>
          <w:tcPr>
            <w:tcW w:w="1004"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539.15</w:t>
            </w:r>
          </w:p>
        </w:tc>
        <w:tc>
          <w:tcPr>
            <w:tcW w:w="1004"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1,153.37</w:t>
            </w:r>
          </w:p>
        </w:tc>
        <w:tc>
          <w:tcPr>
            <w:tcW w:w="875"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color w:val="FF0000"/>
              </w:rPr>
              <w:t>42.94</w:t>
            </w:r>
          </w:p>
        </w:tc>
        <w:tc>
          <w:tcPr>
            <w:tcW w:w="1705"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2,270.00</w:t>
            </w:r>
          </w:p>
        </w:tc>
      </w:tr>
      <w:tr w:rsidR="003D1904" w:rsidRPr="00FE5C30" w:rsidTr="003D1904">
        <w:trPr>
          <w:trHeight w:val="467"/>
        </w:trPr>
        <w:tc>
          <w:tcPr>
            <w:tcW w:w="1767" w:type="dxa"/>
            <w:shd w:val="clear" w:color="auto" w:fill="D9E2F3"/>
            <w:noWrap/>
            <w:hideMark/>
          </w:tcPr>
          <w:p w:rsidR="003D1904" w:rsidRPr="00FE5C30" w:rsidRDefault="003D1904" w:rsidP="003D1904">
            <w:pPr>
              <w:spacing w:after="0" w:line="240" w:lineRule="auto"/>
              <w:jc w:val="both"/>
              <w:rPr>
                <w:rFonts w:ascii="Arial Narrow" w:hAnsi="Arial Narrow"/>
                <w:b/>
                <w:bCs/>
                <w:i/>
                <w:sz w:val="20"/>
                <w:szCs w:val="20"/>
              </w:rPr>
            </w:pPr>
            <w:r w:rsidRPr="00FE5C30">
              <w:rPr>
                <w:rFonts w:ascii="Arial Narrow" w:hAnsi="Arial Narrow"/>
                <w:b/>
                <w:bCs/>
                <w:i/>
                <w:sz w:val="20"/>
                <w:szCs w:val="20"/>
              </w:rPr>
              <w:t>2015</w:t>
            </w:r>
          </w:p>
        </w:tc>
        <w:tc>
          <w:tcPr>
            <w:tcW w:w="1187"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1,164.13</w:t>
            </w:r>
          </w:p>
        </w:tc>
        <w:tc>
          <w:tcPr>
            <w:tcW w:w="1004"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651.79</w:t>
            </w:r>
          </w:p>
        </w:tc>
        <w:tc>
          <w:tcPr>
            <w:tcW w:w="1004"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1,446.11</w:t>
            </w:r>
          </w:p>
        </w:tc>
        <w:tc>
          <w:tcPr>
            <w:tcW w:w="875"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56.86</w:t>
            </w:r>
          </w:p>
        </w:tc>
        <w:tc>
          <w:tcPr>
            <w:tcW w:w="1705" w:type="dxa"/>
            <w:shd w:val="clear" w:color="auto" w:fill="D9E2F3"/>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2,247.00</w:t>
            </w:r>
          </w:p>
        </w:tc>
      </w:tr>
      <w:tr w:rsidR="003D1904" w:rsidRPr="00FE5C30" w:rsidTr="003D1904">
        <w:trPr>
          <w:trHeight w:val="467"/>
        </w:trPr>
        <w:tc>
          <w:tcPr>
            <w:tcW w:w="1767" w:type="dxa"/>
            <w:shd w:val="clear" w:color="auto" w:fill="auto"/>
            <w:noWrap/>
            <w:hideMark/>
          </w:tcPr>
          <w:p w:rsidR="003D1904" w:rsidRPr="00FE5C30" w:rsidRDefault="003D1904" w:rsidP="003D1904">
            <w:pPr>
              <w:spacing w:after="0" w:line="240" w:lineRule="auto"/>
              <w:jc w:val="both"/>
              <w:rPr>
                <w:rFonts w:ascii="Arial Narrow" w:hAnsi="Arial Narrow"/>
                <w:b/>
                <w:bCs/>
                <w:i/>
                <w:sz w:val="20"/>
                <w:szCs w:val="20"/>
              </w:rPr>
            </w:pPr>
            <w:r w:rsidRPr="00FE5C30">
              <w:rPr>
                <w:rFonts w:ascii="Arial Narrow" w:hAnsi="Arial Narrow"/>
                <w:b/>
                <w:bCs/>
                <w:i/>
                <w:sz w:val="20"/>
                <w:szCs w:val="20"/>
              </w:rPr>
              <w:t>Varia</w:t>
            </w:r>
            <w:r w:rsidRPr="00FE5C30">
              <w:rPr>
                <w:rFonts w:ascii="Arial Narrow" w:hAnsi="Arial Narrow"/>
                <w:b/>
                <w:bCs/>
                <w:i/>
                <w:sz w:val="20"/>
                <w:szCs w:val="20"/>
                <w:lang w:val="ro-RO"/>
              </w:rPr>
              <w:t>ț</w:t>
            </w:r>
            <w:r w:rsidRPr="00FE5C30">
              <w:rPr>
                <w:rFonts w:ascii="Arial Narrow" w:hAnsi="Arial Narrow"/>
                <w:b/>
                <w:bCs/>
                <w:i/>
                <w:sz w:val="20"/>
                <w:szCs w:val="20"/>
              </w:rPr>
              <w:t>ie</w:t>
            </w:r>
          </w:p>
        </w:tc>
        <w:tc>
          <w:tcPr>
            <w:tcW w:w="1187"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113.72%</w:t>
            </w:r>
          </w:p>
        </w:tc>
        <w:tc>
          <w:tcPr>
            <w:tcW w:w="1004"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148.59%</w:t>
            </w:r>
          </w:p>
        </w:tc>
        <w:tc>
          <w:tcPr>
            <w:tcW w:w="1004"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141.35%</w:t>
            </w:r>
          </w:p>
        </w:tc>
        <w:tc>
          <w:tcPr>
            <w:tcW w:w="875"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n/a</w:t>
            </w:r>
          </w:p>
        </w:tc>
        <w:tc>
          <w:tcPr>
            <w:tcW w:w="1705" w:type="dxa"/>
            <w:shd w:val="clear" w:color="auto" w:fill="auto"/>
            <w:noWrap/>
            <w:hideMark/>
          </w:tcPr>
          <w:p w:rsidR="003D1904" w:rsidRPr="00FE5C30" w:rsidRDefault="003D1904" w:rsidP="003D1904">
            <w:pPr>
              <w:spacing w:after="0" w:line="240" w:lineRule="auto"/>
              <w:rPr>
                <w:rFonts w:ascii="Arial Narrow" w:hAnsi="Arial Narrow"/>
              </w:rPr>
            </w:pPr>
            <w:r w:rsidRPr="00FE5C30">
              <w:rPr>
                <w:rFonts w:ascii="Arial Narrow" w:hAnsi="Arial Narrow"/>
              </w:rPr>
              <w:t>117.28%</w:t>
            </w:r>
          </w:p>
        </w:tc>
      </w:tr>
    </w:tbl>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3D1904" w:rsidRDefault="003D1904" w:rsidP="00643600">
      <w:pPr>
        <w:pStyle w:val="Default"/>
        <w:jc w:val="both"/>
        <w:rPr>
          <w:rFonts w:ascii="Arial Narrow" w:hAnsi="Arial Narrow"/>
          <w:sz w:val="20"/>
          <w:szCs w:val="20"/>
        </w:rPr>
      </w:pPr>
    </w:p>
    <w:p w:rsidR="00643600" w:rsidRDefault="00643600" w:rsidP="00643600">
      <w:pPr>
        <w:pStyle w:val="Default"/>
        <w:jc w:val="both"/>
        <w:rPr>
          <w:rFonts w:ascii="Arial Narrow" w:hAnsi="Arial Narrow"/>
          <w:sz w:val="20"/>
          <w:szCs w:val="20"/>
        </w:rPr>
      </w:pPr>
      <w:r>
        <w:rPr>
          <w:noProof/>
          <w:lang w:val="en-US"/>
        </w:rPr>
        <w:drawing>
          <wp:inline distT="0" distB="0" distL="0" distR="0">
            <wp:extent cx="3924300" cy="2181225"/>
            <wp:effectExtent l="19050" t="0" r="19050" b="0"/>
            <wp:docPr id="45" name="Diagramă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E30880">
        <w:rPr>
          <w:rFonts w:ascii="Arial Narrow" w:hAnsi="Arial Narrow"/>
          <w:sz w:val="20"/>
          <w:szCs w:val="20"/>
        </w:rPr>
        <w:t xml:space="preserve"> </w:t>
      </w:r>
    </w:p>
    <w:p w:rsidR="00643600" w:rsidRPr="0067155C" w:rsidRDefault="00643600" w:rsidP="00643600">
      <w:pPr>
        <w:pStyle w:val="Default"/>
        <w:jc w:val="both"/>
        <w:rPr>
          <w:rFonts w:ascii="Arial Narrow" w:hAnsi="Arial Narrow"/>
        </w:rPr>
      </w:pPr>
      <w:r w:rsidRPr="00E30880">
        <w:rPr>
          <w:rFonts w:ascii="Arial Narrow" w:hAnsi="Arial Narrow"/>
          <w:sz w:val="20"/>
          <w:szCs w:val="20"/>
        </w:rPr>
        <w:t xml:space="preserve">Sursa datelor: Prelucrare după baza de date a Ministerului Finanțelor Publice </w:t>
      </w:r>
    </w:p>
    <w:p w:rsidR="00643600" w:rsidRDefault="00643600" w:rsidP="00643600">
      <w:pPr>
        <w:pStyle w:val="Default"/>
        <w:jc w:val="both"/>
        <w:rPr>
          <w:rFonts w:ascii="Arial Narrow" w:hAnsi="Arial Narrow"/>
        </w:rPr>
      </w:pPr>
    </w:p>
    <w:p w:rsidR="00643600" w:rsidRPr="00137559" w:rsidRDefault="00643600" w:rsidP="00643600">
      <w:pPr>
        <w:pStyle w:val="Default"/>
        <w:jc w:val="both"/>
        <w:rPr>
          <w:rFonts w:ascii="Arial Narrow" w:hAnsi="Arial Narrow"/>
        </w:rPr>
      </w:pPr>
      <w:r w:rsidRPr="00137559">
        <w:rPr>
          <w:rFonts w:ascii="Arial Narrow" w:hAnsi="Arial Narrow"/>
        </w:rPr>
        <w:t>Din datele prezentate, în 2015 se observă o creștere a activelor cu 13% față de anul 2011, per total perioadă analizată având ușoare scăderi și o revenire în 2014, dar ritmul de creștere a fost încetinit în 2015 de Europharm, care a înregistrat o scădere semnificativă a activelor ca urmare a faptului că GlaxoSmithKline (GSK) a semnat un acord de vânzare pentru  fabrica de medicamente și distribuție localizată în județul Brașov, anul 2015 fiind ultimul an de activitate în România.</w:t>
      </w:r>
    </w:p>
    <w:p w:rsidR="00643600" w:rsidRPr="00137559" w:rsidRDefault="00643600" w:rsidP="00643600">
      <w:pPr>
        <w:pStyle w:val="Default"/>
        <w:jc w:val="both"/>
        <w:rPr>
          <w:rFonts w:ascii="Arial Narrow" w:hAnsi="Arial Narrow"/>
        </w:rPr>
      </w:pPr>
    </w:p>
    <w:p w:rsidR="00643600" w:rsidRPr="00137559" w:rsidRDefault="00643600" w:rsidP="00643600">
      <w:pPr>
        <w:pStyle w:val="Default"/>
        <w:jc w:val="both"/>
        <w:rPr>
          <w:rFonts w:ascii="Arial Narrow" w:hAnsi="Arial Narrow"/>
        </w:rPr>
      </w:pPr>
      <w:r w:rsidRPr="00137559">
        <w:rPr>
          <w:rFonts w:ascii="Arial Narrow" w:hAnsi="Arial Narrow"/>
        </w:rPr>
        <w:t xml:space="preserve">Capitalurile au înregistrat o creștere de 48%, deși s-au avut în vedere inclusiv valorile negative ale capitalurilor unor companii </w:t>
      </w:r>
      <w:r w:rsidRPr="00FE5C30">
        <w:rPr>
          <w:rFonts w:ascii="Arial Narrow" w:hAnsi="Arial Narrow"/>
        </w:rPr>
        <w:t xml:space="preserve">precum Farmacom Producție </w:t>
      </w:r>
      <w:r w:rsidRPr="00137559">
        <w:rPr>
          <w:rFonts w:ascii="Arial Narrow" w:hAnsi="Arial Narrow"/>
        </w:rPr>
        <w:t>sau Asist Rom (perioada 2011-2013).</w:t>
      </w:r>
    </w:p>
    <w:p w:rsidR="00643600" w:rsidRPr="00137559" w:rsidRDefault="00643600" w:rsidP="00643600">
      <w:pPr>
        <w:pStyle w:val="Default"/>
        <w:jc w:val="both"/>
        <w:rPr>
          <w:rFonts w:ascii="Arial Narrow" w:hAnsi="Arial Narrow"/>
        </w:rPr>
      </w:pPr>
      <w:r w:rsidRPr="00137559">
        <w:rPr>
          <w:rFonts w:ascii="Arial Narrow" w:hAnsi="Arial Narrow"/>
        </w:rPr>
        <w:t>În ceea ce privește cifra de afaceri consolidată, se remarcă un trend ascendent, cu o creștere pronunțată în 2015, per total perioadă analizată fiind de 41%, de la 1,023 mil. lei în 2011 la 1,446 mil. lei în 2015.</w:t>
      </w:r>
    </w:p>
    <w:p w:rsidR="00643600" w:rsidRPr="00137559" w:rsidRDefault="00643600" w:rsidP="00643600">
      <w:pPr>
        <w:pStyle w:val="Default"/>
        <w:jc w:val="both"/>
        <w:rPr>
          <w:rFonts w:ascii="Arial Narrow" w:hAnsi="Arial Narrow"/>
        </w:rPr>
      </w:pPr>
    </w:p>
    <w:p w:rsidR="00643600" w:rsidRPr="00137559" w:rsidRDefault="00643600" w:rsidP="00643600">
      <w:pPr>
        <w:pStyle w:val="Default"/>
        <w:jc w:val="both"/>
        <w:rPr>
          <w:rFonts w:ascii="Arial Narrow" w:hAnsi="Arial Narrow"/>
        </w:rPr>
      </w:pPr>
      <w:r w:rsidRPr="00137559">
        <w:rPr>
          <w:rFonts w:ascii="Arial Narrow" w:hAnsi="Arial Narrow"/>
        </w:rPr>
        <w:t xml:space="preserve">În ceea ce privește profitul, cifrele raportate de la an la an au înregistrat diferențe semnificative, atât în sens pozitiv (de la o pierdere de 93 mil. lei în 2011 la 59 mil. lei în 2012 și 56 mil lei in 2015), cât și în sens negativ în perioada 2013-2014 (de la 59 mil. lei la 13 mil. lei sau pierdere de 42 mil lei in 2014). Aceste rezultate negative au fost puternic afectate de pierderile foarte mari raportate de Gedeon Richter Romania în perioada 2011-2014 (119 mil lei in 2011 la 56 mil lei în 2014), precum și de pierderile </w:t>
      </w:r>
      <w:r w:rsidRPr="00137559">
        <w:rPr>
          <w:rFonts w:ascii="Arial Narrow" w:hAnsi="Arial Narrow"/>
        </w:rPr>
        <w:lastRenderedPageBreak/>
        <w:t>raportate în perioada analizată de către Vim Spectrum, Polisano Pharmaceuticals, Sandoz, Farmacom Producție și Europharm.</w:t>
      </w:r>
    </w:p>
    <w:p w:rsidR="00643600" w:rsidRPr="00137559" w:rsidRDefault="00643600" w:rsidP="00643600">
      <w:pPr>
        <w:pStyle w:val="Default"/>
        <w:jc w:val="both"/>
        <w:rPr>
          <w:rFonts w:ascii="Arial Narrow" w:hAnsi="Arial Narrow"/>
        </w:rPr>
      </w:pPr>
      <w:r w:rsidRPr="00137559">
        <w:rPr>
          <w:rFonts w:ascii="Arial Narrow" w:hAnsi="Arial Narrow"/>
        </w:rPr>
        <w:t xml:space="preserve">Din cauza variațiilor obținute în perioada analizată (de la pierdere la profit de la un an la altul, nu poate fi calculată o rată de creștere în 2015 față de 2011, însă se poate observa în cifre absolute faptul că există o creștere semnificativă (de la o pierdere de 93 de mil în 2011 la profit de 56 mil lei în 2015), ceea ce indică un an bun cu rezultate spectaculoase comparativ cu anii anteriori. </w:t>
      </w:r>
    </w:p>
    <w:p w:rsidR="00643600" w:rsidRPr="00137559" w:rsidRDefault="00643600" w:rsidP="00643600">
      <w:pPr>
        <w:pStyle w:val="Default"/>
        <w:jc w:val="both"/>
        <w:rPr>
          <w:rFonts w:ascii="Arial Narrow" w:hAnsi="Arial Narrow"/>
        </w:rPr>
      </w:pPr>
      <w:r w:rsidRPr="00137559">
        <w:rPr>
          <w:rFonts w:ascii="Arial Narrow" w:hAnsi="Arial Narrow"/>
        </w:rPr>
        <w:t xml:space="preserve">   </w:t>
      </w:r>
    </w:p>
    <w:p w:rsidR="00643600" w:rsidRPr="003C39EA" w:rsidRDefault="00643600" w:rsidP="00643600">
      <w:pPr>
        <w:pStyle w:val="Default"/>
        <w:jc w:val="both"/>
        <w:rPr>
          <w:rFonts w:ascii="Arial Narrow" w:hAnsi="Arial Narrow"/>
        </w:rPr>
      </w:pPr>
      <w:r w:rsidRPr="00137559">
        <w:rPr>
          <w:rFonts w:ascii="Arial Narrow" w:hAnsi="Arial Narrow"/>
        </w:rPr>
        <w:t>Numărul mediu de salariați a înregistrat o creștere de 17% față de anul 2011, o parte dintre companii înregistrând creșteri superioare acestei valori: Santa – 340%, Raguse Medizinische Produkte – 81%, Polisano Pharmaceuticals – 86%, Sandoz – 38%, Dacia Plant - 30%, Aktivort – 27% si Ortoprofil Prod – 23%.</w:t>
      </w:r>
      <w:r w:rsidR="00BD7229" w:rsidRPr="005A0F19">
        <w:rPr>
          <w:rFonts w:ascii="Arial Narrow" w:hAnsi="Arial Narrow"/>
        </w:rPr>
        <w:fldChar w:fldCharType="begin"/>
      </w:r>
      <w:r w:rsidRPr="005A0F19">
        <w:rPr>
          <w:rFonts w:ascii="Arial Narrow" w:hAnsi="Arial Narrow"/>
        </w:rPr>
        <w:instrText xml:space="preserve"> LINK Excel.Sheet.12 "\\\\SRV-VM-FS.por.adrcentru\\Company2$\\Levi\\Analiza sectorului medical farmaceutic\\Date firme sector medical si farmaceutic - teste.xlsx" "Foaie1!R209C1:R215C16" \a \f 5 \h  \* MERGEFORMAT </w:instrText>
      </w:r>
      <w:r w:rsidR="00BD7229" w:rsidRPr="005A0F19">
        <w:rPr>
          <w:rFonts w:ascii="Arial Narrow" w:hAnsi="Arial Narrow"/>
        </w:rPr>
        <w:fldChar w:fldCharType="separate"/>
      </w:r>
    </w:p>
    <w:tbl>
      <w:tblPr>
        <w:tblW w:w="10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101"/>
        <w:gridCol w:w="1134"/>
        <w:gridCol w:w="1134"/>
        <w:gridCol w:w="992"/>
        <w:gridCol w:w="954"/>
        <w:gridCol w:w="1172"/>
        <w:gridCol w:w="1134"/>
        <w:gridCol w:w="1276"/>
        <w:gridCol w:w="850"/>
        <w:gridCol w:w="883"/>
      </w:tblGrid>
      <w:tr w:rsidR="00643600" w:rsidRPr="00FE5C30" w:rsidTr="00643600">
        <w:trPr>
          <w:trHeight w:val="399"/>
        </w:trPr>
        <w:tc>
          <w:tcPr>
            <w:tcW w:w="1101" w:type="dxa"/>
            <w:tcBorders>
              <w:top w:val="single" w:sz="4" w:space="0" w:color="FFFFFF"/>
              <w:left w:val="single" w:sz="4" w:space="0" w:color="FFFFFF"/>
              <w:right w:val="nil"/>
            </w:tcBorders>
            <w:shd w:val="clear" w:color="auto" w:fill="5B9BD5"/>
            <w:noWrap/>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An/</w:t>
            </w:r>
          </w:p>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Indicator</w:t>
            </w:r>
          </w:p>
        </w:tc>
        <w:tc>
          <w:tcPr>
            <w:tcW w:w="1134" w:type="dxa"/>
            <w:tcBorders>
              <w:top w:val="single" w:sz="4" w:space="0" w:color="FFFFFF"/>
              <w:left w:val="nil"/>
              <w:right w:val="nil"/>
            </w:tcBorders>
            <w:shd w:val="clear" w:color="auto" w:fill="5B9BD5"/>
            <w:noWrap/>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Productivitate</w:t>
            </w:r>
          </w:p>
        </w:tc>
        <w:tc>
          <w:tcPr>
            <w:tcW w:w="1134" w:type="dxa"/>
            <w:tcBorders>
              <w:top w:val="single" w:sz="4" w:space="0" w:color="FFFFFF"/>
              <w:left w:val="nil"/>
              <w:right w:val="nil"/>
            </w:tcBorders>
            <w:shd w:val="clear" w:color="auto" w:fill="5B9BD5"/>
            <w:hideMark/>
          </w:tcPr>
          <w:p w:rsidR="00643600" w:rsidRPr="00FE5C30" w:rsidRDefault="00643600" w:rsidP="00643600">
            <w:pPr>
              <w:pStyle w:val="Default"/>
              <w:jc w:val="center"/>
              <w:rPr>
                <w:rFonts w:ascii="Arial Narrow" w:hAnsi="Arial Narrow"/>
                <w:bCs/>
                <w:sz w:val="20"/>
                <w:szCs w:val="20"/>
              </w:rPr>
            </w:pPr>
            <w:r w:rsidRPr="00FE5C30">
              <w:rPr>
                <w:rFonts w:ascii="Arial Narrow" w:hAnsi="Arial Narrow"/>
                <w:bCs/>
                <w:sz w:val="20"/>
                <w:szCs w:val="20"/>
              </w:rPr>
              <w:t>UE 28*</w:t>
            </w:r>
            <w:r w:rsidRPr="00FE5C30">
              <w:rPr>
                <w:rFonts w:ascii="Arial Narrow" w:hAnsi="Arial Narrow"/>
                <w:bCs/>
                <w:sz w:val="20"/>
                <w:szCs w:val="20"/>
              </w:rPr>
              <w:br/>
            </w:r>
          </w:p>
        </w:tc>
        <w:tc>
          <w:tcPr>
            <w:tcW w:w="992" w:type="dxa"/>
            <w:tcBorders>
              <w:top w:val="single" w:sz="4" w:space="0" w:color="FFFFFF"/>
              <w:left w:val="nil"/>
              <w:right w:val="nil"/>
            </w:tcBorders>
            <w:shd w:val="clear" w:color="auto" w:fill="5B9BD5"/>
            <w:hideMark/>
          </w:tcPr>
          <w:p w:rsidR="00643600" w:rsidRPr="00FE5C30" w:rsidRDefault="00643600" w:rsidP="00643600">
            <w:pPr>
              <w:pStyle w:val="Default"/>
              <w:jc w:val="center"/>
              <w:rPr>
                <w:rFonts w:ascii="Arial Narrow" w:hAnsi="Arial Narrow"/>
                <w:bCs/>
                <w:sz w:val="20"/>
                <w:szCs w:val="20"/>
              </w:rPr>
            </w:pPr>
            <w:r w:rsidRPr="00FE5C30">
              <w:rPr>
                <w:rFonts w:ascii="Arial Narrow" w:hAnsi="Arial Narrow"/>
                <w:bCs/>
                <w:sz w:val="20"/>
                <w:szCs w:val="20"/>
              </w:rPr>
              <w:t>UE 18*</w:t>
            </w:r>
          </w:p>
        </w:tc>
        <w:tc>
          <w:tcPr>
            <w:tcW w:w="954" w:type="dxa"/>
            <w:tcBorders>
              <w:top w:val="single" w:sz="4" w:space="0" w:color="FFFFFF"/>
              <w:left w:val="nil"/>
              <w:right w:val="nil"/>
            </w:tcBorders>
            <w:shd w:val="clear" w:color="auto" w:fill="5B9BD5"/>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Romania</w:t>
            </w:r>
          </w:p>
        </w:tc>
        <w:tc>
          <w:tcPr>
            <w:tcW w:w="1172" w:type="dxa"/>
            <w:tcBorders>
              <w:top w:val="single" w:sz="4" w:space="0" w:color="FFFFFF"/>
              <w:left w:val="nil"/>
              <w:right w:val="nil"/>
            </w:tcBorders>
            <w:shd w:val="clear" w:color="auto" w:fill="5B9BD5"/>
            <w:vAlign w:val="bottom"/>
            <w:hideMark/>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Comparatie UE 28</w:t>
            </w:r>
          </w:p>
        </w:tc>
        <w:tc>
          <w:tcPr>
            <w:tcW w:w="1134" w:type="dxa"/>
            <w:tcBorders>
              <w:top w:val="single" w:sz="4" w:space="0" w:color="FFFFFF"/>
              <w:left w:val="nil"/>
              <w:right w:val="nil"/>
            </w:tcBorders>
            <w:shd w:val="clear" w:color="auto" w:fill="5B9BD5"/>
            <w:vAlign w:val="bottom"/>
            <w:hideMark/>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Comparatie UE 18</w:t>
            </w:r>
          </w:p>
        </w:tc>
        <w:tc>
          <w:tcPr>
            <w:tcW w:w="1276" w:type="dxa"/>
            <w:tcBorders>
              <w:top w:val="single" w:sz="4" w:space="0" w:color="FFFFFF"/>
              <w:left w:val="nil"/>
              <w:right w:val="nil"/>
            </w:tcBorders>
            <w:shd w:val="clear" w:color="auto" w:fill="5B9BD5"/>
            <w:vAlign w:val="bottom"/>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Comparatie Romania</w:t>
            </w:r>
          </w:p>
        </w:tc>
        <w:tc>
          <w:tcPr>
            <w:tcW w:w="850" w:type="dxa"/>
            <w:tcBorders>
              <w:top w:val="single" w:sz="4" w:space="0" w:color="FFFFFF"/>
              <w:left w:val="nil"/>
              <w:right w:val="nil"/>
            </w:tcBorders>
            <w:shd w:val="clear" w:color="auto" w:fill="5B9BD5"/>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ROE</w:t>
            </w:r>
          </w:p>
        </w:tc>
        <w:tc>
          <w:tcPr>
            <w:tcW w:w="883" w:type="dxa"/>
            <w:tcBorders>
              <w:top w:val="single" w:sz="4" w:space="0" w:color="FFFFFF"/>
              <w:left w:val="nil"/>
              <w:right w:val="single" w:sz="4" w:space="0" w:color="FFFFFF"/>
            </w:tcBorders>
            <w:shd w:val="clear" w:color="auto" w:fill="5B9BD5"/>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ROA</w:t>
            </w:r>
          </w:p>
        </w:tc>
      </w:tr>
      <w:tr w:rsidR="00643600" w:rsidRPr="00FE5C30" w:rsidTr="00643600">
        <w:trPr>
          <w:trHeight w:val="250"/>
        </w:trPr>
        <w:tc>
          <w:tcPr>
            <w:tcW w:w="1101"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2011</w:t>
            </w:r>
          </w:p>
        </w:tc>
        <w:tc>
          <w:tcPr>
            <w:tcW w:w="1134" w:type="dxa"/>
            <w:shd w:val="clear" w:color="auto" w:fill="BDD6EE"/>
            <w:noWrap/>
            <w:hideMark/>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sz w:val="20"/>
                <w:szCs w:val="20"/>
              </w:rPr>
              <w:t>533,978.17</w:t>
            </w:r>
          </w:p>
        </w:tc>
        <w:tc>
          <w:tcPr>
            <w:tcW w:w="1134"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265,848.0</w:t>
            </w:r>
          </w:p>
        </w:tc>
        <w:tc>
          <w:tcPr>
            <w:tcW w:w="992"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306,812.0</w:t>
            </w:r>
          </w:p>
        </w:tc>
        <w:tc>
          <w:tcPr>
            <w:tcW w:w="954"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47,520.0</w:t>
            </w:r>
          </w:p>
        </w:tc>
        <w:tc>
          <w:tcPr>
            <w:tcW w:w="1172"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200.86%</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174.04%</w:t>
            </w:r>
          </w:p>
        </w:tc>
        <w:tc>
          <w:tcPr>
            <w:tcW w:w="1276"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1123.69%</w:t>
            </w:r>
          </w:p>
        </w:tc>
        <w:tc>
          <w:tcPr>
            <w:tcW w:w="850"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-21.20%</w:t>
            </w:r>
          </w:p>
        </w:tc>
        <w:tc>
          <w:tcPr>
            <w:tcW w:w="883"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-9.09%</w:t>
            </w:r>
          </w:p>
        </w:tc>
      </w:tr>
      <w:tr w:rsidR="00643600" w:rsidRPr="00FE5C30" w:rsidTr="00643600">
        <w:trPr>
          <w:trHeight w:val="250"/>
        </w:trPr>
        <w:tc>
          <w:tcPr>
            <w:tcW w:w="1101"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2012</w:t>
            </w:r>
          </w:p>
        </w:tc>
        <w:tc>
          <w:tcPr>
            <w:tcW w:w="1134" w:type="dxa"/>
            <w:shd w:val="clear" w:color="auto" w:fill="DEEAF6"/>
            <w:noWrap/>
            <w:hideMark/>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sz w:val="20"/>
                <w:szCs w:val="20"/>
              </w:rPr>
              <w:t>543,027.97</w:t>
            </w:r>
          </w:p>
        </w:tc>
        <w:tc>
          <w:tcPr>
            <w:tcW w:w="1134" w:type="dxa"/>
            <w:shd w:val="clear" w:color="auto" w:fill="DEEAF6"/>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266,684.0</w:t>
            </w:r>
          </w:p>
        </w:tc>
        <w:tc>
          <w:tcPr>
            <w:tcW w:w="992" w:type="dxa"/>
            <w:shd w:val="clear" w:color="auto" w:fill="DEEAF6"/>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309,320.0</w:t>
            </w:r>
          </w:p>
        </w:tc>
        <w:tc>
          <w:tcPr>
            <w:tcW w:w="954" w:type="dxa"/>
            <w:shd w:val="clear" w:color="auto" w:fill="DEEAF6"/>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47,520.0</w:t>
            </w:r>
          </w:p>
        </w:tc>
        <w:tc>
          <w:tcPr>
            <w:tcW w:w="1172"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203.62%</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175.56%</w:t>
            </w:r>
          </w:p>
        </w:tc>
        <w:tc>
          <w:tcPr>
            <w:tcW w:w="1276"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1142.74%</w:t>
            </w:r>
          </w:p>
        </w:tc>
        <w:tc>
          <w:tcPr>
            <w:tcW w:w="850"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10.71%</w:t>
            </w:r>
          </w:p>
        </w:tc>
        <w:tc>
          <w:tcPr>
            <w:tcW w:w="883"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5.59%</w:t>
            </w:r>
          </w:p>
        </w:tc>
      </w:tr>
      <w:tr w:rsidR="00643600" w:rsidRPr="00FE5C30" w:rsidTr="00643600">
        <w:trPr>
          <w:trHeight w:val="250"/>
        </w:trPr>
        <w:tc>
          <w:tcPr>
            <w:tcW w:w="1101"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2013</w:t>
            </w:r>
          </w:p>
        </w:tc>
        <w:tc>
          <w:tcPr>
            <w:tcW w:w="1134" w:type="dxa"/>
            <w:shd w:val="clear" w:color="auto" w:fill="BDD6EE"/>
            <w:noWrap/>
            <w:hideMark/>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sz w:val="20"/>
                <w:szCs w:val="20"/>
              </w:rPr>
              <w:t>501,676.81</w:t>
            </w:r>
          </w:p>
        </w:tc>
        <w:tc>
          <w:tcPr>
            <w:tcW w:w="1134"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268,356.0</w:t>
            </w:r>
          </w:p>
        </w:tc>
        <w:tc>
          <w:tcPr>
            <w:tcW w:w="992"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311,828.0</w:t>
            </w:r>
          </w:p>
        </w:tc>
        <w:tc>
          <w:tcPr>
            <w:tcW w:w="954"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49,280.0</w:t>
            </w:r>
          </w:p>
        </w:tc>
        <w:tc>
          <w:tcPr>
            <w:tcW w:w="1172"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186.94%</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160.88%</w:t>
            </w:r>
          </w:p>
        </w:tc>
        <w:tc>
          <w:tcPr>
            <w:tcW w:w="1276"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1018.01%</w:t>
            </w:r>
          </w:p>
        </w:tc>
        <w:tc>
          <w:tcPr>
            <w:tcW w:w="850"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2.48%</w:t>
            </w:r>
          </w:p>
        </w:tc>
        <w:tc>
          <w:tcPr>
            <w:tcW w:w="883"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1.27%</w:t>
            </w:r>
          </w:p>
        </w:tc>
      </w:tr>
      <w:tr w:rsidR="00643600" w:rsidRPr="00FE5C30" w:rsidTr="00643600">
        <w:trPr>
          <w:trHeight w:val="250"/>
        </w:trPr>
        <w:tc>
          <w:tcPr>
            <w:tcW w:w="1101"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2014</w:t>
            </w:r>
          </w:p>
        </w:tc>
        <w:tc>
          <w:tcPr>
            <w:tcW w:w="1134" w:type="dxa"/>
            <w:shd w:val="clear" w:color="auto" w:fill="DEEAF6"/>
            <w:noWrap/>
            <w:hideMark/>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sz w:val="20"/>
                <w:szCs w:val="20"/>
              </w:rPr>
              <w:t>508,091.20</w:t>
            </w:r>
          </w:p>
        </w:tc>
        <w:tc>
          <w:tcPr>
            <w:tcW w:w="1134" w:type="dxa"/>
            <w:shd w:val="clear" w:color="auto" w:fill="DEEAF6"/>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275,418.5</w:t>
            </w:r>
          </w:p>
        </w:tc>
        <w:tc>
          <w:tcPr>
            <w:tcW w:w="992" w:type="dxa"/>
            <w:shd w:val="clear" w:color="auto" w:fill="DEEAF6"/>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318,470.9</w:t>
            </w:r>
          </w:p>
        </w:tc>
        <w:tc>
          <w:tcPr>
            <w:tcW w:w="954" w:type="dxa"/>
            <w:shd w:val="clear" w:color="auto" w:fill="DEEAF6"/>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56,168.6</w:t>
            </w:r>
          </w:p>
        </w:tc>
        <w:tc>
          <w:tcPr>
            <w:tcW w:w="1172"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184.48%</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159.54%</w:t>
            </w:r>
          </w:p>
        </w:tc>
        <w:tc>
          <w:tcPr>
            <w:tcW w:w="1276"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904.58%</w:t>
            </w:r>
          </w:p>
        </w:tc>
        <w:tc>
          <w:tcPr>
            <w:tcW w:w="850"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-7.96%</w:t>
            </w:r>
          </w:p>
        </w:tc>
        <w:tc>
          <w:tcPr>
            <w:tcW w:w="883"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-3.68%</w:t>
            </w:r>
          </w:p>
        </w:tc>
      </w:tr>
      <w:tr w:rsidR="00643600" w:rsidRPr="00FE5C30" w:rsidTr="00643600">
        <w:trPr>
          <w:trHeight w:val="250"/>
        </w:trPr>
        <w:tc>
          <w:tcPr>
            <w:tcW w:w="1101"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2015</w:t>
            </w:r>
          </w:p>
        </w:tc>
        <w:tc>
          <w:tcPr>
            <w:tcW w:w="1134" w:type="dxa"/>
            <w:shd w:val="clear" w:color="auto" w:fill="BDD6EE"/>
            <w:noWrap/>
            <w:hideMark/>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sz w:val="20"/>
                <w:szCs w:val="20"/>
              </w:rPr>
              <w:t>643,572.52</w:t>
            </w:r>
          </w:p>
        </w:tc>
        <w:tc>
          <w:tcPr>
            <w:tcW w:w="1134"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277,811.2</w:t>
            </w:r>
          </w:p>
        </w:tc>
        <w:tc>
          <w:tcPr>
            <w:tcW w:w="992"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320,004.9</w:t>
            </w:r>
          </w:p>
        </w:tc>
        <w:tc>
          <w:tcPr>
            <w:tcW w:w="954" w:type="dxa"/>
            <w:shd w:val="clear" w:color="auto" w:fill="BDD6EE"/>
            <w:noWrap/>
            <w:hideMark/>
          </w:tcPr>
          <w:p w:rsidR="00643600" w:rsidRPr="00FE5C30" w:rsidRDefault="00643600" w:rsidP="00643600">
            <w:pPr>
              <w:pStyle w:val="Default"/>
              <w:jc w:val="both"/>
              <w:rPr>
                <w:rFonts w:ascii="Arial Narrow" w:hAnsi="Arial Narrow"/>
                <w:sz w:val="20"/>
                <w:szCs w:val="20"/>
              </w:rPr>
            </w:pPr>
            <w:r w:rsidRPr="00FE5C30">
              <w:rPr>
                <w:rFonts w:ascii="Arial Narrow" w:hAnsi="Arial Narrow"/>
                <w:sz w:val="20"/>
                <w:szCs w:val="20"/>
              </w:rPr>
              <w:t>58,544.6</w:t>
            </w:r>
          </w:p>
        </w:tc>
        <w:tc>
          <w:tcPr>
            <w:tcW w:w="1172"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231.66%</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201.11%</w:t>
            </w:r>
          </w:p>
        </w:tc>
        <w:tc>
          <w:tcPr>
            <w:tcW w:w="1276"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1099.29%</w:t>
            </w:r>
          </w:p>
        </w:tc>
        <w:tc>
          <w:tcPr>
            <w:tcW w:w="850"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8.72%</w:t>
            </w:r>
          </w:p>
        </w:tc>
        <w:tc>
          <w:tcPr>
            <w:tcW w:w="883"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4.88%</w:t>
            </w:r>
          </w:p>
        </w:tc>
      </w:tr>
      <w:tr w:rsidR="00643600" w:rsidRPr="00FE5C30" w:rsidTr="00643600">
        <w:trPr>
          <w:trHeight w:val="250"/>
        </w:trPr>
        <w:tc>
          <w:tcPr>
            <w:tcW w:w="1101" w:type="dxa"/>
            <w:tcBorders>
              <w:left w:val="single" w:sz="4" w:space="0" w:color="FFFFFF"/>
              <w:bottom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variatie</w:t>
            </w:r>
          </w:p>
        </w:tc>
        <w:tc>
          <w:tcPr>
            <w:tcW w:w="1134" w:type="dxa"/>
            <w:shd w:val="clear" w:color="auto" w:fill="DEEAF6"/>
            <w:noWrap/>
            <w:hideMark/>
          </w:tcPr>
          <w:p w:rsidR="00643600" w:rsidRPr="00FE5C30" w:rsidRDefault="00643600" w:rsidP="00643600">
            <w:pPr>
              <w:spacing w:after="0" w:line="240" w:lineRule="auto"/>
              <w:rPr>
                <w:rFonts w:ascii="Arial Narrow" w:hAnsi="Arial Narrow" w:cs="Arial"/>
                <w:b/>
                <w:sz w:val="20"/>
                <w:szCs w:val="20"/>
              </w:rPr>
            </w:pPr>
            <w:r w:rsidRPr="00FE5C30">
              <w:rPr>
                <w:rFonts w:ascii="Arial Narrow" w:hAnsi="Arial Narrow" w:cs="Arial"/>
                <w:b/>
                <w:sz w:val="20"/>
                <w:szCs w:val="20"/>
              </w:rPr>
              <w:t>120.52%</w:t>
            </w:r>
          </w:p>
        </w:tc>
        <w:tc>
          <w:tcPr>
            <w:tcW w:w="1134" w:type="dxa"/>
            <w:shd w:val="clear" w:color="auto" w:fill="DEEAF6"/>
            <w:noWrap/>
            <w:hideMark/>
          </w:tcPr>
          <w:p w:rsidR="00643600" w:rsidRPr="00FE5C30" w:rsidRDefault="00643600" w:rsidP="00643600">
            <w:pPr>
              <w:pStyle w:val="Default"/>
              <w:jc w:val="both"/>
              <w:rPr>
                <w:rFonts w:ascii="Arial Narrow" w:hAnsi="Arial Narrow"/>
                <w:b/>
                <w:sz w:val="20"/>
                <w:szCs w:val="20"/>
              </w:rPr>
            </w:pPr>
            <w:r w:rsidRPr="00FE5C30">
              <w:rPr>
                <w:rFonts w:ascii="Arial Narrow" w:hAnsi="Arial Narrow"/>
                <w:b/>
                <w:sz w:val="20"/>
                <w:szCs w:val="20"/>
              </w:rPr>
              <w:t>104.50%</w:t>
            </w:r>
          </w:p>
        </w:tc>
        <w:tc>
          <w:tcPr>
            <w:tcW w:w="992" w:type="dxa"/>
            <w:shd w:val="clear" w:color="auto" w:fill="DEEAF6"/>
            <w:noWrap/>
            <w:hideMark/>
          </w:tcPr>
          <w:p w:rsidR="00643600" w:rsidRPr="00FE5C30" w:rsidRDefault="00643600" w:rsidP="00643600">
            <w:pPr>
              <w:pStyle w:val="Default"/>
              <w:jc w:val="both"/>
              <w:rPr>
                <w:rFonts w:ascii="Arial Narrow" w:hAnsi="Arial Narrow"/>
                <w:b/>
                <w:sz w:val="20"/>
                <w:szCs w:val="20"/>
              </w:rPr>
            </w:pPr>
            <w:r w:rsidRPr="00FE5C30">
              <w:rPr>
                <w:rFonts w:ascii="Arial Narrow" w:hAnsi="Arial Narrow"/>
                <w:b/>
                <w:sz w:val="20"/>
                <w:szCs w:val="20"/>
              </w:rPr>
              <w:t>104.30%</w:t>
            </w:r>
          </w:p>
        </w:tc>
        <w:tc>
          <w:tcPr>
            <w:tcW w:w="954" w:type="dxa"/>
            <w:shd w:val="clear" w:color="auto" w:fill="DEEAF6"/>
            <w:noWrap/>
            <w:hideMark/>
          </w:tcPr>
          <w:p w:rsidR="00643600" w:rsidRPr="00FE5C30" w:rsidRDefault="00643600" w:rsidP="00643600">
            <w:pPr>
              <w:pStyle w:val="Default"/>
              <w:jc w:val="both"/>
              <w:rPr>
                <w:rFonts w:ascii="Arial Narrow" w:hAnsi="Arial Narrow"/>
                <w:b/>
                <w:sz w:val="20"/>
                <w:szCs w:val="20"/>
              </w:rPr>
            </w:pPr>
            <w:r w:rsidRPr="00FE5C30">
              <w:rPr>
                <w:rFonts w:ascii="Arial Narrow" w:hAnsi="Arial Narrow"/>
                <w:b/>
                <w:sz w:val="20"/>
                <w:szCs w:val="20"/>
              </w:rPr>
              <w:t>123.20%</w:t>
            </w:r>
          </w:p>
        </w:tc>
        <w:tc>
          <w:tcPr>
            <w:tcW w:w="1172" w:type="dxa"/>
            <w:shd w:val="clear" w:color="auto" w:fill="DEEAF6"/>
            <w:noWrap/>
            <w:vAlign w:val="bottom"/>
            <w:hideMark/>
          </w:tcPr>
          <w:p w:rsidR="00643600" w:rsidRPr="00FE5C30" w:rsidRDefault="00643600" w:rsidP="00643600">
            <w:pPr>
              <w:spacing w:after="0" w:line="240" w:lineRule="auto"/>
              <w:jc w:val="both"/>
              <w:rPr>
                <w:rFonts w:ascii="Arial Narrow" w:hAnsi="Arial Narrow"/>
                <w:color w:val="000000"/>
                <w:sz w:val="20"/>
                <w:szCs w:val="20"/>
              </w:rPr>
            </w:pPr>
          </w:p>
        </w:tc>
        <w:tc>
          <w:tcPr>
            <w:tcW w:w="1134" w:type="dxa"/>
            <w:shd w:val="clear" w:color="auto" w:fill="DEEAF6"/>
            <w:noWrap/>
            <w:vAlign w:val="bottom"/>
            <w:hideMark/>
          </w:tcPr>
          <w:p w:rsidR="00643600" w:rsidRPr="00FE5C30" w:rsidRDefault="00643600" w:rsidP="00643600">
            <w:pPr>
              <w:spacing w:after="0" w:line="240" w:lineRule="auto"/>
              <w:jc w:val="both"/>
              <w:rPr>
                <w:rFonts w:ascii="Arial Narrow" w:hAnsi="Arial Narrow"/>
                <w:color w:val="000000"/>
                <w:sz w:val="20"/>
                <w:szCs w:val="20"/>
              </w:rPr>
            </w:pPr>
          </w:p>
        </w:tc>
        <w:tc>
          <w:tcPr>
            <w:tcW w:w="1276" w:type="dxa"/>
            <w:shd w:val="clear" w:color="auto" w:fill="DEEAF6"/>
            <w:vAlign w:val="bottom"/>
          </w:tcPr>
          <w:p w:rsidR="00643600" w:rsidRPr="00FE5C30" w:rsidRDefault="00643600" w:rsidP="00643600">
            <w:pPr>
              <w:spacing w:after="0" w:line="240" w:lineRule="auto"/>
              <w:jc w:val="both"/>
              <w:rPr>
                <w:rFonts w:ascii="Arial Narrow" w:hAnsi="Arial Narrow"/>
                <w:color w:val="000000"/>
                <w:sz w:val="20"/>
                <w:szCs w:val="20"/>
              </w:rPr>
            </w:pPr>
          </w:p>
        </w:tc>
        <w:tc>
          <w:tcPr>
            <w:tcW w:w="850"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p>
        </w:tc>
        <w:tc>
          <w:tcPr>
            <w:tcW w:w="883"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p>
        </w:tc>
      </w:tr>
    </w:tbl>
    <w:p w:rsidR="00643600" w:rsidRPr="00F4787E" w:rsidRDefault="00BD7229" w:rsidP="00643600">
      <w:pPr>
        <w:pStyle w:val="Default"/>
        <w:jc w:val="both"/>
        <w:rPr>
          <w:rFonts w:ascii="Arial Narrow" w:hAnsi="Arial Narrow"/>
          <w:sz w:val="20"/>
          <w:szCs w:val="20"/>
        </w:rPr>
      </w:pPr>
      <w:r w:rsidRPr="005A0F19">
        <w:rPr>
          <w:rFonts w:ascii="Arial Narrow" w:hAnsi="Arial Narrow"/>
        </w:rPr>
        <w:fldChar w:fldCharType="end"/>
      </w:r>
      <w:r w:rsidR="00643600" w:rsidRPr="00F4787E">
        <w:rPr>
          <w:rFonts w:ascii="Arial Narrow" w:hAnsi="Arial Narrow"/>
          <w:sz w:val="20"/>
          <w:szCs w:val="20"/>
        </w:rPr>
        <w:t xml:space="preserve"> *UE 28 (eur*ex. rate*nr ore anual)</w:t>
      </w:r>
    </w:p>
    <w:p w:rsidR="00643600" w:rsidRPr="00F4787E" w:rsidRDefault="00643600" w:rsidP="00643600">
      <w:pPr>
        <w:pStyle w:val="Default"/>
        <w:jc w:val="both"/>
        <w:rPr>
          <w:rFonts w:ascii="Arial Narrow" w:hAnsi="Arial Narrow"/>
        </w:rPr>
      </w:pPr>
      <w:r>
        <w:rPr>
          <w:rFonts w:ascii="Arial Narrow" w:hAnsi="Arial Narrow"/>
          <w:sz w:val="20"/>
          <w:szCs w:val="20"/>
        </w:rPr>
        <w:t xml:space="preserve"> </w:t>
      </w:r>
      <w:r w:rsidRPr="00F4787E">
        <w:rPr>
          <w:rFonts w:ascii="Arial Narrow" w:hAnsi="Arial Narrow"/>
          <w:sz w:val="20"/>
          <w:szCs w:val="20"/>
        </w:rPr>
        <w:t>*UE 18 (eur*ex. rate*nr ore anual)</w:t>
      </w:r>
    </w:p>
    <w:p w:rsidR="00643600" w:rsidRPr="004E2C00" w:rsidRDefault="00643600" w:rsidP="00643600">
      <w:pPr>
        <w:pStyle w:val="Default"/>
        <w:jc w:val="both"/>
        <w:rPr>
          <w:rFonts w:ascii="Arial Narrow" w:hAnsi="Arial Narrow"/>
        </w:rPr>
      </w:pPr>
    </w:p>
    <w:p w:rsidR="00643600" w:rsidRPr="00FE5C30" w:rsidRDefault="00643600" w:rsidP="00643600">
      <w:pPr>
        <w:pStyle w:val="Default"/>
        <w:jc w:val="both"/>
        <w:rPr>
          <w:rFonts w:ascii="Arial Narrow" w:hAnsi="Arial Narrow"/>
        </w:rPr>
      </w:pPr>
      <w:r w:rsidRPr="00FE5C30">
        <w:rPr>
          <w:rFonts w:ascii="Arial Narrow" w:hAnsi="Arial Narrow"/>
        </w:rPr>
        <w:t>Din datele analizate rezultă că productivitatea sectorială regională este mai mare decât productivitatea medie UE 28 (între 84% si 131%) și UE 18 (între 59% și 101%) și mult superioară productivității medii din România, diferențele în perioada analizată fiind de peste 800%, ceea ce indică un sector puternic tehnologizat care generează rezultate notabile raportat la numărul mediu de salariați implicat.</w:t>
      </w:r>
    </w:p>
    <w:p w:rsidR="00643600" w:rsidRPr="00FE5C30" w:rsidRDefault="00643600" w:rsidP="00643600">
      <w:pPr>
        <w:pStyle w:val="Default"/>
        <w:jc w:val="both"/>
        <w:rPr>
          <w:rFonts w:ascii="Arial Narrow" w:hAnsi="Arial Narrow"/>
        </w:rPr>
      </w:pPr>
    </w:p>
    <w:p w:rsidR="00643600" w:rsidRPr="00FE5C30" w:rsidRDefault="00643600" w:rsidP="00643600">
      <w:pPr>
        <w:pStyle w:val="Default"/>
        <w:jc w:val="both"/>
        <w:rPr>
          <w:rFonts w:ascii="Arial Narrow" w:hAnsi="Arial Narrow" w:cs="Segoe UI"/>
          <w:bCs/>
        </w:rPr>
      </w:pPr>
      <w:r w:rsidRPr="00FE5C30">
        <w:rPr>
          <w:rFonts w:ascii="Arial Narrow" w:hAnsi="Arial Narrow"/>
        </w:rPr>
        <w:t xml:space="preserve">Pentru o mai bună înțelegere și măsurare a performanței sectorului medical și farmaceutic, au fost calculați indicatorii </w:t>
      </w:r>
      <w:r w:rsidRPr="00FE5C30">
        <w:rPr>
          <w:rFonts w:ascii="Arial Narrow" w:eastAsia="Times New Roman" w:hAnsi="Arial Narrow" w:cs="Segoe UI"/>
        </w:rPr>
        <w:t xml:space="preserve">ROE (rentabilitatea capitalurilor proprii) și </w:t>
      </w:r>
      <w:r w:rsidRPr="00FE5C30">
        <w:rPr>
          <w:rFonts w:ascii="Arial Narrow" w:hAnsi="Arial Narrow" w:cs="Segoe UI"/>
          <w:bCs/>
        </w:rPr>
        <w:t>ROA (rentabilitatea activelor) rezultați în urma agregării informațiilor financiare la nivelul companiilor identificate.</w:t>
      </w:r>
    </w:p>
    <w:p w:rsidR="00643600" w:rsidRPr="00FE5C30" w:rsidRDefault="00643600" w:rsidP="00643600">
      <w:pPr>
        <w:pStyle w:val="Default"/>
        <w:jc w:val="both"/>
        <w:rPr>
          <w:rFonts w:ascii="Arial Narrow" w:hAnsi="Arial Narrow"/>
        </w:rPr>
      </w:pPr>
      <w:r w:rsidRPr="00FE5C30">
        <w:rPr>
          <w:rFonts w:ascii="Arial Narrow" w:hAnsi="Arial Narrow" w:cs="Segoe UI"/>
          <w:bCs/>
        </w:rPr>
        <w:t xml:space="preserve">Așa cum a fost menționat anterior, </w:t>
      </w:r>
      <w:r w:rsidRPr="00FE5C30">
        <w:rPr>
          <w:rFonts w:ascii="Arial Narrow" w:hAnsi="Arial Narrow"/>
        </w:rPr>
        <w:t xml:space="preserve">pierderile raportate în perioada analizată de către Gedeon Richter Romania (2011-2014), Sandoz (2011), Vim Spectrum (2013-2015), Polisano Pharmaceuticals (2013-2015), Farmacom Producție (2011-2015), Europharm (2014) au afectat puternic rezultatele financiare consolidate, obținând rentabilități negative în anii 2011 si 2014, când și datele consolidate ale profitului au înregistrat pierderi nete de 93 mil lei în 2011 si 42 mil lei în 2014. </w:t>
      </w:r>
    </w:p>
    <w:p w:rsidR="00643600" w:rsidRPr="00FE5C30" w:rsidRDefault="00643600" w:rsidP="00643600">
      <w:pPr>
        <w:pStyle w:val="Default"/>
        <w:jc w:val="both"/>
        <w:rPr>
          <w:rFonts w:ascii="Arial Narrow" w:hAnsi="Arial Narrow"/>
        </w:rPr>
      </w:pPr>
    </w:p>
    <w:p w:rsidR="00643600" w:rsidRPr="00FE5C30" w:rsidRDefault="00643600" w:rsidP="00643600">
      <w:pPr>
        <w:spacing w:after="0" w:line="240" w:lineRule="auto"/>
        <w:jc w:val="both"/>
        <w:rPr>
          <w:rFonts w:ascii="Arial Narrow" w:hAnsi="Arial Narrow"/>
          <w:color w:val="000000"/>
        </w:rPr>
      </w:pPr>
      <w:r w:rsidRPr="00FE5C30">
        <w:rPr>
          <w:rFonts w:ascii="Arial Narrow" w:hAnsi="Arial Narrow"/>
          <w:color w:val="000000"/>
        </w:rPr>
        <w:t>În continuare, s-a realizat o analiză în care au fost incluse companiile cu date financiare pozitive (</w:t>
      </w:r>
      <w:r w:rsidRPr="00FE5C30">
        <w:rPr>
          <w:rFonts w:ascii="Arial Narrow" w:eastAsia="Times New Roman" w:hAnsi="Arial Narrow"/>
          <w:color w:val="000000"/>
          <w:sz w:val="24"/>
          <w:szCs w:val="24"/>
        </w:rPr>
        <w:t>Aesculap Prod, Sandoz, Bio Eel, Ortoprofil Prod, Suporth Med, Raguse Medizinische Produkte România, Aktivort, Bioef, Mebra, Santa SA(Sanosan), Dacia Plant)</w:t>
      </w:r>
      <w:r w:rsidRPr="00FE5C30">
        <w:rPr>
          <w:rFonts w:ascii="Arial Narrow" w:hAnsi="Arial Narrow"/>
          <w:color w:val="000000"/>
        </w:rPr>
        <w:t>, pentru o observa tendința indicatorilor financiari. A fost analizată perioada 2012-2015, deoarece în anul 2011 compania Sandoz a înregistrat o pierdere semnificativă de peste 15 mil lei, rezultat care ar fi produs modificări importante în rezultatele indicatorilor.</w:t>
      </w:r>
    </w:p>
    <w:p w:rsidR="00643600" w:rsidRPr="00FE5C30" w:rsidRDefault="00643600" w:rsidP="00643600">
      <w:pPr>
        <w:spacing w:after="0" w:line="240" w:lineRule="auto"/>
        <w:jc w:val="both"/>
        <w:rPr>
          <w:rFonts w:ascii="Arial Narrow" w:hAnsi="Arial Narrow"/>
          <w:color w:val="000000"/>
        </w:rPr>
      </w:pPr>
      <w:r w:rsidRPr="00FE5C30">
        <w:rPr>
          <w:rFonts w:ascii="Arial Narrow" w:hAnsi="Arial Narrow"/>
          <w:color w:val="000000"/>
        </w:rPr>
        <w:t>Rezultatele obținute sunt relativ apropiate de cele anterior analizate, singurele diferențe înregistrându-se la active (creștere de peste 70%) și profit, care a scăzut în perioada 2013-2014, iar în 2015 a ajuns la un nivel apropiat de 2011.</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540"/>
        <w:gridCol w:w="1290"/>
        <w:gridCol w:w="1418"/>
        <w:gridCol w:w="1417"/>
        <w:gridCol w:w="1985"/>
        <w:gridCol w:w="1550"/>
      </w:tblGrid>
      <w:tr w:rsidR="00643600" w:rsidRPr="00FE5C30" w:rsidTr="00643600">
        <w:trPr>
          <w:trHeight w:val="514"/>
          <w:jc w:val="center"/>
        </w:trPr>
        <w:tc>
          <w:tcPr>
            <w:tcW w:w="1540" w:type="dxa"/>
            <w:tcBorders>
              <w:top w:val="single" w:sz="4" w:space="0" w:color="4472C4"/>
              <w:left w:val="single" w:sz="4" w:space="0" w:color="4472C4"/>
              <w:bottom w:val="single" w:sz="4" w:space="0" w:color="4472C4"/>
              <w:right w:val="nil"/>
            </w:tcBorders>
            <w:shd w:val="clear" w:color="auto" w:fill="4472C4"/>
            <w:noWrap/>
            <w:hideMark/>
          </w:tcPr>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An/Indicator</w:t>
            </w:r>
          </w:p>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*(mil. lei)</w:t>
            </w:r>
          </w:p>
        </w:tc>
        <w:tc>
          <w:tcPr>
            <w:tcW w:w="1290" w:type="dxa"/>
            <w:tcBorders>
              <w:top w:val="single" w:sz="4" w:space="0" w:color="4472C4"/>
              <w:left w:val="nil"/>
              <w:bottom w:val="single" w:sz="4" w:space="0" w:color="4472C4"/>
              <w:right w:val="nil"/>
            </w:tcBorders>
            <w:shd w:val="clear" w:color="auto" w:fill="4472C4"/>
            <w:noWrap/>
            <w:hideMark/>
          </w:tcPr>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Active</w:t>
            </w:r>
          </w:p>
        </w:tc>
        <w:tc>
          <w:tcPr>
            <w:tcW w:w="1418" w:type="dxa"/>
            <w:tcBorders>
              <w:top w:val="single" w:sz="4" w:space="0" w:color="4472C4"/>
              <w:left w:val="nil"/>
              <w:bottom w:val="single" w:sz="4" w:space="0" w:color="4472C4"/>
              <w:right w:val="nil"/>
            </w:tcBorders>
            <w:shd w:val="clear" w:color="auto" w:fill="4472C4"/>
            <w:noWrap/>
            <w:hideMark/>
          </w:tcPr>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Capitaluri</w:t>
            </w:r>
          </w:p>
        </w:tc>
        <w:tc>
          <w:tcPr>
            <w:tcW w:w="1417" w:type="dxa"/>
            <w:tcBorders>
              <w:top w:val="single" w:sz="4" w:space="0" w:color="4472C4"/>
              <w:left w:val="nil"/>
              <w:bottom w:val="single" w:sz="4" w:space="0" w:color="4472C4"/>
              <w:right w:val="nil"/>
            </w:tcBorders>
            <w:shd w:val="clear" w:color="auto" w:fill="4472C4"/>
            <w:noWrap/>
            <w:hideMark/>
          </w:tcPr>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CA</w:t>
            </w:r>
          </w:p>
        </w:tc>
        <w:tc>
          <w:tcPr>
            <w:tcW w:w="1985" w:type="dxa"/>
            <w:tcBorders>
              <w:top w:val="single" w:sz="4" w:space="0" w:color="4472C4"/>
              <w:left w:val="nil"/>
              <w:bottom w:val="single" w:sz="4" w:space="0" w:color="4472C4"/>
              <w:right w:val="nil"/>
            </w:tcBorders>
            <w:shd w:val="clear" w:color="auto" w:fill="4472C4"/>
            <w:noWrap/>
            <w:hideMark/>
          </w:tcPr>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Profit</w:t>
            </w:r>
          </w:p>
        </w:tc>
        <w:tc>
          <w:tcPr>
            <w:tcW w:w="1550" w:type="dxa"/>
            <w:tcBorders>
              <w:top w:val="single" w:sz="4" w:space="0" w:color="4472C4"/>
              <w:left w:val="nil"/>
              <w:bottom w:val="single" w:sz="4" w:space="0" w:color="4472C4"/>
              <w:right w:val="single" w:sz="4" w:space="0" w:color="4472C4"/>
            </w:tcBorders>
            <w:shd w:val="clear" w:color="auto" w:fill="4472C4"/>
            <w:noWrap/>
            <w:hideMark/>
          </w:tcPr>
          <w:p w:rsidR="00643600" w:rsidRPr="00FE5C30" w:rsidRDefault="00643600" w:rsidP="00643600">
            <w:pPr>
              <w:spacing w:after="0" w:line="240" w:lineRule="auto"/>
              <w:jc w:val="both"/>
              <w:rPr>
                <w:rFonts w:ascii="Arial Narrow" w:hAnsi="Arial Narrow"/>
                <w:b/>
                <w:bCs/>
                <w:i/>
                <w:color w:val="FFFFFF"/>
                <w:sz w:val="20"/>
                <w:szCs w:val="20"/>
              </w:rPr>
            </w:pPr>
            <w:r w:rsidRPr="00FE5C30">
              <w:rPr>
                <w:rFonts w:ascii="Arial Narrow" w:hAnsi="Arial Narrow"/>
                <w:b/>
                <w:bCs/>
                <w:i/>
                <w:color w:val="FFFFFF"/>
                <w:sz w:val="20"/>
                <w:szCs w:val="20"/>
              </w:rPr>
              <w:t>Nr. mediu salariati</w:t>
            </w:r>
          </w:p>
        </w:tc>
      </w:tr>
      <w:tr w:rsidR="00643600" w:rsidRPr="00FE5C30" w:rsidTr="00643600">
        <w:trPr>
          <w:trHeight w:val="300"/>
          <w:jc w:val="center"/>
        </w:trPr>
        <w:tc>
          <w:tcPr>
            <w:tcW w:w="1540" w:type="dxa"/>
            <w:shd w:val="clear" w:color="auto" w:fill="D9E2F3"/>
            <w:noWrap/>
            <w:hideMark/>
          </w:tcPr>
          <w:p w:rsidR="00643600" w:rsidRPr="00FE5C30" w:rsidRDefault="00643600" w:rsidP="00643600">
            <w:pPr>
              <w:spacing w:after="0" w:line="240" w:lineRule="auto"/>
              <w:jc w:val="both"/>
              <w:rPr>
                <w:rFonts w:ascii="Arial Narrow" w:hAnsi="Arial Narrow"/>
                <w:b/>
                <w:bCs/>
                <w:i/>
                <w:sz w:val="20"/>
                <w:szCs w:val="20"/>
              </w:rPr>
            </w:pPr>
            <w:r w:rsidRPr="00FE5C30">
              <w:rPr>
                <w:rFonts w:ascii="Arial Narrow" w:hAnsi="Arial Narrow"/>
                <w:b/>
                <w:bCs/>
                <w:i/>
                <w:sz w:val="20"/>
                <w:szCs w:val="20"/>
              </w:rPr>
              <w:t>2012</w:t>
            </w:r>
          </w:p>
        </w:tc>
        <w:tc>
          <w:tcPr>
            <w:tcW w:w="1290"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240.22</w:t>
            </w:r>
          </w:p>
        </w:tc>
        <w:tc>
          <w:tcPr>
            <w:tcW w:w="1418"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178.02</w:t>
            </w:r>
          </w:p>
        </w:tc>
        <w:tc>
          <w:tcPr>
            <w:tcW w:w="1417"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489.75</w:t>
            </w:r>
          </w:p>
        </w:tc>
        <w:tc>
          <w:tcPr>
            <w:tcW w:w="1985"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39.34</w:t>
            </w:r>
          </w:p>
        </w:tc>
        <w:tc>
          <w:tcPr>
            <w:tcW w:w="1550"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1057</w:t>
            </w:r>
          </w:p>
        </w:tc>
      </w:tr>
      <w:tr w:rsidR="00643600" w:rsidRPr="00FE5C30" w:rsidTr="00643600">
        <w:trPr>
          <w:trHeight w:val="300"/>
          <w:jc w:val="center"/>
        </w:trPr>
        <w:tc>
          <w:tcPr>
            <w:tcW w:w="1540" w:type="dxa"/>
            <w:shd w:val="clear" w:color="auto" w:fill="auto"/>
            <w:noWrap/>
            <w:hideMark/>
          </w:tcPr>
          <w:p w:rsidR="00643600" w:rsidRPr="00FE5C30" w:rsidRDefault="00643600" w:rsidP="00643600">
            <w:pPr>
              <w:spacing w:after="0" w:line="240" w:lineRule="auto"/>
              <w:jc w:val="both"/>
              <w:rPr>
                <w:rFonts w:ascii="Arial Narrow" w:hAnsi="Arial Narrow"/>
                <w:b/>
                <w:bCs/>
                <w:i/>
                <w:sz w:val="20"/>
                <w:szCs w:val="20"/>
              </w:rPr>
            </w:pPr>
            <w:r w:rsidRPr="00FE5C30">
              <w:rPr>
                <w:rFonts w:ascii="Arial Narrow" w:hAnsi="Arial Narrow"/>
                <w:b/>
                <w:bCs/>
                <w:i/>
                <w:sz w:val="20"/>
                <w:szCs w:val="20"/>
              </w:rPr>
              <w:t>2013</w:t>
            </w:r>
          </w:p>
        </w:tc>
        <w:tc>
          <w:tcPr>
            <w:tcW w:w="1290"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259.80</w:t>
            </w:r>
          </w:p>
        </w:tc>
        <w:tc>
          <w:tcPr>
            <w:tcW w:w="1418"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208.18</w:t>
            </w:r>
          </w:p>
        </w:tc>
        <w:tc>
          <w:tcPr>
            <w:tcW w:w="1417"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494.92</w:t>
            </w:r>
          </w:p>
        </w:tc>
        <w:tc>
          <w:tcPr>
            <w:tcW w:w="1985"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35.55</w:t>
            </w:r>
          </w:p>
        </w:tc>
        <w:tc>
          <w:tcPr>
            <w:tcW w:w="1550"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1307</w:t>
            </w:r>
          </w:p>
        </w:tc>
      </w:tr>
      <w:tr w:rsidR="00643600" w:rsidRPr="00FE5C30" w:rsidTr="00643600">
        <w:trPr>
          <w:trHeight w:val="300"/>
          <w:jc w:val="center"/>
        </w:trPr>
        <w:tc>
          <w:tcPr>
            <w:tcW w:w="1540" w:type="dxa"/>
            <w:shd w:val="clear" w:color="auto" w:fill="D9E2F3"/>
            <w:noWrap/>
            <w:hideMark/>
          </w:tcPr>
          <w:p w:rsidR="00643600" w:rsidRPr="00FE5C30" w:rsidRDefault="00643600" w:rsidP="00643600">
            <w:pPr>
              <w:spacing w:after="0" w:line="240" w:lineRule="auto"/>
              <w:jc w:val="both"/>
              <w:rPr>
                <w:rFonts w:ascii="Arial Narrow" w:hAnsi="Arial Narrow"/>
                <w:b/>
                <w:bCs/>
                <w:i/>
                <w:sz w:val="20"/>
                <w:szCs w:val="20"/>
              </w:rPr>
            </w:pPr>
            <w:r w:rsidRPr="00FE5C30">
              <w:rPr>
                <w:rFonts w:ascii="Arial Narrow" w:hAnsi="Arial Narrow"/>
                <w:b/>
                <w:bCs/>
                <w:i/>
                <w:sz w:val="20"/>
                <w:szCs w:val="20"/>
              </w:rPr>
              <w:t>2014</w:t>
            </w:r>
          </w:p>
        </w:tc>
        <w:tc>
          <w:tcPr>
            <w:tcW w:w="1290"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324.37</w:t>
            </w:r>
          </w:p>
        </w:tc>
        <w:tc>
          <w:tcPr>
            <w:tcW w:w="1418"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236.82</w:t>
            </w:r>
          </w:p>
        </w:tc>
        <w:tc>
          <w:tcPr>
            <w:tcW w:w="1417"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590.03</w:t>
            </w:r>
          </w:p>
        </w:tc>
        <w:tc>
          <w:tcPr>
            <w:tcW w:w="1985"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31.63</w:t>
            </w:r>
          </w:p>
        </w:tc>
        <w:tc>
          <w:tcPr>
            <w:tcW w:w="1550"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1317</w:t>
            </w:r>
          </w:p>
        </w:tc>
      </w:tr>
      <w:tr w:rsidR="00643600" w:rsidRPr="00FE5C30" w:rsidTr="00643600">
        <w:trPr>
          <w:trHeight w:val="300"/>
          <w:jc w:val="center"/>
        </w:trPr>
        <w:tc>
          <w:tcPr>
            <w:tcW w:w="1540" w:type="dxa"/>
            <w:shd w:val="clear" w:color="auto" w:fill="auto"/>
            <w:noWrap/>
            <w:hideMark/>
          </w:tcPr>
          <w:p w:rsidR="00643600" w:rsidRPr="00FE5C30" w:rsidRDefault="00643600" w:rsidP="00643600">
            <w:pPr>
              <w:spacing w:after="0" w:line="240" w:lineRule="auto"/>
              <w:jc w:val="both"/>
              <w:rPr>
                <w:rFonts w:ascii="Arial Narrow" w:hAnsi="Arial Narrow"/>
                <w:b/>
                <w:bCs/>
                <w:i/>
                <w:sz w:val="20"/>
                <w:szCs w:val="20"/>
              </w:rPr>
            </w:pPr>
            <w:r w:rsidRPr="00FE5C30">
              <w:rPr>
                <w:rFonts w:ascii="Arial Narrow" w:hAnsi="Arial Narrow"/>
                <w:b/>
                <w:bCs/>
                <w:i/>
                <w:sz w:val="20"/>
                <w:szCs w:val="20"/>
              </w:rPr>
              <w:t>2015</w:t>
            </w:r>
          </w:p>
        </w:tc>
        <w:tc>
          <w:tcPr>
            <w:tcW w:w="1290"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409.09</w:t>
            </w:r>
          </w:p>
        </w:tc>
        <w:tc>
          <w:tcPr>
            <w:tcW w:w="1418"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270.07</w:t>
            </w:r>
          </w:p>
        </w:tc>
        <w:tc>
          <w:tcPr>
            <w:tcW w:w="1417"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699.83</w:t>
            </w:r>
          </w:p>
        </w:tc>
        <w:tc>
          <w:tcPr>
            <w:tcW w:w="1985"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40.09</w:t>
            </w:r>
          </w:p>
        </w:tc>
        <w:tc>
          <w:tcPr>
            <w:tcW w:w="1550" w:type="dxa"/>
            <w:shd w:val="clear" w:color="auto" w:fill="auto"/>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1348</w:t>
            </w:r>
          </w:p>
        </w:tc>
      </w:tr>
      <w:tr w:rsidR="00643600" w:rsidRPr="00FE5C30" w:rsidTr="00643600">
        <w:trPr>
          <w:trHeight w:val="300"/>
          <w:jc w:val="center"/>
        </w:trPr>
        <w:tc>
          <w:tcPr>
            <w:tcW w:w="1540" w:type="dxa"/>
            <w:shd w:val="clear" w:color="auto" w:fill="D9E2F3"/>
            <w:noWrap/>
            <w:hideMark/>
          </w:tcPr>
          <w:p w:rsidR="00643600" w:rsidRPr="00FE5C30" w:rsidRDefault="00643600" w:rsidP="00643600">
            <w:pPr>
              <w:spacing w:after="0" w:line="240" w:lineRule="auto"/>
              <w:jc w:val="both"/>
              <w:rPr>
                <w:rFonts w:ascii="Arial Narrow" w:hAnsi="Arial Narrow"/>
                <w:b/>
                <w:bCs/>
                <w:i/>
                <w:sz w:val="20"/>
                <w:szCs w:val="20"/>
              </w:rPr>
            </w:pPr>
            <w:r w:rsidRPr="00FE5C30">
              <w:rPr>
                <w:rFonts w:ascii="Arial Narrow" w:hAnsi="Arial Narrow"/>
                <w:b/>
                <w:bCs/>
                <w:i/>
                <w:sz w:val="20"/>
                <w:szCs w:val="20"/>
              </w:rPr>
              <w:t>Varia</w:t>
            </w:r>
            <w:r w:rsidRPr="00FE5C30">
              <w:rPr>
                <w:rFonts w:ascii="Arial Narrow" w:hAnsi="Arial Narrow"/>
                <w:b/>
                <w:bCs/>
                <w:i/>
                <w:sz w:val="20"/>
                <w:szCs w:val="20"/>
                <w:lang w:val="ro-RO"/>
              </w:rPr>
              <w:t>ț</w:t>
            </w:r>
            <w:r w:rsidRPr="00FE5C30">
              <w:rPr>
                <w:rFonts w:ascii="Arial Narrow" w:hAnsi="Arial Narrow"/>
                <w:b/>
                <w:bCs/>
                <w:i/>
                <w:sz w:val="20"/>
                <w:szCs w:val="20"/>
              </w:rPr>
              <w:t>ie</w:t>
            </w:r>
          </w:p>
        </w:tc>
        <w:tc>
          <w:tcPr>
            <w:tcW w:w="1290"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170.30%</w:t>
            </w:r>
          </w:p>
        </w:tc>
        <w:tc>
          <w:tcPr>
            <w:tcW w:w="1418"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151.71%</w:t>
            </w:r>
          </w:p>
        </w:tc>
        <w:tc>
          <w:tcPr>
            <w:tcW w:w="1417"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142.89%</w:t>
            </w:r>
          </w:p>
        </w:tc>
        <w:tc>
          <w:tcPr>
            <w:tcW w:w="1985"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101.91%</w:t>
            </w:r>
          </w:p>
        </w:tc>
        <w:tc>
          <w:tcPr>
            <w:tcW w:w="1550" w:type="dxa"/>
            <w:shd w:val="clear" w:color="auto" w:fill="D9E2F3"/>
            <w:noWrap/>
            <w:hideMark/>
          </w:tcPr>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sz w:val="20"/>
                <w:szCs w:val="20"/>
              </w:rPr>
              <w:t>127.53%</w:t>
            </w:r>
          </w:p>
        </w:tc>
      </w:tr>
    </w:tbl>
    <w:p w:rsidR="00643600" w:rsidRPr="00FE5C30" w:rsidRDefault="00643600" w:rsidP="00643600">
      <w:pPr>
        <w:pStyle w:val="Default"/>
        <w:jc w:val="both"/>
        <w:rPr>
          <w:rFonts w:ascii="Arial Narrow" w:hAnsi="Arial Narrow"/>
        </w:rPr>
      </w:pPr>
    </w:p>
    <w:p w:rsidR="00643600" w:rsidRPr="00FE5C30" w:rsidRDefault="00643600" w:rsidP="00643600">
      <w:pPr>
        <w:pStyle w:val="Default"/>
        <w:jc w:val="both"/>
        <w:rPr>
          <w:rFonts w:ascii="Arial Narrow" w:hAnsi="Arial Narrow"/>
        </w:rPr>
      </w:pPr>
      <w:r w:rsidRPr="00FE5C30">
        <w:rPr>
          <w:rFonts w:ascii="Arial Narrow" w:hAnsi="Arial Narrow"/>
        </w:rPr>
        <w:t>În ceea ce privește productivitatea sectorială regională, aceasta a scăzut în valori brute cu aproximativ 100 mii lei, dar se situează în continuare peste media UE. S-au diminuat astfel și diferențele dintre productivitatea medie UE 28 (între 41% si 86%) și UE 18 (între 20% și 62%), iar față de productivitatea medie din România, diferențele sunt de aproximativ 850%.</w:t>
      </w:r>
    </w:p>
    <w:p w:rsidR="00643600" w:rsidRPr="00FE5C30" w:rsidRDefault="00643600" w:rsidP="00643600">
      <w:pPr>
        <w:pStyle w:val="Default"/>
        <w:jc w:val="both"/>
        <w:rPr>
          <w:rFonts w:ascii="Arial Narrow" w:hAnsi="Arial Narrow"/>
        </w:rPr>
      </w:pPr>
      <w:r w:rsidRPr="00FE5C30">
        <w:rPr>
          <w:rFonts w:ascii="Arial Narrow" w:hAnsi="Arial Narrow"/>
        </w:rPr>
        <w:t xml:space="preserve">Un motiv ar fi excluderea acelor companii care, în paralel cu unele valori negative ale capitalurilor sau profitului, înregistrau cifre de afaceri semnificative. În analiza anterioară, aceste valori considerabile ale cifrei de afaceri, au ridicat valorile brute ale productivității. </w:t>
      </w:r>
    </w:p>
    <w:p w:rsidR="00643600" w:rsidRPr="00FE5C30" w:rsidRDefault="00643600" w:rsidP="00643600">
      <w:pPr>
        <w:pStyle w:val="Default"/>
        <w:jc w:val="both"/>
        <w:rPr>
          <w:rFonts w:ascii="Arial Narrow" w:hAnsi="Arial Narrow"/>
        </w:rPr>
      </w:pPr>
      <w:r w:rsidRPr="00FE5C30">
        <w:rPr>
          <w:rFonts w:ascii="Arial Narrow" w:hAnsi="Arial Narrow"/>
        </w:rPr>
        <w:t xml:space="preserve">Rentabilitatea capitalurilor si a activelor a înregistrat rezultate foarte bune, dar cu scăderi de la an la an,  perioada 2014-2015 fiind mai afectată, deoarece în timp ce activele și capitalurile au înregistrat creșteri în fiecare an, profitul a scăzut, doar în anul 2015 înregistrând o creștere față de anul anterior, dar la același nivel cu anul 2011. </w:t>
      </w:r>
    </w:p>
    <w:p w:rsidR="00643600" w:rsidRPr="00651DF7" w:rsidRDefault="00643600" w:rsidP="00643600">
      <w:pPr>
        <w:pStyle w:val="Default"/>
        <w:jc w:val="both"/>
        <w:rPr>
          <w:rFonts w:ascii="Arial Narrow" w:hAnsi="Arial Narrow"/>
          <w:color w:val="FF0000"/>
        </w:rPr>
      </w:pPr>
    </w:p>
    <w:tbl>
      <w:tblPr>
        <w:tblW w:w="10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063"/>
        <w:gridCol w:w="1313"/>
        <w:gridCol w:w="1134"/>
        <w:gridCol w:w="993"/>
        <w:gridCol w:w="992"/>
        <w:gridCol w:w="1134"/>
        <w:gridCol w:w="1134"/>
        <w:gridCol w:w="1134"/>
        <w:gridCol w:w="850"/>
        <w:gridCol w:w="883"/>
      </w:tblGrid>
      <w:tr w:rsidR="00643600" w:rsidRPr="00FE5C30" w:rsidTr="00643600">
        <w:trPr>
          <w:trHeight w:val="405"/>
        </w:trPr>
        <w:tc>
          <w:tcPr>
            <w:tcW w:w="1063" w:type="dxa"/>
            <w:tcBorders>
              <w:top w:val="single" w:sz="4" w:space="0" w:color="FFFFFF"/>
              <w:left w:val="single" w:sz="4" w:space="0" w:color="FFFFFF"/>
              <w:right w:val="nil"/>
            </w:tcBorders>
            <w:shd w:val="clear" w:color="auto" w:fill="5B9BD5"/>
            <w:noWrap/>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An/</w:t>
            </w:r>
          </w:p>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Indicator</w:t>
            </w:r>
          </w:p>
        </w:tc>
        <w:tc>
          <w:tcPr>
            <w:tcW w:w="1313" w:type="dxa"/>
            <w:tcBorders>
              <w:top w:val="single" w:sz="4" w:space="0" w:color="FFFFFF"/>
              <w:left w:val="nil"/>
              <w:right w:val="nil"/>
            </w:tcBorders>
            <w:shd w:val="clear" w:color="auto" w:fill="5B9BD5"/>
            <w:noWrap/>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Productivitate</w:t>
            </w:r>
          </w:p>
        </w:tc>
        <w:tc>
          <w:tcPr>
            <w:tcW w:w="1134" w:type="dxa"/>
            <w:tcBorders>
              <w:top w:val="single" w:sz="4" w:space="0" w:color="FFFFFF"/>
              <w:left w:val="nil"/>
              <w:right w:val="nil"/>
            </w:tcBorders>
            <w:shd w:val="clear" w:color="auto" w:fill="5B9BD5"/>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 xml:space="preserve">        UE 28</w:t>
            </w:r>
            <w:r w:rsidRPr="00FE5C30">
              <w:rPr>
                <w:rFonts w:ascii="Arial Narrow" w:hAnsi="Arial Narrow"/>
                <w:bCs/>
                <w:sz w:val="20"/>
                <w:szCs w:val="20"/>
              </w:rPr>
              <w:br/>
            </w:r>
          </w:p>
        </w:tc>
        <w:tc>
          <w:tcPr>
            <w:tcW w:w="993" w:type="dxa"/>
            <w:tcBorders>
              <w:top w:val="single" w:sz="4" w:space="0" w:color="FFFFFF"/>
              <w:left w:val="nil"/>
              <w:right w:val="nil"/>
            </w:tcBorders>
            <w:shd w:val="clear" w:color="auto" w:fill="5B9BD5"/>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 xml:space="preserve">     UE 18 </w:t>
            </w:r>
          </w:p>
        </w:tc>
        <w:tc>
          <w:tcPr>
            <w:tcW w:w="992" w:type="dxa"/>
            <w:tcBorders>
              <w:top w:val="single" w:sz="4" w:space="0" w:color="FFFFFF"/>
              <w:left w:val="nil"/>
              <w:right w:val="nil"/>
            </w:tcBorders>
            <w:shd w:val="clear" w:color="auto" w:fill="5B9BD5"/>
            <w:hideMark/>
          </w:tcPr>
          <w:p w:rsidR="00643600" w:rsidRPr="00FE5C30" w:rsidRDefault="00643600" w:rsidP="00643600">
            <w:pPr>
              <w:pStyle w:val="Default"/>
              <w:jc w:val="both"/>
              <w:rPr>
                <w:rFonts w:ascii="Arial Narrow" w:hAnsi="Arial Narrow"/>
                <w:bCs/>
                <w:sz w:val="20"/>
                <w:szCs w:val="20"/>
              </w:rPr>
            </w:pPr>
            <w:r w:rsidRPr="00FE5C30">
              <w:rPr>
                <w:rFonts w:ascii="Arial Narrow" w:hAnsi="Arial Narrow"/>
                <w:bCs/>
                <w:sz w:val="20"/>
                <w:szCs w:val="20"/>
              </w:rPr>
              <w:t>Romania</w:t>
            </w:r>
          </w:p>
        </w:tc>
        <w:tc>
          <w:tcPr>
            <w:tcW w:w="1134" w:type="dxa"/>
            <w:tcBorders>
              <w:top w:val="single" w:sz="4" w:space="0" w:color="FFFFFF"/>
              <w:left w:val="nil"/>
              <w:right w:val="nil"/>
            </w:tcBorders>
            <w:shd w:val="clear" w:color="auto" w:fill="5B9BD5"/>
            <w:vAlign w:val="bottom"/>
            <w:hideMark/>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Comparatie UE 28</w:t>
            </w:r>
          </w:p>
        </w:tc>
        <w:tc>
          <w:tcPr>
            <w:tcW w:w="1134" w:type="dxa"/>
            <w:tcBorders>
              <w:top w:val="single" w:sz="4" w:space="0" w:color="FFFFFF"/>
              <w:left w:val="nil"/>
              <w:right w:val="nil"/>
            </w:tcBorders>
            <w:shd w:val="clear" w:color="auto" w:fill="5B9BD5"/>
            <w:vAlign w:val="bottom"/>
            <w:hideMark/>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Comparatie UE 18</w:t>
            </w:r>
          </w:p>
        </w:tc>
        <w:tc>
          <w:tcPr>
            <w:tcW w:w="1134" w:type="dxa"/>
            <w:tcBorders>
              <w:top w:val="single" w:sz="4" w:space="0" w:color="FFFFFF"/>
              <w:left w:val="nil"/>
              <w:right w:val="nil"/>
            </w:tcBorders>
            <w:shd w:val="clear" w:color="auto" w:fill="5B9BD5"/>
            <w:vAlign w:val="bottom"/>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Comparatie Romania</w:t>
            </w:r>
          </w:p>
        </w:tc>
        <w:tc>
          <w:tcPr>
            <w:tcW w:w="850" w:type="dxa"/>
            <w:tcBorders>
              <w:top w:val="single" w:sz="4" w:space="0" w:color="FFFFFF"/>
              <w:left w:val="nil"/>
              <w:right w:val="nil"/>
            </w:tcBorders>
            <w:shd w:val="clear" w:color="auto" w:fill="5B9BD5"/>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ROE</w:t>
            </w:r>
          </w:p>
        </w:tc>
        <w:tc>
          <w:tcPr>
            <w:tcW w:w="883" w:type="dxa"/>
            <w:tcBorders>
              <w:top w:val="single" w:sz="4" w:space="0" w:color="FFFFFF"/>
              <w:left w:val="nil"/>
              <w:right w:val="single" w:sz="4" w:space="0" w:color="FFFFFF"/>
            </w:tcBorders>
            <w:shd w:val="clear" w:color="auto" w:fill="5B9BD5"/>
          </w:tcPr>
          <w:p w:rsidR="00643600" w:rsidRPr="00FE5C30" w:rsidRDefault="00643600" w:rsidP="00643600">
            <w:pPr>
              <w:spacing w:after="0" w:line="240" w:lineRule="auto"/>
              <w:jc w:val="both"/>
              <w:rPr>
                <w:rFonts w:ascii="Arial Narrow" w:hAnsi="Arial Narrow"/>
                <w:bCs/>
                <w:color w:val="000000"/>
                <w:sz w:val="20"/>
                <w:szCs w:val="20"/>
              </w:rPr>
            </w:pPr>
            <w:r w:rsidRPr="00FE5C30">
              <w:rPr>
                <w:rFonts w:ascii="Arial Narrow" w:hAnsi="Arial Narrow"/>
                <w:bCs/>
                <w:color w:val="000000"/>
                <w:sz w:val="20"/>
                <w:szCs w:val="20"/>
              </w:rPr>
              <w:t>ROA</w:t>
            </w:r>
          </w:p>
        </w:tc>
      </w:tr>
      <w:tr w:rsidR="00643600" w:rsidRPr="00FE5C30" w:rsidTr="00643600">
        <w:trPr>
          <w:trHeight w:val="250"/>
        </w:trPr>
        <w:tc>
          <w:tcPr>
            <w:tcW w:w="1063"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2012</w:t>
            </w:r>
          </w:p>
        </w:tc>
        <w:tc>
          <w:tcPr>
            <w:tcW w:w="1313"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463,341.77</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266,684.0</w:t>
            </w:r>
          </w:p>
        </w:tc>
        <w:tc>
          <w:tcPr>
            <w:tcW w:w="993"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309,320.0</w:t>
            </w:r>
          </w:p>
        </w:tc>
        <w:tc>
          <w:tcPr>
            <w:tcW w:w="992"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47,520.0</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173.74%</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149.79%</w:t>
            </w:r>
          </w:p>
        </w:tc>
        <w:tc>
          <w:tcPr>
            <w:tcW w:w="1134"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975.05%</w:t>
            </w:r>
          </w:p>
        </w:tc>
        <w:tc>
          <w:tcPr>
            <w:tcW w:w="850"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22.10%</w:t>
            </w:r>
          </w:p>
        </w:tc>
        <w:tc>
          <w:tcPr>
            <w:tcW w:w="883"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16.38%</w:t>
            </w:r>
          </w:p>
        </w:tc>
      </w:tr>
      <w:tr w:rsidR="00643600" w:rsidRPr="00FE5C30" w:rsidTr="00643600">
        <w:trPr>
          <w:trHeight w:val="250"/>
        </w:trPr>
        <w:tc>
          <w:tcPr>
            <w:tcW w:w="1063"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2013</w:t>
            </w:r>
          </w:p>
        </w:tc>
        <w:tc>
          <w:tcPr>
            <w:tcW w:w="1313"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378,665.33</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268,356.0</w:t>
            </w:r>
          </w:p>
        </w:tc>
        <w:tc>
          <w:tcPr>
            <w:tcW w:w="993"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311,828.0</w:t>
            </w:r>
          </w:p>
        </w:tc>
        <w:tc>
          <w:tcPr>
            <w:tcW w:w="992"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49,280.0</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141.11%</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121.43%</w:t>
            </w:r>
          </w:p>
        </w:tc>
        <w:tc>
          <w:tcPr>
            <w:tcW w:w="1134"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768.40%</w:t>
            </w:r>
          </w:p>
        </w:tc>
        <w:tc>
          <w:tcPr>
            <w:tcW w:w="850"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17.08%</w:t>
            </w:r>
          </w:p>
        </w:tc>
        <w:tc>
          <w:tcPr>
            <w:tcW w:w="883"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13.68%</w:t>
            </w:r>
          </w:p>
        </w:tc>
      </w:tr>
      <w:tr w:rsidR="00643600" w:rsidRPr="00FE5C30" w:rsidTr="00643600">
        <w:trPr>
          <w:trHeight w:val="250"/>
        </w:trPr>
        <w:tc>
          <w:tcPr>
            <w:tcW w:w="1063"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2014</w:t>
            </w:r>
          </w:p>
        </w:tc>
        <w:tc>
          <w:tcPr>
            <w:tcW w:w="1313"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448,013.05</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275,418.5</w:t>
            </w:r>
          </w:p>
        </w:tc>
        <w:tc>
          <w:tcPr>
            <w:tcW w:w="993"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318,470.9</w:t>
            </w:r>
          </w:p>
        </w:tc>
        <w:tc>
          <w:tcPr>
            <w:tcW w:w="992"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56,168.6</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162.67%</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140.68%</w:t>
            </w:r>
          </w:p>
        </w:tc>
        <w:tc>
          <w:tcPr>
            <w:tcW w:w="1134"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797.62%</w:t>
            </w:r>
          </w:p>
        </w:tc>
        <w:tc>
          <w:tcPr>
            <w:tcW w:w="850"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13.36%</w:t>
            </w:r>
          </w:p>
        </w:tc>
        <w:tc>
          <w:tcPr>
            <w:tcW w:w="883" w:type="dxa"/>
            <w:shd w:val="clear" w:color="auto" w:fill="BDD6EE"/>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9.75%</w:t>
            </w:r>
          </w:p>
        </w:tc>
      </w:tr>
      <w:tr w:rsidR="00643600" w:rsidRPr="00FE5C30" w:rsidTr="00643600">
        <w:trPr>
          <w:trHeight w:val="250"/>
        </w:trPr>
        <w:tc>
          <w:tcPr>
            <w:tcW w:w="1063" w:type="dxa"/>
            <w:tcBorders>
              <w:left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2015</w:t>
            </w:r>
          </w:p>
        </w:tc>
        <w:tc>
          <w:tcPr>
            <w:tcW w:w="1313"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519,162.14</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277,811.2</w:t>
            </w:r>
          </w:p>
        </w:tc>
        <w:tc>
          <w:tcPr>
            <w:tcW w:w="993"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320,004.9</w:t>
            </w:r>
          </w:p>
        </w:tc>
        <w:tc>
          <w:tcPr>
            <w:tcW w:w="992"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58,544.6</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186.88%</w:t>
            </w:r>
          </w:p>
        </w:tc>
        <w:tc>
          <w:tcPr>
            <w:tcW w:w="1134" w:type="dxa"/>
            <w:shd w:val="clear" w:color="auto" w:fill="DEEAF6"/>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162.24%</w:t>
            </w:r>
          </w:p>
        </w:tc>
        <w:tc>
          <w:tcPr>
            <w:tcW w:w="1134"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886.78%</w:t>
            </w:r>
          </w:p>
        </w:tc>
        <w:tc>
          <w:tcPr>
            <w:tcW w:w="850"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14.84%</w:t>
            </w:r>
          </w:p>
        </w:tc>
        <w:tc>
          <w:tcPr>
            <w:tcW w:w="883" w:type="dxa"/>
            <w:shd w:val="clear" w:color="auto" w:fill="DEEAF6"/>
            <w:vAlign w:val="bottom"/>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9.80%</w:t>
            </w:r>
          </w:p>
        </w:tc>
      </w:tr>
      <w:tr w:rsidR="00643600" w:rsidRPr="00FE5C30" w:rsidTr="00643600">
        <w:trPr>
          <w:trHeight w:val="250"/>
        </w:trPr>
        <w:tc>
          <w:tcPr>
            <w:tcW w:w="1063" w:type="dxa"/>
            <w:tcBorders>
              <w:left w:val="single" w:sz="4" w:space="0" w:color="FFFFFF"/>
              <w:bottom w:val="single" w:sz="4" w:space="0" w:color="FFFFFF"/>
            </w:tcBorders>
            <w:shd w:val="clear" w:color="auto" w:fill="5B9BD5"/>
            <w:noWrap/>
            <w:hideMark/>
          </w:tcPr>
          <w:p w:rsidR="00643600" w:rsidRPr="00FE5C30" w:rsidRDefault="00643600" w:rsidP="00643600">
            <w:pPr>
              <w:pStyle w:val="Default"/>
              <w:jc w:val="both"/>
              <w:rPr>
                <w:rFonts w:ascii="Arial Narrow" w:hAnsi="Arial Narrow"/>
                <w:b/>
                <w:bCs/>
                <w:sz w:val="20"/>
                <w:szCs w:val="20"/>
              </w:rPr>
            </w:pPr>
            <w:r w:rsidRPr="00FE5C30">
              <w:rPr>
                <w:rFonts w:ascii="Arial Narrow" w:hAnsi="Arial Narrow"/>
                <w:b/>
                <w:bCs/>
                <w:sz w:val="20"/>
                <w:szCs w:val="20"/>
              </w:rPr>
              <w:t>variatie</w:t>
            </w:r>
          </w:p>
        </w:tc>
        <w:tc>
          <w:tcPr>
            <w:tcW w:w="1313"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112.05%</w:t>
            </w:r>
          </w:p>
        </w:tc>
        <w:tc>
          <w:tcPr>
            <w:tcW w:w="1134"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104.17%</w:t>
            </w:r>
          </w:p>
        </w:tc>
        <w:tc>
          <w:tcPr>
            <w:tcW w:w="993"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103.45%</w:t>
            </w:r>
          </w:p>
        </w:tc>
        <w:tc>
          <w:tcPr>
            <w:tcW w:w="992" w:type="dxa"/>
            <w:shd w:val="clear" w:color="auto" w:fill="BDD6EE"/>
            <w:noWrap/>
            <w:vAlign w:val="bottom"/>
            <w:hideMark/>
          </w:tcPr>
          <w:p w:rsidR="00643600" w:rsidRPr="00FE5C30" w:rsidRDefault="00643600" w:rsidP="00643600">
            <w:pPr>
              <w:spacing w:after="0" w:line="240" w:lineRule="auto"/>
              <w:jc w:val="right"/>
              <w:rPr>
                <w:rFonts w:ascii="Arial Narrow" w:hAnsi="Arial Narrow"/>
                <w:color w:val="000000"/>
                <w:sz w:val="20"/>
                <w:szCs w:val="20"/>
              </w:rPr>
            </w:pPr>
            <w:r w:rsidRPr="00FE5C30">
              <w:rPr>
                <w:rFonts w:ascii="Arial Narrow" w:hAnsi="Arial Narrow"/>
                <w:color w:val="000000"/>
                <w:sz w:val="20"/>
                <w:szCs w:val="20"/>
              </w:rPr>
              <w:t>123.20%</w:t>
            </w:r>
          </w:p>
        </w:tc>
        <w:tc>
          <w:tcPr>
            <w:tcW w:w="1134" w:type="dxa"/>
            <w:shd w:val="clear" w:color="auto" w:fill="BDD6EE"/>
            <w:noWrap/>
            <w:vAlign w:val="bottom"/>
            <w:hideMark/>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 </w:t>
            </w:r>
          </w:p>
        </w:tc>
        <w:tc>
          <w:tcPr>
            <w:tcW w:w="1134" w:type="dxa"/>
            <w:shd w:val="clear" w:color="auto" w:fill="BDD6EE"/>
            <w:noWrap/>
            <w:vAlign w:val="bottom"/>
            <w:hideMark/>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 </w:t>
            </w:r>
          </w:p>
        </w:tc>
        <w:tc>
          <w:tcPr>
            <w:tcW w:w="1134" w:type="dxa"/>
            <w:shd w:val="clear" w:color="auto" w:fill="BDD6EE"/>
            <w:vAlign w:val="bottom"/>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 </w:t>
            </w:r>
          </w:p>
        </w:tc>
        <w:tc>
          <w:tcPr>
            <w:tcW w:w="850"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p>
        </w:tc>
        <w:tc>
          <w:tcPr>
            <w:tcW w:w="883"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p>
        </w:tc>
      </w:tr>
    </w:tbl>
    <w:p w:rsidR="00643600" w:rsidRDefault="00643600" w:rsidP="00643600">
      <w:pPr>
        <w:spacing w:after="0" w:line="240" w:lineRule="auto"/>
        <w:jc w:val="both"/>
        <w:rPr>
          <w:rFonts w:ascii="Arial Narrow" w:eastAsia="Times New Roman" w:hAnsi="Arial Narrow"/>
          <w:sz w:val="24"/>
          <w:szCs w:val="24"/>
          <w:lang w:val="ro-RO" w:eastAsia="ro-RO"/>
        </w:rPr>
      </w:pPr>
    </w:p>
    <w:p w:rsidR="00643600" w:rsidRPr="00661CC3" w:rsidRDefault="00643600" w:rsidP="00643600">
      <w:pPr>
        <w:spacing w:after="0" w:line="240" w:lineRule="auto"/>
        <w:jc w:val="both"/>
        <w:rPr>
          <w:rFonts w:ascii="Arial Narrow" w:eastAsia="Times New Roman" w:hAnsi="Arial Narrow"/>
          <w:sz w:val="24"/>
          <w:szCs w:val="24"/>
          <w:lang w:val="ro-RO" w:eastAsia="ro-RO"/>
        </w:rPr>
      </w:pPr>
    </w:p>
    <w:p w:rsidR="00643600" w:rsidRPr="005A0F19" w:rsidRDefault="00643600" w:rsidP="00643600">
      <w:pPr>
        <w:pStyle w:val="Listparagraf"/>
        <w:numPr>
          <w:ilvl w:val="0"/>
          <w:numId w:val="64"/>
        </w:numPr>
        <w:spacing w:after="0" w:line="240" w:lineRule="auto"/>
        <w:jc w:val="both"/>
        <w:rPr>
          <w:rFonts w:ascii="Arial Narrow" w:hAnsi="Arial Narrow"/>
          <w:b/>
          <w:sz w:val="24"/>
          <w:szCs w:val="24"/>
        </w:rPr>
      </w:pPr>
      <w:r w:rsidRPr="005A0F19">
        <w:rPr>
          <w:rFonts w:ascii="Arial Narrow" w:hAnsi="Arial Narrow"/>
          <w:b/>
          <w:sz w:val="24"/>
          <w:szCs w:val="24"/>
        </w:rPr>
        <w:t xml:space="preserve">Cercetare-dezvoltare </w:t>
      </w:r>
      <w:r>
        <w:rPr>
          <w:rFonts w:ascii="Arial Narrow" w:hAnsi="Arial Narrow"/>
          <w:b/>
          <w:sz w:val="24"/>
          <w:szCs w:val="24"/>
        </w:rPr>
        <w:t>și inovare</w:t>
      </w:r>
    </w:p>
    <w:p w:rsidR="00643600" w:rsidRDefault="00643600" w:rsidP="00643600">
      <w:pPr>
        <w:pStyle w:val="Default"/>
        <w:jc w:val="both"/>
        <w:rPr>
          <w:rFonts w:ascii="Arial Narrow" w:hAnsi="Arial Narrow"/>
          <w:color w:val="FF0000"/>
        </w:rPr>
      </w:pPr>
      <w:r>
        <w:rPr>
          <w:rFonts w:ascii="Arial Narrow" w:hAnsi="Arial Narrow"/>
          <w:color w:val="FF0000"/>
        </w:rPr>
        <w:t xml:space="preserve"> </w:t>
      </w:r>
    </w:p>
    <w:p w:rsidR="00643600" w:rsidRPr="00FE5C30" w:rsidRDefault="00643600" w:rsidP="00643600">
      <w:pPr>
        <w:pStyle w:val="Default"/>
        <w:jc w:val="both"/>
        <w:rPr>
          <w:rFonts w:ascii="Arial Narrow" w:hAnsi="Arial Narrow"/>
        </w:rPr>
      </w:pPr>
      <w:r w:rsidRPr="00FE5C30">
        <w:rPr>
          <w:rFonts w:ascii="Arial Narrow" w:hAnsi="Arial Narrow"/>
        </w:rPr>
        <w:t xml:space="preserve">Sectorul medical-farmaceutic este unul dintre cele mai importante sectoare deoarece contribuie în mod direct la sănătatea cetățenilor prin crearea de tehnologii, produse și servicii utilizate în prevenirea, diagnosticarea și tratamentul diferitelor afecțiuni. De asemenea, este printre cele active sectoare în utilizarea cercetării și dezvoltării, atât în ceea ce privește zona privată, cât și cea publică, prin implicarea mediului academic și a spitalelor județene. </w:t>
      </w: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Centrele universitare medicale din regiune dispun de structuri de cercetare, de tip institut sau centru, printre cele mai importante amintim: </w:t>
      </w: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2617A6">
      <w:pPr>
        <w:pStyle w:val="Listparagraf"/>
        <w:numPr>
          <w:ilvl w:val="0"/>
          <w:numId w:val="73"/>
        </w:numPr>
        <w:spacing w:after="0" w:line="240" w:lineRule="auto"/>
        <w:jc w:val="both"/>
        <w:rPr>
          <w:rFonts w:ascii="Arial Narrow" w:hAnsi="Arial Narrow"/>
          <w:color w:val="000000"/>
          <w:sz w:val="24"/>
          <w:szCs w:val="24"/>
        </w:rPr>
      </w:pPr>
      <w:r w:rsidRPr="00FE5C30">
        <w:rPr>
          <w:rFonts w:ascii="Arial Narrow" w:hAnsi="Arial Narrow"/>
          <w:b/>
          <w:color w:val="000000"/>
          <w:sz w:val="24"/>
          <w:szCs w:val="24"/>
        </w:rPr>
        <w:t>Universitatea de Medicină şi Farmacie din Târgu Mureş</w:t>
      </w:r>
      <w:r w:rsidRPr="00FE5C30">
        <w:rPr>
          <w:rFonts w:ascii="Arial Narrow" w:hAnsi="Arial Narrow"/>
          <w:color w:val="000000"/>
          <w:sz w:val="24"/>
          <w:szCs w:val="24"/>
        </w:rPr>
        <w:t xml:space="preserve"> - </w:t>
      </w:r>
      <w:r w:rsidRPr="00FE5C30">
        <w:rPr>
          <w:rFonts w:ascii="Arial Narrow" w:hAnsi="Arial Narrow"/>
          <w:i/>
          <w:color w:val="000000"/>
          <w:sz w:val="24"/>
          <w:szCs w:val="24"/>
        </w:rPr>
        <w:t>Centrul de Cercetări Avansate Medicale și Farmaceutice / CCAMF</w:t>
      </w:r>
      <w:r w:rsidRPr="00FE5C30">
        <w:rPr>
          <w:rFonts w:ascii="Arial Narrow" w:hAnsi="Arial Narrow"/>
          <w:color w:val="000000"/>
          <w:sz w:val="24"/>
          <w:szCs w:val="24"/>
        </w:rPr>
        <w:t xml:space="preserve"> care constă în 4 laboratoare de cercetare, 6 laboratoare de explorări funcționale aferente cercetării, o bancă de ADN și plasme, în suprafață totală de peste 1100 mp. Laboratoarele sunt dotate cu echipamente performante de top, funcționând pe bază de tehnologii foarte recente, 8 dintre acestea fiind unice sau foarte rare în România.</w:t>
      </w:r>
    </w:p>
    <w:p w:rsidR="00643600" w:rsidRPr="00FE5C30" w:rsidRDefault="00643600" w:rsidP="002617A6">
      <w:pPr>
        <w:pStyle w:val="Listparagraf"/>
        <w:numPr>
          <w:ilvl w:val="0"/>
          <w:numId w:val="73"/>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În </w:t>
      </w:r>
      <w:r w:rsidRPr="00FE5C30">
        <w:rPr>
          <w:rFonts w:ascii="Arial Narrow" w:hAnsi="Arial Narrow"/>
          <w:b/>
          <w:color w:val="000000"/>
          <w:sz w:val="24"/>
          <w:szCs w:val="24"/>
        </w:rPr>
        <w:t>Universitatea “Lucian Blaga” Sibiu</w:t>
      </w:r>
      <w:r w:rsidRPr="00FE5C30">
        <w:rPr>
          <w:rFonts w:ascii="Arial Narrow" w:hAnsi="Arial Narrow"/>
          <w:color w:val="000000"/>
          <w:sz w:val="24"/>
          <w:szCs w:val="24"/>
        </w:rPr>
        <w:t xml:space="preserve"> activitatea de cercetare, dezvoltare, inovare se realizează în cadrul unităţilor de cercetare de tip institut, centru sau grup de cercetare, în conformitate cu reglementările proprii şi legislaţia naţională în domeniu.</w:t>
      </w:r>
    </w:p>
    <w:p w:rsidR="00643600" w:rsidRPr="00FE5C30" w:rsidRDefault="00643600" w:rsidP="00643600">
      <w:pPr>
        <w:spacing w:after="0" w:line="240" w:lineRule="auto"/>
        <w:ind w:firstLine="360"/>
        <w:jc w:val="both"/>
        <w:rPr>
          <w:rFonts w:ascii="Arial Narrow" w:hAnsi="Arial Narrow"/>
          <w:color w:val="000000"/>
          <w:sz w:val="24"/>
          <w:szCs w:val="24"/>
        </w:rPr>
      </w:pPr>
      <w:r w:rsidRPr="00FE5C30">
        <w:rPr>
          <w:rFonts w:ascii="Arial Narrow" w:hAnsi="Arial Narrow"/>
          <w:color w:val="000000"/>
          <w:sz w:val="24"/>
          <w:szCs w:val="24"/>
        </w:rPr>
        <w:t>Centrele de cercetare acreditate în ULBS din domeniul ştiinţelor medicale sunt următoarele:</w:t>
      </w:r>
    </w:p>
    <w:p w:rsidR="00643600" w:rsidRPr="00FE5C30" w:rsidRDefault="00643600" w:rsidP="002617A6">
      <w:pPr>
        <w:pStyle w:val="Listparagraf"/>
        <w:numPr>
          <w:ilvl w:val="0"/>
          <w:numId w:val="75"/>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Centrul de Cercetare, Aplicare şi Implementare a Elementelor de Chirurgie Deschisă, şi Miniinvazivă Inovatoare (CCAIECDMI) din cadrul Departamentului Disciplinelor Chirurgicale al Facultăţii de Medicină</w:t>
      </w:r>
    </w:p>
    <w:p w:rsidR="00643600" w:rsidRPr="00FE5C30" w:rsidRDefault="00643600" w:rsidP="002617A6">
      <w:pPr>
        <w:pStyle w:val="Listparagraf"/>
        <w:numPr>
          <w:ilvl w:val="0"/>
          <w:numId w:val="75"/>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Centrul de Cercetare a Suprafetei Oculare (CCSO) din cadrul Facultăţii de Medicină a Universităţii “Lucian Blaga”. Centrul a fost infiintat in anul 2008 iar activitatea de cercetare se desfăşură în cadrul Secţiei Clinice de Oftalmologie şi a Ambulatoriului de specialitate a Spitalului Clinic Judeţean Sibiu si in Centrul Medical Dr. Stănila. </w:t>
      </w:r>
    </w:p>
    <w:p w:rsidR="00643600" w:rsidRPr="00FE5C30" w:rsidRDefault="00643600" w:rsidP="002617A6">
      <w:pPr>
        <w:pStyle w:val="Listparagraf"/>
        <w:numPr>
          <w:ilvl w:val="0"/>
          <w:numId w:val="74"/>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Centrul de Cercetare în Medicină Respiratorie Pediatrică din cadrul Facultăţii de Medicină a Universităţii “Lucian Blaga”. Centrul de cercetare clinică şi paraclinică în medicină respiratorie </w:t>
      </w:r>
      <w:r w:rsidRPr="00FE5C30">
        <w:rPr>
          <w:rFonts w:ascii="Arial Narrow" w:hAnsi="Arial Narrow"/>
          <w:color w:val="000000"/>
          <w:sz w:val="24"/>
          <w:szCs w:val="24"/>
        </w:rPr>
        <w:lastRenderedPageBreak/>
        <w:t xml:space="preserve">pediatrică oferă studenţilor oportunitatea de a se familiariza cu cele mai noi metode de analiză şi tratament din domeniu. </w:t>
      </w:r>
    </w:p>
    <w:p w:rsidR="00643600" w:rsidRPr="00FE5C30" w:rsidRDefault="00643600" w:rsidP="002617A6">
      <w:pPr>
        <w:pStyle w:val="Listparagraf"/>
        <w:numPr>
          <w:ilvl w:val="0"/>
          <w:numId w:val="76"/>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În cadrul </w:t>
      </w:r>
      <w:r w:rsidRPr="00FE5C30">
        <w:rPr>
          <w:rFonts w:ascii="Arial Narrow" w:hAnsi="Arial Narrow"/>
          <w:b/>
          <w:color w:val="000000"/>
          <w:sz w:val="24"/>
          <w:szCs w:val="24"/>
        </w:rPr>
        <w:t>Facultăţii de Medicină din Universitatea Transilvania din Braşov</w:t>
      </w:r>
      <w:r w:rsidRPr="00FE5C30">
        <w:rPr>
          <w:rFonts w:ascii="Arial Narrow" w:hAnsi="Arial Narrow"/>
          <w:color w:val="000000"/>
          <w:sz w:val="24"/>
          <w:szCs w:val="24"/>
        </w:rPr>
        <w:t xml:space="preserve"> funcționează următoarele centre de cercetare:</w:t>
      </w:r>
    </w:p>
    <w:p w:rsidR="00643600" w:rsidRPr="00FE5C30" w:rsidRDefault="00643600" w:rsidP="002617A6">
      <w:pPr>
        <w:pStyle w:val="Listparagraf"/>
        <w:numPr>
          <w:ilvl w:val="0"/>
          <w:numId w:val="74"/>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Centrul de cercetare fundamentală si strategii preventive în medicina - dezvoltarea cunoaşterii sistemelor biologice integrative ale fiinţei umane; mecanisme de adaptare ale organismului uman la dinamica factorilor de mediu biologic şi psihosocial; implementarea de noi metode de prevenţie şi intervenţionale, la nivel naţional, arondate la spaţiul european de operare.</w:t>
      </w:r>
    </w:p>
    <w:p w:rsidR="00643600" w:rsidRPr="00FE5C30" w:rsidRDefault="00643600" w:rsidP="002617A6">
      <w:pPr>
        <w:pStyle w:val="Listparagraf"/>
        <w:numPr>
          <w:ilvl w:val="0"/>
          <w:numId w:val="74"/>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Centrul de cercetare în medicină aplicată şi strategii intervenţionale în practica medicală - dezvoltarea de terapii moderne orientate spre suportul chimic, genetic şi celular şi standardizarea lor conform normelor bioetice.</w:t>
      </w: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spacing w:after="0" w:line="240" w:lineRule="auto"/>
        <w:jc w:val="both"/>
        <w:rPr>
          <w:rFonts w:ascii="Arial Narrow" w:hAnsi="Arial Narrow"/>
          <w:b/>
          <w:color w:val="000000"/>
          <w:sz w:val="24"/>
          <w:szCs w:val="24"/>
        </w:rPr>
      </w:pPr>
      <w:r w:rsidRPr="00137559">
        <w:rPr>
          <w:rFonts w:ascii="Arial Narrow" w:hAnsi="Arial Narrow"/>
          <w:sz w:val="24"/>
          <w:szCs w:val="24"/>
        </w:rPr>
        <w:t xml:space="preserve">Oferta de CDI şi TT din sectorul medical și farmaceutic existentă în Regiunea Centru, precum şi potențialul de creştere şi specializare regională bazat de activitatea de cercetare-dezvoltare-inovare şi transfer tehnologic, au fost evaluate prin  aplicarea unui chestionar adresat mai multor categorii de organizaţii din domeniu: universităţi, institute de cercetare, alte organizaţii publice și private cu activităţi în domeniul CDI şi transferului </w:t>
      </w:r>
      <w:r w:rsidRPr="00FE5C30">
        <w:rPr>
          <w:rFonts w:ascii="Arial Narrow" w:hAnsi="Arial Narrow"/>
          <w:color w:val="000000"/>
          <w:sz w:val="24"/>
          <w:szCs w:val="24"/>
        </w:rPr>
        <w:t xml:space="preserve">tehnologic. </w:t>
      </w:r>
      <w:r w:rsidRPr="00FE5C30">
        <w:rPr>
          <w:rFonts w:ascii="Arial Narrow" w:hAnsi="Arial Narrow"/>
          <w:b/>
          <w:color w:val="000000"/>
          <w:sz w:val="24"/>
          <w:szCs w:val="24"/>
        </w:rPr>
        <w:t xml:space="preserve"> </w:t>
      </w: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Din informațiile obținute rezultă că există o preocupare reală atât din partea mediului academic, cât și din cea a instituțiilor publice din domeniu, fapt dovedit prin:</w:t>
      </w:r>
    </w:p>
    <w:p w:rsidR="00643600" w:rsidRPr="00FE5C30" w:rsidRDefault="00643600" w:rsidP="002617A6">
      <w:pPr>
        <w:pStyle w:val="Listparagraf"/>
        <w:numPr>
          <w:ilvl w:val="0"/>
          <w:numId w:val="79"/>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infrastructura de cercetare existentă în prezent în universități și spitale: laboratoare și centre de cercetare cu echipamente performante </w:t>
      </w:r>
    </w:p>
    <w:p w:rsidR="00643600" w:rsidRPr="00FE5C30" w:rsidRDefault="00643600" w:rsidP="002617A6">
      <w:pPr>
        <w:pStyle w:val="Listparagraf"/>
        <w:numPr>
          <w:ilvl w:val="0"/>
          <w:numId w:val="79"/>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numărul mare de proiecte derulate care implică atât cercetare fundamentală, cât și cercetare aplicată sau dezvoltare experimentală</w:t>
      </w:r>
    </w:p>
    <w:p w:rsidR="00643600" w:rsidRPr="00FE5C30" w:rsidRDefault="00643600" w:rsidP="002617A6">
      <w:pPr>
        <w:pStyle w:val="Listparagraf"/>
        <w:numPr>
          <w:ilvl w:val="0"/>
          <w:numId w:val="79"/>
        </w:numPr>
        <w:spacing w:after="0" w:line="240" w:lineRule="auto"/>
        <w:jc w:val="both"/>
        <w:rPr>
          <w:rFonts w:ascii="Arial Narrow" w:hAnsi="Arial Narrow"/>
          <w:color w:val="000000"/>
          <w:sz w:val="24"/>
          <w:szCs w:val="24"/>
        </w:rPr>
      </w:pPr>
      <w:r w:rsidRPr="00FE5C30">
        <w:rPr>
          <w:rFonts w:ascii="Arial Narrow" w:hAnsi="Arial Narrow"/>
          <w:color w:val="000000"/>
          <w:sz w:val="24"/>
          <w:szCs w:val="24"/>
        </w:rPr>
        <w:t>numărul semnificativ de personal implicat în aceste activități</w:t>
      </w:r>
    </w:p>
    <w:p w:rsidR="00643600" w:rsidRPr="00FE5C30" w:rsidRDefault="00643600" w:rsidP="00643600">
      <w:pPr>
        <w:spacing w:after="0" w:line="240" w:lineRule="auto"/>
        <w:jc w:val="both"/>
        <w:rPr>
          <w:rFonts w:ascii="Arial Narrow" w:hAnsi="Arial Narrow"/>
          <w:color w:val="000000"/>
          <w:sz w:val="24"/>
          <w:szCs w:val="24"/>
          <w:lang w:val="ro-RO"/>
        </w:rPr>
      </w:pPr>
    </w:p>
    <w:p w:rsidR="00643600" w:rsidRPr="00FE5C30" w:rsidRDefault="00643600" w:rsidP="00643600">
      <w:pPr>
        <w:spacing w:after="0" w:line="240" w:lineRule="auto"/>
        <w:jc w:val="both"/>
        <w:rPr>
          <w:rFonts w:ascii="Arial Narrow" w:hAnsi="Arial Narrow"/>
          <w:color w:val="000000"/>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688"/>
        <w:gridCol w:w="1146"/>
        <w:gridCol w:w="3556"/>
        <w:gridCol w:w="1651"/>
        <w:gridCol w:w="1247"/>
      </w:tblGrid>
      <w:tr w:rsidR="00643600" w:rsidRPr="00FE5C30" w:rsidTr="00643600">
        <w:tc>
          <w:tcPr>
            <w:tcW w:w="1809" w:type="dxa"/>
            <w:tcBorders>
              <w:top w:val="single" w:sz="4" w:space="0" w:color="FFFFFF"/>
              <w:left w:val="single" w:sz="4" w:space="0" w:color="FFFFFF"/>
              <w:right w:val="nil"/>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Beneficiar</w:t>
            </w:r>
          </w:p>
        </w:tc>
        <w:tc>
          <w:tcPr>
            <w:tcW w:w="1276" w:type="dxa"/>
            <w:tcBorders>
              <w:top w:val="single" w:sz="4" w:space="0" w:color="FFFFFF"/>
              <w:left w:val="nil"/>
              <w:right w:val="nil"/>
            </w:tcBorders>
            <w:shd w:val="clear" w:color="auto" w:fill="70AD47"/>
          </w:tcPr>
          <w:p w:rsidR="00643600" w:rsidRPr="00FE5C30" w:rsidRDefault="00643600" w:rsidP="00643600">
            <w:pPr>
              <w:spacing w:after="0" w:line="240" w:lineRule="auto"/>
              <w:jc w:val="center"/>
              <w:rPr>
                <w:rFonts w:ascii="Arial Narrow" w:hAnsi="Arial Narrow"/>
                <w:b/>
                <w:bCs/>
                <w:color w:val="000000"/>
                <w:sz w:val="20"/>
                <w:szCs w:val="20"/>
                <w:lang w:val="ro-RO"/>
              </w:rPr>
            </w:pPr>
            <w:r w:rsidRPr="00FE5C30">
              <w:rPr>
                <w:rFonts w:ascii="Arial Narrow" w:hAnsi="Arial Narrow"/>
                <w:b/>
                <w:bCs/>
                <w:color w:val="000000"/>
                <w:sz w:val="20"/>
                <w:szCs w:val="20"/>
              </w:rPr>
              <w:t>Personal implicat în cercetare</w:t>
            </w:r>
          </w:p>
        </w:tc>
        <w:tc>
          <w:tcPr>
            <w:tcW w:w="4536" w:type="dxa"/>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Proiecte derulate</w:t>
            </w:r>
          </w:p>
        </w:tc>
        <w:tc>
          <w:tcPr>
            <w:tcW w:w="1979" w:type="dxa"/>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Sursa finanțare</w:t>
            </w:r>
          </w:p>
        </w:tc>
        <w:tc>
          <w:tcPr>
            <w:tcW w:w="1247" w:type="dxa"/>
            <w:tcBorders>
              <w:top w:val="single" w:sz="4" w:space="0" w:color="FFFFFF"/>
              <w:left w:val="nil"/>
              <w:right w:val="single" w:sz="4" w:space="0" w:color="FFFFFF"/>
            </w:tcBorders>
            <w:shd w:val="clear" w:color="auto" w:fill="70AD47"/>
          </w:tcPr>
          <w:p w:rsidR="00643600" w:rsidRPr="00FE5C30" w:rsidRDefault="00643600" w:rsidP="00643600">
            <w:pPr>
              <w:spacing w:after="0" w:line="240" w:lineRule="auto"/>
              <w:jc w:val="center"/>
              <w:rPr>
                <w:rFonts w:ascii="Arial Narrow" w:hAnsi="Arial Narrow"/>
                <w:b/>
                <w:bCs/>
                <w:color w:val="000000"/>
                <w:sz w:val="20"/>
                <w:szCs w:val="20"/>
              </w:rPr>
            </w:pPr>
            <w:r w:rsidRPr="00FE5C30">
              <w:rPr>
                <w:rFonts w:ascii="Arial Narrow" w:hAnsi="Arial Narrow"/>
                <w:b/>
                <w:bCs/>
                <w:color w:val="000000"/>
                <w:sz w:val="20"/>
                <w:szCs w:val="20"/>
              </w:rPr>
              <w:t>Tip cercetare</w:t>
            </w:r>
          </w:p>
        </w:tc>
      </w:tr>
      <w:tr w:rsidR="00643600" w:rsidRPr="00FE5C30" w:rsidTr="00643600">
        <w:tc>
          <w:tcPr>
            <w:tcW w:w="1809" w:type="dxa"/>
            <w:vMerge w:val="restart"/>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SPITAL CLINIC JUDETEAN DE URGENTA SIBIU</w:t>
            </w:r>
          </w:p>
        </w:tc>
        <w:tc>
          <w:tcPr>
            <w:tcW w:w="1276" w:type="dxa"/>
            <w:vMerge w:val="restart"/>
            <w:shd w:val="clear" w:color="auto" w:fill="C5E0B3"/>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5 cercetători + 3 din alte categorii de personal</w:t>
            </w: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xml:space="preserve">Centrul de Cercetare Invaziva si noninvaziva in domeniul patologiei cardiac si vasculare la adult - CVASIC </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FEDR + Guvernul Romaniei</w:t>
            </w:r>
          </w:p>
        </w:tc>
        <w:tc>
          <w:tcPr>
            <w:tcW w:w="1247" w:type="dxa"/>
            <w:shd w:val="clear" w:color="auto" w:fill="C5E0B3"/>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aplicată</w:t>
            </w:r>
          </w:p>
          <w:p w:rsidR="00643600" w:rsidRPr="00FE5C30" w:rsidRDefault="00643600" w:rsidP="00643600">
            <w:pPr>
              <w:spacing w:after="0" w:line="240" w:lineRule="auto"/>
              <w:jc w:val="center"/>
              <w:rPr>
                <w:rFonts w:ascii="Arial Narrow" w:hAnsi="Arial Narrow"/>
                <w:sz w:val="20"/>
                <w:szCs w:val="20"/>
              </w:rPr>
            </w:pP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Studiul infectiei cu clostridium difficile in Spitalul Clinic Judetean de Urgenta Sibiu</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Universitatea Lucian Blaga din Sibiu</w:t>
            </w:r>
          </w:p>
        </w:tc>
        <w:tc>
          <w:tcPr>
            <w:tcW w:w="1247" w:type="dxa"/>
            <w:shd w:val="clear" w:color="auto" w:fill="E2EFD9"/>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aplicată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Studiul tulburarilor de coagulare la pacientii cu neoplazii mieloproliferative cronic negative</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Universitatea Lucian Blaga din Sibiu</w:t>
            </w:r>
          </w:p>
        </w:tc>
        <w:tc>
          <w:tcPr>
            <w:tcW w:w="1247" w:type="dxa"/>
            <w:shd w:val="clear" w:color="auto" w:fill="C5E0B3"/>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aplicată</w:t>
            </w:r>
          </w:p>
        </w:tc>
      </w:tr>
      <w:tr w:rsidR="00643600" w:rsidRPr="00FE5C30" w:rsidTr="00643600">
        <w:tc>
          <w:tcPr>
            <w:tcW w:w="1809" w:type="dxa"/>
            <w:vMerge w:val="restart"/>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UNIVERSITATEA PETRU MAIOR DIN TIRGU MURES</w:t>
            </w:r>
          </w:p>
        </w:tc>
        <w:tc>
          <w:tcPr>
            <w:tcW w:w="1276" w:type="dxa"/>
            <w:vMerge w:val="restart"/>
            <w:shd w:val="clear" w:color="auto" w:fill="E2EFD9"/>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130 cercetători în toate domeniile</w:t>
            </w: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NextGenElectroMedSupport-Electronic Health Records for the Next Generation Medical Decision Support in Romanian and Bulgarian National Healthcare Systems;</w:t>
            </w:r>
            <w:r w:rsidRPr="00FE5C30">
              <w:rPr>
                <w:rFonts w:ascii="Arial Narrow" w:hAnsi="Arial Narrow"/>
                <w:color w:val="000000"/>
                <w:sz w:val="20"/>
                <w:szCs w:val="20"/>
              </w:rPr>
              <w:br/>
              <w:t>Rezultate proiect: produs software şi lucrari publicate la conferinte internationale</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ANCS - Programul CAPACITATI- Cooperari bilaterale</w:t>
            </w:r>
          </w:p>
        </w:tc>
        <w:tc>
          <w:tcPr>
            <w:tcW w:w="1247" w:type="dxa"/>
            <w:shd w:val="clear" w:color="auto" w:fill="E2EFD9"/>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aplicată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ComplexMediSzs - Hybrid Medical Complex Systems</w:t>
            </w:r>
            <w:r w:rsidRPr="00FE5C30">
              <w:rPr>
                <w:rFonts w:ascii="Arial Narrow" w:hAnsi="Arial Narrow"/>
                <w:color w:val="000000"/>
                <w:sz w:val="20"/>
                <w:szCs w:val="20"/>
              </w:rPr>
              <w:br/>
              <w:t>Rezultate proiect: produs software si lucrari publicate la conferinte internationale</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ANCS - Programul CAPACITATI- Cooperari bilaterale</w:t>
            </w:r>
          </w:p>
        </w:tc>
        <w:tc>
          <w:tcPr>
            <w:tcW w:w="1247" w:type="dxa"/>
            <w:shd w:val="clear" w:color="auto" w:fill="C5E0B3"/>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aplicată</w:t>
            </w:r>
          </w:p>
        </w:tc>
      </w:tr>
      <w:tr w:rsidR="00643600" w:rsidRPr="00FE5C30" w:rsidTr="00643600">
        <w:tc>
          <w:tcPr>
            <w:tcW w:w="1809" w:type="dxa"/>
            <w:vMerge w:val="restart"/>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UNIVERSITATEA DE MEDICINA SI FARMACIE DIN TIRGU MURES</w:t>
            </w:r>
          </w:p>
        </w:tc>
        <w:tc>
          <w:tcPr>
            <w:tcW w:w="1276" w:type="dxa"/>
            <w:vMerge w:val="restart"/>
            <w:shd w:val="clear" w:color="auto" w:fill="E2EFD9"/>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 xml:space="preserve">481 </w:t>
            </w: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Stem Cell Seeded Collagen Scaffolds  For Heart Valve Replacement</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UEFISCDI</w:t>
            </w: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fundamentală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Neuroprotectie Si Angiogeneza&gt; Noi Factori Moleculari Si Sisteme De Administrare Cu Aplicare Potential Terapeutica</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UEFISCDI</w:t>
            </w:r>
          </w:p>
        </w:tc>
        <w:tc>
          <w:tcPr>
            <w:tcW w:w="1247" w:type="dxa"/>
            <w:shd w:val="clear" w:color="auto" w:fill="C5E0B3"/>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fundamentală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xml:space="preserve">Blocarea curentului spre interior activat de hiperpolarizare  (IF) - o noua abordare in </w:t>
            </w:r>
            <w:r w:rsidRPr="00FE5C30">
              <w:rPr>
                <w:rFonts w:ascii="Arial Narrow" w:hAnsi="Arial Narrow"/>
                <w:color w:val="000000"/>
                <w:sz w:val="20"/>
                <w:szCs w:val="20"/>
              </w:rPr>
              <w:lastRenderedPageBreak/>
              <w:t>terapia fibrilatiei arteriale izolate</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lastRenderedPageBreak/>
              <w:t>UEFISCDI</w:t>
            </w:r>
          </w:p>
        </w:tc>
        <w:tc>
          <w:tcPr>
            <w:tcW w:w="1247" w:type="dxa"/>
            <w:shd w:val="clear" w:color="auto" w:fill="E2EFD9"/>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fundamentală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Building Capacity For Tobacco Reserch In Romania</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Fogarty International Center</w:t>
            </w:r>
          </w:p>
        </w:tc>
        <w:tc>
          <w:tcPr>
            <w:tcW w:w="1247"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aplicată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Standardised Linguistic Examinations for Medical Purposes</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Comisia Europeana</w:t>
            </w: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aplicată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Tehnologii de inginerie tisulara pentru regenerarea valvelor cardiac *</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POC</w:t>
            </w:r>
          </w:p>
        </w:tc>
        <w:tc>
          <w:tcPr>
            <w:tcW w:w="1247"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Dezvoltare experimentală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Terapii ce vizeaza proteina c reactiva pentru prevenirea dementei asociate cu atacul vascular cerebral ischemic *</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POC</w:t>
            </w: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Dezvoltare experimentală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7762" w:type="dxa"/>
            <w:gridSpan w:val="3"/>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*implementarea proiectelor va incepe in septembrie 2016 si sunt primele proiecte de cercetare experimentală de asemenea anvergură implementate la UMF Tg Mures</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w:t>
            </w:r>
          </w:p>
        </w:tc>
      </w:tr>
      <w:tr w:rsidR="00643600" w:rsidRPr="00FE5C30" w:rsidTr="00643600">
        <w:tc>
          <w:tcPr>
            <w:tcW w:w="1809" w:type="dxa"/>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SC INSTITUTUL DE CERCETARI PRODUSE AUXILIARE ORGANICE SA</w:t>
            </w:r>
          </w:p>
        </w:tc>
        <w:tc>
          <w:tcPr>
            <w:tcW w:w="1276" w:type="dxa"/>
            <w:shd w:val="clear" w:color="auto" w:fill="E2EFD9"/>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11 cercetători + 11 din alte categorii de personal</w:t>
            </w:r>
            <w:r w:rsidRPr="00FE5C30">
              <w:rPr>
                <w:rFonts w:ascii="Arial Narrow" w:hAnsi="Arial Narrow"/>
                <w:sz w:val="20"/>
                <w:szCs w:val="20"/>
              </w:rPr>
              <w:t xml:space="preserve"> </w:t>
            </w: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Comportamentul celulelor mezenchimale orale in relatie cu un nou material compozit in terapia pardontala regenerativa moderna STEMDENT</w:t>
            </w:r>
          </w:p>
          <w:p w:rsidR="00643600" w:rsidRPr="00FE5C30" w:rsidRDefault="00643600" w:rsidP="00643600">
            <w:pPr>
              <w:spacing w:after="0" w:line="240" w:lineRule="auto"/>
              <w:jc w:val="both"/>
              <w:rPr>
                <w:rFonts w:ascii="Arial Narrow" w:hAnsi="Arial Narrow"/>
                <w:color w:val="000000"/>
                <w:sz w:val="20"/>
                <w:szCs w:val="20"/>
              </w:rPr>
            </w:pP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PN-II-PT-PCCA—2012</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Proiecte colaborative de cercetare aplicativă</w:t>
            </w: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aplicată</w:t>
            </w:r>
          </w:p>
        </w:tc>
      </w:tr>
      <w:tr w:rsidR="00643600" w:rsidRPr="00FE5C30" w:rsidTr="00643600">
        <w:tc>
          <w:tcPr>
            <w:tcW w:w="1809" w:type="dxa"/>
            <w:vMerge w:val="restart"/>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UNIVERSITATEA TRANSILVANIA DIN BRASOV</w:t>
            </w:r>
          </w:p>
        </w:tc>
        <w:tc>
          <w:tcPr>
            <w:tcW w:w="1276" w:type="dxa"/>
            <w:vMerge w:val="restart"/>
            <w:shd w:val="clear" w:color="auto" w:fill="C5E0B3"/>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33 cercetători + 963 alte categorii de personal din toate domeniile</w:t>
            </w: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Cercetari privind detectia substantelor bioactive din extracte de resurse vegetale cu capacitate antioxidanta</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UEFISCDI - ANCSI</w:t>
            </w:r>
          </w:p>
        </w:tc>
        <w:tc>
          <w:tcPr>
            <w:tcW w:w="1247" w:type="dxa"/>
            <w:shd w:val="clear" w:color="auto" w:fill="C5E0B3"/>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fundamentală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Endotipurile astmului non-eozinofilic la adult</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UEFISCDI - ANCSI</w:t>
            </w:r>
          </w:p>
        </w:tc>
        <w:tc>
          <w:tcPr>
            <w:tcW w:w="1247" w:type="dxa"/>
            <w:shd w:val="clear" w:color="auto" w:fill="E2EFD9"/>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fundamentală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Brahiterapia asistata robotic, o abordare inovativa in terapia cancerelor inoperabile (CHANCE)</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UEFISCDI - ANCSI</w:t>
            </w:r>
          </w:p>
        </w:tc>
        <w:tc>
          <w:tcPr>
            <w:tcW w:w="1247" w:type="dxa"/>
            <w:shd w:val="clear" w:color="auto" w:fill="C5E0B3"/>
          </w:tcPr>
          <w:p w:rsidR="00643600" w:rsidRPr="00FE5C30" w:rsidRDefault="00643600" w:rsidP="00643600">
            <w:pPr>
              <w:spacing w:after="0" w:line="240" w:lineRule="auto"/>
              <w:rPr>
                <w:rFonts w:ascii="Arial Narrow" w:hAnsi="Arial Narrow"/>
                <w:sz w:val="20"/>
                <w:szCs w:val="20"/>
              </w:rPr>
            </w:pPr>
            <w:r w:rsidRPr="00FE5C30">
              <w:rPr>
                <w:rFonts w:ascii="Arial Narrow" w:hAnsi="Arial Narrow"/>
                <w:color w:val="000000"/>
                <w:sz w:val="20"/>
                <w:szCs w:val="20"/>
              </w:rPr>
              <w:t>fundamentală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Studiul fitoestrogenilor si a  altor extraxte din plante utilizate in menopauza si in tulburarile asociate acesteia</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SC DACIA PLANT SRL</w:t>
            </w: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aplicată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Investigarea geografica a determinismului methemoglobinei materne cauza a complicatiilor acute materno-fetale</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SC MEDLIFE SA</w:t>
            </w:r>
          </w:p>
        </w:tc>
        <w:tc>
          <w:tcPr>
            <w:tcW w:w="1247"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rPr>
                <w:rFonts w:ascii="Arial Narrow" w:hAnsi="Arial Narrow"/>
                <w:sz w:val="20"/>
                <w:szCs w:val="20"/>
              </w:rPr>
            </w:pPr>
          </w:p>
          <w:p w:rsidR="00643600" w:rsidRPr="00FE5C30" w:rsidRDefault="00643600" w:rsidP="00643600">
            <w:pPr>
              <w:spacing w:after="0" w:line="240" w:lineRule="auto"/>
              <w:rPr>
                <w:rFonts w:ascii="Arial Narrow" w:hAnsi="Arial Narrow"/>
                <w:sz w:val="20"/>
                <w:szCs w:val="20"/>
              </w:rPr>
            </w:pPr>
          </w:p>
          <w:p w:rsidR="00643600" w:rsidRPr="00FE5C30" w:rsidRDefault="00643600" w:rsidP="00643600">
            <w:pPr>
              <w:spacing w:after="0" w:line="240" w:lineRule="auto"/>
              <w:jc w:val="center"/>
              <w:rPr>
                <w:rFonts w:ascii="Arial Narrow" w:hAnsi="Arial Narrow"/>
                <w:sz w:val="20"/>
                <w:szCs w:val="20"/>
              </w:rPr>
            </w:pPr>
            <w:r w:rsidRPr="00FE5C30">
              <w:rPr>
                <w:rFonts w:ascii="Arial Narrow" w:hAnsi="Arial Narrow"/>
                <w:color w:val="000000"/>
                <w:sz w:val="20"/>
                <w:szCs w:val="20"/>
              </w:rPr>
              <w:t>aplicată</w:t>
            </w:r>
          </w:p>
        </w:tc>
      </w:tr>
      <w:tr w:rsidR="00643600" w:rsidRPr="00FE5C30" w:rsidTr="00643600">
        <w:tc>
          <w:tcPr>
            <w:tcW w:w="1809" w:type="dxa"/>
            <w:vMerge w:val="restart"/>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LifeTech City</w:t>
            </w:r>
          </w:p>
        </w:tc>
        <w:tc>
          <w:tcPr>
            <w:tcW w:w="1276" w:type="dxa"/>
            <w:vMerge w:val="restart"/>
            <w:shd w:val="clear" w:color="auto" w:fill="E2EFD9"/>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n/a</w:t>
            </w: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Cercetare avansata prin programe post-doctorale in stiinte fundamentale si clinice medicale</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POS pentru Dezvoltarea Resurselor Umane 2007 - 2013</w:t>
            </w:r>
          </w:p>
        </w:tc>
        <w:tc>
          <w:tcPr>
            <w:tcW w:w="1247" w:type="dxa"/>
            <w:shd w:val="clear" w:color="auto" w:fill="E2EFD9"/>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color w:val="000000"/>
                <w:sz w:val="20"/>
                <w:szCs w:val="20"/>
              </w:rPr>
              <w:t>fundamentală</w:t>
            </w:r>
          </w:p>
          <w:p w:rsidR="00643600" w:rsidRPr="00FE5C30" w:rsidRDefault="00643600" w:rsidP="00643600">
            <w:pPr>
              <w:spacing w:after="0" w:line="240" w:lineRule="auto"/>
              <w:jc w:val="center"/>
              <w:rPr>
                <w:rFonts w:ascii="Arial Narrow" w:hAnsi="Arial Narrow"/>
                <w:sz w:val="20"/>
                <w:szCs w:val="20"/>
              </w:rPr>
            </w:pP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Competitivitate pentru inima copiilor - cardiologie si chirurgie cardiovasculara pediatrica - CORDISPED</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POS pentru Dezvoltarea Resurselor Umane 2007 - 2013</w:t>
            </w:r>
          </w:p>
        </w:tc>
        <w:tc>
          <w:tcPr>
            <w:tcW w:w="1247" w:type="dxa"/>
            <w:shd w:val="clear" w:color="auto" w:fill="C5E0B3"/>
          </w:tcPr>
          <w:p w:rsidR="00643600" w:rsidRPr="00FE5C30" w:rsidRDefault="00643600" w:rsidP="00643600">
            <w:pPr>
              <w:spacing w:after="0" w:line="240" w:lineRule="auto"/>
              <w:jc w:val="both"/>
              <w:rPr>
                <w:rFonts w:ascii="Arial Narrow" w:hAnsi="Arial Narrow"/>
                <w:sz w:val="20"/>
                <w:szCs w:val="20"/>
              </w:rPr>
            </w:pPr>
            <w:r w:rsidRPr="00FE5C30">
              <w:rPr>
                <w:rFonts w:ascii="Arial Narrow" w:hAnsi="Arial Narrow"/>
                <w:color w:val="000000"/>
                <w:sz w:val="20"/>
                <w:szCs w:val="20"/>
              </w:rPr>
              <w:t>fundamentală</w:t>
            </w:r>
          </w:p>
          <w:p w:rsidR="00643600" w:rsidRPr="00FE5C30" w:rsidRDefault="00643600" w:rsidP="00643600">
            <w:pPr>
              <w:spacing w:after="0" w:line="240" w:lineRule="auto"/>
              <w:jc w:val="both"/>
              <w:rPr>
                <w:rFonts w:ascii="Arial Narrow" w:hAnsi="Arial Narrow"/>
                <w:color w:val="000000"/>
                <w:sz w:val="20"/>
                <w:szCs w:val="20"/>
              </w:rPr>
            </w:pP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MAMI - Translatarea cercetarilor genomice referitoare la etiologia malformatiilor cardiace congenitale in metode de screening, preventie prenatala, diagnostic genetic si imagistica tridimensionala</w:t>
            </w: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FP7 – Research and Innovation funding programme for 2007-2013</w:t>
            </w:r>
          </w:p>
          <w:p w:rsidR="00643600" w:rsidRPr="00FE5C30" w:rsidRDefault="00643600" w:rsidP="00643600">
            <w:pPr>
              <w:spacing w:after="0" w:line="240" w:lineRule="auto"/>
              <w:jc w:val="both"/>
              <w:rPr>
                <w:rFonts w:ascii="Arial Narrow" w:hAnsi="Arial Narrow"/>
                <w:color w:val="000000"/>
                <w:sz w:val="20"/>
                <w:szCs w:val="20"/>
              </w:rPr>
            </w:pP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aplicată</w:t>
            </w:r>
          </w:p>
        </w:tc>
      </w:tr>
      <w:tr w:rsidR="00643600" w:rsidRPr="00FE5C30" w:rsidTr="00643600">
        <w:tc>
          <w:tcPr>
            <w:tcW w:w="1809" w:type="dxa"/>
            <w:vMerge w:val="restart"/>
            <w:tcBorders>
              <w:left w:val="single" w:sz="4" w:space="0" w:color="FFFFFF"/>
            </w:tcBorders>
            <w:shd w:val="clear" w:color="auto" w:fill="70AD47"/>
          </w:tcPr>
          <w:p w:rsidR="00643600" w:rsidRPr="00FE5C30" w:rsidRDefault="00643600" w:rsidP="00643600">
            <w:pPr>
              <w:spacing w:after="0" w:line="240" w:lineRule="auto"/>
              <w:rPr>
                <w:rFonts w:ascii="Arial Narrow" w:hAnsi="Arial Narrow"/>
                <w:b/>
                <w:bCs/>
                <w:color w:val="000000"/>
                <w:sz w:val="20"/>
                <w:szCs w:val="20"/>
              </w:rPr>
            </w:pPr>
            <w:r w:rsidRPr="00FE5C30">
              <w:rPr>
                <w:rFonts w:ascii="Arial Narrow" w:hAnsi="Arial Narrow"/>
                <w:b/>
                <w:bCs/>
                <w:color w:val="000000"/>
                <w:sz w:val="20"/>
                <w:szCs w:val="20"/>
              </w:rPr>
              <w:t>UNIVERSITATEA LUCIAN BLAGA DIN SIBIU</w:t>
            </w:r>
          </w:p>
        </w:tc>
        <w:tc>
          <w:tcPr>
            <w:tcW w:w="1276" w:type="dxa"/>
            <w:vMerge w:val="restart"/>
            <w:shd w:val="clear" w:color="auto" w:fill="C5E0B3"/>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1 cercetător + 650 alte categorii de personal din toate domeniile</w:t>
            </w: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Biomarkeri de clasificare, stadializare şi monitorizarea evoluţiei tumorilor maligne cutanate</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PN-II-ID-WE-2012</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Program idei - workshop-uri exploratorii</w:t>
            </w:r>
          </w:p>
        </w:tc>
        <w:tc>
          <w:tcPr>
            <w:tcW w:w="1247"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rPr>
                <w:rFonts w:ascii="Arial Narrow" w:hAnsi="Arial Narrow"/>
                <w:sz w:val="20"/>
                <w:szCs w:val="20"/>
              </w:rPr>
            </w:pPr>
            <w:r w:rsidRPr="00FE5C30">
              <w:rPr>
                <w:rFonts w:ascii="Arial Narrow" w:hAnsi="Arial Narrow"/>
                <w:sz w:val="20"/>
                <w:szCs w:val="20"/>
              </w:rPr>
              <w:t>aplicată</w:t>
            </w:r>
          </w:p>
        </w:tc>
      </w:tr>
      <w:tr w:rsidR="00643600" w:rsidRPr="00FE5C30" w:rsidTr="00643600">
        <w:tc>
          <w:tcPr>
            <w:tcW w:w="1809" w:type="dxa"/>
            <w:vMerge/>
            <w:tcBorders>
              <w:left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E2EFD9"/>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Implementarea unui program de evaluare şi tratare a</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sindromului metabolic, la un lot populaţional activ,</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pentru profilaxia primară a bolilor cerebro-vasculare</w:t>
            </w:r>
          </w:p>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Studiu comparativ clinic radio-imagistic al pacientului</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xml:space="preserve">edentat total reabilitat prin proteze totale </w:t>
            </w:r>
            <w:r w:rsidRPr="00FE5C30">
              <w:rPr>
                <w:rFonts w:ascii="Arial Narrow" w:hAnsi="Arial Narrow"/>
                <w:color w:val="000000"/>
                <w:sz w:val="20"/>
                <w:szCs w:val="20"/>
              </w:rPr>
              <w:lastRenderedPageBreak/>
              <w:t>mobilizabile</w:t>
            </w: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versus diferite tipuri de proteze tip over-denture</w:t>
            </w:r>
          </w:p>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xml:space="preserve">Studiu clinic privind relaţia între tehnica de socket preservation şi inserţia postextracţională a implanturilor S Line </w:t>
            </w:r>
          </w:p>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xml:space="preserve">Studiu clinic al tehnicilor şi materialelor de grefare osoasă în edentaţia maxilară cu deficit de os în vederea restaurării pe implanturi S Line </w:t>
            </w:r>
          </w:p>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Studiul influenţei restaurărilor metalo-ceramice şi metalo-acrilice asupra parodonţiului marginal</w:t>
            </w:r>
          </w:p>
          <w:p w:rsidR="00643600" w:rsidRPr="00FE5C30" w:rsidRDefault="00643600" w:rsidP="00643600">
            <w:pPr>
              <w:spacing w:after="0" w:line="240" w:lineRule="auto"/>
              <w:jc w:val="both"/>
              <w:rPr>
                <w:rFonts w:ascii="Arial Narrow" w:hAnsi="Arial Narrow"/>
                <w:color w:val="000000"/>
                <w:sz w:val="20"/>
                <w:szCs w:val="20"/>
              </w:rPr>
            </w:pPr>
          </w:p>
        </w:tc>
        <w:tc>
          <w:tcPr>
            <w:tcW w:w="1979"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lastRenderedPageBreak/>
              <w:t>Societăți comerciale</w:t>
            </w:r>
          </w:p>
        </w:tc>
        <w:tc>
          <w:tcPr>
            <w:tcW w:w="1247" w:type="dxa"/>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Servicii de inovare</w:t>
            </w:r>
          </w:p>
        </w:tc>
      </w:tr>
      <w:tr w:rsidR="00643600" w:rsidRPr="00FE5C30" w:rsidTr="00643600">
        <w:tc>
          <w:tcPr>
            <w:tcW w:w="1809" w:type="dxa"/>
            <w:vMerge/>
            <w:tcBorders>
              <w:left w:val="single" w:sz="4" w:space="0" w:color="FFFFFF"/>
              <w:bottom w:val="single" w:sz="4" w:space="0" w:color="FFFFFF"/>
            </w:tcBorders>
            <w:shd w:val="clear" w:color="auto" w:fill="70AD47"/>
          </w:tcPr>
          <w:p w:rsidR="00643600" w:rsidRPr="00FE5C30" w:rsidRDefault="00643600" w:rsidP="00643600">
            <w:pPr>
              <w:spacing w:after="0" w:line="240" w:lineRule="auto"/>
              <w:ind w:firstLine="720"/>
              <w:rPr>
                <w:rFonts w:ascii="Arial Narrow" w:hAnsi="Arial Narrow"/>
                <w:b/>
                <w:bCs/>
                <w:color w:val="000000"/>
                <w:sz w:val="20"/>
                <w:szCs w:val="20"/>
              </w:rPr>
            </w:pPr>
          </w:p>
        </w:tc>
        <w:tc>
          <w:tcPr>
            <w:tcW w:w="1276" w:type="dxa"/>
            <w:vMerge/>
            <w:shd w:val="clear" w:color="auto" w:fill="C5E0B3"/>
          </w:tcPr>
          <w:p w:rsidR="00643600" w:rsidRPr="00FE5C30" w:rsidRDefault="00643600" w:rsidP="00643600">
            <w:pPr>
              <w:spacing w:after="0" w:line="240" w:lineRule="auto"/>
              <w:rPr>
                <w:rFonts w:ascii="Arial Narrow" w:hAnsi="Arial Narrow"/>
                <w:color w:val="000000"/>
                <w:sz w:val="20"/>
                <w:szCs w:val="20"/>
              </w:rPr>
            </w:pPr>
          </w:p>
        </w:tc>
        <w:tc>
          <w:tcPr>
            <w:tcW w:w="4536"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Lucrări de cercetare a defectelor de angiogeneză la</w:t>
            </w:r>
            <w:r w:rsidRPr="00FE5C30">
              <w:rPr>
                <w:rFonts w:ascii="Arial Narrow" w:hAnsi="Arial Narrow"/>
                <w:color w:val="000000"/>
                <w:sz w:val="20"/>
                <w:szCs w:val="20"/>
              </w:rPr>
              <w:br/>
              <w:t>nivelul regiunilor formate prin metamerie secundară</w:t>
            </w:r>
            <w:r w:rsidRPr="00FE5C30">
              <w:rPr>
                <w:rFonts w:ascii="Arial Narrow" w:hAnsi="Arial Narrow"/>
                <w:color w:val="000000"/>
                <w:sz w:val="20"/>
                <w:szCs w:val="20"/>
              </w:rPr>
              <w:br/>
              <w:t>Evaluarea factorilor de risc pentru osteoporoză cu</w:t>
            </w:r>
            <w:r w:rsidRPr="00FE5C30">
              <w:rPr>
                <w:rFonts w:ascii="Arial Narrow" w:hAnsi="Arial Narrow"/>
                <w:color w:val="000000"/>
                <w:sz w:val="20"/>
                <w:szCs w:val="20"/>
              </w:rPr>
              <w:br/>
              <w:t>ajutorul scorului FRAX la vârstnici</w:t>
            </w:r>
          </w:p>
        </w:tc>
        <w:tc>
          <w:tcPr>
            <w:tcW w:w="1979"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Societate comerciala</w:t>
            </w:r>
          </w:p>
        </w:tc>
        <w:tc>
          <w:tcPr>
            <w:tcW w:w="1247" w:type="dxa"/>
            <w:shd w:val="clear" w:color="auto" w:fill="C5E0B3"/>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Servicii transfer tehnologic</w:t>
            </w:r>
          </w:p>
        </w:tc>
      </w:tr>
    </w:tbl>
    <w:p w:rsidR="00643600" w:rsidRPr="005A0F19" w:rsidRDefault="00643600" w:rsidP="00643600">
      <w:pPr>
        <w:spacing w:after="0" w:line="240" w:lineRule="auto"/>
        <w:jc w:val="both"/>
        <w:rPr>
          <w:rFonts w:ascii="Arial Narrow" w:hAnsi="Arial Narrow"/>
          <w:color w:val="00B050"/>
          <w:sz w:val="24"/>
          <w:szCs w:val="24"/>
        </w:rPr>
      </w:pPr>
    </w:p>
    <w:p w:rsidR="00643600" w:rsidRPr="00FE5C30" w:rsidRDefault="00643600" w:rsidP="00643600">
      <w:pPr>
        <w:tabs>
          <w:tab w:val="left" w:pos="1260"/>
        </w:tabs>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Activitatea de cercetare-dezvoltare </w:t>
      </w:r>
      <w:r w:rsidRPr="00FE5C30">
        <w:rPr>
          <w:rFonts w:ascii="Arial Narrow" w:hAnsi="Arial Narrow"/>
          <w:color w:val="000000"/>
          <w:sz w:val="24"/>
          <w:szCs w:val="24"/>
          <w:lang w:val="ro-RO"/>
        </w:rPr>
        <w:t xml:space="preserve">și inovare a fost și este susținută </w:t>
      </w:r>
      <w:r w:rsidRPr="00FE5C30">
        <w:rPr>
          <w:rFonts w:ascii="Arial Narrow" w:hAnsi="Arial Narrow"/>
          <w:color w:val="000000"/>
          <w:sz w:val="24"/>
          <w:szCs w:val="24"/>
        </w:rPr>
        <w:t xml:space="preserve">în mediul academic și de stat, dar și privat de o serie de universități, companii și organizații, care au derulat proiecte de cercetare atât din fonduri proprii, cât și din fonduri nerambursabile. </w:t>
      </w:r>
    </w:p>
    <w:p w:rsidR="00643600" w:rsidRPr="00FE5C30" w:rsidRDefault="00643600" w:rsidP="00643600">
      <w:pPr>
        <w:tabs>
          <w:tab w:val="left" w:pos="1260"/>
        </w:tabs>
        <w:spacing w:after="0" w:line="240" w:lineRule="auto"/>
        <w:jc w:val="both"/>
        <w:rPr>
          <w:rFonts w:ascii="Arial Narrow" w:hAnsi="Arial Narrow"/>
          <w:color w:val="000000"/>
          <w:sz w:val="24"/>
          <w:szCs w:val="24"/>
        </w:rPr>
      </w:pPr>
    </w:p>
    <w:p w:rsidR="00643600" w:rsidRPr="00200EB0" w:rsidRDefault="00643600" w:rsidP="00643600">
      <w:pPr>
        <w:jc w:val="both"/>
        <w:rPr>
          <w:rFonts w:ascii="Arial Narrow" w:hAnsi="Arial Narrow"/>
          <w:b/>
          <w:bCs/>
          <w:sz w:val="24"/>
          <w:szCs w:val="24"/>
        </w:rPr>
      </w:pPr>
      <w:r w:rsidRPr="00200EB0">
        <w:rPr>
          <w:rFonts w:ascii="Arial Narrow" w:hAnsi="Arial Narrow"/>
          <w:b/>
          <w:bCs/>
          <w:sz w:val="24"/>
          <w:szCs w:val="24"/>
        </w:rPr>
        <w:t>Asociaţia Lifetech City</w:t>
      </w:r>
      <w:r w:rsidRPr="00200EB0">
        <w:rPr>
          <w:rFonts w:ascii="Arial Narrow" w:hAnsi="Arial Narrow"/>
          <w:bCs/>
          <w:sz w:val="24"/>
          <w:szCs w:val="24"/>
        </w:rPr>
        <w:t xml:space="preserve"> reprezintă primul pol de competitivitate pentru cercetare-dezvoltare în domeniul medical și informatică medicală din România. Este o structură cu personalitate juridică de sprijin al afacerilor de interes naţional şi internaţional cu scopul dezvoltării activităţilor de cercetare-dezvoltare în domeniul ştiinţelor medicale şi al ştiinţelor conexe domeniului medical.</w:t>
      </w:r>
    </w:p>
    <w:p w:rsidR="00643600" w:rsidRPr="00200EB0" w:rsidRDefault="00643600" w:rsidP="00643600">
      <w:pPr>
        <w:spacing w:after="0" w:line="240" w:lineRule="auto"/>
        <w:jc w:val="both"/>
        <w:rPr>
          <w:rFonts w:ascii="Arial Narrow" w:hAnsi="Arial Narrow"/>
          <w:bCs/>
          <w:sz w:val="24"/>
          <w:szCs w:val="24"/>
        </w:rPr>
      </w:pPr>
      <w:r w:rsidRPr="00200EB0">
        <w:rPr>
          <w:rFonts w:ascii="Arial Narrow" w:hAnsi="Arial Narrow"/>
          <w:bCs/>
          <w:sz w:val="24"/>
          <w:szCs w:val="24"/>
        </w:rPr>
        <w:t>Asociaţia "Life Tech City" s-a înfiinţat la iniţiativa Primăriei Târgu Mureş și înregistrează în prezent un număr de 19 membri fondatori, respectiv: Municipiul Tîrgu Mureş, Judeţul Mureş, Agenţia pentru Dezvoltare Regională Centru, Universitatea de Medicină şi Farmacie Tg Mureş, Unive</w:t>
      </w:r>
      <w:r>
        <w:rPr>
          <w:rFonts w:ascii="Arial Narrow" w:hAnsi="Arial Narrow"/>
          <w:bCs/>
          <w:sz w:val="24"/>
          <w:szCs w:val="24"/>
        </w:rPr>
        <w:t xml:space="preserve">rsitatea Petru Maior Tg Mureş, </w:t>
      </w:r>
      <w:r w:rsidRPr="00200EB0">
        <w:rPr>
          <w:rFonts w:ascii="Arial Narrow" w:hAnsi="Arial Narrow"/>
          <w:bCs/>
          <w:sz w:val="24"/>
          <w:szCs w:val="24"/>
        </w:rPr>
        <w:t>Universitatea Sapientia, Universitatea Cultural Ştiinţifică Tg Mureş, Spitalul Clinic Judeţean Tg Mureş, Spitalul Clinic Judeţean de Urgenţă Tg Mureş, Institutul de Urgenţă pentru Boli Cardio Vasculare şi Transplant Tg Mureş, Camera de Comerţ şi Industrie Mureş, SC Locativ SA, SC The Science City for Research and Medical Informatics SA, SC Bioeel SRL, SC Vim Spectrum SRL, SC Plasmaterm SA, SC Procontrol SRL, SC Tetronic SRL, SC Ecomotive Development SRL.</w:t>
      </w:r>
    </w:p>
    <w:p w:rsidR="00643600" w:rsidRPr="00FE5C30" w:rsidRDefault="00643600" w:rsidP="00643600">
      <w:pPr>
        <w:tabs>
          <w:tab w:val="left" w:pos="1260"/>
        </w:tabs>
        <w:spacing w:after="0" w:line="240" w:lineRule="auto"/>
        <w:jc w:val="both"/>
        <w:rPr>
          <w:rFonts w:ascii="Arial Narrow" w:hAnsi="Arial Narrow"/>
          <w:color w:val="000000"/>
          <w:sz w:val="24"/>
          <w:szCs w:val="24"/>
          <w:lang w:val="ro-RO"/>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Prezentul capitol va evidenția inițiativele private în acest domeniu finanțate din surse proprii, urmând ca în capitolul 4 să fie detaliate proiectele inițiate de administrația publică/companii private finanțate din surse publice.</w:t>
      </w:r>
    </w:p>
    <w:p w:rsidR="00643600" w:rsidRDefault="00643600" w:rsidP="00643600">
      <w:pPr>
        <w:spacing w:after="0" w:line="240" w:lineRule="auto"/>
        <w:jc w:val="both"/>
        <w:rPr>
          <w:rFonts w:ascii="Arial Narrow" w:hAnsi="Arial Narrow"/>
          <w:color w:val="00B050"/>
          <w:sz w:val="24"/>
          <w:szCs w:val="24"/>
        </w:rPr>
      </w:pPr>
    </w:p>
    <w:p w:rsidR="00643600" w:rsidRPr="00FE5C30" w:rsidRDefault="00643600" w:rsidP="002617A6">
      <w:pPr>
        <w:pStyle w:val="Listparagraf"/>
        <w:numPr>
          <w:ilvl w:val="0"/>
          <w:numId w:val="77"/>
        </w:numPr>
        <w:spacing w:after="0" w:line="240" w:lineRule="auto"/>
        <w:jc w:val="both"/>
        <w:rPr>
          <w:rFonts w:ascii="Arial Narrow" w:hAnsi="Arial Narrow"/>
          <w:bCs/>
          <w:color w:val="000000"/>
          <w:sz w:val="24"/>
          <w:szCs w:val="24"/>
        </w:rPr>
      </w:pPr>
      <w:r w:rsidRPr="00FE5C30">
        <w:rPr>
          <w:rFonts w:ascii="Arial Narrow" w:hAnsi="Arial Narrow"/>
          <w:b/>
          <w:color w:val="000000"/>
          <w:sz w:val="24"/>
          <w:szCs w:val="24"/>
        </w:rPr>
        <w:t>Centrul Medical Cardio Med din Tîrgu Mureș</w:t>
      </w:r>
      <w:r w:rsidRPr="00FE5C30">
        <w:rPr>
          <w:rFonts w:ascii="Arial Narrow" w:hAnsi="Arial Narrow"/>
          <w:color w:val="000000"/>
          <w:sz w:val="24"/>
          <w:szCs w:val="24"/>
        </w:rPr>
        <w:t>, unitate de cercetare științifică medicală avansată atestată de Comisia Europeană pentru activitate de cercetare, a devenit singurul centru medical privat din România, care va dezvolta, prin intermediul unor aparate și computere ultra performante, modele de medicină personalizată pe baza datelor furnizate prin simulări computerizate bazate pe nanoimagistică.</w:t>
      </w:r>
    </w:p>
    <w:p w:rsidR="00643600" w:rsidRDefault="00643600" w:rsidP="002617A6">
      <w:pPr>
        <w:pStyle w:val="NormalWeb"/>
        <w:numPr>
          <w:ilvl w:val="0"/>
          <w:numId w:val="77"/>
        </w:numPr>
        <w:spacing w:before="0" w:beforeAutospacing="0" w:after="0" w:afterAutospacing="0"/>
        <w:jc w:val="both"/>
        <w:rPr>
          <w:rFonts w:ascii="Arial Narrow" w:hAnsi="Arial Narrow"/>
          <w:bCs/>
        </w:rPr>
      </w:pPr>
      <w:r w:rsidRPr="009263AF">
        <w:rPr>
          <w:rFonts w:ascii="Arial Narrow" w:hAnsi="Arial Narrow"/>
          <w:b/>
        </w:rPr>
        <w:lastRenderedPageBreak/>
        <w:t>VIM Spectrum</w:t>
      </w:r>
      <w:r>
        <w:rPr>
          <w:rFonts w:ascii="Arial Narrow" w:hAnsi="Arial Narrow"/>
        </w:rPr>
        <w:t xml:space="preserve"> este o companie farmaceutică din judetul Mureş care îşi desfăşoară activitatea din 1994  </w:t>
      </w:r>
      <w:r>
        <w:rPr>
          <w:rStyle w:val="Robust"/>
          <w:rFonts w:ascii="Arial Narrow" w:hAnsi="Arial Narrow"/>
          <w:b w:val="0"/>
        </w:rPr>
        <w:t>pe două direcții principale</w:t>
      </w:r>
      <w:r>
        <w:rPr>
          <w:rStyle w:val="Robust"/>
          <w:rFonts w:ascii="Arial Narrow" w:hAnsi="Arial Narrow"/>
        </w:rPr>
        <w:t>:</w:t>
      </w:r>
      <w:r>
        <w:rPr>
          <w:rFonts w:ascii="Arial Narrow" w:hAnsi="Arial Narrow"/>
        </w:rPr>
        <w:t xml:space="preserve"> producție proprie de medicamente/suplimente alimentare şi producție sub contract.</w:t>
      </w:r>
      <w:r>
        <w:rPr>
          <w:rFonts w:ascii="Arial Narrow" w:hAnsi="Arial Narrow"/>
          <w:bCs/>
        </w:rPr>
        <w:t xml:space="preserve"> </w:t>
      </w:r>
    </w:p>
    <w:p w:rsidR="00643600" w:rsidRDefault="00643600" w:rsidP="00643600">
      <w:pPr>
        <w:pStyle w:val="Listparagraf"/>
        <w:ind w:left="360"/>
        <w:jc w:val="both"/>
        <w:rPr>
          <w:rFonts w:ascii="Arial Narrow" w:eastAsia="Times New Roman" w:hAnsi="Arial Narrow"/>
          <w:bCs/>
          <w:sz w:val="24"/>
          <w:szCs w:val="24"/>
        </w:rPr>
      </w:pPr>
      <w:r>
        <w:rPr>
          <w:rFonts w:ascii="Arial Narrow" w:eastAsia="Times New Roman" w:hAnsi="Arial Narrow"/>
          <w:bCs/>
          <w:sz w:val="24"/>
          <w:szCs w:val="24"/>
        </w:rPr>
        <w:t xml:space="preserve">Compania Vim Spectrum deţine </w:t>
      </w:r>
      <w:r w:rsidRPr="006376FF">
        <w:rPr>
          <w:rFonts w:ascii="Arial Narrow" w:eastAsia="Times New Roman" w:hAnsi="Arial Narrow"/>
          <w:bCs/>
          <w:i/>
          <w:sz w:val="24"/>
          <w:szCs w:val="24"/>
        </w:rPr>
        <w:t>Centrul de Cercetare Clinică și Analitică</w:t>
      </w:r>
      <w:r w:rsidRPr="006376FF">
        <w:rPr>
          <w:rFonts w:ascii="Arial Narrow" w:eastAsia="Times New Roman" w:hAnsi="Arial Narrow"/>
          <w:bCs/>
          <w:sz w:val="24"/>
          <w:szCs w:val="24"/>
        </w:rPr>
        <w:t xml:space="preserve"> care este o Organizaţie de Cercetare prin Contract (OCC), specializată în efectuarea studiilor clinice de fază I, a studiilor cu beneficiu terapeutic (fază II-III) și a studiilor de bioechivalență.</w:t>
      </w:r>
      <w:r>
        <w:rPr>
          <w:rFonts w:ascii="Arial Narrow" w:eastAsia="Times New Roman" w:hAnsi="Arial Narrow"/>
          <w:bCs/>
          <w:sz w:val="24"/>
          <w:szCs w:val="24"/>
        </w:rPr>
        <w:t xml:space="preserve"> </w:t>
      </w:r>
    </w:p>
    <w:p w:rsidR="00643600" w:rsidRPr="000F082D" w:rsidRDefault="00643600" w:rsidP="002617A6">
      <w:pPr>
        <w:pStyle w:val="Listparagraf"/>
        <w:numPr>
          <w:ilvl w:val="0"/>
          <w:numId w:val="77"/>
        </w:numPr>
        <w:spacing w:after="160" w:line="259" w:lineRule="auto"/>
        <w:jc w:val="both"/>
        <w:rPr>
          <w:rFonts w:ascii="Arial Narrow" w:eastAsia="Times New Roman" w:hAnsi="Arial Narrow"/>
          <w:bCs/>
          <w:sz w:val="24"/>
          <w:szCs w:val="24"/>
        </w:rPr>
      </w:pPr>
      <w:r w:rsidRPr="000F082D">
        <w:rPr>
          <w:rFonts w:ascii="Arial Narrow" w:eastAsia="Times New Roman" w:hAnsi="Arial Narrow"/>
          <w:sz w:val="24"/>
          <w:szCs w:val="24"/>
        </w:rPr>
        <w:t xml:space="preserve">Compania </w:t>
      </w:r>
      <w:r w:rsidRPr="000F082D">
        <w:rPr>
          <w:rFonts w:ascii="Arial Narrow" w:eastAsia="Times New Roman" w:hAnsi="Arial Narrow"/>
          <w:b/>
          <w:sz w:val="24"/>
          <w:szCs w:val="24"/>
        </w:rPr>
        <w:t>Polisano Pharmaceuticals SRL</w:t>
      </w:r>
      <w:r w:rsidRPr="000F082D">
        <w:rPr>
          <w:rFonts w:ascii="Arial Narrow" w:eastAsia="Times New Roman" w:hAnsi="Arial Narrow"/>
          <w:sz w:val="24"/>
          <w:szCs w:val="24"/>
        </w:rPr>
        <w:t xml:space="preserve"> (Sibiu)</w:t>
      </w:r>
      <w:r w:rsidRPr="000F082D">
        <w:rPr>
          <w:rFonts w:ascii="Arial Narrow" w:hAnsi="Arial Narrow"/>
          <w:sz w:val="24"/>
          <w:szCs w:val="24"/>
        </w:rPr>
        <w:t xml:space="preserve"> produce peste 30 de medicamente destinate sănătății ficatului, imunității, tractului alimentar și metabolismului, sistemului cardiovascular, a celui nervos, sistemului genito-urinar și organelor senzoriale. </w:t>
      </w:r>
    </w:p>
    <w:p w:rsidR="00643600" w:rsidRPr="002860B3" w:rsidRDefault="00643600" w:rsidP="00643600">
      <w:pPr>
        <w:pStyle w:val="Listparagraf"/>
        <w:spacing w:after="0" w:line="240" w:lineRule="auto"/>
        <w:ind w:left="360"/>
        <w:rPr>
          <w:rFonts w:ascii="Arial Narrow" w:hAnsi="Arial Narrow"/>
          <w:sz w:val="24"/>
          <w:szCs w:val="24"/>
        </w:rPr>
      </w:pPr>
      <w:r>
        <w:rPr>
          <w:rFonts w:ascii="Arial Narrow" w:hAnsi="Arial Narrow"/>
          <w:sz w:val="24"/>
          <w:szCs w:val="24"/>
        </w:rPr>
        <w:t>În completarea activității de producție, în cadrul companiei Polisano Pharmaceuticals a fost dezvoltat c</w:t>
      </w:r>
      <w:r w:rsidRPr="002860B3">
        <w:rPr>
          <w:rFonts w:ascii="Arial Narrow" w:hAnsi="Arial Narrow"/>
          <w:sz w:val="24"/>
          <w:szCs w:val="24"/>
        </w:rPr>
        <w:t>entrul de studii clinice de bioechivalență și faza I</w:t>
      </w:r>
      <w:r>
        <w:rPr>
          <w:rFonts w:ascii="Arial Narrow" w:hAnsi="Arial Narrow"/>
          <w:sz w:val="24"/>
          <w:szCs w:val="24"/>
        </w:rPr>
        <w:t>, care</w:t>
      </w:r>
      <w:r w:rsidRPr="002860B3">
        <w:rPr>
          <w:rFonts w:ascii="Arial Narrow" w:hAnsi="Arial Narrow"/>
          <w:sz w:val="24"/>
          <w:szCs w:val="24"/>
        </w:rPr>
        <w:t xml:space="preserve"> este organizat pe 3 direcții de activitate: unitatea clinică, laborator bioanalitic, farmacocinetică şi statistică.</w:t>
      </w:r>
    </w:p>
    <w:p w:rsidR="00643600" w:rsidRPr="003745E3" w:rsidRDefault="00643600" w:rsidP="00643600">
      <w:pPr>
        <w:pStyle w:val="Listparagraf"/>
        <w:spacing w:after="0" w:line="240" w:lineRule="auto"/>
        <w:ind w:left="360"/>
        <w:jc w:val="both"/>
        <w:rPr>
          <w:rFonts w:ascii="Arial Narrow" w:hAnsi="Arial Narrow"/>
          <w:sz w:val="24"/>
          <w:szCs w:val="24"/>
        </w:rPr>
      </w:pPr>
      <w:r w:rsidRPr="002860B3">
        <w:rPr>
          <w:rFonts w:ascii="Arial Narrow" w:hAnsi="Arial Narrow"/>
          <w:sz w:val="24"/>
          <w:szCs w:val="24"/>
        </w:rPr>
        <w:t xml:space="preserve">În prezent, fabrica din grupul Polisano </w:t>
      </w:r>
      <w:r w:rsidRPr="002860B3">
        <w:rPr>
          <w:rFonts w:ascii="Arial Narrow" w:eastAsia="Times New Roman" w:hAnsi="Arial Narrow"/>
          <w:sz w:val="24"/>
          <w:szCs w:val="24"/>
        </w:rPr>
        <w:t xml:space="preserve">este </w:t>
      </w:r>
      <w:r w:rsidRPr="002860B3">
        <w:rPr>
          <w:rFonts w:ascii="Arial Narrow" w:hAnsi="Arial Narrow"/>
          <w:sz w:val="24"/>
          <w:szCs w:val="24"/>
        </w:rPr>
        <w:t>singura capacitate de producție din Europa de Sud-Est care are</w:t>
      </w:r>
      <w:r>
        <w:rPr>
          <w:rFonts w:ascii="Arial Narrow" w:hAnsi="Arial Narrow"/>
          <w:sz w:val="24"/>
          <w:szCs w:val="24"/>
        </w:rPr>
        <w:t xml:space="preserve"> două linii tehnologice complet automatizate și robotizate </w:t>
      </w:r>
      <w:r w:rsidRPr="002860B3">
        <w:rPr>
          <w:rFonts w:ascii="Arial Narrow" w:hAnsi="Arial Narrow"/>
          <w:sz w:val="24"/>
          <w:szCs w:val="24"/>
        </w:rPr>
        <w:t>dedicate medicamentelor oncologice, a</w:t>
      </w:r>
      <w:r>
        <w:rPr>
          <w:rFonts w:ascii="Arial Narrow" w:hAnsi="Arial Narrow"/>
          <w:sz w:val="24"/>
          <w:szCs w:val="24"/>
        </w:rPr>
        <w:t xml:space="preserve">tât injectabile, cât și orale. </w:t>
      </w:r>
      <w:r w:rsidRPr="003745E3">
        <w:rPr>
          <w:rFonts w:ascii="Arial Narrow" w:hAnsi="Arial Narrow"/>
          <w:sz w:val="24"/>
          <w:szCs w:val="24"/>
        </w:rPr>
        <w:t>Produsele generice Polisano Pharmaceuticals sunt comercializate în Europa, Orientul Mijlociu, Asia şi Africa de Nord.</w:t>
      </w:r>
    </w:p>
    <w:p w:rsidR="00643600" w:rsidRPr="00F55B05" w:rsidRDefault="00643600" w:rsidP="002617A6">
      <w:pPr>
        <w:pStyle w:val="Listparagraf"/>
        <w:numPr>
          <w:ilvl w:val="0"/>
          <w:numId w:val="77"/>
        </w:numPr>
        <w:spacing w:after="160" w:line="259" w:lineRule="auto"/>
        <w:jc w:val="both"/>
      </w:pPr>
      <w:r w:rsidRPr="00EC63FB">
        <w:rPr>
          <w:rFonts w:ascii="Arial Narrow" w:hAnsi="Arial Narrow"/>
          <w:sz w:val="24"/>
          <w:szCs w:val="24"/>
        </w:rPr>
        <w:t xml:space="preserve">Compania </w:t>
      </w:r>
      <w:r w:rsidRPr="009263AF">
        <w:rPr>
          <w:rFonts w:ascii="Arial Narrow" w:hAnsi="Arial Narrow"/>
          <w:b/>
          <w:sz w:val="24"/>
          <w:szCs w:val="24"/>
        </w:rPr>
        <w:t>OrtoProfil SRL</w:t>
      </w:r>
      <w:r w:rsidRPr="00EC63FB">
        <w:rPr>
          <w:rFonts w:ascii="Arial Narrow" w:hAnsi="Arial Narrow"/>
          <w:sz w:val="24"/>
          <w:szCs w:val="24"/>
        </w:rPr>
        <w:t xml:space="preserve"> este în  prezent lider în topul firmelor producătoare şi distribuitoare de </w:t>
      </w:r>
      <w:r w:rsidRPr="00EC63FB">
        <w:rPr>
          <w:rStyle w:val="st"/>
          <w:rFonts w:ascii="Arial Narrow" w:hAnsi="Arial Narrow"/>
        </w:rPr>
        <w:t>dispozitive medicale ortopedice, proteze, orteze, talonete, ghete ortopedice, ciorapi medicinali din ţară</w:t>
      </w:r>
      <w:r>
        <w:rPr>
          <w:rFonts w:ascii="Arial Narrow" w:hAnsi="Arial Narrow"/>
          <w:sz w:val="24"/>
          <w:szCs w:val="24"/>
        </w:rPr>
        <w:t>, având 45</w:t>
      </w:r>
      <w:r w:rsidRPr="00EC63FB">
        <w:rPr>
          <w:rFonts w:ascii="Arial Narrow" w:hAnsi="Arial Narrow"/>
          <w:sz w:val="24"/>
          <w:szCs w:val="24"/>
        </w:rPr>
        <w:t xml:space="preserve"> de filiale deschi</w:t>
      </w:r>
      <w:r>
        <w:rPr>
          <w:rFonts w:ascii="Arial Narrow" w:hAnsi="Arial Narrow"/>
          <w:sz w:val="24"/>
          <w:szCs w:val="24"/>
        </w:rPr>
        <w:t>se la nivel național şi peste 22</w:t>
      </w:r>
      <w:r w:rsidRPr="00EC63FB">
        <w:rPr>
          <w:rFonts w:ascii="Arial Narrow" w:hAnsi="Arial Narrow"/>
          <w:sz w:val="24"/>
          <w:szCs w:val="24"/>
        </w:rPr>
        <w:t>0 de angajaţi.</w:t>
      </w:r>
      <w:r>
        <w:rPr>
          <w:rFonts w:ascii="Arial Narrow" w:hAnsi="Arial Narrow"/>
          <w:sz w:val="24"/>
          <w:szCs w:val="24"/>
        </w:rPr>
        <w:t xml:space="preserve"> </w:t>
      </w:r>
      <w:r w:rsidRPr="00F55B05">
        <w:rPr>
          <w:rFonts w:ascii="Arial Narrow" w:hAnsi="Arial Narrow"/>
          <w:sz w:val="24"/>
          <w:szCs w:val="24"/>
        </w:rPr>
        <w:t xml:space="preserve">Pe lângă activitatea de producţie dispozitive medicale, compania are deschis un Centru Național de Reabilitare la Târgu-Mureș, unic în ţară în acest domeniu, unde pacienţii au parte de un program de recuperare medicală şi consiliere de specialitate. </w:t>
      </w:r>
    </w:p>
    <w:p w:rsidR="00643600" w:rsidRDefault="00643600" w:rsidP="00643600">
      <w:pPr>
        <w:pStyle w:val="Listparagraf"/>
        <w:ind w:left="360"/>
        <w:jc w:val="both"/>
        <w:rPr>
          <w:rFonts w:ascii="Arial Narrow" w:hAnsi="Arial Narrow"/>
          <w:sz w:val="24"/>
          <w:szCs w:val="24"/>
        </w:rPr>
      </w:pPr>
      <w:r w:rsidRPr="00EC63FB">
        <w:rPr>
          <w:rFonts w:ascii="Arial Narrow" w:hAnsi="Arial Narrow"/>
          <w:sz w:val="24"/>
          <w:szCs w:val="24"/>
        </w:rPr>
        <w:t xml:space="preserve">Compania OrtoProfil a prezentat de-a lungul timpului mai multe premiere naționale, printre care: </w:t>
      </w:r>
    </w:p>
    <w:p w:rsidR="00643600" w:rsidRPr="00EC63FB" w:rsidRDefault="00643600" w:rsidP="002617A6">
      <w:pPr>
        <w:pStyle w:val="Listparagraf"/>
        <w:numPr>
          <w:ilvl w:val="0"/>
          <w:numId w:val="78"/>
        </w:numPr>
        <w:spacing w:after="160" w:line="259" w:lineRule="auto"/>
        <w:ind w:left="1080"/>
        <w:jc w:val="both"/>
        <w:rPr>
          <w:rFonts w:ascii="Arial Narrow" w:hAnsi="Arial Narrow"/>
          <w:bCs/>
          <w:sz w:val="24"/>
          <w:szCs w:val="24"/>
        </w:rPr>
      </w:pPr>
      <w:r>
        <w:rPr>
          <w:rFonts w:ascii="Arial Narrow" w:hAnsi="Arial Narrow"/>
          <w:sz w:val="24"/>
          <w:szCs w:val="24"/>
        </w:rPr>
        <w:t>ScoliCamp – prima tabără de s</w:t>
      </w:r>
      <w:r w:rsidRPr="00EC63FB">
        <w:rPr>
          <w:rFonts w:ascii="Arial Narrow" w:hAnsi="Arial Narrow"/>
          <w:sz w:val="24"/>
          <w:szCs w:val="24"/>
        </w:rPr>
        <w:t>colioză din România</w:t>
      </w:r>
    </w:p>
    <w:p w:rsidR="00643600" w:rsidRPr="00EC63FB" w:rsidRDefault="00643600" w:rsidP="002617A6">
      <w:pPr>
        <w:pStyle w:val="Listparagraf"/>
        <w:numPr>
          <w:ilvl w:val="0"/>
          <w:numId w:val="78"/>
        </w:numPr>
        <w:spacing w:after="160" w:line="259" w:lineRule="auto"/>
        <w:ind w:left="1080"/>
        <w:jc w:val="both"/>
        <w:rPr>
          <w:rFonts w:ascii="Arial Narrow" w:hAnsi="Arial Narrow"/>
          <w:bCs/>
          <w:sz w:val="24"/>
          <w:szCs w:val="24"/>
        </w:rPr>
      </w:pPr>
      <w:r w:rsidRPr="00EC63FB">
        <w:rPr>
          <w:rFonts w:ascii="Arial Narrow" w:hAnsi="Arial Narrow"/>
          <w:sz w:val="24"/>
          <w:szCs w:val="24"/>
        </w:rPr>
        <w:t>Proteza de coapsă modulară cu sistem C-Leg, care cuprinde o articulaţie de genunchi performantă, asistată de</w:t>
      </w:r>
      <w:r>
        <w:rPr>
          <w:rFonts w:ascii="Arial Narrow" w:hAnsi="Arial Narrow"/>
          <w:sz w:val="24"/>
          <w:szCs w:val="24"/>
        </w:rPr>
        <w:t xml:space="preserve"> microprocesor</w:t>
      </w:r>
    </w:p>
    <w:p w:rsidR="00643600" w:rsidRPr="00EC63FB" w:rsidRDefault="00643600" w:rsidP="002617A6">
      <w:pPr>
        <w:pStyle w:val="Listparagraf"/>
        <w:numPr>
          <w:ilvl w:val="0"/>
          <w:numId w:val="78"/>
        </w:numPr>
        <w:spacing w:after="160" w:line="259" w:lineRule="auto"/>
        <w:ind w:left="1080"/>
        <w:jc w:val="both"/>
        <w:rPr>
          <w:rFonts w:ascii="Arial Narrow" w:hAnsi="Arial Narrow"/>
          <w:bCs/>
          <w:sz w:val="24"/>
          <w:szCs w:val="24"/>
        </w:rPr>
      </w:pPr>
      <w:r w:rsidRPr="00EC63FB">
        <w:rPr>
          <w:rFonts w:ascii="Arial Narrow" w:hAnsi="Arial Narrow"/>
          <w:sz w:val="24"/>
          <w:szCs w:val="24"/>
        </w:rPr>
        <w:t xml:space="preserve">CAD-CAM – un sistem computerizat care funcţionează pe baza unor scannere şi camere digitale, ce capturează forma anatomică a bontului, înlocuind astfel mulajul şi modelarea negativului în procesul de producţie; </w:t>
      </w:r>
    </w:p>
    <w:p w:rsidR="00643600" w:rsidRPr="00B2038E" w:rsidRDefault="00643600" w:rsidP="002617A6">
      <w:pPr>
        <w:pStyle w:val="Listparagraf"/>
        <w:numPr>
          <w:ilvl w:val="0"/>
          <w:numId w:val="78"/>
        </w:numPr>
        <w:spacing w:after="160" w:line="259" w:lineRule="auto"/>
        <w:ind w:left="1080"/>
        <w:jc w:val="both"/>
        <w:rPr>
          <w:rFonts w:ascii="Arial Narrow" w:hAnsi="Arial Narrow"/>
          <w:bCs/>
          <w:sz w:val="24"/>
          <w:szCs w:val="24"/>
        </w:rPr>
      </w:pPr>
      <w:r w:rsidRPr="00EC63FB">
        <w:rPr>
          <w:rFonts w:ascii="Arial Narrow" w:hAnsi="Arial Narrow"/>
          <w:sz w:val="24"/>
          <w:szCs w:val="24"/>
        </w:rPr>
        <w:t>Cea mai performantă proteză de mână bionică i-Limb și i-Limb Ultra, acţionată prin captarea de semnale electrice de la muşchii brațului, uşor de folosit în activități care necesită forţă, îndemânare sau finețe</w:t>
      </w:r>
    </w:p>
    <w:p w:rsidR="00643600" w:rsidRPr="002B7438" w:rsidRDefault="00643600" w:rsidP="002617A6">
      <w:pPr>
        <w:pStyle w:val="Listparagraf"/>
        <w:numPr>
          <w:ilvl w:val="0"/>
          <w:numId w:val="77"/>
        </w:numPr>
        <w:spacing w:after="160" w:line="259" w:lineRule="auto"/>
        <w:jc w:val="both"/>
        <w:rPr>
          <w:rFonts w:ascii="Arial Narrow" w:hAnsi="Arial Narrow"/>
          <w:b/>
          <w:bCs/>
          <w:sz w:val="24"/>
          <w:szCs w:val="24"/>
        </w:rPr>
      </w:pPr>
      <w:r w:rsidRPr="00B2038E">
        <w:rPr>
          <w:rFonts w:ascii="Arial Narrow" w:hAnsi="Arial Narrow"/>
          <w:b/>
          <w:bCs/>
          <w:sz w:val="24"/>
          <w:szCs w:val="24"/>
        </w:rPr>
        <w:t>Santa SA</w:t>
      </w:r>
      <w:r>
        <w:rPr>
          <w:rFonts w:ascii="Arial Narrow" w:hAnsi="Arial Narrow"/>
          <w:b/>
          <w:bCs/>
          <w:sz w:val="24"/>
          <w:szCs w:val="24"/>
        </w:rPr>
        <w:t xml:space="preserve"> (</w:t>
      </w:r>
      <w:r w:rsidRPr="00B2038E">
        <w:rPr>
          <w:rFonts w:ascii="Arial Narrow" w:hAnsi="Arial Narrow"/>
          <w:b/>
          <w:bCs/>
          <w:sz w:val="24"/>
          <w:szCs w:val="24"/>
        </w:rPr>
        <w:t>SANOSAN Pharmaceuticals</w:t>
      </w:r>
      <w:r>
        <w:rPr>
          <w:rFonts w:ascii="Arial Narrow" w:hAnsi="Arial Narrow"/>
          <w:b/>
          <w:bCs/>
          <w:sz w:val="24"/>
          <w:szCs w:val="24"/>
        </w:rPr>
        <w:t xml:space="preserve">) </w:t>
      </w:r>
      <w:r w:rsidRPr="00B2038E">
        <w:rPr>
          <w:rFonts w:ascii="Arial Narrow" w:hAnsi="Arial Narrow"/>
          <w:bCs/>
          <w:sz w:val="24"/>
          <w:szCs w:val="24"/>
        </w:rPr>
        <w:t>din Brașov</w:t>
      </w:r>
      <w:r>
        <w:rPr>
          <w:rFonts w:ascii="Arial Narrow" w:hAnsi="Arial Narrow"/>
          <w:b/>
          <w:bCs/>
          <w:sz w:val="24"/>
          <w:szCs w:val="24"/>
        </w:rPr>
        <w:t xml:space="preserve"> </w:t>
      </w:r>
      <w:r w:rsidRPr="00B2038E">
        <w:rPr>
          <w:rFonts w:ascii="Arial Narrow" w:hAnsi="Arial Narrow"/>
          <w:bCs/>
          <w:sz w:val="24"/>
          <w:szCs w:val="24"/>
        </w:rPr>
        <w:t>oferă servicii de</w:t>
      </w:r>
      <w:r>
        <w:rPr>
          <w:rFonts w:ascii="Arial Narrow" w:hAnsi="Arial Narrow"/>
          <w:b/>
          <w:bCs/>
          <w:sz w:val="24"/>
          <w:szCs w:val="24"/>
        </w:rPr>
        <w:t xml:space="preserve"> </w:t>
      </w:r>
      <w:r w:rsidRPr="002860B3">
        <w:rPr>
          <w:rFonts w:ascii="Arial Narrow" w:hAnsi="Arial Narrow"/>
          <w:sz w:val="24"/>
          <w:szCs w:val="24"/>
        </w:rPr>
        <w:t>studii cl</w:t>
      </w:r>
      <w:r>
        <w:rPr>
          <w:rFonts w:ascii="Arial Narrow" w:hAnsi="Arial Narrow"/>
          <w:sz w:val="24"/>
          <w:szCs w:val="24"/>
        </w:rPr>
        <w:t xml:space="preserve">inice de bioechivalență și fazele </w:t>
      </w:r>
      <w:r w:rsidRPr="002860B3">
        <w:rPr>
          <w:rFonts w:ascii="Arial Narrow" w:hAnsi="Arial Narrow"/>
          <w:sz w:val="24"/>
          <w:szCs w:val="24"/>
        </w:rPr>
        <w:t>I</w:t>
      </w:r>
      <w:r>
        <w:rPr>
          <w:rFonts w:ascii="Arial Narrow" w:hAnsi="Arial Narrow"/>
          <w:sz w:val="24"/>
          <w:szCs w:val="24"/>
        </w:rPr>
        <w:t>I-IV</w:t>
      </w:r>
    </w:p>
    <w:p w:rsidR="00643600" w:rsidRPr="00F55B05" w:rsidRDefault="00643600" w:rsidP="002617A6">
      <w:pPr>
        <w:pStyle w:val="Listparagraf"/>
        <w:numPr>
          <w:ilvl w:val="0"/>
          <w:numId w:val="77"/>
        </w:numPr>
        <w:spacing w:after="160" w:line="259" w:lineRule="auto"/>
        <w:jc w:val="both"/>
        <w:rPr>
          <w:rFonts w:ascii="Arial Narrow" w:hAnsi="Arial Narrow"/>
          <w:b/>
          <w:bCs/>
          <w:sz w:val="24"/>
          <w:szCs w:val="24"/>
        </w:rPr>
      </w:pPr>
      <w:r>
        <w:rPr>
          <w:rFonts w:ascii="Arial Narrow" w:hAnsi="Arial Narrow"/>
          <w:b/>
          <w:bCs/>
          <w:sz w:val="24"/>
          <w:szCs w:val="24"/>
        </w:rPr>
        <w:t xml:space="preserve">BIOEF SRL </w:t>
      </w:r>
      <w:r>
        <w:rPr>
          <w:rFonts w:ascii="Arial Narrow" w:hAnsi="Arial Narrow"/>
          <w:bCs/>
          <w:sz w:val="24"/>
          <w:szCs w:val="24"/>
        </w:rPr>
        <w:t>e</w:t>
      </w:r>
      <w:r w:rsidRPr="00F55B05">
        <w:rPr>
          <w:rFonts w:ascii="Arial Narrow" w:hAnsi="Arial Narrow"/>
          <w:bCs/>
          <w:sz w:val="24"/>
          <w:szCs w:val="24"/>
        </w:rPr>
        <w:t xml:space="preserve">ste specializata in productia de lapte praf pentru sugari si copii mici. </w:t>
      </w:r>
    </w:p>
    <w:p w:rsidR="00643600" w:rsidRDefault="00643600" w:rsidP="00643600">
      <w:pPr>
        <w:pStyle w:val="Listparagraf"/>
        <w:ind w:left="360"/>
        <w:jc w:val="both"/>
        <w:rPr>
          <w:rFonts w:ascii="Arial Narrow" w:hAnsi="Arial Narrow"/>
          <w:bCs/>
          <w:sz w:val="24"/>
          <w:szCs w:val="24"/>
        </w:rPr>
      </w:pPr>
      <w:r w:rsidRPr="00F55B05">
        <w:rPr>
          <w:rFonts w:ascii="Arial Narrow" w:hAnsi="Arial Narrow"/>
          <w:bCs/>
          <w:sz w:val="24"/>
          <w:szCs w:val="24"/>
        </w:rPr>
        <w:t>Prod</w:t>
      </w:r>
      <w:r>
        <w:rPr>
          <w:rFonts w:ascii="Arial Narrow" w:hAnsi="Arial Narrow"/>
          <w:bCs/>
          <w:sz w:val="24"/>
          <w:szCs w:val="24"/>
        </w:rPr>
        <w:t>usul Vitalact - Lactoferin, conț</w:t>
      </w:r>
      <w:r w:rsidRPr="00F55B05">
        <w:rPr>
          <w:rFonts w:ascii="Arial Narrow" w:hAnsi="Arial Narrow"/>
          <w:bCs/>
          <w:sz w:val="24"/>
          <w:szCs w:val="24"/>
        </w:rPr>
        <w:t>ine lactof</w:t>
      </w:r>
      <w:r>
        <w:rPr>
          <w:rFonts w:ascii="Arial Narrow" w:hAnsi="Arial Narrow"/>
          <w:bCs/>
          <w:sz w:val="24"/>
          <w:szCs w:val="24"/>
        </w:rPr>
        <w:t>erina care este un produs unic în Europa, iar pentru România reprezintă o noutate absolută. Japonia și Noua Zeelanda sunt singurele ță</w:t>
      </w:r>
      <w:r w:rsidRPr="00F55B05">
        <w:rPr>
          <w:rFonts w:ascii="Arial Narrow" w:hAnsi="Arial Narrow"/>
          <w:bCs/>
          <w:sz w:val="24"/>
          <w:szCs w:val="24"/>
        </w:rPr>
        <w:t>ri care mai produc lapte praf cu lactof</w:t>
      </w:r>
      <w:r>
        <w:rPr>
          <w:rFonts w:ascii="Arial Narrow" w:hAnsi="Arial Narrow"/>
          <w:bCs/>
          <w:sz w:val="24"/>
          <w:szCs w:val="24"/>
        </w:rPr>
        <w:t>erina. Acest produs are 12 funcț</w:t>
      </w:r>
      <w:r w:rsidRPr="00F55B05">
        <w:rPr>
          <w:rFonts w:ascii="Arial Narrow" w:hAnsi="Arial Narrow"/>
          <w:bCs/>
          <w:sz w:val="24"/>
          <w:szCs w:val="24"/>
        </w:rPr>
        <w:t>ii activ</w:t>
      </w:r>
      <w:r>
        <w:rPr>
          <w:rFonts w:ascii="Arial Narrow" w:hAnsi="Arial Narrow"/>
          <w:bCs/>
          <w:sz w:val="24"/>
          <w:szCs w:val="24"/>
        </w:rPr>
        <w:t>e dovedite prin studii clinice și experimente ș</w:t>
      </w:r>
      <w:r w:rsidRPr="00F55B05">
        <w:rPr>
          <w:rFonts w:ascii="Arial Narrow" w:hAnsi="Arial Narrow"/>
          <w:bCs/>
          <w:sz w:val="24"/>
          <w:szCs w:val="24"/>
        </w:rPr>
        <w:t>i es</w:t>
      </w:r>
      <w:r>
        <w:rPr>
          <w:rFonts w:ascii="Arial Narrow" w:hAnsi="Arial Narrow"/>
          <w:bCs/>
          <w:sz w:val="24"/>
          <w:szCs w:val="24"/>
        </w:rPr>
        <w:t>te unul dintre cei mai importanț</w:t>
      </w:r>
      <w:r w:rsidRPr="00F55B05">
        <w:rPr>
          <w:rFonts w:ascii="Arial Narrow" w:hAnsi="Arial Narrow"/>
          <w:bCs/>
          <w:sz w:val="24"/>
          <w:szCs w:val="24"/>
        </w:rPr>
        <w:t xml:space="preserve">i prebiotici </w:t>
      </w:r>
      <w:r>
        <w:rPr>
          <w:rFonts w:ascii="Arial Narrow" w:hAnsi="Arial Narrow"/>
          <w:bCs/>
          <w:sz w:val="24"/>
          <w:szCs w:val="24"/>
        </w:rPr>
        <w:t>–</w:t>
      </w:r>
      <w:r w:rsidRPr="00F55B05">
        <w:rPr>
          <w:rFonts w:ascii="Arial Narrow" w:hAnsi="Arial Narrow"/>
          <w:bCs/>
          <w:sz w:val="24"/>
          <w:szCs w:val="24"/>
        </w:rPr>
        <w:t xml:space="preserve"> </w:t>
      </w:r>
    </w:p>
    <w:p w:rsidR="00643600" w:rsidRDefault="00643600" w:rsidP="00643600">
      <w:pPr>
        <w:pStyle w:val="Listparagraf"/>
        <w:ind w:left="360"/>
        <w:jc w:val="both"/>
        <w:rPr>
          <w:rFonts w:ascii="Arial Narrow" w:hAnsi="Arial Narrow"/>
          <w:b/>
          <w:bCs/>
          <w:sz w:val="24"/>
          <w:szCs w:val="24"/>
        </w:rPr>
      </w:pPr>
      <w:r w:rsidRPr="00F55B05">
        <w:rPr>
          <w:rFonts w:ascii="Arial Narrow" w:hAnsi="Arial Narrow"/>
          <w:bCs/>
          <w:sz w:val="24"/>
          <w:szCs w:val="24"/>
        </w:rPr>
        <w:t>simbiotic</w:t>
      </w:r>
      <w:r w:rsidRPr="002B7438">
        <w:rPr>
          <w:rFonts w:ascii="Arial Narrow" w:hAnsi="Arial Narrow"/>
          <w:b/>
          <w:bCs/>
          <w:sz w:val="24"/>
          <w:szCs w:val="24"/>
        </w:rPr>
        <w:t>.</w:t>
      </w:r>
    </w:p>
    <w:p w:rsidR="00643600" w:rsidRPr="00AE707E" w:rsidRDefault="00643600" w:rsidP="002617A6">
      <w:pPr>
        <w:pStyle w:val="Listparagraf"/>
        <w:numPr>
          <w:ilvl w:val="0"/>
          <w:numId w:val="77"/>
        </w:numPr>
        <w:spacing w:after="160" w:line="259" w:lineRule="auto"/>
        <w:jc w:val="both"/>
        <w:rPr>
          <w:rFonts w:ascii="Arial Narrow" w:hAnsi="Arial Narrow"/>
          <w:bCs/>
          <w:sz w:val="24"/>
          <w:szCs w:val="24"/>
        </w:rPr>
      </w:pPr>
      <w:r>
        <w:rPr>
          <w:rFonts w:ascii="Arial Narrow" w:hAnsi="Arial Narrow"/>
          <w:b/>
          <w:bCs/>
          <w:sz w:val="24"/>
          <w:szCs w:val="24"/>
        </w:rPr>
        <w:t xml:space="preserve">Gedeon Richter Romania </w:t>
      </w:r>
      <w:r w:rsidRPr="00E17F36">
        <w:rPr>
          <w:rFonts w:ascii="Arial Narrow" w:hAnsi="Arial Narrow"/>
          <w:bCs/>
          <w:sz w:val="24"/>
          <w:szCs w:val="24"/>
        </w:rPr>
        <w:t>– activitatea de cercetare-dezvoltare este concretizată prin cercetarea de substanţe active originale şi prin dezvoltarea de generice, compania având în prezent în portofoliu peste 60 de medicamente dezvoltate şi produse de subsidiara din Romania, marea majoritate fiind introduse în fabricaţie după 1998, iar un număr de 15 produse au trecut prin faza de redezvoltare.</w:t>
      </w:r>
    </w:p>
    <w:p w:rsidR="00643600" w:rsidRDefault="00643600" w:rsidP="00643600">
      <w:pPr>
        <w:spacing w:after="0" w:line="240" w:lineRule="auto"/>
        <w:jc w:val="both"/>
        <w:rPr>
          <w:rFonts w:ascii="Arial Narrow" w:hAnsi="Arial Narrow"/>
          <w:color w:val="00B050"/>
          <w:sz w:val="24"/>
          <w:szCs w:val="24"/>
        </w:rPr>
      </w:pPr>
      <w:r w:rsidRPr="00FE5C30">
        <w:rPr>
          <w:rFonts w:ascii="Arial Narrow" w:hAnsi="Arial Narrow"/>
          <w:color w:val="000000"/>
          <w:sz w:val="24"/>
          <w:szCs w:val="24"/>
        </w:rPr>
        <w:lastRenderedPageBreak/>
        <w:t xml:space="preserve">Un actor de o importanță majoră care a reușit să transforme modul de intervenție în situații de urgență este </w:t>
      </w:r>
      <w:r w:rsidRPr="0069722D">
        <w:rPr>
          <w:rFonts w:ascii="Arial Narrow" w:hAnsi="Arial Narrow"/>
          <w:b/>
          <w:sz w:val="24"/>
          <w:szCs w:val="24"/>
        </w:rPr>
        <w:t>Serviciul Mobil de Urgență, Reanimare și Descarcerare</w:t>
      </w:r>
      <w:r w:rsidRPr="005D725A">
        <w:rPr>
          <w:rFonts w:ascii="Arial Narrow" w:hAnsi="Arial Narrow"/>
          <w:sz w:val="24"/>
          <w:szCs w:val="24"/>
        </w:rPr>
        <w:t xml:space="preserve"> (abreviat </w:t>
      </w:r>
      <w:r w:rsidRPr="0069722D">
        <w:rPr>
          <w:rFonts w:ascii="Arial Narrow" w:hAnsi="Arial Narrow"/>
          <w:b/>
          <w:sz w:val="24"/>
          <w:szCs w:val="24"/>
        </w:rPr>
        <w:t>SMURD</w:t>
      </w:r>
      <w:r w:rsidRPr="005D725A">
        <w:rPr>
          <w:rFonts w:ascii="Arial Narrow" w:hAnsi="Arial Narrow"/>
          <w:sz w:val="24"/>
          <w:szCs w:val="24"/>
        </w:rPr>
        <w:t>).</w:t>
      </w:r>
      <w:r>
        <w:rPr>
          <w:rFonts w:ascii="Arial Narrow" w:hAnsi="Arial Narrow"/>
          <w:color w:val="00B050"/>
          <w:sz w:val="24"/>
          <w:szCs w:val="24"/>
        </w:rPr>
        <w:t xml:space="preserve"> </w:t>
      </w:r>
    </w:p>
    <w:p w:rsidR="00643600" w:rsidRDefault="00643600" w:rsidP="00643600">
      <w:pPr>
        <w:spacing w:after="0" w:line="240" w:lineRule="auto"/>
        <w:jc w:val="both"/>
        <w:rPr>
          <w:rFonts w:ascii="Arial Narrow" w:hAnsi="Arial Narrow"/>
          <w:sz w:val="24"/>
          <w:szCs w:val="24"/>
        </w:rPr>
      </w:pPr>
      <w:r>
        <w:rPr>
          <w:rFonts w:ascii="Arial Narrow" w:hAnsi="Arial Narrow"/>
          <w:sz w:val="24"/>
          <w:szCs w:val="24"/>
        </w:rPr>
        <w:t>Serviciul SMURD şi-a început activitatea la Tîrgu Mureş în anul 1990, iniţial sub forma unui experiment.  Pentru abordarea sa cu caracter inovativ pentru sistemul de urgenţă și în urma rezultatelor remarcabile, a fost preluat în 1993 la Oradea ş</w:t>
      </w:r>
      <w:r w:rsidRPr="009B1B90">
        <w:rPr>
          <w:rFonts w:ascii="Arial Narrow" w:hAnsi="Arial Narrow"/>
          <w:sz w:val="24"/>
          <w:szCs w:val="24"/>
        </w:rPr>
        <w:t>i la Sibiu</w:t>
      </w:r>
      <w:r>
        <w:rPr>
          <w:rFonts w:ascii="Arial Narrow" w:hAnsi="Arial Narrow"/>
          <w:sz w:val="24"/>
          <w:szCs w:val="24"/>
        </w:rPr>
        <w:t>, iar din</w:t>
      </w:r>
      <w:r w:rsidRPr="005D725A">
        <w:rPr>
          <w:rFonts w:ascii="Arial Narrow" w:hAnsi="Arial Narrow"/>
          <w:sz w:val="24"/>
          <w:szCs w:val="24"/>
        </w:rPr>
        <w:t xml:space="preserve"> 2007 serviciul a fost extins la nivel </w:t>
      </w:r>
      <w:r>
        <w:rPr>
          <w:rFonts w:ascii="Arial Narrow" w:hAnsi="Arial Narrow"/>
          <w:sz w:val="24"/>
          <w:szCs w:val="24"/>
        </w:rPr>
        <w:t>naţional. În primii ani</w:t>
      </w:r>
      <w:r w:rsidRPr="006B3AEF">
        <w:rPr>
          <w:rFonts w:ascii="Arial Narrow" w:hAnsi="Arial Narrow"/>
          <w:sz w:val="24"/>
          <w:szCs w:val="24"/>
        </w:rPr>
        <w:t xml:space="preserve"> </w:t>
      </w:r>
      <w:r w:rsidRPr="00821699">
        <w:rPr>
          <w:rFonts w:ascii="Arial Narrow" w:hAnsi="Arial Narrow"/>
          <w:sz w:val="24"/>
          <w:szCs w:val="24"/>
        </w:rPr>
        <w:t>a func</w:t>
      </w:r>
      <w:r>
        <w:rPr>
          <w:rFonts w:ascii="Arial Narrow" w:hAnsi="Arial Narrow"/>
          <w:sz w:val="24"/>
          <w:szCs w:val="24"/>
        </w:rPr>
        <w:t>ţ</w:t>
      </w:r>
      <w:r w:rsidRPr="00821699">
        <w:rPr>
          <w:rFonts w:ascii="Arial Narrow" w:hAnsi="Arial Narrow"/>
          <w:sz w:val="24"/>
          <w:szCs w:val="24"/>
        </w:rPr>
        <w:t xml:space="preserve">ionat </w:t>
      </w:r>
      <w:r>
        <w:rPr>
          <w:rFonts w:ascii="Arial Narrow" w:hAnsi="Arial Narrow"/>
          <w:sz w:val="24"/>
          <w:szCs w:val="24"/>
        </w:rPr>
        <w:t>î</w:t>
      </w:r>
      <w:r w:rsidRPr="00821699">
        <w:rPr>
          <w:rFonts w:ascii="Arial Narrow" w:hAnsi="Arial Narrow"/>
          <w:sz w:val="24"/>
          <w:szCs w:val="24"/>
        </w:rPr>
        <w:t xml:space="preserve">n totalitate cu personal </w:t>
      </w:r>
      <w:r>
        <w:rPr>
          <w:rFonts w:ascii="Arial Narrow" w:hAnsi="Arial Narrow"/>
          <w:sz w:val="24"/>
          <w:szCs w:val="24"/>
        </w:rPr>
        <w:t>voluntar.</w:t>
      </w:r>
    </w:p>
    <w:p w:rsidR="00643600" w:rsidRDefault="00643600" w:rsidP="00643600">
      <w:pPr>
        <w:spacing w:after="0" w:line="240" w:lineRule="auto"/>
        <w:ind w:firstLine="720"/>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Pr>
          <w:rFonts w:ascii="Arial Narrow" w:hAnsi="Arial Narrow"/>
          <w:sz w:val="24"/>
          <w:szCs w:val="24"/>
        </w:rPr>
        <w:t>O</w:t>
      </w:r>
      <w:r w:rsidRPr="00AB553D">
        <w:rPr>
          <w:rFonts w:ascii="Arial Narrow" w:hAnsi="Arial Narrow"/>
          <w:sz w:val="24"/>
          <w:szCs w:val="24"/>
        </w:rPr>
        <w:t>biectiv</w:t>
      </w:r>
      <w:r>
        <w:rPr>
          <w:rFonts w:ascii="Arial Narrow" w:hAnsi="Arial Narrow"/>
          <w:sz w:val="24"/>
          <w:szCs w:val="24"/>
        </w:rPr>
        <w:t xml:space="preserve">ul </w:t>
      </w:r>
      <w:r w:rsidRPr="00AB553D">
        <w:rPr>
          <w:rFonts w:ascii="Arial Narrow" w:hAnsi="Arial Narrow"/>
          <w:sz w:val="24"/>
          <w:szCs w:val="24"/>
        </w:rPr>
        <w:t xml:space="preserve">principal </w:t>
      </w:r>
      <w:r>
        <w:rPr>
          <w:rFonts w:ascii="Arial Narrow" w:hAnsi="Arial Narrow"/>
          <w:sz w:val="24"/>
          <w:szCs w:val="24"/>
        </w:rPr>
        <w:t xml:space="preserve">al acestui serviciu constă în </w:t>
      </w:r>
      <w:r w:rsidRPr="00AB553D">
        <w:rPr>
          <w:rFonts w:ascii="Arial Narrow" w:hAnsi="Arial Narrow"/>
          <w:sz w:val="24"/>
          <w:szCs w:val="24"/>
        </w:rPr>
        <w:t xml:space="preserve">asigurarea asistenţei medicale prompte </w:t>
      </w:r>
      <w:r>
        <w:rPr>
          <w:rFonts w:ascii="Arial Narrow" w:hAnsi="Arial Narrow"/>
          <w:sz w:val="24"/>
          <w:szCs w:val="24"/>
        </w:rPr>
        <w:t>î</w:t>
      </w:r>
      <w:r w:rsidRPr="00AB553D">
        <w:rPr>
          <w:rFonts w:ascii="Arial Narrow" w:hAnsi="Arial Narrow"/>
          <w:sz w:val="24"/>
          <w:szCs w:val="24"/>
        </w:rPr>
        <w:t>n urgen</w:t>
      </w:r>
      <w:r>
        <w:rPr>
          <w:rFonts w:ascii="Arial Narrow" w:hAnsi="Arial Narrow"/>
          <w:sz w:val="24"/>
          <w:szCs w:val="24"/>
        </w:rPr>
        <w:t>ţ</w:t>
      </w:r>
      <w:r w:rsidRPr="00AB553D">
        <w:rPr>
          <w:rFonts w:ascii="Arial Narrow" w:hAnsi="Arial Narrow"/>
          <w:sz w:val="24"/>
          <w:szCs w:val="24"/>
        </w:rPr>
        <w:t xml:space="preserve">e medico-chirurgicale vitale </w:t>
      </w:r>
      <w:r>
        <w:rPr>
          <w:rFonts w:ascii="Arial Narrow" w:hAnsi="Arial Narrow"/>
          <w:sz w:val="24"/>
          <w:szCs w:val="24"/>
        </w:rPr>
        <w:t>ş</w:t>
      </w:r>
      <w:r w:rsidRPr="00AB553D">
        <w:rPr>
          <w:rFonts w:ascii="Arial Narrow" w:hAnsi="Arial Narrow"/>
          <w:sz w:val="24"/>
          <w:szCs w:val="24"/>
        </w:rPr>
        <w:t xml:space="preserve">i </w:t>
      </w:r>
      <w:r>
        <w:rPr>
          <w:rFonts w:ascii="Arial Narrow" w:hAnsi="Arial Narrow"/>
          <w:sz w:val="24"/>
          <w:szCs w:val="24"/>
        </w:rPr>
        <w:t>î</w:t>
      </w:r>
      <w:r w:rsidRPr="00AB553D">
        <w:rPr>
          <w:rFonts w:ascii="Arial Narrow" w:hAnsi="Arial Narrow"/>
          <w:sz w:val="24"/>
          <w:szCs w:val="24"/>
        </w:rPr>
        <w:t>n situa</w:t>
      </w:r>
      <w:r>
        <w:rPr>
          <w:rFonts w:ascii="Arial Narrow" w:hAnsi="Arial Narrow"/>
          <w:sz w:val="24"/>
          <w:szCs w:val="24"/>
        </w:rPr>
        <w:t>ţ</w:t>
      </w:r>
      <w:r w:rsidRPr="00AB553D">
        <w:rPr>
          <w:rFonts w:ascii="Arial Narrow" w:hAnsi="Arial Narrow"/>
          <w:sz w:val="24"/>
          <w:szCs w:val="24"/>
        </w:rPr>
        <w:t>ii de catastrof</w:t>
      </w:r>
      <w:r>
        <w:rPr>
          <w:rFonts w:ascii="Arial Narrow" w:hAnsi="Arial Narrow"/>
          <w:sz w:val="24"/>
          <w:szCs w:val="24"/>
        </w:rPr>
        <w:t>ă</w:t>
      </w:r>
      <w:r w:rsidRPr="00AB553D">
        <w:rPr>
          <w:rFonts w:ascii="Arial Narrow" w:hAnsi="Arial Narrow"/>
          <w:sz w:val="24"/>
          <w:szCs w:val="24"/>
        </w:rPr>
        <w:t xml:space="preserve">. </w:t>
      </w:r>
    </w:p>
    <w:p w:rsidR="00643600" w:rsidRPr="003E54D6"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Pr>
          <w:rFonts w:ascii="Arial Narrow" w:hAnsi="Arial Narrow"/>
          <w:sz w:val="24"/>
          <w:szCs w:val="24"/>
        </w:rPr>
        <w:t xml:space="preserve">În prezent, </w:t>
      </w:r>
      <w:r w:rsidRPr="005D725A">
        <w:rPr>
          <w:rFonts w:ascii="Arial Narrow" w:hAnsi="Arial Narrow"/>
          <w:sz w:val="24"/>
          <w:szCs w:val="24"/>
        </w:rPr>
        <w:t xml:space="preserve">SMURD este o unitate de intervenție publică de importanță strategică, </w:t>
      </w:r>
      <w:r>
        <w:rPr>
          <w:rFonts w:ascii="Arial Narrow" w:hAnsi="Arial Narrow"/>
          <w:sz w:val="24"/>
          <w:szCs w:val="24"/>
        </w:rPr>
        <w:t xml:space="preserve">având la </w:t>
      </w:r>
      <w:r w:rsidRPr="00B3186C">
        <w:rPr>
          <w:rFonts w:ascii="Arial Narrow" w:hAnsi="Arial Narrow"/>
          <w:sz w:val="24"/>
          <w:szCs w:val="24"/>
        </w:rPr>
        <w:t>dispoziţie șase</w:t>
      </w:r>
      <w:r w:rsidRPr="005D725A">
        <w:rPr>
          <w:rFonts w:ascii="Arial Narrow" w:hAnsi="Arial Narrow"/>
          <w:sz w:val="24"/>
          <w:szCs w:val="24"/>
        </w:rPr>
        <w:t xml:space="preserve"> baze de salvare aeromedicale în București, Târgu Mureș, Iași, Arad, Craiova, Constanț</w:t>
      </w:r>
      <w:r>
        <w:rPr>
          <w:rFonts w:ascii="Arial Narrow" w:hAnsi="Arial Narrow"/>
          <w:sz w:val="24"/>
          <w:szCs w:val="24"/>
        </w:rPr>
        <w:t>a</w:t>
      </w:r>
      <w:r w:rsidRPr="006A56A0">
        <w:rPr>
          <w:rFonts w:ascii="Arial Narrow" w:hAnsi="Arial Narrow"/>
          <w:sz w:val="24"/>
          <w:szCs w:val="24"/>
        </w:rPr>
        <w:t>,</w:t>
      </w:r>
      <w:r>
        <w:rPr>
          <w:rFonts w:ascii="Arial Narrow" w:hAnsi="Arial Narrow"/>
          <w:sz w:val="24"/>
          <w:szCs w:val="24"/>
        </w:rPr>
        <w:t xml:space="preserve"> </w:t>
      </w:r>
      <w:r w:rsidRPr="005D725A">
        <w:rPr>
          <w:rFonts w:ascii="Arial Narrow" w:hAnsi="Arial Narrow"/>
          <w:sz w:val="24"/>
          <w:szCs w:val="24"/>
        </w:rPr>
        <w:t xml:space="preserve">echipe integrate de reanimare, precum și echipe cu personal paramedical, specializat în acordarea primului ajutor calificat. Serviciul funcționează în cadrul Inspectoratelor județene pentru situație de urgență – având ca operator aerian structuri de aviație ale Ministerului Administrației și Internelor, în colaborare cu spitalele județene, regionale și cu autoritățile publice locale. </w:t>
      </w:r>
    </w:p>
    <w:p w:rsidR="00643600" w:rsidRDefault="00643600" w:rsidP="00643600">
      <w:pPr>
        <w:spacing w:after="0" w:line="240" w:lineRule="auto"/>
        <w:jc w:val="both"/>
        <w:rPr>
          <w:rFonts w:ascii="Arial Narrow" w:hAnsi="Arial Narrow"/>
          <w:sz w:val="24"/>
          <w:szCs w:val="24"/>
        </w:rPr>
      </w:pPr>
    </w:p>
    <w:p w:rsidR="00643600" w:rsidRPr="00A338D2" w:rsidRDefault="00643600" w:rsidP="00643600">
      <w:pPr>
        <w:spacing w:after="0" w:line="240" w:lineRule="auto"/>
        <w:jc w:val="both"/>
        <w:rPr>
          <w:rFonts w:ascii="Arial Narrow" w:hAnsi="Arial Narrow"/>
          <w:sz w:val="24"/>
          <w:szCs w:val="24"/>
        </w:rPr>
      </w:pPr>
      <w:r w:rsidRPr="005D725A">
        <w:rPr>
          <w:rFonts w:ascii="Arial Narrow" w:hAnsi="Arial Narrow"/>
          <w:sz w:val="24"/>
          <w:szCs w:val="24"/>
        </w:rPr>
        <w:t>În structura de primire urgențe SMURD a fost inclus de la sfârșitul anului 2015 Centrul Național de Formare în Asistenţă Medicală de Urgenţă în Coordonarea Accidentelor cu Multiple Victime care asigură instruirea și simularea în situațiile medicale de urgență, precum și în coordonarea intervenți</w:t>
      </w:r>
      <w:r>
        <w:rPr>
          <w:rFonts w:ascii="Arial Narrow" w:hAnsi="Arial Narrow"/>
          <w:sz w:val="24"/>
          <w:szCs w:val="24"/>
        </w:rPr>
        <w:t>ilor de urgență la nivel înalt.</w:t>
      </w:r>
    </w:p>
    <w:p w:rsidR="00643600" w:rsidRDefault="00643600" w:rsidP="00643600">
      <w:pPr>
        <w:spacing w:after="0" w:line="240" w:lineRule="auto"/>
        <w:contextualSpacing/>
        <w:jc w:val="both"/>
        <w:rPr>
          <w:rFonts w:ascii="Arial Narrow" w:eastAsia="Times New Roman" w:hAnsi="Arial Narrow"/>
          <w:sz w:val="24"/>
          <w:szCs w:val="24"/>
          <w:lang w:val="ro-RO" w:eastAsia="ro-RO"/>
        </w:rPr>
      </w:pPr>
    </w:p>
    <w:p w:rsidR="00643600" w:rsidRPr="005A0F19" w:rsidRDefault="00643600" w:rsidP="00643600">
      <w:pPr>
        <w:spacing w:after="0" w:line="240" w:lineRule="auto"/>
        <w:contextualSpacing/>
        <w:jc w:val="both"/>
        <w:rPr>
          <w:rFonts w:ascii="Arial Narrow" w:eastAsia="Times New Roman" w:hAnsi="Arial Narrow"/>
          <w:sz w:val="24"/>
          <w:szCs w:val="24"/>
          <w:u w:val="single"/>
          <w:lang w:val="ro-RO" w:eastAsia="ro-RO"/>
        </w:rPr>
      </w:pPr>
      <w:r>
        <w:rPr>
          <w:rFonts w:ascii="Arial Narrow" w:eastAsia="Times New Roman" w:hAnsi="Arial Narrow"/>
          <w:sz w:val="24"/>
          <w:szCs w:val="24"/>
          <w:lang w:val="ro-RO" w:eastAsia="ro-RO"/>
        </w:rPr>
        <w:t xml:space="preserve">Reprezentativ pentru acest sector este </w:t>
      </w:r>
      <w:r w:rsidRPr="005A0F19">
        <w:rPr>
          <w:rFonts w:ascii="Arial Narrow" w:hAnsi="Arial Narrow" w:cs="Cambria"/>
          <w:b/>
          <w:color w:val="000000"/>
          <w:sz w:val="24"/>
          <w:szCs w:val="24"/>
        </w:rPr>
        <w:t>Clusterul M</w:t>
      </w:r>
      <w:r>
        <w:rPr>
          <w:rFonts w:ascii="Arial Narrow" w:hAnsi="Arial Narrow" w:cs="Cambria"/>
          <w:b/>
          <w:color w:val="000000"/>
          <w:sz w:val="24"/>
          <w:szCs w:val="24"/>
        </w:rPr>
        <w:t>edical Sănătate Româ</w:t>
      </w:r>
      <w:r w:rsidRPr="005A0F19">
        <w:rPr>
          <w:rFonts w:ascii="Arial Narrow" w:hAnsi="Arial Narrow" w:cs="Cambria"/>
          <w:b/>
          <w:color w:val="000000"/>
          <w:sz w:val="24"/>
          <w:szCs w:val="24"/>
        </w:rPr>
        <w:t>nia</w:t>
      </w:r>
      <w:r w:rsidRPr="005A0F19">
        <w:rPr>
          <w:rFonts w:ascii="Arial Narrow" w:hAnsi="Arial Narrow" w:cs="Cambria"/>
          <w:color w:val="000000"/>
          <w:sz w:val="24"/>
          <w:szCs w:val="24"/>
        </w:rPr>
        <w:t>, c</w:t>
      </w:r>
      <w:r>
        <w:rPr>
          <w:rFonts w:ascii="Arial Narrow" w:hAnsi="Arial Narrow" w:cs="Cambria"/>
          <w:color w:val="000000"/>
          <w:sz w:val="24"/>
          <w:szCs w:val="24"/>
        </w:rPr>
        <w:t>onstituit în aprilie 2014 și este</w:t>
      </w:r>
      <w:r w:rsidRPr="005A0F19">
        <w:rPr>
          <w:rFonts w:ascii="Arial Narrow" w:hAnsi="Arial Narrow" w:cs="Cambria"/>
          <w:color w:val="000000"/>
          <w:sz w:val="24"/>
          <w:szCs w:val="24"/>
        </w:rPr>
        <w:t xml:space="preserve"> primul cluster medical din Rom</w:t>
      </w:r>
      <w:r>
        <w:rPr>
          <w:rFonts w:ascii="Arial Narrow" w:hAnsi="Arial Narrow" w:cs="Cambria"/>
          <w:color w:val="000000"/>
          <w:sz w:val="24"/>
          <w:szCs w:val="24"/>
        </w:rPr>
        <w:t>ânia. Clusterul r</w:t>
      </w:r>
      <w:r w:rsidRPr="005A0F19">
        <w:rPr>
          <w:rFonts w:ascii="Arial Narrow" w:hAnsi="Arial Narrow" w:cs="Cambria"/>
          <w:color w:val="000000"/>
          <w:sz w:val="24"/>
          <w:szCs w:val="24"/>
        </w:rPr>
        <w:t>eune</w:t>
      </w:r>
      <w:r>
        <w:rPr>
          <w:rFonts w:ascii="Arial Narrow" w:hAnsi="Arial Narrow" w:cs="Cambria"/>
          <w:color w:val="000000"/>
          <w:sz w:val="24"/>
          <w:szCs w:val="24"/>
        </w:rPr>
        <w:t>ş</w:t>
      </w:r>
      <w:r w:rsidRPr="005A0F19">
        <w:rPr>
          <w:rFonts w:ascii="Arial Narrow" w:hAnsi="Arial Narrow" w:cs="Cambria"/>
          <w:color w:val="000000"/>
          <w:sz w:val="24"/>
          <w:szCs w:val="24"/>
        </w:rPr>
        <w:t>te un num</w:t>
      </w:r>
      <w:r w:rsidRPr="005A0F19">
        <w:rPr>
          <w:rFonts w:ascii="Arial Narrow" w:hAnsi="Arial Narrow" w:cs="Cambria"/>
          <w:color w:val="000000"/>
          <w:sz w:val="24"/>
          <w:szCs w:val="24"/>
          <w:lang w:val="ro-RO"/>
        </w:rPr>
        <w:t>ăr de 20 de</w:t>
      </w:r>
      <w:r w:rsidRPr="005A0F19">
        <w:rPr>
          <w:rFonts w:ascii="Arial Narrow" w:hAnsi="Arial Narrow" w:cs="Cambria"/>
          <w:color w:val="000000"/>
          <w:sz w:val="24"/>
          <w:szCs w:val="24"/>
        </w:rPr>
        <w:t xml:space="preserve"> unit</w:t>
      </w:r>
      <w:r>
        <w:rPr>
          <w:rFonts w:ascii="Arial Narrow" w:hAnsi="Arial Narrow" w:cs="Cambria"/>
          <w:color w:val="000000"/>
          <w:sz w:val="24"/>
          <w:szCs w:val="24"/>
        </w:rPr>
        <w:t>ăţ</w:t>
      </w:r>
      <w:r w:rsidRPr="005A0F19">
        <w:rPr>
          <w:rFonts w:ascii="Arial Narrow" w:hAnsi="Arial Narrow" w:cs="Cambria"/>
          <w:color w:val="000000"/>
          <w:sz w:val="24"/>
          <w:szCs w:val="24"/>
        </w:rPr>
        <w:t>i sanitare de top, furnizorii de servicii medicale, organiza</w:t>
      </w:r>
      <w:r>
        <w:rPr>
          <w:rFonts w:ascii="Arial Narrow" w:hAnsi="Arial Narrow" w:cs="Cambria"/>
          <w:color w:val="000000"/>
          <w:sz w:val="24"/>
          <w:szCs w:val="24"/>
        </w:rPr>
        <w:t>ţ</w:t>
      </w:r>
      <w:r w:rsidRPr="005A0F19">
        <w:rPr>
          <w:rFonts w:ascii="Arial Narrow" w:hAnsi="Arial Narrow" w:cs="Cambria"/>
          <w:color w:val="000000"/>
          <w:sz w:val="24"/>
          <w:szCs w:val="24"/>
        </w:rPr>
        <w:t>ii profesionale, unit</w:t>
      </w:r>
      <w:r>
        <w:rPr>
          <w:rFonts w:ascii="Arial Narrow" w:hAnsi="Arial Narrow" w:cs="Cambria"/>
          <w:color w:val="000000"/>
          <w:sz w:val="24"/>
          <w:szCs w:val="24"/>
        </w:rPr>
        <w:t>ăţ</w:t>
      </w:r>
      <w:r w:rsidRPr="005A0F19">
        <w:rPr>
          <w:rFonts w:ascii="Arial Narrow" w:hAnsi="Arial Narrow" w:cs="Cambria"/>
          <w:color w:val="000000"/>
          <w:sz w:val="24"/>
          <w:szCs w:val="24"/>
        </w:rPr>
        <w:t xml:space="preserve">i de </w:t>
      </w:r>
      <w:r>
        <w:rPr>
          <w:rFonts w:ascii="Arial Narrow" w:hAnsi="Arial Narrow" w:cs="Cambria"/>
          <w:color w:val="000000"/>
          <w:sz w:val="24"/>
          <w:szCs w:val="24"/>
        </w:rPr>
        <w:t>învăţămâ</w:t>
      </w:r>
      <w:r w:rsidRPr="005A0F19">
        <w:rPr>
          <w:rFonts w:ascii="Arial Narrow" w:hAnsi="Arial Narrow" w:cs="Cambria"/>
          <w:color w:val="000000"/>
          <w:sz w:val="24"/>
          <w:szCs w:val="24"/>
        </w:rPr>
        <w:t>nt superior, facilitat</w:t>
      </w:r>
      <w:r>
        <w:rPr>
          <w:rFonts w:ascii="Arial Narrow" w:hAnsi="Arial Narrow" w:cs="Cambria"/>
          <w:color w:val="000000"/>
          <w:sz w:val="24"/>
          <w:szCs w:val="24"/>
        </w:rPr>
        <w:t>ori de turism medical, organizaţii catalizator ş</w:t>
      </w:r>
      <w:r w:rsidRPr="005A0F19">
        <w:rPr>
          <w:rFonts w:ascii="Arial Narrow" w:hAnsi="Arial Narrow" w:cs="Cambria"/>
          <w:color w:val="000000"/>
          <w:sz w:val="24"/>
          <w:szCs w:val="24"/>
        </w:rPr>
        <w:t>i este</w:t>
      </w:r>
      <w:r>
        <w:rPr>
          <w:rFonts w:ascii="Arial Narrow" w:hAnsi="Arial Narrow" w:cs="Cambria"/>
          <w:color w:val="000000"/>
          <w:sz w:val="24"/>
          <w:szCs w:val="24"/>
        </w:rPr>
        <w:t xml:space="preserve"> deschis afilierii altor entităţi medicale sau implicate î</w:t>
      </w:r>
      <w:r w:rsidRPr="005A0F19">
        <w:rPr>
          <w:rFonts w:ascii="Arial Narrow" w:hAnsi="Arial Narrow" w:cs="Cambria"/>
          <w:color w:val="000000"/>
          <w:sz w:val="24"/>
          <w:szCs w:val="24"/>
        </w:rPr>
        <w:t xml:space="preserve">n domeniul </w:t>
      </w:r>
      <w:r>
        <w:rPr>
          <w:rFonts w:ascii="Arial Narrow" w:hAnsi="Arial Narrow" w:cs="Cambria"/>
          <w:color w:val="000000"/>
          <w:sz w:val="24"/>
          <w:szCs w:val="24"/>
        </w:rPr>
        <w:t>medical cu scopul de a promova în comun cel mai înalt nivel de calitate în asistenţă medicală acordată pacienţ</w:t>
      </w:r>
      <w:r w:rsidRPr="005A0F19">
        <w:rPr>
          <w:rFonts w:ascii="Arial Narrow" w:hAnsi="Arial Narrow" w:cs="Cambria"/>
          <w:color w:val="000000"/>
          <w:sz w:val="24"/>
          <w:szCs w:val="24"/>
        </w:rPr>
        <w:t xml:space="preserve">ilor. </w:t>
      </w:r>
    </w:p>
    <w:p w:rsidR="00643600" w:rsidRDefault="00643600" w:rsidP="00643600">
      <w:pPr>
        <w:spacing w:after="0" w:line="240" w:lineRule="auto"/>
        <w:jc w:val="both"/>
        <w:rPr>
          <w:rFonts w:ascii="Arial Narrow" w:hAnsi="Arial Narrow" w:cs="Cambria"/>
          <w:color w:val="000000"/>
          <w:sz w:val="24"/>
          <w:szCs w:val="24"/>
        </w:rPr>
      </w:pPr>
      <w:r w:rsidRPr="005A0F19">
        <w:rPr>
          <w:rFonts w:ascii="Arial Narrow" w:hAnsi="Arial Narrow" w:cs="Cambria"/>
          <w:color w:val="000000"/>
          <w:sz w:val="24"/>
          <w:szCs w:val="24"/>
        </w:rPr>
        <w:t>Trei dintre cei 20 de membri sunt localizați în Regiunea Centru: CLUSTERO – Asociația Clu</w:t>
      </w:r>
      <w:r>
        <w:rPr>
          <w:rFonts w:ascii="Arial Narrow" w:hAnsi="Arial Narrow" w:cs="Cambria"/>
          <w:color w:val="000000"/>
          <w:sz w:val="24"/>
          <w:szCs w:val="24"/>
        </w:rPr>
        <w:t>sterelor din România, Clinica Polisano și Cattus Medical.</w:t>
      </w:r>
    </w:p>
    <w:p w:rsidR="00643600" w:rsidRDefault="00643600" w:rsidP="00643600">
      <w:pPr>
        <w:spacing w:after="0" w:line="240" w:lineRule="auto"/>
        <w:jc w:val="both"/>
        <w:rPr>
          <w:rFonts w:ascii="Arial Narrow" w:hAnsi="Arial Narrow" w:cs="Cambria"/>
          <w:color w:val="000000"/>
          <w:sz w:val="24"/>
          <w:szCs w:val="24"/>
        </w:rPr>
      </w:pPr>
      <w:r>
        <w:rPr>
          <w:rFonts w:ascii="Arial Narrow" w:hAnsi="Arial Narrow" w:cs="Cambria"/>
          <w:color w:val="000000"/>
          <w:sz w:val="24"/>
          <w:szCs w:val="24"/>
        </w:rPr>
        <w:t xml:space="preserve">Printre cele mai importante obiective ale </w:t>
      </w:r>
      <w:r w:rsidRPr="000F082D">
        <w:rPr>
          <w:rFonts w:ascii="Arial Narrow" w:hAnsi="Arial Narrow" w:cs="Cambria"/>
          <w:color w:val="000000"/>
          <w:sz w:val="24"/>
          <w:szCs w:val="24"/>
        </w:rPr>
        <w:t xml:space="preserve">Clusterului Medical Sanatate Romania </w:t>
      </w:r>
      <w:r>
        <w:rPr>
          <w:rFonts w:ascii="Arial Narrow" w:hAnsi="Arial Narrow" w:cs="Cambria"/>
          <w:color w:val="000000"/>
          <w:sz w:val="24"/>
          <w:szCs w:val="24"/>
        </w:rPr>
        <w:t>amintim:</w:t>
      </w:r>
    </w:p>
    <w:p w:rsidR="00643600" w:rsidRPr="00D87581" w:rsidRDefault="00643600" w:rsidP="002617A6">
      <w:pPr>
        <w:pStyle w:val="Listparagraf"/>
        <w:numPr>
          <w:ilvl w:val="0"/>
          <w:numId w:val="80"/>
        </w:numPr>
        <w:spacing w:after="0" w:line="240" w:lineRule="auto"/>
        <w:jc w:val="both"/>
        <w:rPr>
          <w:rFonts w:ascii="Arial Narrow" w:hAnsi="Arial Narrow" w:cs="Cambria"/>
          <w:color w:val="000000"/>
          <w:sz w:val="24"/>
          <w:szCs w:val="24"/>
        </w:rPr>
      </w:pPr>
      <w:r w:rsidRPr="00D87581">
        <w:rPr>
          <w:rFonts w:ascii="Arial Narrow" w:hAnsi="Arial Narrow" w:cs="Cambria"/>
          <w:color w:val="000000"/>
          <w:sz w:val="24"/>
          <w:szCs w:val="24"/>
        </w:rPr>
        <w:t xml:space="preserve">dezvoltarea de servicii si </w:t>
      </w:r>
      <w:r>
        <w:rPr>
          <w:rFonts w:ascii="Arial Narrow" w:hAnsi="Arial Narrow" w:cs="Cambria"/>
          <w:color w:val="000000"/>
          <w:sz w:val="24"/>
          <w:szCs w:val="24"/>
        </w:rPr>
        <w:t>produse de sanatate competitive</w:t>
      </w:r>
    </w:p>
    <w:p w:rsidR="00643600" w:rsidRPr="00D87581" w:rsidRDefault="00643600" w:rsidP="002617A6">
      <w:pPr>
        <w:pStyle w:val="Listparagraf"/>
        <w:numPr>
          <w:ilvl w:val="0"/>
          <w:numId w:val="80"/>
        </w:numPr>
        <w:spacing w:after="0" w:line="240" w:lineRule="auto"/>
        <w:jc w:val="both"/>
        <w:rPr>
          <w:rFonts w:ascii="Arial Narrow" w:hAnsi="Arial Narrow" w:cs="Cambria"/>
          <w:color w:val="000000"/>
          <w:sz w:val="24"/>
          <w:szCs w:val="24"/>
        </w:rPr>
      </w:pPr>
      <w:r w:rsidRPr="00D87581">
        <w:rPr>
          <w:rFonts w:ascii="Arial Narrow" w:hAnsi="Arial Narrow" w:cs="Cambria"/>
          <w:color w:val="000000"/>
          <w:sz w:val="24"/>
          <w:szCs w:val="24"/>
        </w:rPr>
        <w:t>participarea si/sau initierea de proiecte de cercetare, dezvoltare</w:t>
      </w:r>
      <w:r>
        <w:rPr>
          <w:rFonts w:ascii="Arial Narrow" w:hAnsi="Arial Narrow" w:cs="Cambria"/>
          <w:color w:val="000000"/>
          <w:sz w:val="24"/>
          <w:szCs w:val="24"/>
        </w:rPr>
        <w:t xml:space="preserve"> si inovare in domeniul medical</w:t>
      </w:r>
    </w:p>
    <w:p w:rsidR="00643600" w:rsidRPr="00D87581" w:rsidRDefault="00643600" w:rsidP="002617A6">
      <w:pPr>
        <w:pStyle w:val="Listparagraf"/>
        <w:numPr>
          <w:ilvl w:val="0"/>
          <w:numId w:val="80"/>
        </w:numPr>
        <w:spacing w:after="0" w:line="240" w:lineRule="auto"/>
        <w:jc w:val="both"/>
        <w:rPr>
          <w:rFonts w:ascii="Arial Narrow" w:hAnsi="Arial Narrow" w:cs="Cambria"/>
          <w:color w:val="000000"/>
          <w:sz w:val="24"/>
          <w:szCs w:val="24"/>
        </w:rPr>
      </w:pPr>
      <w:r w:rsidRPr="00D87581">
        <w:rPr>
          <w:rFonts w:ascii="Arial Narrow" w:hAnsi="Arial Narrow" w:cs="Cambria"/>
          <w:color w:val="000000"/>
          <w:sz w:val="24"/>
          <w:szCs w:val="24"/>
        </w:rPr>
        <w:t>elaborarea si implementarea strategiilor de cercetare-dezvoltare-inovare, resurse umane si de management</w:t>
      </w:r>
    </w:p>
    <w:p w:rsidR="00643600" w:rsidRPr="000F082D" w:rsidRDefault="00643600" w:rsidP="00643600">
      <w:pPr>
        <w:jc w:val="both"/>
        <w:rPr>
          <w:rFonts w:ascii="Arial Narrow" w:hAnsi="Arial Narrow"/>
          <w:b/>
          <w:bCs/>
          <w:sz w:val="24"/>
          <w:szCs w:val="24"/>
        </w:rPr>
      </w:pPr>
    </w:p>
    <w:p w:rsidR="00643600" w:rsidRDefault="00643600" w:rsidP="00643600">
      <w:pPr>
        <w:pStyle w:val="Default"/>
        <w:numPr>
          <w:ilvl w:val="0"/>
          <w:numId w:val="64"/>
        </w:numPr>
        <w:jc w:val="both"/>
        <w:rPr>
          <w:rFonts w:ascii="Arial Narrow" w:hAnsi="Arial Narrow"/>
          <w:b/>
        </w:rPr>
      </w:pPr>
      <w:r w:rsidRPr="00971531">
        <w:rPr>
          <w:rFonts w:ascii="Arial Narrow" w:hAnsi="Arial Narrow"/>
          <w:b/>
        </w:rPr>
        <w:t>Investiții publice</w:t>
      </w: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În perioada 2010 – 2015, Regiunea Centru a reuşit atragerea unor sume semnificative în sectorul medical - farmaceutic, atât pentru mediul privat, cât şi în cel de stat. Pentru sectorul sănătate au fost accesate fonduri nerambursabile pentru construirea şi dotarea unor centre medicale, cabinete medicale, azile de bătrăni, cercetare în domeniul medical şi al preparatelor naturale sau farmaceutice, inclusiv achiziţia de linii tehnologice pentru realizarea în producţie a rezultatului din cercetare.</w:t>
      </w:r>
    </w:p>
    <w:p w:rsidR="00643600" w:rsidRPr="00FE5C30" w:rsidRDefault="00643600" w:rsidP="00643600">
      <w:pPr>
        <w:tabs>
          <w:tab w:val="left" w:pos="1260"/>
        </w:tabs>
        <w:spacing w:after="0" w:line="240" w:lineRule="auto"/>
        <w:jc w:val="both"/>
        <w:rPr>
          <w:rFonts w:ascii="Arial Narrow" w:hAnsi="Arial Narrow"/>
          <w:color w:val="000000"/>
          <w:sz w:val="24"/>
          <w:szCs w:val="24"/>
        </w:rPr>
      </w:pPr>
      <w:r w:rsidRPr="00FE5C30">
        <w:rPr>
          <w:rFonts w:ascii="Arial Narrow" w:hAnsi="Arial Narrow"/>
          <w:color w:val="000000"/>
          <w:sz w:val="24"/>
          <w:szCs w:val="24"/>
        </w:rPr>
        <w:tab/>
      </w:r>
    </w:p>
    <w:p w:rsidR="00643600" w:rsidRPr="00FE5C30" w:rsidRDefault="00643600" w:rsidP="00643600">
      <w:pPr>
        <w:tabs>
          <w:tab w:val="left" w:pos="1260"/>
        </w:tabs>
        <w:spacing w:after="0" w:line="240" w:lineRule="auto"/>
        <w:jc w:val="both"/>
        <w:rPr>
          <w:rFonts w:ascii="Arial Narrow" w:hAnsi="Arial Narrow"/>
          <w:color w:val="000000"/>
          <w:sz w:val="24"/>
          <w:szCs w:val="24"/>
        </w:rPr>
      </w:pPr>
      <w:r w:rsidRPr="00FE5C30">
        <w:rPr>
          <w:rFonts w:ascii="Arial Narrow" w:hAnsi="Arial Narrow"/>
          <w:color w:val="000000"/>
          <w:sz w:val="24"/>
          <w:szCs w:val="24"/>
        </w:rPr>
        <w:t>Pentru a evidenția cele mai sus menționate, redăm în cele ce urmează liste cu proiectele identificate și derulate în perioada analizată în cadrul Programului Operațional Sectorial Creșterea Competitivității Economice - POS CCE 2007 - 2013 și Programul Operațional Regional 2007 -2013 sau selectate pentru finanțare în 2015</w:t>
      </w:r>
      <w:r w:rsidRPr="00FE5C30">
        <w:rPr>
          <w:rFonts w:ascii="Arial Narrow" w:hAnsi="Arial Narrow"/>
          <w:b/>
          <w:color w:val="000000"/>
          <w:sz w:val="24"/>
          <w:szCs w:val="24"/>
        </w:rPr>
        <w:t xml:space="preserve"> </w:t>
      </w:r>
      <w:r w:rsidRPr="00FE5C30">
        <w:rPr>
          <w:rFonts w:ascii="Arial Narrow" w:hAnsi="Arial Narrow"/>
          <w:color w:val="000000"/>
          <w:sz w:val="24"/>
          <w:szCs w:val="24"/>
        </w:rPr>
        <w:t>în cadrul Programului Operațional Competitivitate - POC 2014-2020.</w:t>
      </w: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pStyle w:val="Listparagraf"/>
        <w:spacing w:after="0" w:line="240" w:lineRule="auto"/>
        <w:ind w:left="0"/>
        <w:jc w:val="both"/>
        <w:rPr>
          <w:rFonts w:ascii="Arial Narrow" w:hAnsi="Arial Narrow"/>
          <w:color w:val="000000"/>
          <w:sz w:val="24"/>
          <w:szCs w:val="24"/>
        </w:rPr>
      </w:pPr>
      <w:r w:rsidRPr="00FE5C30">
        <w:rPr>
          <w:rFonts w:ascii="Arial Narrow" w:hAnsi="Arial Narrow"/>
          <w:color w:val="000000"/>
          <w:sz w:val="24"/>
          <w:szCs w:val="24"/>
        </w:rPr>
        <w:lastRenderedPageBreak/>
        <w:t xml:space="preserve">Proiecte derulate în perioada 2010-2015 în cadrul Programului Operațional Regional – POR 2007-2013, axa prioritară   3 – „Îmbunătăţirea infrastructurii sociale”,domeniul major de interventie 3.1 „Reabilitarea/ modernizarea/ dezvoltarea si echiparea infrastructurii serviciilor de sanatate” </w:t>
      </w:r>
    </w:p>
    <w:p w:rsidR="00643600" w:rsidRDefault="00643600" w:rsidP="00643600">
      <w:pPr>
        <w:pStyle w:val="Listparagraf"/>
        <w:spacing w:after="0" w:line="240" w:lineRule="auto"/>
        <w:ind w:left="644"/>
        <w:jc w:val="both"/>
        <w:rPr>
          <w:rFonts w:ascii="Arial Narrow" w:hAnsi="Arial Narrow"/>
          <w:b/>
          <w:color w:val="00B050"/>
          <w:sz w:val="24"/>
          <w:szCs w:val="24"/>
        </w:rPr>
      </w:pPr>
    </w:p>
    <w:tbl>
      <w:tblPr>
        <w:tblW w:w="4885"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tblPr>
      <w:tblGrid>
        <w:gridCol w:w="2108"/>
        <w:gridCol w:w="4659"/>
        <w:gridCol w:w="971"/>
        <w:gridCol w:w="1336"/>
      </w:tblGrid>
      <w:tr w:rsidR="00643600" w:rsidRPr="00FE5C30" w:rsidTr="00643600">
        <w:trPr>
          <w:trHeight w:val="728"/>
        </w:trPr>
        <w:tc>
          <w:tcPr>
            <w:tcW w:w="1162" w:type="pct"/>
            <w:tcBorders>
              <w:top w:val="single" w:sz="4" w:space="0" w:color="70AD47"/>
              <w:left w:val="single" w:sz="4" w:space="0" w:color="70AD47"/>
              <w:bottom w:val="single" w:sz="4" w:space="0" w:color="70AD47"/>
              <w:right w:val="nil"/>
            </w:tcBorders>
            <w:shd w:val="clear" w:color="auto" w:fill="70AD47"/>
            <w:noWrap/>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Beneficiar </w:t>
            </w:r>
          </w:p>
        </w:tc>
        <w:tc>
          <w:tcPr>
            <w:tcW w:w="2567"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Titlu proiect</w:t>
            </w:r>
          </w:p>
        </w:tc>
        <w:tc>
          <w:tcPr>
            <w:tcW w:w="535"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Județ</w:t>
            </w:r>
          </w:p>
        </w:tc>
        <w:tc>
          <w:tcPr>
            <w:tcW w:w="736" w:type="pct"/>
            <w:tcBorders>
              <w:top w:val="single" w:sz="4" w:space="0" w:color="70AD47"/>
              <w:left w:val="nil"/>
              <w:bottom w:val="single" w:sz="4" w:space="0" w:color="70AD47"/>
              <w:right w:val="single" w:sz="4" w:space="0" w:color="70AD47"/>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Anul demarării proiectului</w:t>
            </w:r>
          </w:p>
        </w:tc>
      </w:tr>
      <w:tr w:rsidR="00643600" w:rsidRPr="00FE5C30" w:rsidTr="00643600">
        <w:trPr>
          <w:trHeight w:val="284"/>
        </w:trPr>
        <w:tc>
          <w:tcPr>
            <w:tcW w:w="1162" w:type="pct"/>
            <w:shd w:val="clear" w:color="auto" w:fill="E2EFD9"/>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Sibiu</w:t>
            </w:r>
          </w:p>
        </w:tc>
        <w:tc>
          <w:tcPr>
            <w:tcW w:w="2567"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Reabilitarea, modernizarea, dezvoltarea si echiparea Ambulatoriului nr.1 al Spitalului Clinic Judetean Sibiu</w:t>
            </w:r>
          </w:p>
        </w:tc>
        <w:tc>
          <w:tcPr>
            <w:tcW w:w="535" w:type="pct"/>
            <w:shd w:val="clear" w:color="auto" w:fill="E2EFD9"/>
            <w:vAlign w:val="bottom"/>
          </w:tcPr>
          <w:p w:rsidR="00643600" w:rsidRPr="00FE5C30" w:rsidRDefault="00643600" w:rsidP="00643600">
            <w:pPr>
              <w:spacing w:after="0" w:line="240" w:lineRule="auto"/>
              <w:rPr>
                <w:rFonts w:ascii="Arial Narrow" w:hAnsi="Arial Narrow"/>
                <w:color w:val="000000"/>
                <w:sz w:val="20"/>
                <w:szCs w:val="20"/>
              </w:rPr>
            </w:pPr>
            <w:r w:rsidRPr="00FE5C30">
              <w:rPr>
                <w:rFonts w:ascii="Arial Narrow" w:hAnsi="Arial Narrow"/>
                <w:color w:val="000000"/>
                <w:sz w:val="20"/>
                <w:szCs w:val="20"/>
              </w:rPr>
              <w:t xml:space="preserve">      SIBIU</w:t>
            </w:r>
          </w:p>
        </w:tc>
        <w:tc>
          <w:tcPr>
            <w:tcW w:w="736"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2010</w:t>
            </w:r>
          </w:p>
        </w:tc>
      </w:tr>
      <w:tr w:rsidR="00643600" w:rsidRPr="00FE5C30" w:rsidTr="00643600">
        <w:trPr>
          <w:trHeight w:val="284"/>
        </w:trPr>
        <w:tc>
          <w:tcPr>
            <w:tcW w:w="1162" w:type="pct"/>
            <w:shd w:val="clear" w:color="auto" w:fill="auto"/>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Local Abrud</w:t>
            </w:r>
          </w:p>
        </w:tc>
        <w:tc>
          <w:tcPr>
            <w:tcW w:w="256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Modernizare, reabilitare si echipare corp cladire Ambulatoriu de spital Abrud</w:t>
            </w:r>
          </w:p>
        </w:tc>
        <w:tc>
          <w:tcPr>
            <w:tcW w:w="535"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ALBA</w:t>
            </w:r>
          </w:p>
        </w:tc>
        <w:tc>
          <w:tcPr>
            <w:tcW w:w="736"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2010</w:t>
            </w:r>
          </w:p>
        </w:tc>
      </w:tr>
      <w:tr w:rsidR="00643600" w:rsidRPr="00FE5C30" w:rsidTr="00643600">
        <w:trPr>
          <w:trHeight w:val="284"/>
        </w:trPr>
        <w:tc>
          <w:tcPr>
            <w:tcW w:w="1162" w:type="pct"/>
            <w:shd w:val="clear" w:color="auto" w:fill="E2EFD9"/>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Harghita</w:t>
            </w:r>
          </w:p>
        </w:tc>
        <w:tc>
          <w:tcPr>
            <w:tcW w:w="2567"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Reabilitarea, reamenajarea, modernizarea si dotarea Ambulatoriului integrat al Spitalului Judetean de Urgenta Miercurea Ciuc</w:t>
            </w:r>
          </w:p>
        </w:tc>
        <w:tc>
          <w:tcPr>
            <w:tcW w:w="535"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HARGHITA</w:t>
            </w:r>
          </w:p>
        </w:tc>
        <w:tc>
          <w:tcPr>
            <w:tcW w:w="736"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2010</w:t>
            </w:r>
          </w:p>
        </w:tc>
      </w:tr>
      <w:tr w:rsidR="00643600" w:rsidRPr="00FE5C30" w:rsidTr="00643600">
        <w:trPr>
          <w:trHeight w:val="284"/>
        </w:trPr>
        <w:tc>
          <w:tcPr>
            <w:tcW w:w="1162" w:type="pct"/>
            <w:shd w:val="clear" w:color="auto" w:fill="auto"/>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Sibiu</w:t>
            </w:r>
          </w:p>
        </w:tc>
        <w:tc>
          <w:tcPr>
            <w:tcW w:w="256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Reabilitarea, modernizarea si echiparea Ambulatoriilor din cadrul Spitalului de Psihiatrie Dr. Preda Sibiu</w:t>
            </w:r>
          </w:p>
        </w:tc>
        <w:tc>
          <w:tcPr>
            <w:tcW w:w="535"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SIBIU</w:t>
            </w:r>
          </w:p>
        </w:tc>
        <w:tc>
          <w:tcPr>
            <w:tcW w:w="736"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2010</w:t>
            </w:r>
          </w:p>
        </w:tc>
      </w:tr>
      <w:tr w:rsidR="00643600" w:rsidRPr="00FE5C30" w:rsidTr="00643600">
        <w:trPr>
          <w:trHeight w:val="284"/>
        </w:trPr>
        <w:tc>
          <w:tcPr>
            <w:tcW w:w="1162" w:type="pct"/>
            <w:shd w:val="clear" w:color="auto" w:fill="E2EFD9"/>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Mures</w:t>
            </w:r>
          </w:p>
        </w:tc>
        <w:tc>
          <w:tcPr>
            <w:tcW w:w="2567" w:type="pct"/>
            <w:shd w:val="clear" w:color="auto" w:fill="E2EFD9"/>
          </w:tcPr>
          <w:p w:rsidR="00643600" w:rsidRPr="00FE5C30" w:rsidRDefault="00643600" w:rsidP="00643600">
            <w:pPr>
              <w:tabs>
                <w:tab w:val="left" w:pos="2655"/>
              </w:tabs>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Modernizarea si dotarea ambulatoriului Spitalului Clinic Judetean Mures</w:t>
            </w:r>
            <w:r w:rsidRPr="00FE5C30">
              <w:rPr>
                <w:rFonts w:ascii="Arial Narrow" w:eastAsia="Times New Roman" w:hAnsi="Arial Narrow"/>
                <w:color w:val="000000"/>
                <w:sz w:val="20"/>
                <w:szCs w:val="20"/>
              </w:rPr>
              <w:tab/>
            </w:r>
          </w:p>
        </w:tc>
        <w:tc>
          <w:tcPr>
            <w:tcW w:w="535"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MURES</w:t>
            </w:r>
          </w:p>
        </w:tc>
        <w:tc>
          <w:tcPr>
            <w:tcW w:w="736"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2011</w:t>
            </w:r>
          </w:p>
        </w:tc>
      </w:tr>
      <w:tr w:rsidR="00643600" w:rsidRPr="00FE5C30" w:rsidTr="00643600">
        <w:trPr>
          <w:trHeight w:val="284"/>
        </w:trPr>
        <w:tc>
          <w:tcPr>
            <w:tcW w:w="1162" w:type="pct"/>
            <w:shd w:val="clear" w:color="auto" w:fill="auto"/>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Covasna</w:t>
            </w:r>
          </w:p>
        </w:tc>
        <w:tc>
          <w:tcPr>
            <w:tcW w:w="256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Reabilitarea Spitalului Judetean de Urgenta Dr. Fogolyan Kristof - Sf. Gheorghe</w:t>
            </w:r>
          </w:p>
        </w:tc>
        <w:tc>
          <w:tcPr>
            <w:tcW w:w="535"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COVASNA</w:t>
            </w:r>
          </w:p>
        </w:tc>
        <w:tc>
          <w:tcPr>
            <w:tcW w:w="736"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2011</w:t>
            </w:r>
          </w:p>
        </w:tc>
      </w:tr>
      <w:tr w:rsidR="00643600" w:rsidRPr="00FE5C30" w:rsidTr="00643600">
        <w:trPr>
          <w:trHeight w:val="284"/>
        </w:trPr>
        <w:tc>
          <w:tcPr>
            <w:tcW w:w="1162" w:type="pct"/>
            <w:shd w:val="clear" w:color="auto" w:fill="E2EFD9"/>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Mures</w:t>
            </w:r>
          </w:p>
        </w:tc>
        <w:tc>
          <w:tcPr>
            <w:tcW w:w="2567" w:type="pct"/>
            <w:shd w:val="clear" w:color="auto" w:fill="E2EFD9"/>
          </w:tcPr>
          <w:p w:rsidR="00643600" w:rsidRPr="00FE5C30" w:rsidRDefault="00643600" w:rsidP="00643600">
            <w:pPr>
              <w:tabs>
                <w:tab w:val="left" w:pos="1245"/>
              </w:tabs>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Reabilitarea, modernizarea si echiparea Ambulatoriului Clinic Judetean de Urgenta Tirgu Mures</w:t>
            </w:r>
            <w:r w:rsidRPr="00FE5C30">
              <w:rPr>
                <w:rFonts w:ascii="Arial Narrow" w:eastAsia="Times New Roman" w:hAnsi="Arial Narrow"/>
                <w:color w:val="000000"/>
                <w:sz w:val="20"/>
                <w:szCs w:val="20"/>
              </w:rPr>
              <w:tab/>
            </w:r>
          </w:p>
        </w:tc>
        <w:tc>
          <w:tcPr>
            <w:tcW w:w="535"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MURES</w:t>
            </w:r>
          </w:p>
        </w:tc>
        <w:tc>
          <w:tcPr>
            <w:tcW w:w="736"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2013</w:t>
            </w:r>
          </w:p>
        </w:tc>
      </w:tr>
      <w:tr w:rsidR="00643600" w:rsidRPr="00FE5C30" w:rsidTr="00643600">
        <w:trPr>
          <w:trHeight w:val="284"/>
        </w:trPr>
        <w:tc>
          <w:tcPr>
            <w:tcW w:w="1162" w:type="pct"/>
            <w:shd w:val="clear" w:color="auto" w:fill="auto"/>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Judetean Brasov</w:t>
            </w:r>
          </w:p>
        </w:tc>
        <w:tc>
          <w:tcPr>
            <w:tcW w:w="256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Modernizarea, reabilitarea si echiparea infrastructurii serviciilor de sanatate din cadrul Ambulatoriului Spitalului Clinic de Obstretica si Ginecologie "Dr. I.A. Sbarcea" Brasov</w:t>
            </w:r>
          </w:p>
        </w:tc>
        <w:tc>
          <w:tcPr>
            <w:tcW w:w="535"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BRASOV</w:t>
            </w:r>
          </w:p>
        </w:tc>
        <w:tc>
          <w:tcPr>
            <w:tcW w:w="736"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2013</w:t>
            </w:r>
          </w:p>
        </w:tc>
      </w:tr>
      <w:tr w:rsidR="00643600" w:rsidRPr="00FE5C30" w:rsidTr="00643600">
        <w:trPr>
          <w:trHeight w:val="284"/>
        </w:trPr>
        <w:tc>
          <w:tcPr>
            <w:tcW w:w="1162" w:type="pct"/>
            <w:shd w:val="clear" w:color="auto" w:fill="E2EFD9"/>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Orasul Campeni</w:t>
            </w:r>
          </w:p>
        </w:tc>
        <w:tc>
          <w:tcPr>
            <w:tcW w:w="2567"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Reabilitare, modernizare si echipare Ambulatoriu de specialitate la Spitalul Orasenesc Campeni</w:t>
            </w:r>
          </w:p>
        </w:tc>
        <w:tc>
          <w:tcPr>
            <w:tcW w:w="535"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ALBA</w:t>
            </w:r>
          </w:p>
        </w:tc>
        <w:tc>
          <w:tcPr>
            <w:tcW w:w="736"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2013</w:t>
            </w:r>
          </w:p>
        </w:tc>
      </w:tr>
      <w:tr w:rsidR="00643600" w:rsidRPr="00FE5C30" w:rsidTr="00643600">
        <w:trPr>
          <w:trHeight w:val="284"/>
        </w:trPr>
        <w:tc>
          <w:tcPr>
            <w:tcW w:w="1162" w:type="pct"/>
            <w:shd w:val="clear" w:color="auto" w:fill="auto"/>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Consiliul Local Cugir</w:t>
            </w:r>
          </w:p>
        </w:tc>
        <w:tc>
          <w:tcPr>
            <w:tcW w:w="256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Modernizarea si echiparea Amblatoriului Spitalului Orasenesc Cugir, judetul Alba</w:t>
            </w:r>
          </w:p>
        </w:tc>
        <w:tc>
          <w:tcPr>
            <w:tcW w:w="535"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ALBA</w:t>
            </w:r>
          </w:p>
        </w:tc>
        <w:tc>
          <w:tcPr>
            <w:tcW w:w="736"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2014</w:t>
            </w:r>
          </w:p>
        </w:tc>
      </w:tr>
      <w:tr w:rsidR="00643600" w:rsidRPr="00FE5C30" w:rsidTr="00643600">
        <w:trPr>
          <w:trHeight w:val="284"/>
        </w:trPr>
        <w:tc>
          <w:tcPr>
            <w:tcW w:w="1162" w:type="pct"/>
            <w:shd w:val="clear" w:color="auto" w:fill="E2EFD9"/>
            <w:noWrap/>
          </w:tcPr>
          <w:p w:rsidR="00643600" w:rsidRPr="00FE5C30" w:rsidRDefault="00643600" w:rsidP="00643600">
            <w:pPr>
              <w:spacing w:after="0" w:line="240" w:lineRule="auto"/>
              <w:rPr>
                <w:rFonts w:ascii="Arial Narrow" w:hAnsi="Arial Narrow"/>
                <w:b/>
                <w:bCs/>
                <w:sz w:val="20"/>
                <w:szCs w:val="20"/>
              </w:rPr>
            </w:pPr>
            <w:r w:rsidRPr="00FE5C30">
              <w:rPr>
                <w:rFonts w:ascii="Arial Narrow" w:hAnsi="Arial Narrow"/>
                <w:b/>
                <w:bCs/>
                <w:sz w:val="20"/>
                <w:szCs w:val="20"/>
              </w:rPr>
              <w:t>Orasul Ludus</w:t>
            </w:r>
          </w:p>
        </w:tc>
        <w:tc>
          <w:tcPr>
            <w:tcW w:w="2567" w:type="pct"/>
            <w:shd w:val="clear" w:color="auto" w:fill="E2EFD9"/>
          </w:tcPr>
          <w:p w:rsidR="00643600" w:rsidRPr="00FE5C30" w:rsidRDefault="00643600" w:rsidP="00643600">
            <w:pPr>
              <w:tabs>
                <w:tab w:val="left" w:pos="1035"/>
              </w:tabs>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Modernizarea si dotarea Ambulatoriului Spitalului Orasenesc Dr. Valer Russu, Ludus, jud. Mures</w:t>
            </w:r>
            <w:r w:rsidRPr="00FE5C30">
              <w:rPr>
                <w:rFonts w:ascii="Arial Narrow" w:eastAsia="Times New Roman" w:hAnsi="Arial Narrow"/>
                <w:color w:val="000000"/>
                <w:sz w:val="20"/>
                <w:szCs w:val="20"/>
              </w:rPr>
              <w:tab/>
            </w:r>
          </w:p>
        </w:tc>
        <w:tc>
          <w:tcPr>
            <w:tcW w:w="535"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MURES</w:t>
            </w:r>
          </w:p>
        </w:tc>
        <w:tc>
          <w:tcPr>
            <w:tcW w:w="736" w:type="pct"/>
            <w:shd w:val="clear" w:color="auto" w:fill="E2EFD9"/>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2015</w:t>
            </w:r>
          </w:p>
        </w:tc>
      </w:tr>
      <w:tr w:rsidR="00643600" w:rsidRPr="00FE5C30" w:rsidTr="00643600">
        <w:trPr>
          <w:trHeight w:val="284"/>
        </w:trPr>
        <w:tc>
          <w:tcPr>
            <w:tcW w:w="1162" w:type="pct"/>
            <w:shd w:val="clear" w:color="auto" w:fill="auto"/>
            <w:noWrap/>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Consiliul Local Rupea</w:t>
            </w:r>
          </w:p>
          <w:p w:rsidR="00643600" w:rsidRPr="00FE5C30" w:rsidRDefault="00643600" w:rsidP="00643600">
            <w:pPr>
              <w:spacing w:after="0" w:line="240" w:lineRule="auto"/>
              <w:jc w:val="both"/>
              <w:rPr>
                <w:rFonts w:ascii="Arial Narrow" w:eastAsia="Times New Roman" w:hAnsi="Arial Narrow"/>
                <w:b/>
                <w:bCs/>
                <w:color w:val="000000"/>
                <w:sz w:val="20"/>
                <w:szCs w:val="20"/>
              </w:rPr>
            </w:pPr>
          </w:p>
        </w:tc>
        <w:tc>
          <w:tcPr>
            <w:tcW w:w="2567"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Modernizarea, reabilitarea si echiparea infrastructurii serviciilor de sanatate din cadrul Ambulatoriului Spitalului Orasenesc Rupea, judetul Brasov</w:t>
            </w:r>
          </w:p>
        </w:tc>
        <w:tc>
          <w:tcPr>
            <w:tcW w:w="535"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BRASOV</w:t>
            </w:r>
          </w:p>
        </w:tc>
        <w:tc>
          <w:tcPr>
            <w:tcW w:w="736" w:type="pct"/>
            <w:shd w:val="clear" w:color="auto" w:fill="auto"/>
            <w:vAlign w:val="bottom"/>
          </w:tcPr>
          <w:p w:rsidR="00643600" w:rsidRPr="00FE5C30" w:rsidRDefault="00643600" w:rsidP="00643600">
            <w:pPr>
              <w:spacing w:after="0" w:line="240" w:lineRule="auto"/>
              <w:jc w:val="center"/>
              <w:rPr>
                <w:rFonts w:ascii="Arial Narrow" w:hAnsi="Arial Narrow"/>
                <w:color w:val="000000"/>
                <w:sz w:val="20"/>
                <w:szCs w:val="20"/>
              </w:rPr>
            </w:pPr>
            <w:r w:rsidRPr="00FE5C30">
              <w:rPr>
                <w:rFonts w:ascii="Arial Narrow" w:hAnsi="Arial Narrow"/>
                <w:color w:val="000000"/>
                <w:sz w:val="20"/>
                <w:szCs w:val="20"/>
              </w:rPr>
              <w:t>2015</w:t>
            </w:r>
          </w:p>
        </w:tc>
      </w:tr>
    </w:tbl>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 xml:space="preserve">În perioada 2011-2015 în cadrul Programului Operațional Regional – POR 2007-2013, axa prioritară   3 – „Îmbunătăţirea infrastructurii sociale”, domeniul major de interventie 3.2 “Reabilitare, modernizare, echiparea infrastructurii serviciilor sociale” s-au derulat 16 proiecte destinate </w:t>
      </w:r>
      <w:r w:rsidRPr="00FE5C30">
        <w:rPr>
          <w:rFonts w:ascii="Arial Narrow" w:hAnsi="Arial Narrow"/>
          <w:color w:val="000000"/>
          <w:sz w:val="24"/>
          <w:szCs w:val="24"/>
          <w:lang w:val="ro-RO"/>
        </w:rPr>
        <w:t>îmbunătățitii serviciilor sociale pentru persoane vârstnice și copii.</w:t>
      </w:r>
      <w:r w:rsidRPr="00FE5C30">
        <w:rPr>
          <w:rFonts w:ascii="Arial Narrow" w:hAnsi="Arial Narrow"/>
          <w:color w:val="000000"/>
          <w:sz w:val="24"/>
          <w:szCs w:val="24"/>
        </w:rPr>
        <w:t xml:space="preserve"> </w:t>
      </w: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Proiecte derulate în perioada 2010-2014 în cadrul Programului Operațional Sectorial Creșterea Competitivității Economice - POS CCE 2007-2013, axa prioritară 2 “Cercetare, dezvoltare tehnologica si inovare pentru competitivitate”:</w:t>
      </w:r>
    </w:p>
    <w:p w:rsidR="00643600" w:rsidRPr="00971531" w:rsidRDefault="00643600" w:rsidP="00643600">
      <w:pPr>
        <w:pStyle w:val="Listparagraf"/>
        <w:spacing w:after="0" w:line="240" w:lineRule="auto"/>
        <w:ind w:left="644"/>
        <w:jc w:val="both"/>
        <w:rPr>
          <w:rFonts w:ascii="Arial Narrow" w:hAnsi="Arial Narrow"/>
          <w:color w:val="00B050"/>
          <w:sz w:val="24"/>
          <w:szCs w:val="24"/>
        </w:rPr>
      </w:pPr>
    </w:p>
    <w:tbl>
      <w:tblPr>
        <w:tblW w:w="4885"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tblPr>
      <w:tblGrid>
        <w:gridCol w:w="458"/>
        <w:gridCol w:w="2063"/>
        <w:gridCol w:w="3399"/>
        <w:gridCol w:w="849"/>
        <w:gridCol w:w="1093"/>
        <w:gridCol w:w="1212"/>
      </w:tblGrid>
      <w:tr w:rsidR="00643600" w:rsidRPr="00FE5C30" w:rsidTr="00643600">
        <w:trPr>
          <w:trHeight w:val="567"/>
        </w:trPr>
        <w:tc>
          <w:tcPr>
            <w:tcW w:w="252" w:type="pct"/>
            <w:tcBorders>
              <w:top w:val="single" w:sz="4" w:space="0" w:color="70AD47"/>
              <w:left w:val="single" w:sz="4" w:space="0" w:color="70AD47"/>
              <w:bottom w:val="single" w:sz="4" w:space="0" w:color="70AD47"/>
              <w:right w:val="nil"/>
            </w:tcBorders>
            <w:shd w:val="clear" w:color="auto" w:fill="70AD47"/>
          </w:tcPr>
          <w:p w:rsidR="00643600" w:rsidRPr="00FE5C30" w:rsidRDefault="00643600" w:rsidP="00643600">
            <w:pPr>
              <w:spacing w:after="0" w:line="240" w:lineRule="auto"/>
              <w:jc w:val="both"/>
              <w:rPr>
                <w:rFonts w:ascii="Arial Narrow" w:eastAsia="Times New Roman" w:hAnsi="Arial Narrow"/>
                <w:b/>
                <w:bCs/>
                <w:color w:val="000000"/>
                <w:sz w:val="20"/>
                <w:szCs w:val="20"/>
              </w:rPr>
            </w:pPr>
          </w:p>
        </w:tc>
        <w:tc>
          <w:tcPr>
            <w:tcW w:w="1137" w:type="pct"/>
            <w:tcBorders>
              <w:top w:val="single" w:sz="4" w:space="0" w:color="70AD47"/>
              <w:left w:val="nil"/>
              <w:bottom w:val="single" w:sz="4" w:space="0" w:color="70AD47"/>
              <w:right w:val="nil"/>
            </w:tcBorders>
            <w:shd w:val="clear" w:color="auto" w:fill="70AD47"/>
            <w:noWrap/>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Beneficiar </w:t>
            </w:r>
          </w:p>
        </w:tc>
        <w:tc>
          <w:tcPr>
            <w:tcW w:w="1873"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Titlu proiect</w:t>
            </w:r>
          </w:p>
        </w:tc>
        <w:tc>
          <w:tcPr>
            <w:tcW w:w="468"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Județ</w:t>
            </w:r>
          </w:p>
        </w:tc>
        <w:tc>
          <w:tcPr>
            <w:tcW w:w="602"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Anul demarării proiectului</w:t>
            </w:r>
          </w:p>
        </w:tc>
        <w:tc>
          <w:tcPr>
            <w:tcW w:w="668" w:type="pct"/>
            <w:tcBorders>
              <w:top w:val="single" w:sz="4" w:space="0" w:color="70AD47"/>
              <w:left w:val="nil"/>
              <w:bottom w:val="single" w:sz="4" w:space="0" w:color="70AD47"/>
              <w:right w:val="single" w:sz="4" w:space="0" w:color="70AD47"/>
            </w:tcBorders>
            <w:shd w:val="clear" w:color="auto" w:fill="70AD47"/>
            <w:noWrap/>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Valoarea eligibilă </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w:t>
            </w:r>
          </w:p>
        </w:tc>
        <w:tc>
          <w:tcPr>
            <w:tcW w:w="1137" w:type="pct"/>
            <w:shd w:val="clear" w:color="auto" w:fill="E2EFD9"/>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Institutul de Urgenta Pentru Boli Cardiovasculare Si Transplant Targu Mures</w:t>
            </w:r>
          </w:p>
        </w:tc>
        <w:tc>
          <w:tcPr>
            <w:tcW w:w="1873"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Cercetare avansata in transplantul de cord si cord-pulmon in corelatie cu biologia regenarii tisulare cardio-vasculare</w:t>
            </w:r>
          </w:p>
        </w:tc>
        <w:tc>
          <w:tcPr>
            <w:tcW w:w="468"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MUREȘ</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2010</w:t>
            </w:r>
          </w:p>
        </w:tc>
        <w:tc>
          <w:tcPr>
            <w:tcW w:w="668" w:type="pct"/>
            <w:shd w:val="clear" w:color="auto" w:fill="E2EFD9"/>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40,575,832.00</w:t>
            </w: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2</w:t>
            </w:r>
          </w:p>
        </w:tc>
        <w:tc>
          <w:tcPr>
            <w:tcW w:w="1137" w:type="pct"/>
            <w:shd w:val="clear" w:color="auto" w:fill="auto"/>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Universitatea de Medicina Si Farmacie Din Targu-Mures</w:t>
            </w:r>
          </w:p>
        </w:tc>
        <w:tc>
          <w:tcPr>
            <w:tcW w:w="1873"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Imbunatatirea performantelor administrative si de management in domeniul medico-farmaceutic in vederea cresterii competitivitatii economice prin CDI</w:t>
            </w:r>
          </w:p>
        </w:tc>
        <w:tc>
          <w:tcPr>
            <w:tcW w:w="468"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MUREȘ</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2010</w:t>
            </w:r>
          </w:p>
        </w:tc>
        <w:tc>
          <w:tcPr>
            <w:tcW w:w="668"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400,000.00</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lastRenderedPageBreak/>
              <w:t>3</w:t>
            </w:r>
          </w:p>
        </w:tc>
        <w:tc>
          <w:tcPr>
            <w:tcW w:w="1137" w:type="pct"/>
            <w:shd w:val="clear" w:color="auto" w:fill="E2EFD9"/>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Institutul de Urgenta Pentru Boli Cardiovasculare Si Transplant Targu Mures</w:t>
            </w:r>
          </w:p>
        </w:tc>
        <w:tc>
          <w:tcPr>
            <w:tcW w:w="1873"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Dezvoltarea capacitatii administrative in cercetarea medicala si corelarea rezultatelor cercetarii cu mediul economic</w:t>
            </w:r>
          </w:p>
        </w:tc>
        <w:tc>
          <w:tcPr>
            <w:tcW w:w="468"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MUREȘ</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2010</w:t>
            </w:r>
          </w:p>
        </w:tc>
        <w:tc>
          <w:tcPr>
            <w:tcW w:w="668" w:type="pct"/>
            <w:shd w:val="clear" w:color="auto" w:fill="E2EFD9"/>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400,000.00</w:t>
            </w: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4</w:t>
            </w:r>
          </w:p>
        </w:tc>
        <w:tc>
          <w:tcPr>
            <w:tcW w:w="1137" w:type="pct"/>
            <w:shd w:val="clear" w:color="auto" w:fill="auto"/>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Spitalul Clinic Judetean de Urgenta Brasov</w:t>
            </w:r>
          </w:p>
        </w:tc>
        <w:tc>
          <w:tcPr>
            <w:tcW w:w="1873"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Centru de cercetare-dezvoltare si management integrat in insuficienta cardiaca cuprinzând o platformă avansată de vizualizare, intepretare si comunicare</w:t>
            </w:r>
          </w:p>
        </w:tc>
        <w:tc>
          <w:tcPr>
            <w:tcW w:w="468"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BRAȘOV</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2010</w:t>
            </w:r>
          </w:p>
        </w:tc>
        <w:tc>
          <w:tcPr>
            <w:tcW w:w="668"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7,459,757.00</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p>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5</w:t>
            </w:r>
          </w:p>
        </w:tc>
        <w:tc>
          <w:tcPr>
            <w:tcW w:w="1137" w:type="pct"/>
            <w:shd w:val="clear" w:color="auto" w:fill="E2EFD9"/>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Spitalul Clinic Judetean Mures</w:t>
            </w:r>
          </w:p>
        </w:tc>
        <w:tc>
          <w:tcPr>
            <w:tcW w:w="1873"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Modernizarea si dotarea infrastructurii de cercetare - dezvoltare a Spitalului Clinic Judetean Mures</w:t>
            </w:r>
          </w:p>
        </w:tc>
        <w:tc>
          <w:tcPr>
            <w:tcW w:w="468"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MUREȘ</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2010</w:t>
            </w:r>
          </w:p>
        </w:tc>
        <w:tc>
          <w:tcPr>
            <w:tcW w:w="668" w:type="pct"/>
            <w:shd w:val="clear" w:color="auto" w:fill="E2EFD9"/>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14,813,417.00</w:t>
            </w: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6</w:t>
            </w:r>
          </w:p>
        </w:tc>
        <w:tc>
          <w:tcPr>
            <w:tcW w:w="1137" w:type="pct"/>
            <w:shd w:val="clear" w:color="auto" w:fill="auto"/>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Spitalul Clinic Judetean De Urgenta Tg Mures</w:t>
            </w:r>
          </w:p>
        </w:tc>
        <w:tc>
          <w:tcPr>
            <w:tcW w:w="1873"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Centru de cercetare de excelenta in diagnosticul si tratamentul inovativ al bolilor cardiovasculare</w:t>
            </w:r>
          </w:p>
        </w:tc>
        <w:tc>
          <w:tcPr>
            <w:tcW w:w="468"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MUREȘ</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p>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2010</w:t>
            </w:r>
          </w:p>
        </w:tc>
        <w:tc>
          <w:tcPr>
            <w:tcW w:w="668"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52,877,064.00</w:t>
            </w:r>
          </w:p>
        </w:tc>
      </w:tr>
      <w:tr w:rsidR="00643600" w:rsidRPr="00FE5C30" w:rsidTr="00643600">
        <w:trPr>
          <w:trHeight w:val="580"/>
        </w:trPr>
        <w:tc>
          <w:tcPr>
            <w:tcW w:w="252" w:type="pct"/>
            <w:shd w:val="clear" w:color="auto" w:fill="E2EFD9"/>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7</w:t>
            </w:r>
          </w:p>
        </w:tc>
        <w:tc>
          <w:tcPr>
            <w:tcW w:w="1137" w:type="pct"/>
            <w:shd w:val="clear" w:color="auto" w:fill="E2EFD9"/>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DACIA PLANT SRL</w:t>
            </w:r>
          </w:p>
          <w:p w:rsidR="00643600" w:rsidRPr="00FE5C30" w:rsidRDefault="00643600" w:rsidP="00643600">
            <w:pPr>
              <w:spacing w:after="0" w:line="240" w:lineRule="auto"/>
              <w:jc w:val="both"/>
              <w:rPr>
                <w:rFonts w:ascii="Arial Narrow" w:eastAsia="Times New Roman" w:hAnsi="Arial Narrow"/>
                <w:color w:val="000000"/>
                <w:sz w:val="20"/>
                <w:szCs w:val="20"/>
              </w:rPr>
            </w:pPr>
          </w:p>
        </w:tc>
        <w:tc>
          <w:tcPr>
            <w:tcW w:w="1873"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Modernizarea laboratorului fizico-chimic. Infiintarea laboratorului de microbiologie. Modernizarea sectiei de productie Dacia Plant</w:t>
            </w:r>
          </w:p>
          <w:p w:rsidR="00643600" w:rsidRPr="00FE5C30" w:rsidRDefault="00643600" w:rsidP="00643600">
            <w:pPr>
              <w:spacing w:after="0" w:line="240" w:lineRule="auto"/>
              <w:jc w:val="both"/>
              <w:rPr>
                <w:rFonts w:ascii="Arial Narrow" w:eastAsia="Times New Roman" w:hAnsi="Arial Narrow"/>
                <w:color w:val="000000"/>
                <w:sz w:val="20"/>
                <w:szCs w:val="20"/>
              </w:rPr>
            </w:pPr>
          </w:p>
        </w:tc>
        <w:tc>
          <w:tcPr>
            <w:tcW w:w="468"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ALBA</w:t>
            </w:r>
          </w:p>
          <w:p w:rsidR="00643600" w:rsidRPr="00FE5C30" w:rsidRDefault="00643600" w:rsidP="00643600">
            <w:pPr>
              <w:spacing w:after="0" w:line="240" w:lineRule="auto"/>
              <w:jc w:val="both"/>
              <w:rPr>
                <w:rFonts w:ascii="Arial Narrow" w:eastAsia="Times New Roman" w:hAnsi="Arial Narrow"/>
                <w:color w:val="000000"/>
                <w:sz w:val="20"/>
                <w:szCs w:val="20"/>
              </w:rPr>
            </w:pP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2011</w:t>
            </w:r>
          </w:p>
        </w:tc>
        <w:tc>
          <w:tcPr>
            <w:tcW w:w="668" w:type="pct"/>
            <w:shd w:val="clear" w:color="auto" w:fill="E2EFD9"/>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8,539,610.00</w:t>
            </w:r>
          </w:p>
          <w:p w:rsidR="00643600" w:rsidRPr="00FE5C30" w:rsidRDefault="00643600" w:rsidP="00643600">
            <w:pPr>
              <w:spacing w:after="0" w:line="240" w:lineRule="auto"/>
              <w:jc w:val="both"/>
              <w:rPr>
                <w:rFonts w:ascii="Arial Narrow" w:eastAsia="Times New Roman" w:hAnsi="Arial Narrow"/>
                <w:color w:val="000000"/>
                <w:sz w:val="20"/>
                <w:szCs w:val="20"/>
              </w:rPr>
            </w:pP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8</w:t>
            </w:r>
          </w:p>
        </w:tc>
        <w:tc>
          <w:tcPr>
            <w:tcW w:w="1137"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Polisano Pharmaceuticals SRL</w:t>
            </w:r>
          </w:p>
        </w:tc>
        <w:tc>
          <w:tcPr>
            <w:tcW w:w="1873"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Platforma de cercetare farmaceutica avansata</w:t>
            </w:r>
          </w:p>
        </w:tc>
        <w:tc>
          <w:tcPr>
            <w:tcW w:w="468"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SIBIU</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2011</w:t>
            </w:r>
          </w:p>
        </w:tc>
        <w:tc>
          <w:tcPr>
            <w:tcW w:w="668"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57,138,294.00</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9</w:t>
            </w:r>
          </w:p>
        </w:tc>
        <w:tc>
          <w:tcPr>
            <w:tcW w:w="1137"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Medisan 2010 SRL</w:t>
            </w:r>
          </w:p>
        </w:tc>
        <w:tc>
          <w:tcPr>
            <w:tcW w:w="1873"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Solutii concentrate pentru hemodializa</w:t>
            </w:r>
          </w:p>
        </w:tc>
        <w:tc>
          <w:tcPr>
            <w:tcW w:w="468"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SIBIU</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2011</w:t>
            </w:r>
          </w:p>
        </w:tc>
        <w:tc>
          <w:tcPr>
            <w:tcW w:w="668"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874,540.00</w:t>
            </w:r>
          </w:p>
          <w:p w:rsidR="00643600" w:rsidRPr="00FE5C30" w:rsidRDefault="00643600" w:rsidP="00643600">
            <w:pPr>
              <w:spacing w:after="0" w:line="240" w:lineRule="auto"/>
              <w:jc w:val="both"/>
              <w:rPr>
                <w:rFonts w:ascii="Arial Narrow" w:eastAsia="Times New Roman" w:hAnsi="Arial Narrow"/>
                <w:color w:val="000000"/>
                <w:sz w:val="20"/>
                <w:szCs w:val="20"/>
              </w:rPr>
            </w:pP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10</w:t>
            </w:r>
          </w:p>
        </w:tc>
        <w:tc>
          <w:tcPr>
            <w:tcW w:w="1137" w:type="pct"/>
            <w:shd w:val="clear" w:color="auto" w:fill="auto"/>
            <w:noWrap/>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Spitalul Clinic De Pediatrie Sibiu</w:t>
            </w:r>
          </w:p>
        </w:tc>
        <w:tc>
          <w:tcPr>
            <w:tcW w:w="1873"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Centru de cercetare si telemedicina in bolile neurologice la copii</w:t>
            </w:r>
          </w:p>
          <w:p w:rsidR="00643600" w:rsidRPr="00FE5C30" w:rsidRDefault="00643600" w:rsidP="00643600">
            <w:pPr>
              <w:spacing w:after="0" w:line="240" w:lineRule="auto"/>
              <w:jc w:val="both"/>
              <w:rPr>
                <w:rFonts w:ascii="Arial Narrow" w:eastAsia="Times New Roman" w:hAnsi="Arial Narrow"/>
                <w:color w:val="000000"/>
                <w:sz w:val="20"/>
                <w:szCs w:val="20"/>
              </w:rPr>
            </w:pPr>
          </w:p>
        </w:tc>
        <w:tc>
          <w:tcPr>
            <w:tcW w:w="468"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Sibiu</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2012</w:t>
            </w:r>
          </w:p>
        </w:tc>
        <w:tc>
          <w:tcPr>
            <w:tcW w:w="668"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36,805,477.00</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11</w:t>
            </w:r>
          </w:p>
        </w:tc>
        <w:tc>
          <w:tcPr>
            <w:tcW w:w="1137"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Gedeon Richter Romania SA</w:t>
            </w:r>
          </w:p>
        </w:tc>
        <w:tc>
          <w:tcPr>
            <w:tcW w:w="1873"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Investitii in infrastructura, instrumente si echipamente de cercetare-dezvoltare cu o relevanta stiintifica si economica si sustenabila/ INCD-GRRO</w:t>
            </w:r>
          </w:p>
        </w:tc>
        <w:tc>
          <w:tcPr>
            <w:tcW w:w="468"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2013</w:t>
            </w:r>
          </w:p>
        </w:tc>
        <w:tc>
          <w:tcPr>
            <w:tcW w:w="668"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11,896,413.00</w:t>
            </w:r>
          </w:p>
          <w:p w:rsidR="00643600" w:rsidRPr="00FE5C30" w:rsidRDefault="00643600" w:rsidP="00643600">
            <w:pPr>
              <w:spacing w:after="0" w:line="240" w:lineRule="auto"/>
              <w:jc w:val="both"/>
              <w:rPr>
                <w:rFonts w:ascii="Arial Narrow" w:eastAsia="Times New Roman" w:hAnsi="Arial Narrow"/>
                <w:color w:val="000000"/>
                <w:sz w:val="20"/>
                <w:szCs w:val="20"/>
              </w:rPr>
            </w:pP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12</w:t>
            </w:r>
          </w:p>
        </w:tc>
        <w:tc>
          <w:tcPr>
            <w:tcW w:w="1137" w:type="pct"/>
            <w:shd w:val="clear" w:color="auto" w:fill="auto"/>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Chimigaz SRL</w:t>
            </w:r>
          </w:p>
        </w:tc>
        <w:tc>
          <w:tcPr>
            <w:tcW w:w="1873"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Sare de uz farmaceutic conform Farmacopeei Europene</w:t>
            </w:r>
          </w:p>
        </w:tc>
        <w:tc>
          <w:tcPr>
            <w:tcW w:w="468"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SIBIU</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2013</w:t>
            </w:r>
          </w:p>
        </w:tc>
        <w:tc>
          <w:tcPr>
            <w:tcW w:w="668" w:type="pct"/>
            <w:shd w:val="clear" w:color="auto" w:fill="auto"/>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3,900,000.00</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13</w:t>
            </w:r>
          </w:p>
        </w:tc>
        <w:tc>
          <w:tcPr>
            <w:tcW w:w="1137"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Universitatea De Medicina si Farmacie Din Targu-Mures</w:t>
            </w:r>
          </w:p>
        </w:tc>
        <w:tc>
          <w:tcPr>
            <w:tcW w:w="1873"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Centru avansat de cercetari medicale si farmaceutice</w:t>
            </w:r>
          </w:p>
        </w:tc>
        <w:tc>
          <w:tcPr>
            <w:tcW w:w="468"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2014</w:t>
            </w:r>
          </w:p>
        </w:tc>
        <w:tc>
          <w:tcPr>
            <w:tcW w:w="668"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37,000,000.00</w:t>
            </w: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p>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14</w:t>
            </w:r>
          </w:p>
        </w:tc>
        <w:tc>
          <w:tcPr>
            <w:tcW w:w="1137" w:type="pct"/>
            <w:shd w:val="clear" w:color="auto" w:fill="auto"/>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Spitalul Clinic Judetean De Urgenta Sibiu</w:t>
            </w:r>
          </w:p>
        </w:tc>
        <w:tc>
          <w:tcPr>
            <w:tcW w:w="1873"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Centru de cercetare invaziva si noninvaziva in domeniul patologiei cardiace si vasculare la adult</w:t>
            </w:r>
          </w:p>
        </w:tc>
        <w:tc>
          <w:tcPr>
            <w:tcW w:w="468"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SIBIU</w:t>
            </w:r>
          </w:p>
        </w:tc>
        <w:tc>
          <w:tcPr>
            <w:tcW w:w="602"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2014</w:t>
            </w:r>
          </w:p>
        </w:tc>
        <w:tc>
          <w:tcPr>
            <w:tcW w:w="668" w:type="pct"/>
            <w:shd w:val="clear" w:color="auto" w:fill="auto"/>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17,999,999.83</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15</w:t>
            </w:r>
          </w:p>
        </w:tc>
        <w:tc>
          <w:tcPr>
            <w:tcW w:w="1137"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Cardio Med SRL</w:t>
            </w:r>
          </w:p>
        </w:tc>
        <w:tc>
          <w:tcPr>
            <w:tcW w:w="1873"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Platforma imagistica multimodala RMN CT de inalta performanta destinata cercetarii in domeniul bolilor aterotrombotice</w:t>
            </w:r>
          </w:p>
        </w:tc>
        <w:tc>
          <w:tcPr>
            <w:tcW w:w="468"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602"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2013</w:t>
            </w:r>
          </w:p>
        </w:tc>
        <w:tc>
          <w:tcPr>
            <w:tcW w:w="668" w:type="pct"/>
            <w:shd w:val="clear" w:color="auto" w:fill="E2EFD9"/>
            <w:noWrap/>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4,922,395.14</w:t>
            </w:r>
          </w:p>
        </w:tc>
      </w:tr>
    </w:tbl>
    <w:p w:rsidR="00643600" w:rsidRPr="004F422E" w:rsidRDefault="00643600" w:rsidP="00643600">
      <w:pPr>
        <w:spacing w:after="0" w:line="240" w:lineRule="auto"/>
        <w:jc w:val="both"/>
        <w:rPr>
          <w:rFonts w:ascii="Arial Narrow" w:hAnsi="Arial Narrow"/>
          <w:b/>
          <w:color w:val="00B050"/>
          <w:sz w:val="24"/>
          <w:szCs w:val="24"/>
        </w:rPr>
      </w:pPr>
    </w:p>
    <w:p w:rsidR="00643600" w:rsidRPr="00FE5C30" w:rsidRDefault="00643600" w:rsidP="00643600">
      <w:pPr>
        <w:spacing w:after="0" w:line="240" w:lineRule="auto"/>
        <w:jc w:val="both"/>
        <w:rPr>
          <w:rFonts w:ascii="Arial Narrow" w:hAnsi="Arial Narrow"/>
          <w:color w:val="000000"/>
          <w:sz w:val="24"/>
          <w:szCs w:val="24"/>
        </w:rPr>
      </w:pPr>
      <w:r w:rsidRPr="00FE5C30">
        <w:rPr>
          <w:rFonts w:ascii="Arial Narrow" w:hAnsi="Arial Narrow"/>
          <w:color w:val="000000"/>
          <w:sz w:val="24"/>
          <w:szCs w:val="24"/>
        </w:rPr>
        <w:t>Proiecte derulate în perioada 2013-2015 în cadrul Programului Operațional Sectorial Creșterea Competitivității Economice - POS CCE 2007-2013, axa prioritară 1 “Un sistem de producţie inovativ şi eco-eficient”:</w:t>
      </w:r>
    </w:p>
    <w:p w:rsidR="00643600" w:rsidRDefault="00643600" w:rsidP="00643600">
      <w:pPr>
        <w:pStyle w:val="Listparagraf"/>
        <w:spacing w:after="0" w:line="240" w:lineRule="auto"/>
        <w:ind w:left="644"/>
        <w:jc w:val="both"/>
        <w:rPr>
          <w:rFonts w:ascii="Arial Narrow" w:hAnsi="Arial Narrow"/>
          <w:b/>
          <w:color w:val="00B050"/>
          <w:sz w:val="24"/>
          <w:szCs w:val="24"/>
        </w:rPr>
      </w:pPr>
    </w:p>
    <w:tbl>
      <w:tblPr>
        <w:tblW w:w="4885"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tblPr>
      <w:tblGrid>
        <w:gridCol w:w="458"/>
        <w:gridCol w:w="2063"/>
        <w:gridCol w:w="3399"/>
        <w:gridCol w:w="969"/>
        <w:gridCol w:w="973"/>
        <w:gridCol w:w="1212"/>
      </w:tblGrid>
      <w:tr w:rsidR="00643600" w:rsidRPr="00FE5C30" w:rsidTr="00643600">
        <w:trPr>
          <w:trHeight w:val="567"/>
        </w:trPr>
        <w:tc>
          <w:tcPr>
            <w:tcW w:w="252" w:type="pct"/>
            <w:tcBorders>
              <w:top w:val="single" w:sz="4" w:space="0" w:color="70AD47"/>
              <w:left w:val="single" w:sz="4" w:space="0" w:color="70AD47"/>
              <w:bottom w:val="single" w:sz="4" w:space="0" w:color="70AD47"/>
              <w:right w:val="nil"/>
            </w:tcBorders>
            <w:shd w:val="clear" w:color="auto" w:fill="70AD47"/>
          </w:tcPr>
          <w:p w:rsidR="00643600" w:rsidRPr="00FE5C30" w:rsidRDefault="00643600" w:rsidP="00643600">
            <w:pPr>
              <w:spacing w:after="0" w:line="240" w:lineRule="auto"/>
              <w:jc w:val="both"/>
              <w:rPr>
                <w:rFonts w:ascii="Arial Narrow" w:eastAsia="Times New Roman" w:hAnsi="Arial Narrow"/>
                <w:b/>
                <w:bCs/>
                <w:color w:val="000000"/>
                <w:sz w:val="20"/>
                <w:szCs w:val="20"/>
              </w:rPr>
            </w:pPr>
          </w:p>
        </w:tc>
        <w:tc>
          <w:tcPr>
            <w:tcW w:w="1137" w:type="pct"/>
            <w:tcBorders>
              <w:top w:val="single" w:sz="4" w:space="0" w:color="70AD47"/>
              <w:left w:val="nil"/>
              <w:bottom w:val="single" w:sz="4" w:space="0" w:color="70AD47"/>
              <w:right w:val="nil"/>
            </w:tcBorders>
            <w:shd w:val="clear" w:color="auto" w:fill="70AD47"/>
            <w:noWrap/>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Beneficiar </w:t>
            </w:r>
          </w:p>
        </w:tc>
        <w:tc>
          <w:tcPr>
            <w:tcW w:w="1873"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Titlu proiect</w:t>
            </w:r>
          </w:p>
        </w:tc>
        <w:tc>
          <w:tcPr>
            <w:tcW w:w="534"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Județ</w:t>
            </w:r>
          </w:p>
        </w:tc>
        <w:tc>
          <w:tcPr>
            <w:tcW w:w="536" w:type="pct"/>
            <w:tcBorders>
              <w:top w:val="single" w:sz="4" w:space="0" w:color="70AD47"/>
              <w:left w:val="nil"/>
              <w:bottom w:val="single" w:sz="4" w:space="0" w:color="70AD47"/>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Anul demarării proiectului</w:t>
            </w:r>
          </w:p>
        </w:tc>
        <w:tc>
          <w:tcPr>
            <w:tcW w:w="668" w:type="pct"/>
            <w:tcBorders>
              <w:top w:val="single" w:sz="4" w:space="0" w:color="70AD47"/>
              <w:left w:val="nil"/>
              <w:bottom w:val="single" w:sz="4" w:space="0" w:color="70AD47"/>
              <w:right w:val="single" w:sz="4" w:space="0" w:color="70AD47"/>
            </w:tcBorders>
            <w:shd w:val="clear" w:color="auto" w:fill="70AD47"/>
            <w:noWrap/>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 xml:space="preserve">Valoarea eligibilă </w:t>
            </w:r>
          </w:p>
        </w:tc>
      </w:tr>
      <w:tr w:rsidR="00643600" w:rsidRPr="00FE5C30" w:rsidTr="00643600">
        <w:trPr>
          <w:trHeight w:val="567"/>
        </w:trPr>
        <w:tc>
          <w:tcPr>
            <w:tcW w:w="252" w:type="pct"/>
            <w:shd w:val="clear" w:color="auto" w:fill="E2EFD9"/>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1</w:t>
            </w:r>
          </w:p>
        </w:tc>
        <w:tc>
          <w:tcPr>
            <w:tcW w:w="1137" w:type="pct"/>
            <w:shd w:val="clear" w:color="auto" w:fill="E2EFD9"/>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Ortoprofil Prod SRL</w:t>
            </w:r>
          </w:p>
        </w:tc>
        <w:tc>
          <w:tcPr>
            <w:tcW w:w="1873"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Cresterea competitivitatii economice si inbunatatirea calitatii serviciilor la SC Ortoprofil prod romania SRL prin achizitionarea de noi echipamente si utilaje - inovare si dezvoltare oferind calitate pentru o viata</w:t>
            </w:r>
          </w:p>
        </w:tc>
        <w:tc>
          <w:tcPr>
            <w:tcW w:w="534" w:type="pct"/>
            <w:shd w:val="clear" w:color="auto" w:fill="E2EFD9"/>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MURES</w:t>
            </w:r>
          </w:p>
        </w:tc>
        <w:tc>
          <w:tcPr>
            <w:tcW w:w="536" w:type="pct"/>
            <w:shd w:val="clear" w:color="auto" w:fill="E2EFD9"/>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2013</w:t>
            </w:r>
          </w:p>
        </w:tc>
        <w:tc>
          <w:tcPr>
            <w:tcW w:w="668" w:type="pct"/>
            <w:shd w:val="clear" w:color="auto" w:fill="E2EFD9"/>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1,012,575.00</w:t>
            </w:r>
          </w:p>
        </w:tc>
      </w:tr>
      <w:tr w:rsidR="00643600" w:rsidRPr="00FE5C30" w:rsidTr="00643600">
        <w:trPr>
          <w:trHeight w:val="567"/>
        </w:trPr>
        <w:tc>
          <w:tcPr>
            <w:tcW w:w="252" w:type="pct"/>
            <w:shd w:val="clear" w:color="auto" w:fill="auto"/>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lastRenderedPageBreak/>
              <w:t>2</w:t>
            </w:r>
          </w:p>
        </w:tc>
        <w:tc>
          <w:tcPr>
            <w:tcW w:w="1137"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Aktivort SRL</w:t>
            </w:r>
          </w:p>
        </w:tc>
        <w:tc>
          <w:tcPr>
            <w:tcW w:w="1873"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Cresterea competitivitatii SC Aktivort SRL prin achizitia de echipamente performante, ce inglobeaza tehnologii moderne</w:t>
            </w:r>
          </w:p>
        </w:tc>
        <w:tc>
          <w:tcPr>
            <w:tcW w:w="534" w:type="pct"/>
            <w:shd w:val="clear" w:color="auto" w:fill="auto"/>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HARGHITA</w:t>
            </w:r>
          </w:p>
        </w:tc>
        <w:tc>
          <w:tcPr>
            <w:tcW w:w="536" w:type="pct"/>
            <w:shd w:val="clear" w:color="auto" w:fill="auto"/>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2015</w:t>
            </w:r>
          </w:p>
        </w:tc>
        <w:tc>
          <w:tcPr>
            <w:tcW w:w="668" w:type="pct"/>
            <w:shd w:val="clear" w:color="auto" w:fill="auto"/>
            <w:noWrap/>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375,446.50</w:t>
            </w:r>
          </w:p>
        </w:tc>
      </w:tr>
    </w:tbl>
    <w:p w:rsidR="00643600" w:rsidRDefault="00643600" w:rsidP="00643600">
      <w:pPr>
        <w:pStyle w:val="Listparagraf"/>
        <w:spacing w:after="0" w:line="240" w:lineRule="auto"/>
        <w:ind w:left="644"/>
        <w:jc w:val="both"/>
        <w:rPr>
          <w:rFonts w:ascii="Arial Narrow" w:hAnsi="Arial Narrow"/>
          <w:b/>
          <w:color w:val="00B050"/>
          <w:sz w:val="24"/>
          <w:szCs w:val="24"/>
        </w:rPr>
      </w:pPr>
    </w:p>
    <w:p w:rsidR="00643600" w:rsidRPr="00FE5C30" w:rsidRDefault="00643600" w:rsidP="00643600">
      <w:pPr>
        <w:spacing w:after="0" w:line="240" w:lineRule="auto"/>
        <w:jc w:val="both"/>
        <w:rPr>
          <w:rFonts w:ascii="Arial Narrow" w:hAnsi="Arial Narrow"/>
          <w:color w:val="000000"/>
          <w:sz w:val="24"/>
          <w:szCs w:val="24"/>
        </w:rPr>
      </w:pPr>
    </w:p>
    <w:p w:rsidR="00643600" w:rsidRPr="00FE5C30" w:rsidRDefault="00643600" w:rsidP="00643600">
      <w:pPr>
        <w:spacing w:after="0" w:line="240" w:lineRule="auto"/>
        <w:jc w:val="both"/>
        <w:rPr>
          <w:rFonts w:ascii="Arial Narrow" w:hAnsi="Arial Narrow"/>
          <w:i/>
          <w:color w:val="000000"/>
          <w:sz w:val="24"/>
          <w:szCs w:val="24"/>
        </w:rPr>
      </w:pPr>
      <w:r w:rsidRPr="00FE5C30">
        <w:rPr>
          <w:rFonts w:ascii="Arial Narrow" w:hAnsi="Arial Narrow"/>
          <w:i/>
          <w:color w:val="000000"/>
          <w:sz w:val="24"/>
          <w:szCs w:val="24"/>
        </w:rPr>
        <w:t>Proiecte selectate pentru finanțare în 2015</w:t>
      </w:r>
      <w:r w:rsidRPr="00FE5C30">
        <w:rPr>
          <w:rFonts w:ascii="Arial Narrow" w:hAnsi="Arial Narrow"/>
          <w:b/>
          <w:i/>
          <w:color w:val="000000"/>
          <w:sz w:val="24"/>
          <w:szCs w:val="24"/>
        </w:rPr>
        <w:t xml:space="preserve"> </w:t>
      </w:r>
      <w:r w:rsidRPr="00FE5C30">
        <w:rPr>
          <w:rFonts w:ascii="Arial Narrow" w:hAnsi="Arial Narrow"/>
          <w:i/>
          <w:color w:val="000000"/>
          <w:sz w:val="24"/>
          <w:szCs w:val="24"/>
        </w:rPr>
        <w:t>în cadrul Programul Operațional Competitivitate – POC 2014-2020, axa prioritar</w:t>
      </w:r>
      <w:r w:rsidRPr="00FE5C30">
        <w:rPr>
          <w:rFonts w:ascii="Arial Narrow" w:hAnsi="Arial Narrow"/>
          <w:i/>
          <w:color w:val="000000"/>
          <w:sz w:val="24"/>
          <w:szCs w:val="24"/>
          <w:lang w:val="ro-RO"/>
        </w:rPr>
        <w:t xml:space="preserve">ă 1 </w:t>
      </w:r>
      <w:r w:rsidRPr="00FE5C30">
        <w:rPr>
          <w:rFonts w:ascii="Arial Narrow" w:hAnsi="Arial Narrow"/>
          <w:i/>
          <w:color w:val="000000"/>
          <w:sz w:val="24"/>
          <w:szCs w:val="24"/>
        </w:rPr>
        <w:t>“Cercetare, dezvoltare tehnologică și inovare (CDI) în sprijinul competitivităţii economice și dezvoltării afacerilor”:</w:t>
      </w:r>
    </w:p>
    <w:tbl>
      <w:tblPr>
        <w:tblW w:w="10734" w:type="dxa"/>
        <w:tblInd w:w="-8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235"/>
        <w:gridCol w:w="5103"/>
        <w:gridCol w:w="3396"/>
      </w:tblGrid>
      <w:tr w:rsidR="00643600" w:rsidRPr="00FE5C30" w:rsidTr="007175F1">
        <w:trPr>
          <w:trHeight w:val="567"/>
        </w:trPr>
        <w:tc>
          <w:tcPr>
            <w:tcW w:w="2235" w:type="dxa"/>
            <w:tcBorders>
              <w:top w:val="single" w:sz="4" w:space="0" w:color="FFFFFF"/>
              <w:left w:val="single" w:sz="4" w:space="0" w:color="FFFFFF"/>
              <w:right w:val="nil"/>
            </w:tcBorders>
            <w:shd w:val="clear" w:color="auto" w:fill="5B9BD5"/>
            <w:noWrap/>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color w:val="000000"/>
                <w:sz w:val="20"/>
                <w:szCs w:val="20"/>
              </w:rPr>
              <w:t>Beneficiar</w:t>
            </w:r>
          </w:p>
        </w:tc>
        <w:tc>
          <w:tcPr>
            <w:tcW w:w="5103" w:type="dxa"/>
            <w:tcBorders>
              <w:top w:val="single" w:sz="4" w:space="0" w:color="FFFFFF"/>
              <w:left w:val="nil"/>
              <w:right w:val="nil"/>
            </w:tcBorders>
            <w:shd w:val="clear" w:color="auto" w:fill="5B9BD5"/>
            <w:noWrap/>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Titlul proiect</w:t>
            </w:r>
          </w:p>
        </w:tc>
        <w:tc>
          <w:tcPr>
            <w:tcW w:w="3396" w:type="dxa"/>
            <w:tcBorders>
              <w:top w:val="single" w:sz="4" w:space="0" w:color="FFFFFF"/>
              <w:left w:val="nil"/>
              <w:right w:val="single" w:sz="4" w:space="0" w:color="FFFFFF"/>
            </w:tcBorders>
            <w:shd w:val="clear" w:color="auto" w:fill="5B9BD5"/>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hAnsi="Arial Narrow"/>
                <w:b/>
                <w:bCs/>
                <w:color w:val="000000"/>
                <w:sz w:val="20"/>
                <w:szCs w:val="20"/>
              </w:rPr>
              <w:t>Tip de proiect</w:t>
            </w:r>
          </w:p>
        </w:tc>
      </w:tr>
      <w:tr w:rsidR="00643600" w:rsidRPr="00FE5C30" w:rsidTr="007175F1">
        <w:trPr>
          <w:trHeight w:val="567"/>
        </w:trPr>
        <w:tc>
          <w:tcPr>
            <w:tcW w:w="2235" w:type="dxa"/>
            <w:tcBorders>
              <w:left w:val="single" w:sz="4" w:space="0" w:color="FFFFFF"/>
            </w:tcBorders>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Cardio Med SRL</w:t>
            </w:r>
          </w:p>
        </w:tc>
        <w:tc>
          <w:tcPr>
            <w:tcW w:w="5103" w:type="dxa"/>
            <w:shd w:val="clear" w:color="auto" w:fill="BDD6EE"/>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 xml:space="preserve"> Platformă imagistică multimodală RMN/CT de înaltă performanţă, destinată aplicării medicinii computaționale, nanoparticulelor și imagisticii hibride în cercetarea bolilor aterotrombotice</w:t>
            </w:r>
          </w:p>
        </w:tc>
        <w:tc>
          <w:tcPr>
            <w:tcW w:w="3396"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Investiții pentru departamentele de CD ale întreprinderilor</w:t>
            </w:r>
          </w:p>
        </w:tc>
      </w:tr>
      <w:tr w:rsidR="00643600" w:rsidRPr="00FE5C30" w:rsidTr="007175F1">
        <w:trPr>
          <w:trHeight w:val="567"/>
        </w:trPr>
        <w:tc>
          <w:tcPr>
            <w:tcW w:w="2235" w:type="dxa"/>
            <w:tcBorders>
              <w:left w:val="single" w:sz="4" w:space="0" w:color="FFFFFF"/>
            </w:tcBorders>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Actamedica SRL</w:t>
            </w:r>
          </w:p>
        </w:tc>
        <w:tc>
          <w:tcPr>
            <w:tcW w:w="5103" w:type="dxa"/>
            <w:shd w:val="clear" w:color="auto" w:fill="DEEAF6"/>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Rețeaua Națională de Cercetare-Dezvoltare-Inovare în Imagistică Hibridă și TeleMedicină Avansată în GastroEnterologie și Cardiologie IMAGE</w:t>
            </w:r>
          </w:p>
        </w:tc>
        <w:tc>
          <w:tcPr>
            <w:tcW w:w="3396"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Investiții pentru departamentele de CD ale întreprinderilor</w:t>
            </w:r>
          </w:p>
        </w:tc>
      </w:tr>
      <w:tr w:rsidR="00643600" w:rsidRPr="00FE5C30" w:rsidTr="007175F1">
        <w:trPr>
          <w:trHeight w:val="567"/>
        </w:trPr>
        <w:tc>
          <w:tcPr>
            <w:tcW w:w="2235" w:type="dxa"/>
            <w:tcBorders>
              <w:left w:val="single" w:sz="4" w:space="0" w:color="FFFFFF"/>
            </w:tcBorders>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Galenus Medica SA</w:t>
            </w:r>
          </w:p>
        </w:tc>
        <w:tc>
          <w:tcPr>
            <w:tcW w:w="5103" w:type="dxa"/>
            <w:shd w:val="clear" w:color="auto" w:fill="BDD6EE"/>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Centru de excelență în cercetare "galenus medica" în reproducerea umană asistată, diagnostic în principalele patologii ale genitorilor și depistarea precoce a malformațiilor la nou-născut și sugar</w:t>
            </w:r>
          </w:p>
        </w:tc>
        <w:tc>
          <w:tcPr>
            <w:tcW w:w="3396"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Investiții pentru departamentele de CD ale întreprinderilor</w:t>
            </w:r>
          </w:p>
        </w:tc>
      </w:tr>
      <w:tr w:rsidR="00643600" w:rsidRPr="00FE5C30" w:rsidTr="007175F1">
        <w:trPr>
          <w:trHeight w:val="567"/>
        </w:trPr>
        <w:tc>
          <w:tcPr>
            <w:tcW w:w="2235" w:type="dxa"/>
            <w:tcBorders>
              <w:left w:val="single" w:sz="4" w:space="0" w:color="FFFFFF"/>
            </w:tcBorders>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Polimed Dacia SRL</w:t>
            </w:r>
          </w:p>
        </w:tc>
        <w:tc>
          <w:tcPr>
            <w:tcW w:w="5103" w:type="dxa"/>
            <w:shd w:val="clear" w:color="auto" w:fill="DEEAF6"/>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Dezvoltarea centrului de cercetare-dezvoltare-inovare în științe medicale polimed dacia brașov</w:t>
            </w:r>
          </w:p>
        </w:tc>
        <w:tc>
          <w:tcPr>
            <w:tcW w:w="3396"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Investiții pentru departamentele de CD ale întreprinderilor</w:t>
            </w:r>
          </w:p>
        </w:tc>
      </w:tr>
      <w:tr w:rsidR="00643600" w:rsidRPr="00FE5C30" w:rsidTr="007175F1">
        <w:trPr>
          <w:trHeight w:val="567"/>
        </w:trPr>
        <w:tc>
          <w:tcPr>
            <w:tcW w:w="2235" w:type="dxa"/>
            <w:tcBorders>
              <w:left w:val="single" w:sz="4" w:space="0" w:color="FFFFFF"/>
            </w:tcBorders>
            <w:shd w:val="clear" w:color="auto" w:fill="5B9BD5"/>
            <w:hideMark/>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Cattus SRL</w:t>
            </w:r>
          </w:p>
        </w:tc>
        <w:tc>
          <w:tcPr>
            <w:tcW w:w="5103" w:type="dxa"/>
            <w:shd w:val="clear" w:color="auto" w:fill="BDD6EE"/>
            <w:hideMark/>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Centrul de Inovare, Cercetare si Dezvoltare a Dispozitivelor Medicale</w:t>
            </w:r>
          </w:p>
        </w:tc>
        <w:tc>
          <w:tcPr>
            <w:tcW w:w="3396"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Investiții pentru departamentele de CD ale întreprinderilor</w:t>
            </w:r>
          </w:p>
        </w:tc>
      </w:tr>
      <w:tr w:rsidR="00643600" w:rsidRPr="00FE5C30" w:rsidTr="007175F1">
        <w:trPr>
          <w:trHeight w:val="567"/>
        </w:trPr>
        <w:tc>
          <w:tcPr>
            <w:tcW w:w="2235" w:type="dxa"/>
            <w:tcBorders>
              <w:left w:val="single" w:sz="4" w:space="0" w:color="FFFFFF"/>
            </w:tcBorders>
            <w:shd w:val="clear" w:color="auto" w:fill="5B9BD5"/>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Polimed Dacia SRL</w:t>
            </w:r>
          </w:p>
        </w:tc>
        <w:tc>
          <w:tcPr>
            <w:tcW w:w="5103" w:type="dxa"/>
            <w:shd w:val="clear" w:color="auto" w:fill="DEEAF6"/>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Metodă inovatoare de recuperare medicală prin tratament cu plasmă bogată în trombocite și aerocrioterapie</w:t>
            </w:r>
          </w:p>
        </w:tc>
        <w:tc>
          <w:tcPr>
            <w:tcW w:w="3396"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 Întreprinderi nou-înființate inovatoare</w:t>
            </w:r>
          </w:p>
        </w:tc>
      </w:tr>
      <w:tr w:rsidR="00643600" w:rsidRPr="00FE5C30" w:rsidTr="007175F1">
        <w:trPr>
          <w:trHeight w:val="567"/>
        </w:trPr>
        <w:tc>
          <w:tcPr>
            <w:tcW w:w="2235" w:type="dxa"/>
            <w:tcBorders>
              <w:left w:val="single" w:sz="4" w:space="0" w:color="FFFFFF"/>
            </w:tcBorders>
            <w:shd w:val="clear" w:color="auto" w:fill="5B9BD5"/>
          </w:tcPr>
          <w:p w:rsidR="00643600" w:rsidRPr="00FE5C30" w:rsidRDefault="00643600" w:rsidP="00643600">
            <w:pPr>
              <w:spacing w:after="0" w:line="240" w:lineRule="auto"/>
              <w:jc w:val="both"/>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SC Cardio Med SRL</w:t>
            </w:r>
          </w:p>
        </w:tc>
        <w:tc>
          <w:tcPr>
            <w:tcW w:w="5103" w:type="dxa"/>
            <w:shd w:val="clear" w:color="auto" w:fill="BDD6EE"/>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Creșterea capacității de cercetare în domeniul imagisticii plăcii coronariene vulnerabile, bazată pe tehnologii avansate de nanoparticule, imagistică de fuziune și simulări computaționale</w:t>
            </w:r>
          </w:p>
        </w:tc>
        <w:tc>
          <w:tcPr>
            <w:tcW w:w="3396"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Proiecte CD pentru atragerea de personal cu competențe avansate din străinătate</w:t>
            </w:r>
          </w:p>
        </w:tc>
      </w:tr>
      <w:tr w:rsidR="00643600" w:rsidRPr="00FE5C30" w:rsidTr="007175F1">
        <w:trPr>
          <w:trHeight w:val="567"/>
        </w:trPr>
        <w:tc>
          <w:tcPr>
            <w:tcW w:w="2235" w:type="dxa"/>
            <w:tcBorders>
              <w:left w:val="single" w:sz="4" w:space="0" w:color="FFFFFF"/>
            </w:tcBorders>
            <w:shd w:val="clear" w:color="auto" w:fill="5B9BD5"/>
          </w:tcPr>
          <w:p w:rsidR="00643600" w:rsidRPr="00FE5C30" w:rsidRDefault="00643600" w:rsidP="00643600">
            <w:pPr>
              <w:spacing w:after="0" w:line="240" w:lineRule="auto"/>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Universitatea Lucian Blaga Din Sibiu</w:t>
            </w:r>
          </w:p>
        </w:tc>
        <w:tc>
          <w:tcPr>
            <w:tcW w:w="5103" w:type="dxa"/>
            <w:shd w:val="clear" w:color="auto" w:fill="DEEAF6"/>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Cercetare de noua generatie prin asistenta computerizata in</w:t>
            </w:r>
            <w:r w:rsidRPr="00FE5C30">
              <w:rPr>
                <w:rFonts w:ascii="Arial Narrow" w:eastAsia="Times New Roman" w:hAnsi="Arial Narrow"/>
                <w:color w:val="000000"/>
                <w:sz w:val="20"/>
                <w:szCs w:val="20"/>
              </w:rPr>
              <w:br/>
              <w:t>managementul patologiilor cardiovasculare</w:t>
            </w:r>
          </w:p>
        </w:tc>
        <w:tc>
          <w:tcPr>
            <w:tcW w:w="3396"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Proiecte CD pentru atragerea de personal cu competențe avansate din străinătate</w:t>
            </w:r>
          </w:p>
        </w:tc>
      </w:tr>
      <w:tr w:rsidR="00643600" w:rsidRPr="00FE5C30" w:rsidTr="007175F1">
        <w:trPr>
          <w:trHeight w:val="567"/>
        </w:trPr>
        <w:tc>
          <w:tcPr>
            <w:tcW w:w="2235" w:type="dxa"/>
            <w:tcBorders>
              <w:left w:val="single" w:sz="4" w:space="0" w:color="FFFFFF"/>
            </w:tcBorders>
            <w:shd w:val="clear" w:color="auto" w:fill="5B9BD5"/>
          </w:tcPr>
          <w:p w:rsidR="00643600" w:rsidRPr="00FE5C30" w:rsidRDefault="00643600" w:rsidP="00643600">
            <w:pPr>
              <w:spacing w:after="0" w:line="240" w:lineRule="auto"/>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Universitatea de Medicina si Farmacie din Tg. Mures</w:t>
            </w:r>
          </w:p>
        </w:tc>
        <w:tc>
          <w:tcPr>
            <w:tcW w:w="5103" w:type="dxa"/>
            <w:shd w:val="clear" w:color="auto" w:fill="BDD6EE"/>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eastAsia="Times New Roman" w:hAnsi="Arial Narrow"/>
                <w:color w:val="000000"/>
                <w:sz w:val="20"/>
                <w:szCs w:val="20"/>
              </w:rPr>
              <w:t>Centru de cercetare în nanobiologie şi nanotehnologie – INSTITUTUL NANO-X</w:t>
            </w:r>
          </w:p>
        </w:tc>
        <w:tc>
          <w:tcPr>
            <w:tcW w:w="3396" w:type="dxa"/>
            <w:shd w:val="clear" w:color="auto" w:fill="BDD6EE"/>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Proiecte de investiții pentru instituții publice de CD/ universități</w:t>
            </w:r>
          </w:p>
        </w:tc>
      </w:tr>
      <w:tr w:rsidR="00643600" w:rsidRPr="00FE5C30" w:rsidTr="007175F1">
        <w:trPr>
          <w:trHeight w:val="567"/>
        </w:trPr>
        <w:tc>
          <w:tcPr>
            <w:tcW w:w="2235" w:type="dxa"/>
            <w:tcBorders>
              <w:left w:val="single" w:sz="4" w:space="0" w:color="FFFFFF"/>
              <w:bottom w:val="single" w:sz="4" w:space="0" w:color="FFFFFF"/>
            </w:tcBorders>
            <w:shd w:val="clear" w:color="auto" w:fill="5B9BD5"/>
          </w:tcPr>
          <w:p w:rsidR="00643600" w:rsidRPr="00FE5C30" w:rsidRDefault="00643600" w:rsidP="00643600">
            <w:pPr>
              <w:spacing w:after="0" w:line="240" w:lineRule="auto"/>
              <w:rPr>
                <w:rFonts w:ascii="Arial Narrow" w:eastAsia="Times New Roman" w:hAnsi="Arial Narrow"/>
                <w:b/>
                <w:bCs/>
                <w:color w:val="000000"/>
                <w:sz w:val="20"/>
                <w:szCs w:val="20"/>
              </w:rPr>
            </w:pPr>
            <w:r w:rsidRPr="00FE5C30">
              <w:rPr>
                <w:rFonts w:ascii="Arial Narrow" w:eastAsia="Times New Roman" w:hAnsi="Arial Narrow"/>
                <w:b/>
                <w:bCs/>
                <w:color w:val="000000"/>
                <w:sz w:val="20"/>
                <w:szCs w:val="20"/>
              </w:rPr>
              <w:t>Universitatea de Medicina si Farmacie din Tg. Mures</w:t>
            </w:r>
          </w:p>
        </w:tc>
        <w:tc>
          <w:tcPr>
            <w:tcW w:w="5103" w:type="dxa"/>
            <w:shd w:val="clear" w:color="auto" w:fill="DEEAF6"/>
          </w:tcPr>
          <w:p w:rsidR="00643600" w:rsidRPr="00FE5C30" w:rsidRDefault="00643600" w:rsidP="00643600">
            <w:pPr>
              <w:spacing w:after="0" w:line="240" w:lineRule="auto"/>
              <w:jc w:val="both"/>
              <w:rPr>
                <w:rFonts w:ascii="Arial Narrow" w:eastAsia="Times New Roman" w:hAnsi="Arial Narrow"/>
                <w:color w:val="000000"/>
                <w:sz w:val="20"/>
                <w:szCs w:val="20"/>
              </w:rPr>
            </w:pPr>
            <w:r w:rsidRPr="00FE5C30">
              <w:rPr>
                <w:rFonts w:ascii="Arial Narrow" w:hAnsi="Arial Narrow"/>
                <w:sz w:val="20"/>
                <w:szCs w:val="20"/>
              </w:rPr>
              <w:t>Terapii ce vizeaza Proteina C Reactiva pentru prevenirea dementei asociate cu atacul vascular cerebral ischemic</w:t>
            </w:r>
          </w:p>
        </w:tc>
        <w:tc>
          <w:tcPr>
            <w:tcW w:w="3396" w:type="dxa"/>
            <w:shd w:val="clear" w:color="auto" w:fill="DEEAF6"/>
          </w:tcPr>
          <w:p w:rsidR="00643600" w:rsidRPr="00FE5C30" w:rsidRDefault="00643600" w:rsidP="00643600">
            <w:pPr>
              <w:spacing w:after="0" w:line="240" w:lineRule="auto"/>
              <w:jc w:val="both"/>
              <w:rPr>
                <w:rFonts w:ascii="Arial Narrow" w:hAnsi="Arial Narrow"/>
                <w:color w:val="000000"/>
                <w:sz w:val="20"/>
                <w:szCs w:val="20"/>
              </w:rPr>
            </w:pPr>
            <w:r w:rsidRPr="00FE5C30">
              <w:rPr>
                <w:rFonts w:ascii="Arial Narrow" w:hAnsi="Arial Narrow"/>
                <w:color w:val="000000"/>
                <w:sz w:val="20"/>
                <w:szCs w:val="20"/>
              </w:rPr>
              <w:t>Proiecte CD pentru atragerea de personal cu competențe avansate din străinătate</w:t>
            </w:r>
          </w:p>
        </w:tc>
      </w:tr>
    </w:tbl>
    <w:p w:rsidR="00643600" w:rsidRDefault="00643600" w:rsidP="00643600">
      <w:pPr>
        <w:pStyle w:val="Listparagraf"/>
        <w:spacing w:after="0" w:line="240" w:lineRule="auto"/>
        <w:ind w:left="644"/>
        <w:jc w:val="both"/>
        <w:rPr>
          <w:rFonts w:ascii="Arial Narrow" w:hAnsi="Arial Narrow"/>
          <w:b/>
          <w:color w:val="00B050"/>
          <w:sz w:val="24"/>
          <w:szCs w:val="24"/>
        </w:rPr>
      </w:pPr>
    </w:p>
    <w:p w:rsidR="00643600" w:rsidRPr="00CE4D0C" w:rsidRDefault="00643600" w:rsidP="00643600">
      <w:pPr>
        <w:pStyle w:val="Default"/>
        <w:jc w:val="both"/>
        <w:rPr>
          <w:rFonts w:ascii="Arial Narrow" w:hAnsi="Arial Narrow"/>
        </w:rPr>
      </w:pPr>
      <w:r w:rsidRPr="00CE4D0C">
        <w:rPr>
          <w:rFonts w:ascii="Arial Narrow" w:hAnsi="Arial Narrow"/>
        </w:rPr>
        <w:t>Numă</w:t>
      </w:r>
      <w:r>
        <w:rPr>
          <w:rFonts w:ascii="Arial Narrow" w:hAnsi="Arial Narrow"/>
        </w:rPr>
        <w:t>rul mare de proiecte implementat</w:t>
      </w:r>
      <w:r w:rsidRPr="00CE4D0C">
        <w:rPr>
          <w:rFonts w:ascii="Arial Narrow" w:hAnsi="Arial Narrow"/>
        </w:rPr>
        <w:t xml:space="preserve">e sau </w:t>
      </w:r>
      <w:r>
        <w:rPr>
          <w:rFonts w:ascii="Arial Narrow" w:hAnsi="Arial Narrow"/>
        </w:rPr>
        <w:t xml:space="preserve">aflate </w:t>
      </w:r>
      <w:r w:rsidRPr="00CE4D0C">
        <w:rPr>
          <w:rFonts w:ascii="Arial Narrow" w:hAnsi="Arial Narrow"/>
        </w:rPr>
        <w:t xml:space="preserve">în desfășurare în </w:t>
      </w:r>
      <w:r>
        <w:rPr>
          <w:rFonts w:ascii="Arial Narrow" w:hAnsi="Arial Narrow"/>
        </w:rPr>
        <w:t>prez</w:t>
      </w:r>
      <w:r w:rsidRPr="00CE4D0C">
        <w:rPr>
          <w:rFonts w:ascii="Arial Narrow" w:hAnsi="Arial Narrow"/>
        </w:rPr>
        <w:t xml:space="preserve">ent </w:t>
      </w:r>
      <w:r>
        <w:rPr>
          <w:rFonts w:ascii="Arial Narrow" w:hAnsi="Arial Narrow"/>
        </w:rPr>
        <w:t>în</w:t>
      </w:r>
      <w:r w:rsidRPr="00CE4D0C">
        <w:rPr>
          <w:rFonts w:ascii="Arial Narrow" w:hAnsi="Arial Narrow"/>
        </w:rPr>
        <w:t xml:space="preserve"> sectorul medical indică un interes crescut </w:t>
      </w:r>
      <w:r>
        <w:rPr>
          <w:rFonts w:ascii="Arial Narrow" w:hAnsi="Arial Narrow"/>
        </w:rPr>
        <w:t>atât din partea instituțiilor publice, cât și a companiilor private</w:t>
      </w:r>
      <w:r w:rsidRPr="00CE4D0C">
        <w:rPr>
          <w:rFonts w:ascii="Arial Narrow" w:hAnsi="Arial Narrow"/>
        </w:rPr>
        <w:t xml:space="preserve"> în ceea ce privește îmbunătățirea și </w:t>
      </w:r>
      <w:r>
        <w:rPr>
          <w:rFonts w:ascii="Arial Narrow" w:hAnsi="Arial Narrow"/>
        </w:rPr>
        <w:t>dezvoltarea continua, în special în zona de cercetare-dezvoltare, pentru identificarea de noi tehnologii și crearea de noi dispozitive medicale  și produse farmaceutice.</w:t>
      </w:r>
    </w:p>
    <w:p w:rsidR="00643600" w:rsidRPr="00CE4D0C" w:rsidRDefault="00643600" w:rsidP="00643600">
      <w:pPr>
        <w:pStyle w:val="Default"/>
        <w:jc w:val="both"/>
        <w:rPr>
          <w:rFonts w:ascii="Arial Narrow" w:hAnsi="Arial Narrow"/>
        </w:rPr>
      </w:pPr>
    </w:p>
    <w:p w:rsidR="00643600" w:rsidRPr="005A0F19" w:rsidRDefault="00643600" w:rsidP="00643600">
      <w:pPr>
        <w:pStyle w:val="Default"/>
        <w:numPr>
          <w:ilvl w:val="0"/>
          <w:numId w:val="64"/>
        </w:numPr>
        <w:jc w:val="both"/>
        <w:rPr>
          <w:rFonts w:ascii="Arial Narrow" w:hAnsi="Arial Narrow"/>
          <w:b/>
        </w:rPr>
      </w:pPr>
      <w:r w:rsidRPr="005A0F19">
        <w:rPr>
          <w:rFonts w:ascii="Arial Narrow" w:hAnsi="Arial Narrow"/>
          <w:b/>
        </w:rPr>
        <w:t>Invățământul universitar și forța de muncă din sectorul medical-farmaceutic</w:t>
      </w:r>
    </w:p>
    <w:p w:rsidR="00643600" w:rsidRPr="005A0F19" w:rsidRDefault="00643600" w:rsidP="00643600">
      <w:pPr>
        <w:spacing w:after="0" w:line="240" w:lineRule="auto"/>
        <w:jc w:val="both"/>
        <w:rPr>
          <w:rFonts w:ascii="Arial Narrow" w:hAnsi="Arial Narrow"/>
          <w:sz w:val="24"/>
          <w:szCs w:val="24"/>
          <w:highlight w:val="green"/>
          <w:lang w:val="ro-RO"/>
        </w:rPr>
      </w:pPr>
    </w:p>
    <w:p w:rsidR="00643600" w:rsidRPr="005A0F19" w:rsidRDefault="00643600" w:rsidP="00643600">
      <w:pPr>
        <w:spacing w:after="0" w:line="240" w:lineRule="auto"/>
        <w:jc w:val="both"/>
        <w:rPr>
          <w:rFonts w:ascii="Arial Narrow" w:hAnsi="Arial Narrow"/>
          <w:sz w:val="24"/>
          <w:szCs w:val="24"/>
          <w:lang w:val="ro-RO"/>
        </w:rPr>
      </w:pPr>
      <w:r>
        <w:rPr>
          <w:rFonts w:ascii="Arial Narrow" w:hAnsi="Arial Narrow"/>
          <w:sz w:val="24"/>
          <w:szCs w:val="24"/>
        </w:rPr>
        <w:t xml:space="preserve">O altă </w:t>
      </w:r>
      <w:r w:rsidRPr="005A0F19">
        <w:rPr>
          <w:rFonts w:ascii="Arial Narrow" w:hAnsi="Arial Narrow"/>
          <w:sz w:val="24"/>
          <w:szCs w:val="24"/>
        </w:rPr>
        <w:t>categorie de actori</w:t>
      </w:r>
      <w:r>
        <w:rPr>
          <w:rFonts w:ascii="Arial Narrow" w:hAnsi="Arial Narrow"/>
          <w:sz w:val="24"/>
          <w:szCs w:val="24"/>
        </w:rPr>
        <w:t xml:space="preserve">, cu o importanță majoră, </w:t>
      </w:r>
      <w:r w:rsidRPr="005A0F19">
        <w:rPr>
          <w:rFonts w:ascii="Arial Narrow" w:hAnsi="Arial Narrow"/>
          <w:sz w:val="24"/>
          <w:szCs w:val="24"/>
        </w:rPr>
        <w:t>es</w:t>
      </w:r>
      <w:r>
        <w:rPr>
          <w:rFonts w:ascii="Arial Narrow" w:hAnsi="Arial Narrow"/>
          <w:sz w:val="24"/>
          <w:szCs w:val="24"/>
        </w:rPr>
        <w:t>te reprezentată de universități. La nivel național există 11 centre universitare medicale</w:t>
      </w:r>
      <w:r>
        <w:rPr>
          <w:rFonts w:ascii="Arial Narrow" w:hAnsi="Arial Narrow"/>
          <w:sz w:val="24"/>
          <w:szCs w:val="24"/>
          <w:lang w:val="ro-RO"/>
        </w:rPr>
        <w:t xml:space="preserve">, Regiunea Centru fiind sigura regiune cu 3 </w:t>
      </w:r>
      <w:r w:rsidRPr="005A0F19">
        <w:rPr>
          <w:rFonts w:ascii="Arial Narrow" w:hAnsi="Arial Narrow"/>
          <w:sz w:val="24"/>
          <w:szCs w:val="24"/>
          <w:lang w:val="ro-RO"/>
        </w:rPr>
        <w:t>centre universitare localizate în Târgu Mures, Sibiu şi Braşov.</w:t>
      </w:r>
    </w:p>
    <w:p w:rsidR="00643600" w:rsidRPr="007151C7" w:rsidRDefault="00643600" w:rsidP="002617A6">
      <w:pPr>
        <w:pStyle w:val="Listparagraf"/>
        <w:numPr>
          <w:ilvl w:val="0"/>
          <w:numId w:val="72"/>
        </w:numPr>
        <w:spacing w:after="0" w:line="240" w:lineRule="auto"/>
        <w:jc w:val="both"/>
        <w:rPr>
          <w:rFonts w:ascii="Arial Narrow" w:hAnsi="Arial Narrow"/>
          <w:sz w:val="24"/>
          <w:szCs w:val="24"/>
        </w:rPr>
      </w:pPr>
      <w:r w:rsidRPr="007151C7">
        <w:rPr>
          <w:rFonts w:ascii="Arial Narrow" w:hAnsi="Arial Narrow"/>
          <w:b/>
          <w:sz w:val="24"/>
          <w:szCs w:val="24"/>
        </w:rPr>
        <w:t>Universitatea de Medicină și Farmacie Târgu Mureș</w:t>
      </w:r>
      <w:r w:rsidRPr="007151C7">
        <w:rPr>
          <w:rFonts w:ascii="Arial Narrow" w:hAnsi="Arial Narrow"/>
          <w:sz w:val="24"/>
          <w:szCs w:val="24"/>
        </w:rPr>
        <w:t xml:space="preserve"> este o instituție de învățământ superior de stat și de cercetare, considerată a fi una dintre cele mai prestigioase, cu statut multicultural și multilingvistic, conform Legii Educației Naționale, înființată în anul </w:t>
      </w:r>
      <w:hyperlink r:id="rId102" w:tooltip="1945" w:history="1">
        <w:r w:rsidRPr="007151C7">
          <w:rPr>
            <w:rFonts w:ascii="Arial Narrow" w:hAnsi="Arial Narrow"/>
            <w:sz w:val="24"/>
            <w:szCs w:val="24"/>
          </w:rPr>
          <w:t>1945</w:t>
        </w:r>
      </w:hyperlink>
      <w:r w:rsidRPr="007151C7">
        <w:rPr>
          <w:rFonts w:ascii="Arial Narrow" w:hAnsi="Arial Narrow"/>
          <w:sz w:val="24"/>
          <w:szCs w:val="24"/>
        </w:rPr>
        <w:t xml:space="preserve">. Este integrată sistemului național de învățământ superior, şi asigură pregătirea universitară și postuniversitară în domeniul științelor medicale și farmaceutice, organizează și coordonează cercetarea științifică și cooperarea </w:t>
      </w:r>
      <w:r w:rsidRPr="007151C7">
        <w:rPr>
          <w:rFonts w:ascii="Arial Narrow" w:hAnsi="Arial Narrow"/>
          <w:sz w:val="24"/>
          <w:szCs w:val="24"/>
        </w:rPr>
        <w:lastRenderedPageBreak/>
        <w:t>națională și internațională în domeniile științei și pregătirii universitare și postuniversitare medico-farmaceutice.</w:t>
      </w:r>
      <w:hyperlink r:id="rId103" w:anchor="cite_note-3" w:history="1"/>
      <w:r w:rsidRPr="007151C7">
        <w:rPr>
          <w:rFonts w:ascii="Arial Narrow" w:hAnsi="Arial Narrow"/>
          <w:sz w:val="24"/>
          <w:szCs w:val="24"/>
        </w:rPr>
        <w:t xml:space="preserve"> </w:t>
      </w:r>
    </w:p>
    <w:p w:rsidR="00643600" w:rsidRPr="005A0F19"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lang w:val="ro-RO"/>
        </w:rPr>
        <w:t>În comparație cu celelalte facultăți de profil din țară, Facultatea de Medicină din Târgu Mureș, deține un loc aparte fiind singura cu serii de predare în limba maghiară, care alături de linia de predare în limbă engleză, atestă caracterul multinațional și multicultural al acestei instituții.</w:t>
      </w:r>
    </w:p>
    <w:p w:rsidR="00643600" w:rsidRPr="005A0F19"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lang w:val="ro-RO"/>
        </w:rPr>
        <w:t>În prezent universitatea funcționează cu următoarele facultăți cu studii de lungă sau scurtă durată:</w:t>
      </w:r>
    </w:p>
    <w:p w:rsidR="00643600" w:rsidRPr="005A0F19" w:rsidRDefault="00643600" w:rsidP="002617A6">
      <w:pPr>
        <w:numPr>
          <w:ilvl w:val="0"/>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 xml:space="preserve">Facultatea de medicină cuprinde cinci programe de studii: </w:t>
      </w:r>
    </w:p>
    <w:p w:rsidR="00643600" w:rsidRPr="005A0F19" w:rsidRDefault="00643600" w:rsidP="00643600">
      <w:pPr>
        <w:spacing w:after="0" w:line="240" w:lineRule="auto"/>
        <w:ind w:left="720"/>
        <w:jc w:val="both"/>
        <w:rPr>
          <w:rFonts w:ascii="Arial Narrow" w:hAnsi="Arial Narrow"/>
          <w:sz w:val="24"/>
          <w:szCs w:val="24"/>
          <w:u w:val="single"/>
          <w:lang w:val="ro-RO"/>
        </w:rPr>
      </w:pPr>
      <w:r w:rsidRPr="00921379">
        <w:rPr>
          <w:rFonts w:ascii="Arial Narrow" w:hAnsi="Arial Narrow"/>
          <w:sz w:val="24"/>
          <w:szCs w:val="24"/>
          <w:lang w:val="ro-RO"/>
        </w:rPr>
        <w:t>Studii de licenţă</w:t>
      </w:r>
      <w:r w:rsidRPr="005A0F19">
        <w:rPr>
          <w:rFonts w:ascii="Arial Narrow" w:hAnsi="Arial Narrow"/>
          <w:sz w:val="24"/>
          <w:szCs w:val="24"/>
          <w:u w:val="single"/>
          <w:lang w:val="ro-RO"/>
        </w:rPr>
        <w:t>:</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Medicină – cu durata de 6 ani şi se desfășoară în prezent în trei limbi: română, maghiară și engleză.</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 xml:space="preserve">Asistență Medicală Generală – cu durata de 4 ani şi se desfășoară în prezent în două limbi, română și maghiară </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Nutriție și Dietetică  - cu durata de 3 ani (a debutat în 2008, completat de programul de Programul de Nutriție clinică și comunitară şi se încadrează în strategia universității de adaptare la cerințele actuale)</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Balneofiziokinetoterapie și recuperare – cu durata de 3 ani</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Educație fizică și sportivă – cu durata de 3 ani</w:t>
      </w:r>
    </w:p>
    <w:p w:rsidR="00643600" w:rsidRPr="00921379" w:rsidRDefault="00643600" w:rsidP="00643600">
      <w:pPr>
        <w:spacing w:after="0" w:line="240" w:lineRule="auto"/>
        <w:ind w:left="1080"/>
        <w:jc w:val="both"/>
        <w:rPr>
          <w:rFonts w:ascii="Arial Narrow" w:hAnsi="Arial Narrow"/>
          <w:sz w:val="24"/>
          <w:szCs w:val="24"/>
          <w:lang w:val="ro-RO"/>
        </w:rPr>
      </w:pPr>
      <w:r w:rsidRPr="00921379">
        <w:rPr>
          <w:rFonts w:ascii="Arial Narrow" w:hAnsi="Arial Narrow"/>
          <w:sz w:val="24"/>
          <w:szCs w:val="24"/>
          <w:lang w:val="ro-RO"/>
        </w:rPr>
        <w:t>Studii de masterat:</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Terapie fizică şi reabilitare funcţională</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Laborator clinic</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Nutriţie clinică şi Comunitară</w:t>
      </w:r>
    </w:p>
    <w:p w:rsidR="00643600"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Managementul serviciilor de sănătate</w:t>
      </w:r>
    </w:p>
    <w:p w:rsidR="00643600" w:rsidRPr="00516A04" w:rsidRDefault="00643600" w:rsidP="002617A6">
      <w:pPr>
        <w:numPr>
          <w:ilvl w:val="1"/>
          <w:numId w:val="70"/>
        </w:numPr>
        <w:spacing w:after="0" w:line="240" w:lineRule="auto"/>
        <w:jc w:val="both"/>
        <w:rPr>
          <w:rFonts w:ascii="Arial Narrow" w:hAnsi="Arial Narrow"/>
          <w:sz w:val="24"/>
          <w:szCs w:val="24"/>
          <w:lang w:val="ro-RO"/>
        </w:rPr>
      </w:pPr>
      <w:r w:rsidRPr="00516A04">
        <w:rPr>
          <w:rFonts w:ascii="Arial Narrow" w:eastAsia="Times New Roman" w:hAnsi="Arial Narrow" w:cs="Arial"/>
          <w:sz w:val="24"/>
          <w:szCs w:val="24"/>
          <w:lang w:val="ro-RO" w:eastAsia="ro-RO"/>
        </w:rPr>
        <w:t>Sănătatea reproducerii umane</w:t>
      </w:r>
    </w:p>
    <w:p w:rsidR="00643600" w:rsidRPr="00921379" w:rsidRDefault="00643600" w:rsidP="002617A6">
      <w:pPr>
        <w:numPr>
          <w:ilvl w:val="0"/>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Facultatea de medicină dentară cuprinde două programe de studii:</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Medicină dentară - 6 ani</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Tehnică dentară - 3 ani</w:t>
      </w:r>
    </w:p>
    <w:p w:rsidR="00643600" w:rsidRPr="00921379" w:rsidRDefault="00643600" w:rsidP="00643600">
      <w:pPr>
        <w:spacing w:after="0" w:line="240" w:lineRule="auto"/>
        <w:ind w:left="1080"/>
        <w:jc w:val="both"/>
        <w:rPr>
          <w:rFonts w:ascii="Arial Narrow" w:hAnsi="Arial Narrow"/>
          <w:sz w:val="24"/>
          <w:szCs w:val="24"/>
          <w:lang w:val="ro-RO"/>
        </w:rPr>
      </w:pPr>
      <w:r w:rsidRPr="00921379">
        <w:rPr>
          <w:rFonts w:ascii="Arial Narrow" w:hAnsi="Arial Narrow"/>
          <w:sz w:val="24"/>
          <w:szCs w:val="24"/>
          <w:lang w:val="ro-RO"/>
        </w:rPr>
        <w:t>Studii de masterat:</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Tehnologii protetice pe implanturi</w:t>
      </w:r>
    </w:p>
    <w:p w:rsidR="00643600" w:rsidRPr="00921379" w:rsidRDefault="00643600" w:rsidP="002617A6">
      <w:pPr>
        <w:numPr>
          <w:ilvl w:val="0"/>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Facultatea de farmacie cuprinde trei programe de studii:</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 xml:space="preserve">Farmacie - 5 ani </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 xml:space="preserve">Asistență de Farmacie - 3 ani </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 xml:space="preserve">Cosmetică medicală - Tehnologia produsului cosmetic - 3 ani </w:t>
      </w:r>
    </w:p>
    <w:p w:rsidR="00643600" w:rsidRPr="00921379" w:rsidRDefault="00643600" w:rsidP="00643600">
      <w:pPr>
        <w:spacing w:after="0" w:line="240" w:lineRule="auto"/>
        <w:ind w:left="1080"/>
        <w:jc w:val="both"/>
        <w:rPr>
          <w:rFonts w:ascii="Arial Narrow" w:hAnsi="Arial Narrow"/>
          <w:sz w:val="24"/>
          <w:szCs w:val="24"/>
          <w:lang w:val="ro-RO"/>
        </w:rPr>
      </w:pPr>
      <w:r w:rsidRPr="00921379">
        <w:rPr>
          <w:rFonts w:ascii="Arial Narrow" w:hAnsi="Arial Narrow"/>
          <w:sz w:val="24"/>
          <w:szCs w:val="24"/>
          <w:lang w:val="ro-RO"/>
        </w:rPr>
        <w:t>Studii de masterat:</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Calitatea medicamentului, alimentului şi mediului</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Biotehnologie medicală</w:t>
      </w:r>
    </w:p>
    <w:p w:rsidR="00643600" w:rsidRPr="005A0F19" w:rsidRDefault="00643600" w:rsidP="002617A6">
      <w:pPr>
        <w:numPr>
          <w:ilvl w:val="1"/>
          <w:numId w:val="70"/>
        </w:numPr>
        <w:spacing w:after="0" w:line="240" w:lineRule="auto"/>
        <w:jc w:val="both"/>
        <w:rPr>
          <w:rFonts w:ascii="Arial Narrow" w:hAnsi="Arial Narrow"/>
          <w:sz w:val="24"/>
          <w:szCs w:val="24"/>
          <w:lang w:val="ro-RO"/>
        </w:rPr>
      </w:pPr>
      <w:r w:rsidRPr="005A0F19">
        <w:rPr>
          <w:rFonts w:ascii="Arial Narrow" w:hAnsi="Arial Narrow"/>
          <w:sz w:val="24"/>
          <w:szCs w:val="24"/>
          <w:lang w:val="ro-RO"/>
        </w:rPr>
        <w:t>Cosmetologie şi dermofarmacie</w:t>
      </w:r>
    </w:p>
    <w:p w:rsidR="00643600"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lang w:val="ro-RO"/>
        </w:rPr>
        <w:t>În acest moment există o singură Școală Doctorală pentru toate cele trei domenii principale - Medicină, Medicină Dentară și Farmacie.</w:t>
      </w:r>
    </w:p>
    <w:p w:rsidR="00643600" w:rsidRPr="005A0F19" w:rsidRDefault="00643600" w:rsidP="00643600">
      <w:pPr>
        <w:spacing w:after="0" w:line="240" w:lineRule="auto"/>
        <w:jc w:val="both"/>
        <w:rPr>
          <w:rFonts w:ascii="Arial Narrow" w:hAnsi="Arial Narrow"/>
          <w:sz w:val="24"/>
          <w:szCs w:val="24"/>
          <w:lang w:val="ro-RO"/>
        </w:rPr>
      </w:pPr>
    </w:p>
    <w:p w:rsidR="00643600" w:rsidRDefault="00643600" w:rsidP="002617A6">
      <w:pPr>
        <w:pStyle w:val="Listparagraf"/>
        <w:numPr>
          <w:ilvl w:val="0"/>
          <w:numId w:val="72"/>
        </w:numPr>
        <w:spacing w:after="0" w:line="240" w:lineRule="auto"/>
        <w:jc w:val="both"/>
        <w:rPr>
          <w:rFonts w:ascii="Arial Narrow" w:hAnsi="Arial Narrow"/>
          <w:sz w:val="24"/>
          <w:szCs w:val="24"/>
        </w:rPr>
      </w:pPr>
      <w:r w:rsidRPr="007151C7">
        <w:rPr>
          <w:rFonts w:ascii="Arial Narrow" w:hAnsi="Arial Narrow"/>
          <w:b/>
          <w:bCs/>
          <w:sz w:val="24"/>
          <w:szCs w:val="24"/>
        </w:rPr>
        <w:t>Facultatea de Medicină „Victor Papilian” din cadrul</w:t>
      </w:r>
      <w:r w:rsidRPr="007151C7">
        <w:rPr>
          <w:rFonts w:ascii="Arial Narrow" w:hAnsi="Arial Narrow"/>
          <w:b/>
          <w:sz w:val="24"/>
          <w:szCs w:val="24"/>
        </w:rPr>
        <w:t xml:space="preserve"> Universităţii “Lucian Blaga”</w:t>
      </w:r>
      <w:r w:rsidRPr="007151C7">
        <w:rPr>
          <w:rFonts w:ascii="Arial Narrow" w:hAnsi="Arial Narrow"/>
          <w:sz w:val="24"/>
          <w:szCs w:val="24"/>
        </w:rPr>
        <w:t xml:space="preserve"> </w:t>
      </w:r>
      <w:r w:rsidRPr="002D2FCB">
        <w:rPr>
          <w:rFonts w:ascii="Arial Narrow" w:hAnsi="Arial Narrow"/>
          <w:b/>
          <w:sz w:val="24"/>
          <w:szCs w:val="24"/>
        </w:rPr>
        <w:t>Sibiu</w:t>
      </w:r>
      <w:r>
        <w:rPr>
          <w:rFonts w:ascii="Arial Narrow" w:hAnsi="Arial Narrow"/>
          <w:sz w:val="24"/>
          <w:szCs w:val="24"/>
        </w:rPr>
        <w:t xml:space="preserve"> </w:t>
      </w:r>
      <w:r w:rsidRPr="007151C7">
        <w:rPr>
          <w:rFonts w:ascii="Arial Narrow" w:hAnsi="Arial Narrow"/>
          <w:sz w:val="24"/>
          <w:szCs w:val="24"/>
        </w:rPr>
        <w:t>s-a înfiinţat în anul 1990</w:t>
      </w:r>
      <w:r>
        <w:rPr>
          <w:rFonts w:ascii="Arial Narrow" w:hAnsi="Arial Narrow"/>
          <w:sz w:val="24"/>
          <w:szCs w:val="24"/>
        </w:rPr>
        <w:t xml:space="preserve">, </w:t>
      </w:r>
      <w:r w:rsidRPr="005F520C">
        <w:rPr>
          <w:rFonts w:ascii="Arial Narrow" w:hAnsi="Arial Narrow"/>
          <w:sz w:val="24"/>
          <w:szCs w:val="24"/>
        </w:rPr>
        <w:t>s-a dezvoltat prin creşterea numărului de studenţi aflaţi în pregătire, prin completarea dotării profesionale, îmbogăţindu-se pe parcurs şi cu alte specializări: Medicină Dentară, Asistenţă Medicală Generală, Tehnică Dentară şi Farmacie.</w:t>
      </w:r>
    </w:p>
    <w:p w:rsidR="00643600" w:rsidRPr="006C1F4D" w:rsidRDefault="00643600" w:rsidP="00643600">
      <w:pPr>
        <w:pStyle w:val="Listparagraf"/>
        <w:spacing w:after="0" w:line="240" w:lineRule="auto"/>
        <w:ind w:left="360"/>
        <w:jc w:val="both"/>
        <w:rPr>
          <w:rFonts w:ascii="Arial Narrow" w:hAnsi="Arial Narrow"/>
          <w:sz w:val="24"/>
          <w:szCs w:val="24"/>
        </w:rPr>
      </w:pPr>
      <w:r>
        <w:rPr>
          <w:rFonts w:ascii="Arial Narrow" w:hAnsi="Arial Narrow"/>
          <w:sz w:val="24"/>
          <w:szCs w:val="24"/>
        </w:rPr>
        <w:t>C</w:t>
      </w:r>
      <w:r w:rsidRPr="007151C7">
        <w:rPr>
          <w:rFonts w:ascii="Arial Narrow" w:hAnsi="Arial Narrow"/>
          <w:sz w:val="24"/>
          <w:szCs w:val="24"/>
        </w:rPr>
        <w:t>olaborează cu spitalele clinice şi private din Sibiu: Spitalul Clinic Judeţean de Urgenţă, Spitalul Clinic de Pediatrie, Spitalul Militar de Urgenţă, Spitalul General CF, Spitalul de Psihiatrie “Dr. Ghe. Preda”, Spitalul de Pneumoftiziologie şi Clinica “Polisano”.</w:t>
      </w:r>
    </w:p>
    <w:p w:rsidR="00643600" w:rsidRPr="005A0F19"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lang w:val="ro-RO"/>
        </w:rPr>
        <w:t>În prezent facultatea cuprinde următoarele programe de studii:</w:t>
      </w:r>
    </w:p>
    <w:p w:rsidR="00643600" w:rsidRPr="00921379" w:rsidRDefault="00643600" w:rsidP="00643600">
      <w:pPr>
        <w:spacing w:after="0" w:line="240" w:lineRule="auto"/>
        <w:jc w:val="both"/>
        <w:rPr>
          <w:rFonts w:ascii="Arial Narrow" w:hAnsi="Arial Narrow"/>
          <w:sz w:val="24"/>
          <w:szCs w:val="24"/>
          <w:lang w:val="ro-RO"/>
        </w:rPr>
      </w:pPr>
      <w:r w:rsidRPr="00921379">
        <w:rPr>
          <w:rFonts w:ascii="Arial Narrow" w:hAnsi="Arial Narrow"/>
          <w:sz w:val="24"/>
          <w:szCs w:val="24"/>
          <w:lang w:val="ro-RO"/>
        </w:rPr>
        <w:t>Studii de licenţă:</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 xml:space="preserve">Medicină – cu durata de 6 ani </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Medicină dentară - cu durata de 6 ani</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lastRenderedPageBreak/>
        <w:t>Farmacie – cu durata de 5 ani</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Asistenţă medicală generală – 4 ani</w:t>
      </w:r>
    </w:p>
    <w:p w:rsidR="00643600" w:rsidRPr="00921379" w:rsidRDefault="00643600" w:rsidP="002617A6">
      <w:pPr>
        <w:numPr>
          <w:ilvl w:val="1"/>
          <w:numId w:val="70"/>
        </w:numPr>
        <w:spacing w:after="0" w:line="240" w:lineRule="auto"/>
        <w:jc w:val="both"/>
        <w:rPr>
          <w:rFonts w:ascii="Arial Narrow" w:hAnsi="Arial Narrow"/>
          <w:sz w:val="24"/>
          <w:szCs w:val="24"/>
          <w:lang w:val="ro-RO"/>
        </w:rPr>
      </w:pPr>
      <w:r w:rsidRPr="00921379">
        <w:rPr>
          <w:rFonts w:ascii="Arial Narrow" w:hAnsi="Arial Narrow"/>
          <w:sz w:val="24"/>
          <w:szCs w:val="24"/>
          <w:lang w:val="ro-RO"/>
        </w:rPr>
        <w:t>Tehnică dentară - 3 ani</w:t>
      </w:r>
    </w:p>
    <w:p w:rsidR="00643600" w:rsidRPr="00921379" w:rsidRDefault="00643600" w:rsidP="00643600">
      <w:pPr>
        <w:spacing w:after="0" w:line="240" w:lineRule="auto"/>
        <w:jc w:val="both"/>
        <w:rPr>
          <w:rFonts w:ascii="Arial Narrow" w:hAnsi="Arial Narrow"/>
          <w:sz w:val="24"/>
          <w:szCs w:val="24"/>
          <w:lang w:val="ro-RO"/>
        </w:rPr>
      </w:pPr>
      <w:r w:rsidRPr="00921379">
        <w:rPr>
          <w:rFonts w:ascii="Arial Narrow" w:hAnsi="Arial Narrow"/>
          <w:sz w:val="24"/>
          <w:szCs w:val="24"/>
          <w:lang w:val="ro-RO"/>
        </w:rPr>
        <w:t>Studii de masterat:</w:t>
      </w:r>
    </w:p>
    <w:p w:rsidR="00643600" w:rsidRPr="00921379" w:rsidRDefault="00BD7229" w:rsidP="002617A6">
      <w:pPr>
        <w:numPr>
          <w:ilvl w:val="1"/>
          <w:numId w:val="70"/>
        </w:numPr>
        <w:spacing w:after="0" w:line="240" w:lineRule="auto"/>
        <w:jc w:val="both"/>
        <w:rPr>
          <w:rFonts w:ascii="Arial Narrow" w:hAnsi="Arial Narrow"/>
          <w:sz w:val="24"/>
          <w:szCs w:val="24"/>
          <w:lang w:val="ro-RO"/>
        </w:rPr>
      </w:pPr>
      <w:hyperlink r:id="rId104" w:history="1">
        <w:r w:rsidR="00643600" w:rsidRPr="00921379">
          <w:rPr>
            <w:rFonts w:ascii="Arial Narrow" w:hAnsi="Arial Narrow"/>
            <w:sz w:val="24"/>
            <w:szCs w:val="24"/>
            <w:lang w:val="ro-RO"/>
          </w:rPr>
          <w:t>Management Sanitar</w:t>
        </w:r>
      </w:hyperlink>
    </w:p>
    <w:p w:rsidR="00643600" w:rsidRPr="00921379" w:rsidRDefault="00643600" w:rsidP="00643600">
      <w:pPr>
        <w:spacing w:after="0" w:line="240" w:lineRule="auto"/>
        <w:jc w:val="both"/>
        <w:rPr>
          <w:rFonts w:ascii="Arial Narrow" w:hAnsi="Arial Narrow"/>
          <w:sz w:val="24"/>
          <w:szCs w:val="24"/>
          <w:lang w:val="ro-RO"/>
        </w:rPr>
      </w:pPr>
      <w:r w:rsidRPr="00921379">
        <w:rPr>
          <w:rFonts w:ascii="Arial Narrow" w:hAnsi="Arial Narrow"/>
          <w:sz w:val="24"/>
          <w:szCs w:val="24"/>
          <w:lang w:val="ro-RO"/>
        </w:rPr>
        <w:t>În cadrul Facultăţii de Medicină se organizează şcoală doctorală în domeniul de doctorat -  Medicină.</w:t>
      </w:r>
    </w:p>
    <w:p w:rsidR="00643600" w:rsidRPr="00921379" w:rsidRDefault="00643600" w:rsidP="00643600">
      <w:pPr>
        <w:spacing w:after="0" w:line="240" w:lineRule="auto"/>
        <w:jc w:val="both"/>
        <w:rPr>
          <w:rFonts w:ascii="Arial Narrow" w:hAnsi="Arial Narrow"/>
          <w:sz w:val="24"/>
          <w:szCs w:val="24"/>
          <w:lang w:val="ro-RO"/>
        </w:rPr>
      </w:pPr>
    </w:p>
    <w:p w:rsidR="00643600" w:rsidRPr="00921379" w:rsidRDefault="00643600" w:rsidP="002617A6">
      <w:pPr>
        <w:pStyle w:val="Listparagraf"/>
        <w:widowControl w:val="0"/>
        <w:numPr>
          <w:ilvl w:val="0"/>
          <w:numId w:val="72"/>
        </w:numPr>
        <w:tabs>
          <w:tab w:val="left" w:pos="180"/>
          <w:tab w:val="left" w:pos="6525"/>
        </w:tabs>
        <w:autoSpaceDE w:val="0"/>
        <w:autoSpaceDN w:val="0"/>
        <w:adjustRightInd w:val="0"/>
        <w:spacing w:after="0" w:line="240" w:lineRule="auto"/>
        <w:jc w:val="both"/>
        <w:rPr>
          <w:rFonts w:ascii="Arial Narrow" w:hAnsi="Arial Narrow"/>
          <w:b/>
          <w:bCs/>
          <w:sz w:val="24"/>
          <w:szCs w:val="24"/>
        </w:rPr>
      </w:pPr>
      <w:r w:rsidRPr="00921379">
        <w:rPr>
          <w:rFonts w:ascii="Arial Narrow" w:hAnsi="Arial Narrow"/>
          <w:b/>
          <w:bCs/>
          <w:sz w:val="24"/>
          <w:szCs w:val="24"/>
        </w:rPr>
        <w:t xml:space="preserve"> Facultatea de Medicina – din cadrul Universităţii Transilvania din Braşov </w:t>
      </w:r>
      <w:r w:rsidRPr="00921379">
        <w:rPr>
          <w:rFonts w:ascii="Arial Narrow" w:hAnsi="Arial Narrow"/>
          <w:sz w:val="24"/>
          <w:szCs w:val="24"/>
        </w:rPr>
        <w:t>a fost înfiinţată prin Hotărârea Guvernului României nr. 568/16.08.1995 şi acreditată prin Hotărârea Guvernului României 410/2002.</w:t>
      </w:r>
      <w:r w:rsidRPr="00921379">
        <w:rPr>
          <w:rFonts w:ascii="Arial Narrow" w:hAnsi="Arial Narrow"/>
          <w:sz w:val="24"/>
          <w:szCs w:val="24"/>
          <w:lang w:val="en-GB" w:eastAsia="en-GB"/>
        </w:rPr>
        <w:t> </w:t>
      </w:r>
    </w:p>
    <w:p w:rsidR="00643600" w:rsidRPr="00921379" w:rsidRDefault="00643600" w:rsidP="00643600">
      <w:pPr>
        <w:spacing w:after="0" w:line="240" w:lineRule="auto"/>
        <w:jc w:val="both"/>
        <w:rPr>
          <w:rFonts w:ascii="Arial Narrow" w:hAnsi="Arial Narrow"/>
          <w:sz w:val="24"/>
          <w:szCs w:val="24"/>
          <w:lang w:val="ro-RO"/>
        </w:rPr>
      </w:pPr>
      <w:r w:rsidRPr="00921379">
        <w:rPr>
          <w:rFonts w:ascii="Arial Narrow" w:hAnsi="Arial Narrow"/>
          <w:sz w:val="24"/>
          <w:szCs w:val="24"/>
          <w:lang w:val="ro-RO"/>
        </w:rPr>
        <w:t>În prezent facultatea cuprinde următoarele programe de studii:</w:t>
      </w:r>
    </w:p>
    <w:p w:rsidR="00643600" w:rsidRPr="00921379" w:rsidRDefault="00643600" w:rsidP="00643600">
      <w:p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Studii de licenţă:</w:t>
      </w:r>
    </w:p>
    <w:p w:rsidR="00643600" w:rsidRDefault="00643600" w:rsidP="002617A6">
      <w:pPr>
        <w:numPr>
          <w:ilvl w:val="0"/>
          <w:numId w:val="81"/>
        </w:num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 xml:space="preserve">Medicină – cu durata de 6 ani. </w:t>
      </w:r>
    </w:p>
    <w:p w:rsidR="00643600" w:rsidRPr="00921379" w:rsidRDefault="00643600" w:rsidP="002617A6">
      <w:pPr>
        <w:numPr>
          <w:ilvl w:val="0"/>
          <w:numId w:val="81"/>
        </w:num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Asistenţă medicală</w:t>
      </w:r>
      <w:r>
        <w:rPr>
          <w:rFonts w:ascii="Arial Narrow" w:hAnsi="Arial Narrow"/>
          <w:sz w:val="24"/>
          <w:szCs w:val="24"/>
          <w:lang w:val="ro-RO"/>
        </w:rPr>
        <w:t xml:space="preserve">  – cu durata de 4 ani</w:t>
      </w:r>
      <w:r w:rsidRPr="00921379">
        <w:rPr>
          <w:rFonts w:ascii="Arial Narrow" w:hAnsi="Arial Narrow"/>
          <w:sz w:val="24"/>
          <w:szCs w:val="24"/>
          <w:lang w:val="ro-RO"/>
        </w:rPr>
        <w:t xml:space="preserve"> </w:t>
      </w:r>
    </w:p>
    <w:p w:rsidR="00643600" w:rsidRDefault="00643600" w:rsidP="002617A6">
      <w:pPr>
        <w:numPr>
          <w:ilvl w:val="0"/>
          <w:numId w:val="81"/>
        </w:num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 xml:space="preserve">Balneofiziokinetoterapie şi recuperare  – cu durata de 3 ani. </w:t>
      </w:r>
    </w:p>
    <w:p w:rsidR="00643600" w:rsidRPr="00921379" w:rsidRDefault="00643600" w:rsidP="002617A6">
      <w:pPr>
        <w:numPr>
          <w:ilvl w:val="0"/>
          <w:numId w:val="81"/>
        </w:num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Laborator clinic – cu durata 3 ani, începând cu anul 2013.</w:t>
      </w:r>
    </w:p>
    <w:p w:rsidR="00643600" w:rsidRPr="00921379" w:rsidRDefault="00643600" w:rsidP="00643600">
      <w:pPr>
        <w:spacing w:after="0" w:line="240" w:lineRule="auto"/>
        <w:jc w:val="both"/>
        <w:rPr>
          <w:rFonts w:ascii="Arial Narrow" w:hAnsi="Arial Narrow"/>
          <w:sz w:val="24"/>
          <w:szCs w:val="24"/>
          <w:lang w:val="ro-RO"/>
        </w:rPr>
      </w:pPr>
      <w:r w:rsidRPr="00921379">
        <w:rPr>
          <w:rFonts w:ascii="Arial Narrow" w:hAnsi="Arial Narrow"/>
          <w:sz w:val="24"/>
          <w:szCs w:val="24"/>
          <w:lang w:val="ro-RO"/>
        </w:rPr>
        <w:t>Programe de studii – Master (4 semestre)</w:t>
      </w:r>
    </w:p>
    <w:p w:rsidR="00643600" w:rsidRPr="00921379" w:rsidRDefault="00643600" w:rsidP="002617A6">
      <w:pPr>
        <w:numPr>
          <w:ilvl w:val="0"/>
          <w:numId w:val="82"/>
        </w:num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 xml:space="preserve">Managementul strategiilor preventive şi politici sanitare </w:t>
      </w:r>
    </w:p>
    <w:p w:rsidR="00643600" w:rsidRPr="00921379" w:rsidRDefault="00643600" w:rsidP="002617A6">
      <w:pPr>
        <w:numPr>
          <w:ilvl w:val="0"/>
          <w:numId w:val="82"/>
        </w:numPr>
        <w:spacing w:after="0" w:line="240" w:lineRule="auto"/>
        <w:contextualSpacing/>
        <w:jc w:val="both"/>
        <w:rPr>
          <w:rFonts w:ascii="Arial Narrow" w:hAnsi="Arial Narrow"/>
          <w:sz w:val="24"/>
          <w:szCs w:val="24"/>
          <w:lang w:val="ro-RO"/>
        </w:rPr>
      </w:pPr>
      <w:r w:rsidRPr="00921379">
        <w:rPr>
          <w:rFonts w:ascii="Arial Narrow" w:hAnsi="Arial Narrow"/>
          <w:sz w:val="24"/>
          <w:szCs w:val="24"/>
          <w:lang w:val="ro-RO"/>
        </w:rPr>
        <w:t xml:space="preserve">Managementul şi strategiile îngrijirilor paliative </w:t>
      </w:r>
    </w:p>
    <w:p w:rsidR="00643600" w:rsidRDefault="00643600" w:rsidP="002617A6">
      <w:pPr>
        <w:numPr>
          <w:ilvl w:val="0"/>
          <w:numId w:val="82"/>
        </w:numPr>
        <w:spacing w:after="0" w:line="240" w:lineRule="auto"/>
        <w:contextualSpacing/>
        <w:jc w:val="both"/>
        <w:rPr>
          <w:rFonts w:ascii="Arial Narrow" w:hAnsi="Arial Narrow"/>
          <w:sz w:val="24"/>
          <w:szCs w:val="24"/>
          <w:lang w:val="ro-RO"/>
        </w:rPr>
      </w:pPr>
      <w:r w:rsidRPr="005A0F19">
        <w:rPr>
          <w:rFonts w:ascii="Arial Narrow" w:hAnsi="Arial Narrow"/>
          <w:sz w:val="24"/>
          <w:szCs w:val="24"/>
          <w:lang w:val="ro-RO"/>
        </w:rPr>
        <w:t xml:space="preserve">Managementul infecţiilor nosocomiale </w:t>
      </w:r>
    </w:p>
    <w:p w:rsidR="00643600" w:rsidRDefault="00643600" w:rsidP="00643600">
      <w:pPr>
        <w:spacing w:after="0" w:line="240" w:lineRule="auto"/>
        <w:jc w:val="both"/>
        <w:rPr>
          <w:rFonts w:ascii="Arial Narrow" w:hAnsi="Arial Narrow"/>
          <w:sz w:val="24"/>
          <w:szCs w:val="24"/>
          <w:highlight w:val="green"/>
        </w:rPr>
      </w:pPr>
    </w:p>
    <w:p w:rsidR="00643600" w:rsidRPr="00B3248C" w:rsidRDefault="00643600" w:rsidP="00643600">
      <w:pPr>
        <w:spacing w:after="0" w:line="240" w:lineRule="auto"/>
        <w:jc w:val="both"/>
        <w:rPr>
          <w:rFonts w:ascii="Arial Narrow" w:hAnsi="Arial Narrow"/>
          <w:sz w:val="24"/>
          <w:szCs w:val="24"/>
        </w:rPr>
      </w:pPr>
      <w:r w:rsidRPr="00B3248C">
        <w:rPr>
          <w:rFonts w:ascii="Arial Narrow" w:hAnsi="Arial Narrow"/>
          <w:sz w:val="24"/>
          <w:szCs w:val="24"/>
        </w:rPr>
        <w:t xml:space="preserve">În continuare, s-a analizat evoluția numărului de absolvenți din sectorul medical și farmaceutic, însă ultimele date disponibile conform Institutului Național de Statistică sunt la nivelul anului 2013. În lipsa datelor actualizate, ne vom rezuma strict la datele disponibile care oferă o imagine de ansamblu la nivelul anului 2013. </w:t>
      </w:r>
    </w:p>
    <w:p w:rsidR="00643600" w:rsidRPr="005A0F19" w:rsidRDefault="00643600" w:rsidP="00643600">
      <w:pPr>
        <w:spacing w:after="0" w:line="240" w:lineRule="auto"/>
        <w:jc w:val="both"/>
        <w:rPr>
          <w:rFonts w:ascii="Arial Narrow" w:eastAsia="Times New Roman" w:hAnsi="Arial Narrow"/>
          <w:sz w:val="24"/>
          <w:szCs w:val="24"/>
          <w:lang w:val="ro-RO" w:eastAsia="ro-RO"/>
        </w:rPr>
      </w:pPr>
      <w:r w:rsidRPr="005A0F19">
        <w:rPr>
          <w:rFonts w:ascii="Arial Narrow" w:hAnsi="Arial Narrow"/>
          <w:sz w:val="24"/>
          <w:szCs w:val="24"/>
        </w:rPr>
        <w:t xml:space="preserve">La nivel </w:t>
      </w:r>
      <w:r>
        <w:rPr>
          <w:rFonts w:ascii="Arial Narrow" w:hAnsi="Arial Narrow"/>
          <w:sz w:val="24"/>
          <w:szCs w:val="24"/>
        </w:rPr>
        <w:t xml:space="preserve">naţional, în instituţiile superioare, majoritatea specializărilor </w:t>
      </w:r>
      <w:r w:rsidRPr="005A0F19">
        <w:rPr>
          <w:rFonts w:ascii="Arial Narrow" w:hAnsi="Arial Narrow"/>
          <w:sz w:val="24"/>
          <w:szCs w:val="24"/>
        </w:rPr>
        <w:t>înregistrează scăderi al</w:t>
      </w:r>
      <w:r>
        <w:rPr>
          <w:rFonts w:ascii="Arial Narrow" w:hAnsi="Arial Narrow"/>
          <w:sz w:val="24"/>
          <w:szCs w:val="24"/>
        </w:rPr>
        <w:t>e numărului de studenț</w:t>
      </w:r>
      <w:r w:rsidRPr="005A0F19">
        <w:rPr>
          <w:rFonts w:ascii="Arial Narrow" w:hAnsi="Arial Narrow"/>
          <w:sz w:val="24"/>
          <w:szCs w:val="24"/>
        </w:rPr>
        <w:t>i</w:t>
      </w:r>
      <w:r>
        <w:rPr>
          <w:rFonts w:ascii="Arial Narrow" w:eastAsia="Times New Roman" w:hAnsi="Arial Narrow"/>
          <w:sz w:val="24"/>
          <w:szCs w:val="24"/>
          <w:lang w:val="ro-RO" w:eastAsia="ro-RO"/>
        </w:rPr>
        <w:t xml:space="preserve"> din cauza </w:t>
      </w:r>
      <w:r w:rsidRPr="005A0F19">
        <w:rPr>
          <w:rFonts w:ascii="Arial Narrow" w:eastAsia="Times New Roman" w:hAnsi="Arial Narrow"/>
          <w:sz w:val="24"/>
          <w:szCs w:val="24"/>
          <w:lang w:val="ro-RO" w:eastAsia="ro-RO"/>
        </w:rPr>
        <w:t>evoluţiei natalităţii din ultimii 20 de ani</w:t>
      </w:r>
      <w:r w:rsidRPr="005A0F19">
        <w:rPr>
          <w:rFonts w:ascii="Arial Narrow" w:hAnsi="Arial Narrow"/>
          <w:sz w:val="24"/>
          <w:szCs w:val="24"/>
        </w:rPr>
        <w:t xml:space="preserve">, exceptie fac facultăţile de medicină, </w:t>
      </w:r>
      <w:r>
        <w:rPr>
          <w:rFonts w:ascii="Arial Narrow" w:hAnsi="Arial Narrow"/>
          <w:sz w:val="24"/>
          <w:szCs w:val="24"/>
        </w:rPr>
        <w:t xml:space="preserve">unde s-au înregistrat creşteri </w:t>
      </w:r>
      <w:r w:rsidRPr="005A0F19">
        <w:rPr>
          <w:rFonts w:ascii="Arial Narrow" w:hAnsi="Arial Narrow"/>
          <w:sz w:val="24"/>
          <w:szCs w:val="24"/>
        </w:rPr>
        <w:t>în ultimii ani.</w:t>
      </w:r>
    </w:p>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Pr>
          <w:noProof/>
        </w:rPr>
        <w:drawing>
          <wp:anchor distT="0" distB="0" distL="114300" distR="114300" simplePos="0" relativeHeight="251709440" behindDoc="1" locked="0" layoutInCell="1" allowOverlap="1">
            <wp:simplePos x="0" y="0"/>
            <wp:positionH relativeFrom="column">
              <wp:posOffset>2286</wp:posOffset>
            </wp:positionH>
            <wp:positionV relativeFrom="paragraph">
              <wp:posOffset>4191</wp:posOffset>
            </wp:positionV>
            <wp:extent cx="3495675" cy="2200402"/>
            <wp:effectExtent l="6096" t="6096" r="3429" b="6477"/>
            <wp:wrapTight wrapText="bothSides">
              <wp:wrapPolygon edited="0">
                <wp:start x="-59" y="0"/>
                <wp:lineTo x="-59" y="21507"/>
                <wp:lineTo x="21600" y="21507"/>
                <wp:lineTo x="21600" y="0"/>
                <wp:lineTo x="-59" y="0"/>
              </wp:wrapPolygon>
            </wp:wrapTight>
            <wp:docPr id="74" name="Diagramă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Pr="00FE4204">
        <w:rPr>
          <w:rFonts w:ascii="Arial Narrow" w:hAnsi="Arial Narrow"/>
          <w:sz w:val="24"/>
          <w:szCs w:val="24"/>
        </w:rPr>
        <w:t xml:space="preserve">Conform datelor prezentate în graficul </w:t>
      </w:r>
      <w:r>
        <w:rPr>
          <w:rFonts w:ascii="Arial Narrow" w:hAnsi="Arial Narrow"/>
          <w:sz w:val="24"/>
          <w:szCs w:val="24"/>
        </w:rPr>
        <w:t>alăturat,</w:t>
      </w:r>
      <w:r w:rsidRPr="00FE4204">
        <w:rPr>
          <w:rFonts w:ascii="Arial Narrow" w:hAnsi="Arial Narrow"/>
          <w:sz w:val="24"/>
          <w:szCs w:val="24"/>
        </w:rPr>
        <w:t xml:space="preserve"> numărul de absolvenți a crescut la nivel naţional la specializarea Medicină umană (inclusiv Stomatologie) şi a scăzut în intervalul 2011 – 2013 la specializarea Farmacie. </w:t>
      </w:r>
      <w:r>
        <w:rPr>
          <w:rFonts w:ascii="Arial Narrow" w:hAnsi="Arial Narrow"/>
          <w:sz w:val="24"/>
          <w:szCs w:val="24"/>
        </w:rPr>
        <w:t>Î</w:t>
      </w:r>
      <w:r w:rsidRPr="00FE4204">
        <w:rPr>
          <w:rFonts w:ascii="Arial Narrow" w:hAnsi="Arial Narrow"/>
          <w:sz w:val="24"/>
          <w:szCs w:val="24"/>
        </w:rPr>
        <w:t xml:space="preserve">n anul 2011 au absolvit 1961 de studenţi la Farmacie, </w:t>
      </w:r>
      <w:r>
        <w:rPr>
          <w:rFonts w:ascii="Arial Narrow" w:hAnsi="Arial Narrow"/>
          <w:sz w:val="24"/>
          <w:szCs w:val="24"/>
        </w:rPr>
        <w:t xml:space="preserve">față de </w:t>
      </w:r>
      <w:r w:rsidRPr="00FE4204">
        <w:rPr>
          <w:rFonts w:ascii="Arial Narrow" w:hAnsi="Arial Narrow"/>
          <w:sz w:val="24"/>
          <w:szCs w:val="24"/>
        </w:rPr>
        <w:t xml:space="preserve"> anul 2013</w:t>
      </w:r>
      <w:r>
        <w:rPr>
          <w:rFonts w:ascii="Arial Narrow" w:hAnsi="Arial Narrow"/>
          <w:sz w:val="24"/>
          <w:szCs w:val="24"/>
        </w:rPr>
        <w:t xml:space="preserve"> (</w:t>
      </w:r>
      <w:r w:rsidRPr="00FE4204">
        <w:rPr>
          <w:rFonts w:ascii="Arial Narrow" w:hAnsi="Arial Narrow"/>
          <w:sz w:val="24"/>
          <w:szCs w:val="24"/>
        </w:rPr>
        <w:t>1669</w:t>
      </w:r>
      <w:r>
        <w:rPr>
          <w:rFonts w:ascii="Arial Narrow" w:hAnsi="Arial Narrow"/>
          <w:sz w:val="24"/>
          <w:szCs w:val="24"/>
        </w:rPr>
        <w:t xml:space="preserve"> absolvenți)</w:t>
      </w:r>
      <w:r w:rsidRPr="00FE4204">
        <w:rPr>
          <w:rFonts w:ascii="Arial Narrow" w:hAnsi="Arial Narrow"/>
          <w:sz w:val="24"/>
          <w:szCs w:val="24"/>
        </w:rPr>
        <w:t>.</w:t>
      </w:r>
    </w:p>
    <w:p w:rsidR="00643600" w:rsidRPr="005A0F19" w:rsidRDefault="00643600" w:rsidP="00643600">
      <w:pPr>
        <w:spacing w:after="0" w:line="240" w:lineRule="auto"/>
        <w:jc w:val="both"/>
        <w:rPr>
          <w:rFonts w:ascii="Arial Narrow" w:hAnsi="Arial Narrow"/>
          <w:sz w:val="24"/>
          <w:szCs w:val="24"/>
        </w:rPr>
      </w:pPr>
      <w:r>
        <w:rPr>
          <w:rFonts w:ascii="Arial Narrow" w:hAnsi="Arial Narrow"/>
          <w:sz w:val="24"/>
          <w:szCs w:val="24"/>
        </w:rPr>
        <w:t>D</w:t>
      </w:r>
      <w:r w:rsidRPr="005A0F19">
        <w:rPr>
          <w:rFonts w:ascii="Arial Narrow" w:hAnsi="Arial Narrow"/>
          <w:sz w:val="24"/>
          <w:szCs w:val="24"/>
        </w:rPr>
        <w:t xml:space="preserve">acă în anul 2011 au absolvit la facultăţile de medicină 7473 de studenti, </w:t>
      </w:r>
      <w:r>
        <w:rPr>
          <w:rFonts w:ascii="Arial Narrow" w:hAnsi="Arial Narrow"/>
          <w:sz w:val="24"/>
          <w:szCs w:val="24"/>
        </w:rPr>
        <w:t>î</w:t>
      </w:r>
      <w:r w:rsidRPr="005A0F19">
        <w:rPr>
          <w:rFonts w:ascii="Arial Narrow" w:hAnsi="Arial Narrow"/>
          <w:sz w:val="24"/>
          <w:szCs w:val="24"/>
        </w:rPr>
        <w:t>n anul 2013 (cele mai recente date INS) aceast</w:t>
      </w:r>
      <w:r>
        <w:rPr>
          <w:rFonts w:ascii="Arial Narrow" w:hAnsi="Arial Narrow"/>
          <w:sz w:val="24"/>
          <w:szCs w:val="24"/>
        </w:rPr>
        <w:t>ă cifră</w:t>
      </w:r>
      <w:r w:rsidRPr="005A0F19">
        <w:rPr>
          <w:rFonts w:ascii="Arial Narrow" w:hAnsi="Arial Narrow"/>
          <w:sz w:val="24"/>
          <w:szCs w:val="24"/>
        </w:rPr>
        <w:t xml:space="preserve"> a crescut la 7.581 de persoane.</w:t>
      </w:r>
      <w:r w:rsidRPr="005A0F19">
        <w:rPr>
          <w:rFonts w:ascii="Arial Narrow" w:eastAsia="Times New Roman" w:hAnsi="Arial Narrow"/>
          <w:sz w:val="24"/>
          <w:szCs w:val="24"/>
        </w:rPr>
        <w:t xml:space="preserve">  </w:t>
      </w:r>
      <w:r w:rsidRPr="0055173D">
        <w:rPr>
          <w:rFonts w:ascii="Arial Narrow" w:eastAsia="Times New Roman" w:hAnsi="Arial Narrow"/>
          <w:sz w:val="24"/>
          <w:szCs w:val="24"/>
        </w:rPr>
        <w:t xml:space="preserve">Un posibil motiv ar putea fi faptul că </w:t>
      </w:r>
      <w:r w:rsidRPr="0055173D">
        <w:rPr>
          <w:rFonts w:ascii="Arial Narrow" w:hAnsi="Arial Narrow"/>
          <w:sz w:val="24"/>
          <w:szCs w:val="24"/>
        </w:rPr>
        <w:t xml:space="preserve">tinerii intră in acest </w:t>
      </w:r>
      <w:r w:rsidRPr="005A0F19">
        <w:rPr>
          <w:rFonts w:ascii="Arial Narrow" w:hAnsi="Arial Narrow"/>
          <w:sz w:val="24"/>
          <w:szCs w:val="24"/>
        </w:rPr>
        <w:t xml:space="preserve">domeniu cu intenția de a </w:t>
      </w:r>
      <w:r>
        <w:rPr>
          <w:rFonts w:ascii="Arial Narrow" w:hAnsi="Arial Narrow"/>
          <w:sz w:val="24"/>
          <w:szCs w:val="24"/>
        </w:rPr>
        <w:t>emigra și munci</w:t>
      </w:r>
      <w:r w:rsidRPr="005A0F19">
        <w:rPr>
          <w:rFonts w:ascii="Arial Narrow" w:hAnsi="Arial Narrow"/>
          <w:sz w:val="24"/>
          <w:szCs w:val="24"/>
        </w:rPr>
        <w:t xml:space="preserve"> în alte ţări</w:t>
      </w:r>
      <w:r>
        <w:rPr>
          <w:rFonts w:ascii="Arial Narrow" w:hAnsi="Arial Narrow"/>
          <w:sz w:val="24"/>
          <w:szCs w:val="24"/>
        </w:rPr>
        <w:t xml:space="preserve"> din Uniunea Europeană</w:t>
      </w:r>
      <w:r w:rsidRPr="005A0F19">
        <w:rPr>
          <w:rFonts w:ascii="Arial Narrow" w:hAnsi="Arial Narrow"/>
          <w:sz w:val="24"/>
          <w:szCs w:val="24"/>
        </w:rPr>
        <w:t>, unde salariile sunt mult peste media din Rom</w:t>
      </w:r>
      <w:r>
        <w:rPr>
          <w:rFonts w:ascii="Arial Narrow" w:hAnsi="Arial Narrow"/>
          <w:sz w:val="24"/>
          <w:szCs w:val="24"/>
        </w:rPr>
        <w:t>â</w:t>
      </w:r>
      <w:r w:rsidRPr="005A0F19">
        <w:rPr>
          <w:rFonts w:ascii="Arial Narrow" w:hAnsi="Arial Narrow"/>
          <w:sz w:val="24"/>
          <w:szCs w:val="24"/>
        </w:rPr>
        <w:t>nia.</w:t>
      </w:r>
    </w:p>
    <w:p w:rsidR="00643600" w:rsidRPr="007151C7" w:rsidRDefault="00643600" w:rsidP="00643600">
      <w:pPr>
        <w:pStyle w:val="Default"/>
        <w:ind w:left="644"/>
        <w:jc w:val="both"/>
        <w:rPr>
          <w:rFonts w:ascii="Arial Narrow" w:hAnsi="Arial Narrow"/>
          <w:sz w:val="18"/>
          <w:szCs w:val="18"/>
        </w:rPr>
      </w:pPr>
      <w:r>
        <w:rPr>
          <w:rFonts w:ascii="Arial Narrow" w:hAnsi="Arial Narrow"/>
          <w:sz w:val="18"/>
          <w:szCs w:val="18"/>
        </w:rPr>
        <w:t xml:space="preserve">                          </w:t>
      </w:r>
    </w:p>
    <w:p w:rsidR="00643600" w:rsidRPr="00F76246" w:rsidRDefault="00643600" w:rsidP="00643600">
      <w:pPr>
        <w:spacing w:after="0" w:line="240" w:lineRule="auto"/>
        <w:jc w:val="both"/>
        <w:rPr>
          <w:rFonts w:ascii="Arial Narrow" w:hAnsi="Arial Narrow"/>
          <w:sz w:val="24"/>
          <w:szCs w:val="24"/>
        </w:rPr>
      </w:pPr>
      <w:r>
        <w:rPr>
          <w:rFonts w:ascii="Arial Narrow" w:hAnsi="Arial Narrow"/>
          <w:sz w:val="18"/>
          <w:szCs w:val="18"/>
        </w:rPr>
        <w:t>Sursa</w:t>
      </w:r>
      <w:r w:rsidRPr="007151C7">
        <w:rPr>
          <w:rFonts w:ascii="Arial Narrow" w:hAnsi="Arial Narrow"/>
          <w:sz w:val="18"/>
          <w:szCs w:val="18"/>
        </w:rPr>
        <w:t xml:space="preserve"> datelor: Prelucrare după baza de date TEMPO, Institutul Național de Statistică, date disponibile la nivelul anului 2013</w:t>
      </w:r>
    </w:p>
    <w:p w:rsidR="00643600" w:rsidRPr="005A0F19" w:rsidRDefault="002617A6" w:rsidP="00643600">
      <w:pPr>
        <w:spacing w:after="0" w:line="240" w:lineRule="auto"/>
        <w:jc w:val="both"/>
        <w:rPr>
          <w:rFonts w:ascii="Arial Narrow" w:hAnsi="Arial Narrow"/>
          <w:noProof/>
          <w:sz w:val="24"/>
          <w:szCs w:val="24"/>
        </w:rPr>
      </w:pPr>
      <w:r>
        <w:rPr>
          <w:rFonts w:ascii="Arial Narrow" w:hAnsi="Arial Narrow"/>
          <w:noProof/>
          <w:sz w:val="24"/>
          <w:szCs w:val="24"/>
        </w:rPr>
        <w:lastRenderedPageBreak/>
        <w:drawing>
          <wp:inline distT="0" distB="0" distL="0" distR="0">
            <wp:extent cx="2876550" cy="2647950"/>
            <wp:effectExtent l="19050" t="0" r="0" b="0"/>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srcRect/>
                    <a:stretch>
                      <a:fillRect/>
                    </a:stretch>
                  </pic:blipFill>
                  <pic:spPr bwMode="auto">
                    <a:xfrm>
                      <a:off x="0" y="0"/>
                      <a:ext cx="2876550" cy="2647950"/>
                    </a:xfrm>
                    <a:prstGeom prst="rect">
                      <a:avLst/>
                    </a:prstGeom>
                    <a:noFill/>
                  </pic:spPr>
                </pic:pic>
              </a:graphicData>
            </a:graphic>
          </wp:inline>
        </w:drawing>
      </w:r>
      <w:r>
        <w:rPr>
          <w:rFonts w:ascii="Arial Narrow" w:hAnsi="Arial Narrow"/>
          <w:noProof/>
          <w:sz w:val="24"/>
          <w:szCs w:val="24"/>
        </w:rPr>
        <w:drawing>
          <wp:inline distT="0" distB="0" distL="0" distR="0">
            <wp:extent cx="2714625" cy="2647821"/>
            <wp:effectExtent l="19050" t="0" r="9525"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srcRect/>
                    <a:stretch>
                      <a:fillRect/>
                    </a:stretch>
                  </pic:blipFill>
                  <pic:spPr bwMode="auto">
                    <a:xfrm>
                      <a:off x="0" y="0"/>
                      <a:ext cx="2714625" cy="2647821"/>
                    </a:xfrm>
                    <a:prstGeom prst="rect">
                      <a:avLst/>
                    </a:prstGeom>
                    <a:noFill/>
                  </pic:spPr>
                </pic:pic>
              </a:graphicData>
            </a:graphic>
          </wp:inline>
        </w:drawing>
      </w:r>
    </w:p>
    <w:p w:rsidR="00643600" w:rsidRPr="005A0F19" w:rsidRDefault="002617A6" w:rsidP="00643600">
      <w:pPr>
        <w:spacing w:after="0" w:line="240" w:lineRule="auto"/>
        <w:jc w:val="both"/>
        <w:rPr>
          <w:rFonts w:ascii="Arial Narrow" w:hAnsi="Arial Narrow"/>
          <w:sz w:val="24"/>
          <w:szCs w:val="24"/>
        </w:rPr>
      </w:pPr>
      <w:r>
        <w:rPr>
          <w:noProof/>
        </w:rPr>
        <w:drawing>
          <wp:anchor distT="0" distB="0" distL="114300" distR="114300" simplePos="0" relativeHeight="251710464" behindDoc="1" locked="0" layoutInCell="1" allowOverlap="1">
            <wp:simplePos x="0" y="0"/>
            <wp:positionH relativeFrom="column">
              <wp:posOffset>3434080</wp:posOffset>
            </wp:positionH>
            <wp:positionV relativeFrom="paragraph">
              <wp:posOffset>167005</wp:posOffset>
            </wp:positionV>
            <wp:extent cx="3228975" cy="2752725"/>
            <wp:effectExtent l="19050" t="0" r="9525" b="0"/>
            <wp:wrapThrough wrapText="bothSides">
              <wp:wrapPolygon edited="0">
                <wp:start x="-127" y="0"/>
                <wp:lineTo x="-127" y="21525"/>
                <wp:lineTo x="21664" y="21525"/>
                <wp:lineTo x="21664" y="0"/>
                <wp:lineTo x="-127" y="0"/>
              </wp:wrapPolygon>
            </wp:wrapThrough>
            <wp:docPr id="75" name="Diagramă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643600">
        <w:rPr>
          <w:noProof/>
        </w:rPr>
        <w:drawing>
          <wp:anchor distT="0" distB="0" distL="114300" distR="114300" simplePos="0" relativeHeight="251708416" behindDoc="0" locked="0" layoutInCell="1" allowOverlap="1">
            <wp:simplePos x="0" y="0"/>
            <wp:positionH relativeFrom="column">
              <wp:posOffset>1270</wp:posOffset>
            </wp:positionH>
            <wp:positionV relativeFrom="paragraph">
              <wp:posOffset>172720</wp:posOffset>
            </wp:positionV>
            <wp:extent cx="3347085" cy="2741295"/>
            <wp:effectExtent l="19050" t="0" r="24765" b="1905"/>
            <wp:wrapSquare wrapText="bothSides"/>
            <wp:docPr id="73" name="Diagramă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rsidR="00643600" w:rsidRPr="0055173D"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br w:type="textWrapping" w:clear="all"/>
      </w:r>
      <w:r w:rsidRPr="005A0F19">
        <w:rPr>
          <w:rFonts w:ascii="Arial Narrow" w:hAnsi="Arial Narrow"/>
          <w:sz w:val="24"/>
          <w:szCs w:val="24"/>
          <w:lang w:val="ro-RO"/>
        </w:rPr>
        <w:t xml:space="preserve">În anul 2013, </w:t>
      </w:r>
      <w:r w:rsidRPr="005A0F19">
        <w:rPr>
          <w:rFonts w:ascii="Arial Narrow" w:hAnsi="Arial Narrow"/>
          <w:sz w:val="24"/>
          <w:szCs w:val="24"/>
        </w:rPr>
        <w:t>cele mai ridicate valori ale numărului de absolvenţi la medicină umană s-au înregistrat în Regiunea Bucure</w:t>
      </w:r>
      <w:r>
        <w:rPr>
          <w:rFonts w:ascii="Arial Narrow" w:hAnsi="Arial Narrow"/>
          <w:sz w:val="24"/>
          <w:szCs w:val="24"/>
        </w:rPr>
        <w:t>ş</w:t>
      </w:r>
      <w:r w:rsidRPr="005A0F19">
        <w:rPr>
          <w:rFonts w:ascii="Arial Narrow" w:hAnsi="Arial Narrow"/>
          <w:sz w:val="24"/>
          <w:szCs w:val="24"/>
        </w:rPr>
        <w:t>ti-Ilfov (1434 de absolven</w:t>
      </w:r>
      <w:r>
        <w:rPr>
          <w:rFonts w:ascii="Arial Narrow" w:hAnsi="Arial Narrow"/>
          <w:sz w:val="24"/>
          <w:szCs w:val="24"/>
        </w:rPr>
        <w:t>ţ</w:t>
      </w:r>
      <w:r w:rsidRPr="005A0F19">
        <w:rPr>
          <w:rFonts w:ascii="Arial Narrow" w:hAnsi="Arial Narrow"/>
          <w:sz w:val="24"/>
          <w:szCs w:val="24"/>
        </w:rPr>
        <w:t xml:space="preserve">i la medicină), cu o pondere de 19%, </w:t>
      </w:r>
      <w:r w:rsidRPr="005A0F19">
        <w:rPr>
          <w:rFonts w:ascii="Arial Narrow" w:eastAsia="Times New Roman" w:hAnsi="Arial Narrow" w:cs="Arial"/>
          <w:sz w:val="24"/>
          <w:szCs w:val="24"/>
          <w:lang w:val="ro-RO" w:eastAsia="ro-RO"/>
        </w:rPr>
        <w:t xml:space="preserve">în timp ce Regiunea Centru deținea o pondere de 14%, respectiv </w:t>
      </w:r>
      <w:r w:rsidRPr="005A0F19">
        <w:rPr>
          <w:rFonts w:ascii="Arial Narrow" w:hAnsi="Arial Narrow"/>
          <w:sz w:val="24"/>
          <w:szCs w:val="24"/>
        </w:rPr>
        <w:t>1045 de absolven</w:t>
      </w:r>
      <w:r>
        <w:rPr>
          <w:rFonts w:ascii="Arial Narrow" w:hAnsi="Arial Narrow"/>
          <w:sz w:val="24"/>
          <w:szCs w:val="24"/>
        </w:rPr>
        <w:t>ţ</w:t>
      </w:r>
      <w:r w:rsidRPr="005A0F19">
        <w:rPr>
          <w:rFonts w:ascii="Arial Narrow" w:hAnsi="Arial Narrow"/>
          <w:sz w:val="24"/>
          <w:szCs w:val="24"/>
        </w:rPr>
        <w:t>i la medicină</w:t>
      </w:r>
      <w:r w:rsidRPr="005A0F19">
        <w:rPr>
          <w:rFonts w:ascii="Arial Narrow" w:eastAsia="Times New Roman" w:hAnsi="Arial Narrow" w:cs="Arial"/>
          <w:sz w:val="24"/>
          <w:szCs w:val="24"/>
          <w:lang w:val="ro-RO" w:eastAsia="ro-RO"/>
        </w:rPr>
        <w:t>.</w:t>
      </w:r>
    </w:p>
    <w:p w:rsidR="00643600" w:rsidRDefault="00643600" w:rsidP="00643600">
      <w:pPr>
        <w:spacing w:after="0" w:line="240" w:lineRule="auto"/>
        <w:jc w:val="both"/>
        <w:rPr>
          <w:rFonts w:ascii="Arial Narrow" w:hAnsi="Arial Narrow"/>
          <w:sz w:val="24"/>
          <w:szCs w:val="24"/>
          <w:highlight w:val="green"/>
        </w:rPr>
      </w:pPr>
    </w:p>
    <w:p w:rsidR="00643600" w:rsidRPr="00FE5C30" w:rsidRDefault="00643600" w:rsidP="00643600">
      <w:pPr>
        <w:spacing w:after="0" w:line="240" w:lineRule="auto"/>
        <w:jc w:val="both"/>
        <w:rPr>
          <w:rFonts w:ascii="Arial Narrow" w:eastAsia="Times New Roman" w:hAnsi="Arial Narrow" w:cs="Arial"/>
          <w:b/>
          <w:color w:val="000000"/>
          <w:sz w:val="24"/>
          <w:szCs w:val="24"/>
          <w:lang w:val="ro-RO" w:eastAsia="ro-RO"/>
        </w:rPr>
      </w:pPr>
      <w:r w:rsidRPr="00FE5C30">
        <w:rPr>
          <w:rFonts w:ascii="Arial Narrow" w:hAnsi="Arial Narrow"/>
          <w:b/>
          <w:color w:val="000000"/>
          <w:sz w:val="24"/>
          <w:szCs w:val="24"/>
        </w:rPr>
        <w:t xml:space="preserve">Forța de muncă </w:t>
      </w:r>
    </w:p>
    <w:p w:rsidR="00643600" w:rsidRDefault="00643600" w:rsidP="00643600">
      <w:pPr>
        <w:spacing w:after="0" w:line="240" w:lineRule="auto"/>
        <w:jc w:val="both"/>
        <w:rPr>
          <w:rFonts w:ascii="Arial Narrow" w:hAnsi="Arial Narrow"/>
          <w:sz w:val="24"/>
          <w:szCs w:val="24"/>
        </w:rPr>
      </w:pPr>
    </w:p>
    <w:p w:rsidR="00643600" w:rsidRPr="002C5068"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rPr>
        <w:t xml:space="preserve">Resursele umane </w:t>
      </w:r>
      <w:r>
        <w:rPr>
          <w:rFonts w:ascii="Arial Narrow" w:hAnsi="Arial Narrow"/>
          <w:sz w:val="24"/>
          <w:szCs w:val="24"/>
        </w:rPr>
        <w:t>reprezint</w:t>
      </w:r>
      <w:r>
        <w:rPr>
          <w:rFonts w:ascii="Arial Narrow" w:hAnsi="Arial Narrow"/>
          <w:sz w:val="24"/>
          <w:szCs w:val="24"/>
          <w:lang w:val="ro-RO"/>
        </w:rPr>
        <w:t>ă o componentă esențială</w:t>
      </w:r>
      <w:r w:rsidRPr="002C5068">
        <w:rPr>
          <w:rFonts w:ascii="Arial Narrow" w:hAnsi="Arial Narrow"/>
          <w:sz w:val="24"/>
          <w:szCs w:val="24"/>
        </w:rPr>
        <w:t xml:space="preserve"> </w:t>
      </w:r>
      <w:r w:rsidRPr="005A0F19">
        <w:rPr>
          <w:rFonts w:ascii="Arial Narrow" w:hAnsi="Arial Narrow"/>
          <w:sz w:val="24"/>
          <w:szCs w:val="24"/>
        </w:rPr>
        <w:t xml:space="preserve">a oricărui </w:t>
      </w:r>
      <w:r>
        <w:rPr>
          <w:rFonts w:ascii="Arial Narrow" w:hAnsi="Arial Narrow"/>
          <w:sz w:val="24"/>
          <w:szCs w:val="24"/>
        </w:rPr>
        <w:t>sistem de sănătate,</w:t>
      </w:r>
      <w:r w:rsidRPr="005A0F19">
        <w:rPr>
          <w:rFonts w:ascii="Arial Narrow" w:hAnsi="Arial Narrow"/>
          <w:sz w:val="24"/>
          <w:szCs w:val="24"/>
        </w:rPr>
        <w:t xml:space="preserve"> iar </w:t>
      </w:r>
      <w:r>
        <w:rPr>
          <w:rFonts w:ascii="Arial Narrow" w:hAnsi="Arial Narrow"/>
          <w:sz w:val="24"/>
          <w:szCs w:val="24"/>
        </w:rPr>
        <w:t>o bună</w:t>
      </w:r>
      <w:r w:rsidRPr="005A0F19">
        <w:rPr>
          <w:rFonts w:ascii="Arial Narrow" w:hAnsi="Arial Narrow"/>
          <w:sz w:val="24"/>
          <w:szCs w:val="24"/>
        </w:rPr>
        <w:t xml:space="preserve"> funcționare a </w:t>
      </w:r>
      <w:r>
        <w:rPr>
          <w:rFonts w:ascii="Arial Narrow" w:hAnsi="Arial Narrow"/>
          <w:sz w:val="24"/>
          <w:szCs w:val="24"/>
        </w:rPr>
        <w:t xml:space="preserve">acestui sector necesită </w:t>
      </w:r>
      <w:r w:rsidRPr="006F39FF">
        <w:rPr>
          <w:rFonts w:ascii="Arial Narrow" w:hAnsi="Arial Narrow"/>
          <w:sz w:val="24"/>
          <w:szCs w:val="24"/>
        </w:rPr>
        <w:t>o forță de muncă calificată.</w:t>
      </w:r>
      <w:r w:rsidRPr="005A0F19">
        <w:rPr>
          <w:rFonts w:ascii="Arial Narrow" w:hAnsi="Arial Narrow"/>
          <w:sz w:val="24"/>
          <w:szCs w:val="24"/>
        </w:rPr>
        <w:t xml:space="preserve"> </w:t>
      </w:r>
    </w:p>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Conform datelor statistice</w:t>
      </w:r>
      <w:r>
        <w:rPr>
          <w:rFonts w:ascii="Arial Narrow" w:hAnsi="Arial Narrow"/>
          <w:sz w:val="24"/>
          <w:szCs w:val="24"/>
        </w:rPr>
        <w:t xml:space="preserve"> din 2013</w:t>
      </w:r>
      <w:r w:rsidRPr="005A0F19">
        <w:rPr>
          <w:rFonts w:ascii="Arial Narrow" w:hAnsi="Arial Narrow"/>
          <w:sz w:val="24"/>
          <w:szCs w:val="24"/>
        </w:rPr>
        <w:t xml:space="preserve">, cele mai dezvoltate </w:t>
      </w:r>
      <w:r>
        <w:rPr>
          <w:rFonts w:ascii="Arial Narrow" w:hAnsi="Arial Narrow"/>
          <w:sz w:val="24"/>
          <w:szCs w:val="24"/>
        </w:rPr>
        <w:t xml:space="preserve">state din UE privind </w:t>
      </w:r>
      <w:r w:rsidRPr="005A0F19">
        <w:rPr>
          <w:rFonts w:ascii="Arial Narrow" w:hAnsi="Arial Narrow"/>
          <w:sz w:val="24"/>
          <w:szCs w:val="24"/>
        </w:rPr>
        <w:t>acoperirea cu medici raportat la 100.000 locuitori</w:t>
      </w:r>
      <w:r>
        <w:rPr>
          <w:rFonts w:ascii="Arial Narrow" w:hAnsi="Arial Narrow"/>
          <w:sz w:val="24"/>
          <w:szCs w:val="24"/>
        </w:rPr>
        <w:t xml:space="preserve">, erau </w:t>
      </w:r>
      <w:r w:rsidRPr="005A0F19">
        <w:rPr>
          <w:rFonts w:ascii="Arial Narrow" w:hAnsi="Arial Narrow"/>
          <w:sz w:val="24"/>
          <w:szCs w:val="24"/>
        </w:rPr>
        <w:t>Austria (499), Germania (403) și Grecia (628). România se situa pe penultimul loc</w:t>
      </w:r>
      <w:r>
        <w:rPr>
          <w:rFonts w:ascii="Arial Narrow" w:hAnsi="Arial Narrow"/>
          <w:sz w:val="24"/>
          <w:szCs w:val="24"/>
        </w:rPr>
        <w:t xml:space="preserve"> cu</w:t>
      </w:r>
      <w:r w:rsidRPr="005A0F19">
        <w:rPr>
          <w:rFonts w:ascii="Arial Narrow" w:hAnsi="Arial Narrow"/>
          <w:sz w:val="24"/>
          <w:szCs w:val="24"/>
        </w:rPr>
        <w:t xml:space="preserve"> 236</w:t>
      </w:r>
      <w:r>
        <w:rPr>
          <w:rFonts w:ascii="Arial Narrow" w:hAnsi="Arial Narrow"/>
          <w:sz w:val="24"/>
          <w:szCs w:val="24"/>
        </w:rPr>
        <w:t xml:space="preserve"> medici, ultima clasată fiind Polonia </w:t>
      </w:r>
      <w:r w:rsidRPr="005A0F19">
        <w:rPr>
          <w:rFonts w:ascii="Arial Narrow" w:hAnsi="Arial Narrow"/>
          <w:sz w:val="24"/>
          <w:szCs w:val="24"/>
        </w:rPr>
        <w:t xml:space="preserve">cu 224 medici. </w:t>
      </w:r>
      <w:r>
        <w:rPr>
          <w:rFonts w:ascii="Arial Narrow" w:hAnsi="Arial Narrow"/>
          <w:sz w:val="24"/>
          <w:szCs w:val="24"/>
        </w:rPr>
        <w:t xml:space="preserve"> </w:t>
      </w:r>
      <w:r w:rsidRPr="005A0F19">
        <w:rPr>
          <w:rFonts w:ascii="Arial Narrow" w:hAnsi="Arial Narrow"/>
          <w:sz w:val="24"/>
          <w:szCs w:val="24"/>
        </w:rPr>
        <w:t xml:space="preserve">Raportat la media UE (346/100.000 loc), există o diferență semnificativă. </w:t>
      </w:r>
    </w:p>
    <w:p w:rsidR="00643600" w:rsidRPr="00D3591E" w:rsidRDefault="00643600" w:rsidP="00643600">
      <w:pPr>
        <w:spacing w:after="0" w:line="240" w:lineRule="auto"/>
        <w:jc w:val="both"/>
        <w:rPr>
          <w:rFonts w:ascii="Arial Narrow" w:hAnsi="Arial Narrow"/>
          <w:sz w:val="24"/>
          <w:szCs w:val="24"/>
        </w:rPr>
      </w:pPr>
      <w:r w:rsidRPr="00D3591E">
        <w:rPr>
          <w:rFonts w:ascii="Arial Narrow" w:hAnsi="Arial Narrow"/>
          <w:sz w:val="24"/>
          <w:szCs w:val="24"/>
        </w:rPr>
        <w:t xml:space="preserve">În ceea ce privește numărul de farmaciști și stomatologi, România este ușor sub media UE și se situează pe locul 13 la acoperirea cu farmaciști și pe locul 19 la stomatologi. </w:t>
      </w:r>
    </w:p>
    <w:p w:rsidR="00643600"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lastRenderedPageBreak/>
        <w:t>De asemenea, la categoria de asistenți medicali, există o diferență semnificativă între cifrele raportate de România (552) față de media UE (856), România clasându-se p</w:t>
      </w:r>
      <w:r>
        <w:rPr>
          <w:rFonts w:ascii="Arial Narrow" w:hAnsi="Arial Narrow"/>
          <w:sz w:val="24"/>
          <w:szCs w:val="24"/>
        </w:rPr>
        <w:t xml:space="preserve">e ultimele locuri. Țări precum </w:t>
      </w:r>
      <w:r w:rsidRPr="005A0F19">
        <w:rPr>
          <w:rFonts w:ascii="Arial Narrow" w:hAnsi="Arial Narrow"/>
          <w:sz w:val="24"/>
          <w:szCs w:val="24"/>
        </w:rPr>
        <w:t>Danemarca, Franța, Germania</w:t>
      </w:r>
      <w:r>
        <w:rPr>
          <w:rFonts w:ascii="Arial Narrow" w:hAnsi="Arial Narrow"/>
          <w:sz w:val="24"/>
          <w:szCs w:val="24"/>
        </w:rPr>
        <w:t>, Luxemburg</w:t>
      </w:r>
      <w:r w:rsidRPr="005A0F19">
        <w:rPr>
          <w:rFonts w:ascii="Arial Narrow" w:hAnsi="Arial Narrow"/>
          <w:sz w:val="24"/>
          <w:szCs w:val="24"/>
        </w:rPr>
        <w:t xml:space="preserve"> și Suedia au o acoperire superioară mediei UE, având peste 1</w:t>
      </w:r>
      <w:r>
        <w:rPr>
          <w:rFonts w:ascii="Arial Narrow" w:hAnsi="Arial Narrow"/>
          <w:sz w:val="24"/>
          <w:szCs w:val="24"/>
        </w:rPr>
        <w:t>.</w:t>
      </w:r>
      <w:r w:rsidRPr="005A0F19">
        <w:rPr>
          <w:rFonts w:ascii="Arial Narrow" w:hAnsi="Arial Narrow"/>
          <w:sz w:val="24"/>
          <w:szCs w:val="24"/>
        </w:rPr>
        <w:t xml:space="preserve">000 de asistenți la 100.000 de locuitori. </w:t>
      </w:r>
    </w:p>
    <w:p w:rsidR="00643600" w:rsidRPr="005A0F19" w:rsidRDefault="00643600" w:rsidP="00643600">
      <w:pPr>
        <w:spacing w:after="0" w:line="240" w:lineRule="auto"/>
        <w:jc w:val="both"/>
        <w:rPr>
          <w:rFonts w:ascii="Arial Narrow" w:hAnsi="Arial Narrow"/>
          <w:sz w:val="24"/>
          <w:szCs w:val="24"/>
        </w:rPr>
      </w:pPr>
    </w:p>
    <w:tbl>
      <w:tblPr>
        <w:tblpPr w:leftFromText="180" w:rightFromText="180" w:vertAnchor="text" w:tblpXSpec="center"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848"/>
        <w:gridCol w:w="1048"/>
        <w:gridCol w:w="860"/>
        <w:gridCol w:w="993"/>
        <w:gridCol w:w="990"/>
        <w:gridCol w:w="1058"/>
        <w:gridCol w:w="1056"/>
        <w:gridCol w:w="1077"/>
        <w:gridCol w:w="1358"/>
      </w:tblGrid>
      <w:tr w:rsidR="00643600" w:rsidRPr="00FE5C30" w:rsidTr="00643600">
        <w:tc>
          <w:tcPr>
            <w:tcW w:w="869" w:type="dxa"/>
            <w:tcBorders>
              <w:top w:val="single" w:sz="4" w:space="0" w:color="FFFFFF"/>
              <w:left w:val="single" w:sz="4" w:space="0" w:color="FFFFFF"/>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p>
        </w:tc>
        <w:tc>
          <w:tcPr>
            <w:tcW w:w="1941"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Medici</w:t>
            </w:r>
          </w:p>
        </w:tc>
        <w:tc>
          <w:tcPr>
            <w:tcW w:w="2023"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Farmaciști</w:t>
            </w:r>
          </w:p>
        </w:tc>
        <w:tc>
          <w:tcPr>
            <w:tcW w:w="2164"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ind w:firstLine="720"/>
              <w:jc w:val="both"/>
              <w:rPr>
                <w:rFonts w:ascii="Arial Narrow" w:hAnsi="Arial Narrow"/>
                <w:b/>
                <w:bCs/>
                <w:color w:val="000000"/>
                <w:sz w:val="20"/>
                <w:szCs w:val="20"/>
              </w:rPr>
            </w:pPr>
            <w:r w:rsidRPr="00FE5C30">
              <w:rPr>
                <w:rFonts w:ascii="Arial Narrow" w:hAnsi="Arial Narrow"/>
                <w:b/>
                <w:bCs/>
                <w:color w:val="000000"/>
                <w:sz w:val="20"/>
                <w:szCs w:val="20"/>
              </w:rPr>
              <w:t>Stomatologi</w:t>
            </w:r>
          </w:p>
        </w:tc>
        <w:tc>
          <w:tcPr>
            <w:tcW w:w="2511" w:type="dxa"/>
            <w:gridSpan w:val="2"/>
            <w:tcBorders>
              <w:top w:val="single" w:sz="4" w:space="0" w:color="FFFFFF"/>
              <w:left w:val="nil"/>
              <w:right w:val="single" w:sz="4" w:space="0" w:color="FFFFFF"/>
            </w:tcBorders>
            <w:shd w:val="clear" w:color="auto" w:fill="70AD47"/>
          </w:tcPr>
          <w:p w:rsidR="00643600" w:rsidRPr="00FE5C30" w:rsidRDefault="00643600" w:rsidP="00643600">
            <w:pPr>
              <w:spacing w:after="0" w:line="240" w:lineRule="auto"/>
              <w:ind w:firstLine="720"/>
              <w:jc w:val="both"/>
              <w:rPr>
                <w:rFonts w:ascii="Arial Narrow" w:hAnsi="Arial Narrow"/>
                <w:b/>
                <w:bCs/>
                <w:color w:val="000000"/>
                <w:sz w:val="20"/>
                <w:szCs w:val="20"/>
              </w:rPr>
            </w:pPr>
            <w:r w:rsidRPr="00FE5C30">
              <w:rPr>
                <w:rFonts w:ascii="Arial Narrow" w:hAnsi="Arial Narrow"/>
                <w:b/>
                <w:bCs/>
                <w:color w:val="000000"/>
                <w:sz w:val="20"/>
                <w:szCs w:val="20"/>
              </w:rPr>
              <w:t>Asistenți medicali</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An</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Romania</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EU</w:t>
            </w:r>
          </w:p>
        </w:tc>
        <w:tc>
          <w:tcPr>
            <w:tcW w:w="100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Romania</w:t>
            </w:r>
          </w:p>
        </w:tc>
        <w:tc>
          <w:tcPr>
            <w:tcW w:w="1020"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EU</w:t>
            </w:r>
          </w:p>
        </w:tc>
        <w:tc>
          <w:tcPr>
            <w:tcW w:w="107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Romania</w:t>
            </w:r>
          </w:p>
        </w:tc>
        <w:tc>
          <w:tcPr>
            <w:tcW w:w="1091"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EU</w:t>
            </w:r>
          </w:p>
        </w:tc>
        <w:tc>
          <w:tcPr>
            <w:tcW w:w="1094"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Romania</w:t>
            </w:r>
          </w:p>
        </w:tc>
        <w:tc>
          <w:tcPr>
            <w:tcW w:w="1417"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EU</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eastAsia="Times New Roman" w:hAnsi="Arial Narrow" w:cs="Tahoma"/>
                <w:b/>
                <w:bCs/>
                <w:color w:val="000000"/>
                <w:sz w:val="20"/>
                <w:szCs w:val="20"/>
              </w:rPr>
            </w:pPr>
            <w:r w:rsidRPr="00FE5C30">
              <w:rPr>
                <w:rFonts w:ascii="Arial Narrow" w:eastAsia="Times New Roman" w:hAnsi="Arial Narrow" w:cs="Tahoma"/>
                <w:b/>
                <w:bCs/>
                <w:color w:val="000000"/>
                <w:sz w:val="20"/>
                <w:szCs w:val="20"/>
              </w:rPr>
              <w:t>2011</w:t>
            </w:r>
          </w:p>
        </w:tc>
        <w:tc>
          <w:tcPr>
            <w:tcW w:w="1062"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239.5</w:t>
            </w:r>
          </w:p>
        </w:tc>
        <w:tc>
          <w:tcPr>
            <w:tcW w:w="879"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338.8</w:t>
            </w:r>
          </w:p>
        </w:tc>
        <w:tc>
          <w:tcPr>
            <w:tcW w:w="100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67.85</w:t>
            </w:r>
          </w:p>
        </w:tc>
        <w:tc>
          <w:tcPr>
            <w:tcW w:w="1020"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78.71</w:t>
            </w:r>
          </w:p>
        </w:tc>
        <w:tc>
          <w:tcPr>
            <w:tcW w:w="107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62.39</w:t>
            </w:r>
          </w:p>
        </w:tc>
        <w:tc>
          <w:tcPr>
            <w:tcW w:w="1091"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65.16</w:t>
            </w:r>
          </w:p>
        </w:tc>
        <w:tc>
          <w:tcPr>
            <w:tcW w:w="1094"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553.2</w:t>
            </w:r>
          </w:p>
        </w:tc>
        <w:tc>
          <w:tcPr>
            <w:tcW w:w="1417"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843.2</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eastAsia="Times New Roman" w:hAnsi="Arial Narrow" w:cs="Tahoma"/>
                <w:b/>
                <w:bCs/>
                <w:color w:val="000000"/>
                <w:sz w:val="20"/>
                <w:szCs w:val="20"/>
              </w:rPr>
            </w:pPr>
            <w:r w:rsidRPr="00FE5C30">
              <w:rPr>
                <w:rFonts w:ascii="Arial Narrow" w:eastAsia="Times New Roman" w:hAnsi="Arial Narrow" w:cs="Tahoma"/>
                <w:b/>
                <w:bCs/>
                <w:color w:val="000000"/>
                <w:sz w:val="20"/>
                <w:szCs w:val="20"/>
              </w:rPr>
              <w:t>2012</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245.6</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342.4</w:t>
            </w:r>
          </w:p>
        </w:tc>
        <w:tc>
          <w:tcPr>
            <w:tcW w:w="100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72.05</w:t>
            </w:r>
          </w:p>
        </w:tc>
        <w:tc>
          <w:tcPr>
            <w:tcW w:w="1020"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80.55</w:t>
            </w:r>
          </w:p>
        </w:tc>
        <w:tc>
          <w:tcPr>
            <w:tcW w:w="107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64.64</w:t>
            </w:r>
          </w:p>
        </w:tc>
        <w:tc>
          <w:tcPr>
            <w:tcW w:w="1091"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66.66</w:t>
            </w:r>
          </w:p>
        </w:tc>
        <w:tc>
          <w:tcPr>
            <w:tcW w:w="1094"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563.3</w:t>
            </w:r>
          </w:p>
        </w:tc>
        <w:tc>
          <w:tcPr>
            <w:tcW w:w="1417"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850.2</w:t>
            </w:r>
          </w:p>
        </w:tc>
      </w:tr>
      <w:tr w:rsidR="00643600" w:rsidRPr="00FE5C30" w:rsidTr="00643600">
        <w:tc>
          <w:tcPr>
            <w:tcW w:w="869" w:type="dxa"/>
            <w:tcBorders>
              <w:left w:val="single" w:sz="4" w:space="0" w:color="FFFFFF"/>
              <w:bottom w:val="single" w:sz="4" w:space="0" w:color="FFFFFF"/>
            </w:tcBorders>
            <w:shd w:val="clear" w:color="auto" w:fill="70AD47"/>
          </w:tcPr>
          <w:p w:rsidR="00643600" w:rsidRPr="00FE5C30" w:rsidRDefault="00643600" w:rsidP="00643600">
            <w:pPr>
              <w:spacing w:after="0" w:line="240" w:lineRule="auto"/>
              <w:jc w:val="both"/>
              <w:rPr>
                <w:rFonts w:ascii="Arial Narrow" w:eastAsia="Times New Roman" w:hAnsi="Arial Narrow" w:cs="Tahoma"/>
                <w:b/>
                <w:bCs/>
                <w:color w:val="000000"/>
                <w:sz w:val="20"/>
                <w:szCs w:val="20"/>
              </w:rPr>
            </w:pPr>
            <w:r w:rsidRPr="00FE5C30">
              <w:rPr>
                <w:rFonts w:ascii="Arial Narrow" w:eastAsia="Times New Roman" w:hAnsi="Arial Narrow" w:cs="Tahoma"/>
                <w:b/>
                <w:bCs/>
                <w:color w:val="000000"/>
                <w:sz w:val="20"/>
                <w:szCs w:val="20"/>
              </w:rPr>
              <w:t>2013</w:t>
            </w:r>
          </w:p>
        </w:tc>
        <w:tc>
          <w:tcPr>
            <w:tcW w:w="1062"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236.3</w:t>
            </w:r>
          </w:p>
        </w:tc>
        <w:tc>
          <w:tcPr>
            <w:tcW w:w="879"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346.3</w:t>
            </w:r>
          </w:p>
        </w:tc>
        <w:tc>
          <w:tcPr>
            <w:tcW w:w="100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72.59</w:t>
            </w:r>
          </w:p>
        </w:tc>
        <w:tc>
          <w:tcPr>
            <w:tcW w:w="1020"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82.69</w:t>
            </w:r>
          </w:p>
        </w:tc>
        <w:tc>
          <w:tcPr>
            <w:tcW w:w="107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63.72</w:t>
            </w:r>
          </w:p>
        </w:tc>
        <w:tc>
          <w:tcPr>
            <w:tcW w:w="1091"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67.55</w:t>
            </w:r>
          </w:p>
        </w:tc>
        <w:tc>
          <w:tcPr>
            <w:tcW w:w="1094"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552.4</w:t>
            </w:r>
          </w:p>
        </w:tc>
        <w:tc>
          <w:tcPr>
            <w:tcW w:w="1417"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856.4</w:t>
            </w:r>
          </w:p>
        </w:tc>
      </w:tr>
    </w:tbl>
    <w:p w:rsidR="00643600" w:rsidRPr="006F39FF" w:rsidRDefault="00643600" w:rsidP="00643600">
      <w:pPr>
        <w:spacing w:after="0" w:line="240" w:lineRule="auto"/>
        <w:jc w:val="both"/>
        <w:rPr>
          <w:rFonts w:ascii="Arial Narrow" w:hAnsi="Arial Narrow"/>
          <w:sz w:val="18"/>
          <w:szCs w:val="18"/>
        </w:rPr>
      </w:pPr>
      <w:r w:rsidRPr="005A0F19">
        <w:rPr>
          <w:rFonts w:ascii="Arial Narrow" w:hAnsi="Arial Narrow"/>
          <w:sz w:val="24"/>
          <w:szCs w:val="24"/>
        </w:rPr>
        <w:br w:type="textWrapping" w:clear="all"/>
      </w:r>
      <w:r>
        <w:rPr>
          <w:rFonts w:ascii="Arial Narrow" w:hAnsi="Arial Narrow"/>
          <w:sz w:val="18"/>
          <w:szCs w:val="18"/>
        </w:rPr>
        <w:t xml:space="preserve">             </w:t>
      </w:r>
      <w:r w:rsidRPr="006F39FF">
        <w:rPr>
          <w:rFonts w:ascii="Arial Narrow" w:hAnsi="Arial Narrow"/>
          <w:sz w:val="18"/>
          <w:szCs w:val="18"/>
        </w:rPr>
        <w:t xml:space="preserve">Sursa datelor: Prelucrare după baza de date </w:t>
      </w:r>
      <w:hyperlink r:id="rId110" w:history="1">
        <w:r w:rsidRPr="006F39FF">
          <w:rPr>
            <w:rStyle w:val="Hyperlink"/>
            <w:rFonts w:ascii="Arial Narrow" w:hAnsi="Arial Narrow" w:cs="Arial"/>
            <w:color w:val="318CBF"/>
            <w:sz w:val="18"/>
            <w:szCs w:val="18"/>
            <w:shd w:val="clear" w:color="auto" w:fill="FFFFFF"/>
          </w:rPr>
          <w:t>European Health for All Database (HFA-DB)</w:t>
        </w:r>
      </w:hyperlink>
      <w:r w:rsidRPr="006F39FF">
        <w:rPr>
          <w:rFonts w:ascii="Arial Narrow" w:hAnsi="Arial Narrow"/>
          <w:sz w:val="18"/>
          <w:szCs w:val="18"/>
        </w:rPr>
        <w:t>, http://data.euro.who.int/hfadb/</w:t>
      </w:r>
    </w:p>
    <w:p w:rsidR="00643600" w:rsidRPr="005A0F19"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 xml:space="preserve">Pentru anii 2014-2015 </w:t>
      </w:r>
      <w:r>
        <w:rPr>
          <w:rFonts w:ascii="Arial Narrow" w:hAnsi="Arial Narrow"/>
          <w:sz w:val="24"/>
          <w:szCs w:val="24"/>
        </w:rPr>
        <w:t>există partial date disponibile</w:t>
      </w:r>
      <w:r w:rsidRPr="005A0F19">
        <w:rPr>
          <w:rFonts w:ascii="Arial Narrow" w:hAnsi="Arial Narrow"/>
          <w:sz w:val="24"/>
          <w:szCs w:val="24"/>
        </w:rPr>
        <w:t xml:space="preserve">, motiv pentru care a fost calculată acoperirea la cele mai importante categorii de personal medical </w:t>
      </w:r>
      <w:r>
        <w:rPr>
          <w:rFonts w:ascii="Arial Narrow" w:hAnsi="Arial Narrow"/>
          <w:sz w:val="24"/>
          <w:szCs w:val="24"/>
        </w:rPr>
        <w:t>conform</w:t>
      </w:r>
      <w:r w:rsidRPr="005A0F19">
        <w:rPr>
          <w:rFonts w:ascii="Arial Narrow" w:hAnsi="Arial Narrow"/>
          <w:sz w:val="24"/>
          <w:szCs w:val="24"/>
        </w:rPr>
        <w:t xml:space="preserve"> informațiilor disponibile în baza de date </w:t>
      </w:r>
      <w:r>
        <w:rPr>
          <w:rFonts w:ascii="Arial Narrow" w:hAnsi="Arial Narrow"/>
          <w:sz w:val="24"/>
          <w:szCs w:val="24"/>
        </w:rPr>
        <w:t xml:space="preserve">statistice </w:t>
      </w:r>
      <w:r w:rsidRPr="005A0F19">
        <w:rPr>
          <w:rFonts w:ascii="Arial Narrow" w:hAnsi="Arial Narrow"/>
          <w:sz w:val="24"/>
          <w:szCs w:val="24"/>
        </w:rPr>
        <w:t>a Institutu</w:t>
      </w:r>
      <w:r>
        <w:rPr>
          <w:rFonts w:ascii="Arial Narrow" w:hAnsi="Arial Narrow"/>
          <w:sz w:val="24"/>
          <w:szCs w:val="24"/>
        </w:rPr>
        <w:t>lu</w:t>
      </w:r>
      <w:r w:rsidRPr="005A0F19">
        <w:rPr>
          <w:rFonts w:ascii="Arial Narrow" w:hAnsi="Arial Narrow"/>
          <w:sz w:val="24"/>
          <w:szCs w:val="24"/>
        </w:rPr>
        <w:t xml:space="preserve">i Național de Statistică. Se observă o creștere </w:t>
      </w:r>
      <w:r>
        <w:rPr>
          <w:rFonts w:ascii="Arial Narrow" w:hAnsi="Arial Narrow"/>
          <w:sz w:val="24"/>
          <w:szCs w:val="24"/>
        </w:rPr>
        <w:t>față</w:t>
      </w:r>
      <w:r w:rsidRPr="005A0F19">
        <w:rPr>
          <w:rFonts w:ascii="Arial Narrow" w:hAnsi="Arial Narrow"/>
          <w:sz w:val="24"/>
          <w:szCs w:val="24"/>
        </w:rPr>
        <w:t xml:space="preserve"> de anii precedenți, dar aceasta se datorează </w:t>
      </w:r>
      <w:r>
        <w:rPr>
          <w:rFonts w:ascii="Arial Narrow" w:hAnsi="Arial Narrow"/>
          <w:sz w:val="24"/>
          <w:szCs w:val="24"/>
        </w:rPr>
        <w:t xml:space="preserve">în principal </w:t>
      </w:r>
      <w:r w:rsidRPr="005A0F19">
        <w:rPr>
          <w:rFonts w:ascii="Arial Narrow" w:hAnsi="Arial Narrow"/>
          <w:sz w:val="24"/>
          <w:szCs w:val="24"/>
        </w:rPr>
        <w:t>scăderii num</w:t>
      </w:r>
      <w:r>
        <w:rPr>
          <w:rFonts w:ascii="Arial Narrow" w:hAnsi="Arial Narrow"/>
          <w:sz w:val="24"/>
          <w:szCs w:val="24"/>
        </w:rPr>
        <w:t>ărului de locuitori la nivel naț</w:t>
      </w:r>
      <w:r w:rsidRPr="005A0F19">
        <w:rPr>
          <w:rFonts w:ascii="Arial Narrow" w:hAnsi="Arial Narrow"/>
          <w:sz w:val="24"/>
          <w:szCs w:val="24"/>
        </w:rPr>
        <w:t xml:space="preserve">ional. </w:t>
      </w:r>
    </w:p>
    <w:tbl>
      <w:tblPr>
        <w:tblpPr w:leftFromText="180" w:rightFromText="180" w:vertAnchor="text" w:tblpXSpec="center"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848"/>
        <w:gridCol w:w="1048"/>
        <w:gridCol w:w="861"/>
        <w:gridCol w:w="994"/>
        <w:gridCol w:w="991"/>
        <w:gridCol w:w="1058"/>
        <w:gridCol w:w="1051"/>
        <w:gridCol w:w="1078"/>
        <w:gridCol w:w="1359"/>
      </w:tblGrid>
      <w:tr w:rsidR="00643600" w:rsidRPr="00FE5C30" w:rsidTr="00643600">
        <w:tc>
          <w:tcPr>
            <w:tcW w:w="869" w:type="dxa"/>
            <w:tcBorders>
              <w:top w:val="single" w:sz="4" w:space="0" w:color="FFFFFF"/>
              <w:left w:val="single" w:sz="4" w:space="0" w:color="FFFFFF"/>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p>
        </w:tc>
        <w:tc>
          <w:tcPr>
            <w:tcW w:w="1941"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Medici</w:t>
            </w:r>
          </w:p>
        </w:tc>
        <w:tc>
          <w:tcPr>
            <w:tcW w:w="2023"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Farmaciști</w:t>
            </w:r>
          </w:p>
        </w:tc>
        <w:tc>
          <w:tcPr>
            <w:tcW w:w="2164"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ind w:firstLine="720"/>
              <w:jc w:val="both"/>
              <w:rPr>
                <w:rFonts w:ascii="Arial Narrow" w:hAnsi="Arial Narrow"/>
                <w:b/>
                <w:bCs/>
                <w:color w:val="000000"/>
                <w:sz w:val="20"/>
                <w:szCs w:val="20"/>
              </w:rPr>
            </w:pPr>
            <w:r w:rsidRPr="00FE5C30">
              <w:rPr>
                <w:rFonts w:ascii="Arial Narrow" w:hAnsi="Arial Narrow"/>
                <w:b/>
                <w:bCs/>
                <w:color w:val="000000"/>
                <w:sz w:val="20"/>
                <w:szCs w:val="20"/>
              </w:rPr>
              <w:t>Stomatologi</w:t>
            </w:r>
          </w:p>
        </w:tc>
        <w:tc>
          <w:tcPr>
            <w:tcW w:w="2511" w:type="dxa"/>
            <w:gridSpan w:val="2"/>
            <w:tcBorders>
              <w:top w:val="single" w:sz="4" w:space="0" w:color="FFFFFF"/>
              <w:left w:val="nil"/>
              <w:right w:val="single" w:sz="4" w:space="0" w:color="FFFFFF"/>
            </w:tcBorders>
            <w:shd w:val="clear" w:color="auto" w:fill="70AD47"/>
          </w:tcPr>
          <w:p w:rsidR="00643600" w:rsidRPr="00FE5C30" w:rsidRDefault="00643600" w:rsidP="00643600">
            <w:pPr>
              <w:spacing w:after="0" w:line="240" w:lineRule="auto"/>
              <w:ind w:firstLine="720"/>
              <w:jc w:val="both"/>
              <w:rPr>
                <w:rFonts w:ascii="Arial Narrow" w:hAnsi="Arial Narrow"/>
                <w:b/>
                <w:bCs/>
                <w:color w:val="000000"/>
                <w:sz w:val="20"/>
                <w:szCs w:val="20"/>
              </w:rPr>
            </w:pPr>
            <w:r w:rsidRPr="00FE5C30">
              <w:rPr>
                <w:rFonts w:ascii="Arial Narrow" w:hAnsi="Arial Narrow"/>
                <w:b/>
                <w:bCs/>
                <w:color w:val="000000"/>
                <w:sz w:val="20"/>
                <w:szCs w:val="20"/>
              </w:rPr>
              <w:t>Asistenți medicali</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An</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Romania</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EU</w:t>
            </w:r>
          </w:p>
        </w:tc>
        <w:tc>
          <w:tcPr>
            <w:tcW w:w="100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Romania</w:t>
            </w:r>
          </w:p>
        </w:tc>
        <w:tc>
          <w:tcPr>
            <w:tcW w:w="1020"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EU</w:t>
            </w:r>
          </w:p>
        </w:tc>
        <w:tc>
          <w:tcPr>
            <w:tcW w:w="107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Romania</w:t>
            </w:r>
          </w:p>
        </w:tc>
        <w:tc>
          <w:tcPr>
            <w:tcW w:w="1091"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EU</w:t>
            </w:r>
          </w:p>
        </w:tc>
        <w:tc>
          <w:tcPr>
            <w:tcW w:w="1094"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Romania</w:t>
            </w:r>
          </w:p>
        </w:tc>
        <w:tc>
          <w:tcPr>
            <w:tcW w:w="1417"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EU</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2014</w:t>
            </w:r>
          </w:p>
        </w:tc>
        <w:tc>
          <w:tcPr>
            <w:tcW w:w="1062"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275.37</w:t>
            </w:r>
          </w:p>
        </w:tc>
        <w:tc>
          <w:tcPr>
            <w:tcW w:w="879"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349.6</w:t>
            </w:r>
          </w:p>
        </w:tc>
        <w:tc>
          <w:tcPr>
            <w:tcW w:w="100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85.72</w:t>
            </w:r>
          </w:p>
        </w:tc>
        <w:tc>
          <w:tcPr>
            <w:tcW w:w="1020"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85.05</w:t>
            </w:r>
          </w:p>
        </w:tc>
        <w:tc>
          <w:tcPr>
            <w:tcW w:w="107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74.59</w:t>
            </w:r>
          </w:p>
        </w:tc>
        <w:tc>
          <w:tcPr>
            <w:tcW w:w="1091"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67.9</w:t>
            </w:r>
          </w:p>
        </w:tc>
        <w:tc>
          <w:tcPr>
            <w:tcW w:w="1094"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646.19</w:t>
            </w:r>
          </w:p>
        </w:tc>
        <w:tc>
          <w:tcPr>
            <w:tcW w:w="1417"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864.3</w:t>
            </w:r>
          </w:p>
        </w:tc>
      </w:tr>
      <w:tr w:rsidR="00643600" w:rsidRPr="00FE5C30" w:rsidTr="00643600">
        <w:tc>
          <w:tcPr>
            <w:tcW w:w="869" w:type="dxa"/>
            <w:tcBorders>
              <w:left w:val="single" w:sz="4" w:space="0" w:color="FFFFFF"/>
              <w:bottom w:val="single" w:sz="4" w:space="0" w:color="FFFFFF"/>
            </w:tcBorders>
            <w:shd w:val="clear" w:color="auto" w:fill="70AD47"/>
          </w:tcPr>
          <w:p w:rsidR="00643600" w:rsidRPr="00FE5C30" w:rsidRDefault="00643600" w:rsidP="00643600">
            <w:pPr>
              <w:spacing w:after="0" w:line="240" w:lineRule="auto"/>
              <w:jc w:val="both"/>
              <w:rPr>
                <w:rFonts w:ascii="Arial Narrow" w:eastAsia="Times New Roman" w:hAnsi="Arial Narrow" w:cs="Tahoma"/>
                <w:b/>
                <w:bCs/>
                <w:color w:val="000000"/>
                <w:sz w:val="20"/>
                <w:szCs w:val="20"/>
              </w:rPr>
            </w:pPr>
            <w:r w:rsidRPr="00FE5C30">
              <w:rPr>
                <w:rFonts w:ascii="Arial Narrow" w:eastAsia="Times New Roman" w:hAnsi="Arial Narrow" w:cs="Tahoma"/>
                <w:b/>
                <w:bCs/>
                <w:color w:val="000000"/>
                <w:sz w:val="20"/>
                <w:szCs w:val="20"/>
              </w:rPr>
              <w:t>2015</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282,37</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w:t>
            </w:r>
          </w:p>
        </w:tc>
        <w:tc>
          <w:tcPr>
            <w:tcW w:w="100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86.23</w:t>
            </w:r>
          </w:p>
        </w:tc>
        <w:tc>
          <w:tcPr>
            <w:tcW w:w="1020"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w:t>
            </w:r>
          </w:p>
        </w:tc>
        <w:tc>
          <w:tcPr>
            <w:tcW w:w="107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78.28</w:t>
            </w:r>
          </w:p>
        </w:tc>
        <w:tc>
          <w:tcPr>
            <w:tcW w:w="1091"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w:t>
            </w:r>
          </w:p>
        </w:tc>
        <w:tc>
          <w:tcPr>
            <w:tcW w:w="1094"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670.19</w:t>
            </w:r>
          </w:p>
        </w:tc>
        <w:tc>
          <w:tcPr>
            <w:tcW w:w="1417"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w:t>
            </w:r>
          </w:p>
        </w:tc>
      </w:tr>
    </w:tbl>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rPr>
      </w:pPr>
      <w:r w:rsidRPr="005A0F19">
        <w:rPr>
          <w:rFonts w:ascii="Arial Narrow" w:hAnsi="Arial Narrow"/>
          <w:sz w:val="24"/>
          <w:szCs w:val="24"/>
        </w:rPr>
        <w:t>Regiunea Centru este bine reprezentată la categoria de medici și asistenți medic</w:t>
      </w:r>
      <w:r>
        <w:rPr>
          <w:rFonts w:ascii="Arial Narrow" w:hAnsi="Arial Narrow"/>
          <w:sz w:val="24"/>
          <w:szCs w:val="24"/>
        </w:rPr>
        <w:t>ali, peste media naț</w:t>
      </w:r>
      <w:r w:rsidRPr="005A0F19">
        <w:rPr>
          <w:rFonts w:ascii="Arial Narrow" w:hAnsi="Arial Narrow"/>
          <w:sz w:val="24"/>
          <w:szCs w:val="24"/>
        </w:rPr>
        <w:t>ional</w:t>
      </w:r>
      <w:r>
        <w:rPr>
          <w:rFonts w:ascii="Arial Narrow" w:hAnsi="Arial Narrow"/>
          <w:sz w:val="24"/>
          <w:szCs w:val="24"/>
        </w:rPr>
        <w:t>ă</w:t>
      </w:r>
      <w:r w:rsidRPr="005A0F19">
        <w:rPr>
          <w:rFonts w:ascii="Arial Narrow" w:hAnsi="Arial Narrow"/>
          <w:sz w:val="24"/>
          <w:szCs w:val="24"/>
        </w:rPr>
        <w:t>, dar sub media UE</w:t>
      </w:r>
      <w:r>
        <w:rPr>
          <w:rFonts w:ascii="Arial Narrow" w:hAnsi="Arial Narrow"/>
          <w:sz w:val="24"/>
          <w:szCs w:val="24"/>
        </w:rPr>
        <w:t>. În ceea ce privește categoriile de farmaciști și stomatologi, acesta se află</w:t>
      </w:r>
      <w:r w:rsidRPr="005A0F19">
        <w:rPr>
          <w:rFonts w:ascii="Arial Narrow" w:hAnsi="Arial Narrow"/>
          <w:sz w:val="24"/>
          <w:szCs w:val="24"/>
        </w:rPr>
        <w:t xml:space="preserve"> </w:t>
      </w:r>
      <w:r>
        <w:rPr>
          <w:rFonts w:ascii="Arial Narrow" w:hAnsi="Arial Narrow"/>
          <w:sz w:val="24"/>
          <w:szCs w:val="24"/>
        </w:rPr>
        <w:t>la un nivel apropiat de</w:t>
      </w:r>
      <w:r w:rsidRPr="005A0F19">
        <w:rPr>
          <w:rFonts w:ascii="Arial Narrow" w:hAnsi="Arial Narrow"/>
          <w:sz w:val="24"/>
          <w:szCs w:val="24"/>
        </w:rPr>
        <w:t xml:space="preserve"> </w:t>
      </w:r>
      <w:r>
        <w:rPr>
          <w:rFonts w:ascii="Arial Narrow" w:hAnsi="Arial Narrow"/>
          <w:sz w:val="24"/>
          <w:szCs w:val="24"/>
        </w:rPr>
        <w:t xml:space="preserve">media națională la categoria de farmaciști sau peste media națională la categoria de </w:t>
      </w:r>
      <w:r w:rsidRPr="005A0F19">
        <w:rPr>
          <w:rFonts w:ascii="Arial Narrow" w:hAnsi="Arial Narrow"/>
          <w:sz w:val="24"/>
          <w:szCs w:val="24"/>
        </w:rPr>
        <w:t>stomatologi.</w:t>
      </w:r>
    </w:p>
    <w:p w:rsidR="00643600" w:rsidRPr="005A0F19" w:rsidRDefault="00643600" w:rsidP="00643600">
      <w:pPr>
        <w:spacing w:after="0" w:line="240" w:lineRule="auto"/>
        <w:jc w:val="both"/>
        <w:rPr>
          <w:rFonts w:ascii="Arial Narrow" w:hAnsi="Arial Narrow"/>
          <w:sz w:val="24"/>
          <w:szCs w:val="24"/>
        </w:rPr>
      </w:pPr>
    </w:p>
    <w:tbl>
      <w:tblPr>
        <w:tblpPr w:leftFromText="180" w:rightFromText="180" w:vertAnchor="text" w:tblpXSpec="center"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833"/>
        <w:gridCol w:w="1044"/>
        <w:gridCol w:w="878"/>
        <w:gridCol w:w="992"/>
        <w:gridCol w:w="1002"/>
        <w:gridCol w:w="1054"/>
        <w:gridCol w:w="1064"/>
        <w:gridCol w:w="1072"/>
        <w:gridCol w:w="1349"/>
      </w:tblGrid>
      <w:tr w:rsidR="00643600" w:rsidRPr="00FE5C30" w:rsidTr="00643600">
        <w:tc>
          <w:tcPr>
            <w:tcW w:w="869" w:type="dxa"/>
            <w:tcBorders>
              <w:top w:val="single" w:sz="4" w:space="0" w:color="FFFFFF"/>
              <w:left w:val="single" w:sz="4" w:space="0" w:color="FFFFFF"/>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p>
        </w:tc>
        <w:tc>
          <w:tcPr>
            <w:tcW w:w="1941"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 xml:space="preserve">                Medici</w:t>
            </w:r>
          </w:p>
        </w:tc>
        <w:tc>
          <w:tcPr>
            <w:tcW w:w="2023"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 xml:space="preserve">             Farmaciști</w:t>
            </w:r>
          </w:p>
        </w:tc>
        <w:tc>
          <w:tcPr>
            <w:tcW w:w="2164" w:type="dxa"/>
            <w:gridSpan w:val="2"/>
            <w:tcBorders>
              <w:top w:val="single" w:sz="4" w:space="0" w:color="FFFFFF"/>
              <w:left w:val="nil"/>
              <w:right w:val="nil"/>
            </w:tcBorders>
            <w:shd w:val="clear" w:color="auto" w:fill="70AD47"/>
          </w:tcPr>
          <w:p w:rsidR="00643600" w:rsidRPr="00FE5C30" w:rsidRDefault="00643600" w:rsidP="00643600">
            <w:pPr>
              <w:spacing w:after="0" w:line="240" w:lineRule="auto"/>
              <w:ind w:firstLine="720"/>
              <w:jc w:val="both"/>
              <w:rPr>
                <w:rFonts w:ascii="Arial Narrow" w:hAnsi="Arial Narrow"/>
                <w:b/>
                <w:bCs/>
                <w:color w:val="000000"/>
                <w:sz w:val="20"/>
                <w:szCs w:val="20"/>
              </w:rPr>
            </w:pPr>
            <w:r w:rsidRPr="00FE5C30">
              <w:rPr>
                <w:rFonts w:ascii="Arial Narrow" w:hAnsi="Arial Narrow"/>
                <w:b/>
                <w:bCs/>
                <w:color w:val="000000"/>
                <w:sz w:val="20"/>
                <w:szCs w:val="20"/>
              </w:rPr>
              <w:t>Stomatologi</w:t>
            </w:r>
          </w:p>
        </w:tc>
        <w:tc>
          <w:tcPr>
            <w:tcW w:w="2511" w:type="dxa"/>
            <w:gridSpan w:val="2"/>
            <w:tcBorders>
              <w:top w:val="single" w:sz="4" w:space="0" w:color="FFFFFF"/>
              <w:left w:val="nil"/>
              <w:right w:val="single" w:sz="4" w:space="0" w:color="FFFFFF"/>
            </w:tcBorders>
            <w:shd w:val="clear" w:color="auto" w:fill="70AD47"/>
          </w:tcPr>
          <w:p w:rsidR="00643600" w:rsidRPr="00FE5C30" w:rsidRDefault="00643600" w:rsidP="00643600">
            <w:pPr>
              <w:spacing w:after="0" w:line="240" w:lineRule="auto"/>
              <w:ind w:firstLine="720"/>
              <w:jc w:val="both"/>
              <w:rPr>
                <w:rFonts w:ascii="Arial Narrow" w:hAnsi="Arial Narrow"/>
                <w:b/>
                <w:bCs/>
                <w:color w:val="000000"/>
                <w:sz w:val="20"/>
                <w:szCs w:val="20"/>
              </w:rPr>
            </w:pPr>
            <w:r w:rsidRPr="00FE5C30">
              <w:rPr>
                <w:rFonts w:ascii="Arial Narrow" w:hAnsi="Arial Narrow"/>
                <w:b/>
                <w:bCs/>
                <w:color w:val="000000"/>
                <w:sz w:val="20"/>
                <w:szCs w:val="20"/>
              </w:rPr>
              <w:t>Asistenți medicali</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An</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Regiunea Centru</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România</w:t>
            </w:r>
          </w:p>
        </w:tc>
        <w:tc>
          <w:tcPr>
            <w:tcW w:w="1003"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Regiunea Centru</w:t>
            </w:r>
          </w:p>
        </w:tc>
        <w:tc>
          <w:tcPr>
            <w:tcW w:w="1020"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România</w:t>
            </w:r>
          </w:p>
        </w:tc>
        <w:tc>
          <w:tcPr>
            <w:tcW w:w="1073"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Regiunea Centru</w:t>
            </w:r>
          </w:p>
        </w:tc>
        <w:tc>
          <w:tcPr>
            <w:tcW w:w="1091"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România</w:t>
            </w:r>
          </w:p>
        </w:tc>
        <w:tc>
          <w:tcPr>
            <w:tcW w:w="1094"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Regiunea Centru</w:t>
            </w:r>
          </w:p>
        </w:tc>
        <w:tc>
          <w:tcPr>
            <w:tcW w:w="1417"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România</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2012</w:t>
            </w:r>
          </w:p>
        </w:tc>
        <w:tc>
          <w:tcPr>
            <w:tcW w:w="1062"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270.10</w:t>
            </w:r>
          </w:p>
        </w:tc>
        <w:tc>
          <w:tcPr>
            <w:tcW w:w="879"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245.6</w:t>
            </w:r>
          </w:p>
        </w:tc>
        <w:tc>
          <w:tcPr>
            <w:tcW w:w="100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69.30</w:t>
            </w:r>
          </w:p>
        </w:tc>
        <w:tc>
          <w:tcPr>
            <w:tcW w:w="1020"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72.05</w:t>
            </w:r>
          </w:p>
        </w:tc>
        <w:tc>
          <w:tcPr>
            <w:tcW w:w="107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66.93</w:t>
            </w:r>
          </w:p>
        </w:tc>
        <w:tc>
          <w:tcPr>
            <w:tcW w:w="1091"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64.64</w:t>
            </w:r>
          </w:p>
        </w:tc>
        <w:tc>
          <w:tcPr>
            <w:tcW w:w="1094"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592.31</w:t>
            </w:r>
          </w:p>
        </w:tc>
        <w:tc>
          <w:tcPr>
            <w:tcW w:w="1417"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563.3</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2013</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281.97</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236.3</w:t>
            </w:r>
          </w:p>
        </w:tc>
        <w:tc>
          <w:tcPr>
            <w:tcW w:w="100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72.30</w:t>
            </w:r>
          </w:p>
        </w:tc>
        <w:tc>
          <w:tcPr>
            <w:tcW w:w="1020"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72.59</w:t>
            </w:r>
          </w:p>
        </w:tc>
        <w:tc>
          <w:tcPr>
            <w:tcW w:w="107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70.06</w:t>
            </w:r>
          </w:p>
        </w:tc>
        <w:tc>
          <w:tcPr>
            <w:tcW w:w="1091"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63.72</w:t>
            </w:r>
          </w:p>
        </w:tc>
        <w:tc>
          <w:tcPr>
            <w:tcW w:w="1094"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632.82</w:t>
            </w:r>
          </w:p>
        </w:tc>
        <w:tc>
          <w:tcPr>
            <w:tcW w:w="1417"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552.4</w:t>
            </w:r>
          </w:p>
        </w:tc>
      </w:tr>
      <w:tr w:rsidR="00643600" w:rsidRPr="00FE5C30" w:rsidTr="00643600">
        <w:tc>
          <w:tcPr>
            <w:tcW w:w="869" w:type="dxa"/>
            <w:tcBorders>
              <w:left w:val="single" w:sz="4" w:space="0" w:color="FFFFFF"/>
            </w:tcBorders>
            <w:shd w:val="clear" w:color="auto" w:fill="70AD47"/>
          </w:tcPr>
          <w:p w:rsidR="00643600" w:rsidRPr="00FE5C30" w:rsidRDefault="00643600" w:rsidP="00643600">
            <w:pPr>
              <w:spacing w:after="0" w:line="240" w:lineRule="auto"/>
              <w:jc w:val="both"/>
              <w:rPr>
                <w:rFonts w:ascii="Arial Narrow" w:hAnsi="Arial Narrow"/>
                <w:b/>
                <w:bCs/>
                <w:color w:val="000000"/>
                <w:sz w:val="20"/>
                <w:szCs w:val="20"/>
              </w:rPr>
            </w:pPr>
            <w:r w:rsidRPr="00FE5C30">
              <w:rPr>
                <w:rFonts w:ascii="Arial Narrow" w:hAnsi="Arial Narrow"/>
                <w:b/>
                <w:bCs/>
                <w:color w:val="000000"/>
                <w:sz w:val="20"/>
                <w:szCs w:val="20"/>
              </w:rPr>
              <w:t>2014</w:t>
            </w:r>
          </w:p>
        </w:tc>
        <w:tc>
          <w:tcPr>
            <w:tcW w:w="1062"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281.66</w:t>
            </w:r>
          </w:p>
        </w:tc>
        <w:tc>
          <w:tcPr>
            <w:tcW w:w="879" w:type="dxa"/>
            <w:shd w:val="clear" w:color="auto" w:fill="E2EFD9"/>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275.37</w:t>
            </w:r>
          </w:p>
        </w:tc>
        <w:tc>
          <w:tcPr>
            <w:tcW w:w="100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73.49</w:t>
            </w:r>
          </w:p>
        </w:tc>
        <w:tc>
          <w:tcPr>
            <w:tcW w:w="1020"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85.72</w:t>
            </w:r>
          </w:p>
        </w:tc>
        <w:tc>
          <w:tcPr>
            <w:tcW w:w="1073"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71.37</w:t>
            </w:r>
          </w:p>
        </w:tc>
        <w:tc>
          <w:tcPr>
            <w:tcW w:w="1091" w:type="dxa"/>
            <w:shd w:val="clear" w:color="auto" w:fill="E2EFD9"/>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74.59</w:t>
            </w:r>
          </w:p>
        </w:tc>
        <w:tc>
          <w:tcPr>
            <w:tcW w:w="1094"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645.01</w:t>
            </w:r>
          </w:p>
        </w:tc>
        <w:tc>
          <w:tcPr>
            <w:tcW w:w="1417" w:type="dxa"/>
            <w:shd w:val="clear" w:color="auto" w:fill="E2EFD9"/>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646.19</w:t>
            </w:r>
          </w:p>
        </w:tc>
      </w:tr>
      <w:tr w:rsidR="00643600" w:rsidRPr="00FE5C30" w:rsidTr="00643600">
        <w:tc>
          <w:tcPr>
            <w:tcW w:w="869" w:type="dxa"/>
            <w:tcBorders>
              <w:left w:val="single" w:sz="4" w:space="0" w:color="FFFFFF"/>
              <w:bottom w:val="single" w:sz="4" w:space="0" w:color="FFFFFF"/>
            </w:tcBorders>
            <w:shd w:val="clear" w:color="auto" w:fill="70AD47"/>
          </w:tcPr>
          <w:p w:rsidR="00643600" w:rsidRPr="00FE5C30" w:rsidRDefault="00643600" w:rsidP="00643600">
            <w:pPr>
              <w:spacing w:after="0" w:line="240" w:lineRule="auto"/>
              <w:jc w:val="both"/>
              <w:rPr>
                <w:rFonts w:ascii="Arial Narrow" w:eastAsia="Times New Roman" w:hAnsi="Arial Narrow" w:cs="Tahoma"/>
                <w:b/>
                <w:bCs/>
                <w:color w:val="000000"/>
                <w:sz w:val="20"/>
                <w:szCs w:val="20"/>
              </w:rPr>
            </w:pPr>
            <w:r w:rsidRPr="00FE5C30">
              <w:rPr>
                <w:rFonts w:ascii="Arial Narrow" w:eastAsia="Times New Roman" w:hAnsi="Arial Narrow" w:cs="Tahoma"/>
                <w:b/>
                <w:bCs/>
                <w:color w:val="000000"/>
                <w:sz w:val="20"/>
                <w:szCs w:val="20"/>
              </w:rPr>
              <w:t>2015</w:t>
            </w:r>
          </w:p>
        </w:tc>
        <w:tc>
          <w:tcPr>
            <w:tcW w:w="1062"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288.57</w:t>
            </w:r>
          </w:p>
        </w:tc>
        <w:tc>
          <w:tcPr>
            <w:tcW w:w="879" w:type="dxa"/>
            <w:shd w:val="clear" w:color="auto" w:fill="C5E0B3"/>
          </w:tcPr>
          <w:p w:rsidR="00643600" w:rsidRPr="00FE5C30" w:rsidRDefault="00643600" w:rsidP="00643600">
            <w:pPr>
              <w:spacing w:after="0" w:line="240" w:lineRule="auto"/>
              <w:jc w:val="both"/>
              <w:rPr>
                <w:rFonts w:ascii="Arial Narrow" w:eastAsia="Times New Roman" w:hAnsi="Arial Narrow" w:cs="Tahoma"/>
                <w:color w:val="000000"/>
                <w:sz w:val="20"/>
                <w:szCs w:val="20"/>
              </w:rPr>
            </w:pPr>
            <w:r w:rsidRPr="00FE5C30">
              <w:rPr>
                <w:rFonts w:ascii="Arial Narrow" w:eastAsia="Times New Roman" w:hAnsi="Arial Narrow" w:cs="Tahoma"/>
                <w:color w:val="000000"/>
                <w:sz w:val="20"/>
                <w:szCs w:val="20"/>
              </w:rPr>
              <w:t>282,37</w:t>
            </w:r>
          </w:p>
        </w:tc>
        <w:tc>
          <w:tcPr>
            <w:tcW w:w="100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73.27</w:t>
            </w:r>
          </w:p>
        </w:tc>
        <w:tc>
          <w:tcPr>
            <w:tcW w:w="1020"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86.23</w:t>
            </w:r>
          </w:p>
        </w:tc>
        <w:tc>
          <w:tcPr>
            <w:tcW w:w="1073"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76.33</w:t>
            </w:r>
          </w:p>
        </w:tc>
        <w:tc>
          <w:tcPr>
            <w:tcW w:w="1091" w:type="dxa"/>
            <w:shd w:val="clear" w:color="auto" w:fill="C5E0B3"/>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78.28</w:t>
            </w:r>
          </w:p>
        </w:tc>
        <w:tc>
          <w:tcPr>
            <w:tcW w:w="1094"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659.02</w:t>
            </w:r>
          </w:p>
        </w:tc>
        <w:tc>
          <w:tcPr>
            <w:tcW w:w="1417" w:type="dxa"/>
            <w:shd w:val="clear" w:color="auto" w:fill="C5E0B3"/>
            <w:vAlign w:val="center"/>
          </w:tcPr>
          <w:p w:rsidR="00643600" w:rsidRPr="00FE5C30" w:rsidRDefault="00643600" w:rsidP="00643600">
            <w:pPr>
              <w:spacing w:after="0" w:line="240" w:lineRule="auto"/>
              <w:jc w:val="both"/>
              <w:rPr>
                <w:rFonts w:ascii="Arial Narrow" w:hAnsi="Arial Narrow" w:cs="Tahoma"/>
                <w:color w:val="000000"/>
                <w:sz w:val="20"/>
                <w:szCs w:val="20"/>
              </w:rPr>
            </w:pPr>
            <w:r w:rsidRPr="00FE5C30">
              <w:rPr>
                <w:rFonts w:ascii="Arial Narrow" w:hAnsi="Arial Narrow" w:cs="Tahoma"/>
                <w:color w:val="000000"/>
                <w:sz w:val="20"/>
                <w:szCs w:val="20"/>
              </w:rPr>
              <w:t>670.19</w:t>
            </w:r>
          </w:p>
        </w:tc>
      </w:tr>
    </w:tbl>
    <w:p w:rsidR="00643600" w:rsidRPr="005A0F19" w:rsidRDefault="00643600" w:rsidP="00643600">
      <w:pPr>
        <w:spacing w:after="0" w:line="240" w:lineRule="auto"/>
        <w:jc w:val="both"/>
        <w:rPr>
          <w:rFonts w:ascii="Arial Narrow" w:hAnsi="Arial Narrow"/>
          <w:b/>
          <w:sz w:val="24"/>
          <w:szCs w:val="24"/>
        </w:rPr>
      </w:pPr>
    </w:p>
    <w:p w:rsidR="00643600" w:rsidRPr="005A0F19" w:rsidRDefault="00643600" w:rsidP="00643600">
      <w:pPr>
        <w:autoSpaceDE w:val="0"/>
        <w:autoSpaceDN w:val="0"/>
        <w:adjustRightInd w:val="0"/>
        <w:spacing w:after="0" w:line="240" w:lineRule="auto"/>
        <w:jc w:val="both"/>
        <w:rPr>
          <w:rFonts w:ascii="Arial Narrow" w:hAnsi="Arial Narrow" w:cs="RomStoneSans"/>
          <w:sz w:val="24"/>
          <w:szCs w:val="24"/>
        </w:rPr>
      </w:pPr>
      <w:r>
        <w:rPr>
          <w:rFonts w:ascii="Arial Narrow" w:hAnsi="Arial Narrow"/>
          <w:sz w:val="24"/>
          <w:szCs w:val="24"/>
        </w:rPr>
        <w:t xml:space="preserve">Scăderea numărului de medici și asistenți medicali raportat la 100.000 de locuitori, așa cum rezultă din datele statistice din baza de date pentru sănătate la nivel European, </w:t>
      </w:r>
      <w:r w:rsidRPr="005A0F19">
        <w:rPr>
          <w:rFonts w:ascii="Arial Narrow" w:hAnsi="Arial Narrow"/>
          <w:sz w:val="24"/>
          <w:szCs w:val="24"/>
        </w:rPr>
        <w:t xml:space="preserve">susțin informațiile conform cărora, începând cu anul 2007 când România a aderat la Uniunea Europeană, </w:t>
      </w:r>
      <w:r w:rsidRPr="005A0F19">
        <w:rPr>
          <w:rFonts w:ascii="Arial Narrow" w:hAnsi="Arial Narrow" w:cs="RomStoneSans"/>
          <w:sz w:val="24"/>
          <w:szCs w:val="24"/>
        </w:rPr>
        <w:t>fenomenul migrației personalului medical calificat a luat amploare, cei mai mulți dintre c</w:t>
      </w:r>
      <w:r>
        <w:rPr>
          <w:rFonts w:ascii="Arial Narrow" w:hAnsi="Arial Narrow" w:cs="RomStoneSans"/>
          <w:sz w:val="24"/>
          <w:szCs w:val="24"/>
        </w:rPr>
        <w:t>ei care au ales să plece făcând parte din cele două categorii mai sus menționate</w:t>
      </w:r>
      <w:r w:rsidRPr="005A0F19">
        <w:rPr>
          <w:rFonts w:ascii="Arial Narrow" w:hAnsi="Arial Narrow" w:cs="RomStoneSans"/>
          <w:sz w:val="24"/>
          <w:szCs w:val="24"/>
        </w:rPr>
        <w:t xml:space="preserve">. Un posibil motiv ar </w:t>
      </w:r>
      <w:r>
        <w:rPr>
          <w:rFonts w:ascii="Arial Narrow" w:hAnsi="Arial Narrow" w:cs="RomStoneSans"/>
          <w:sz w:val="24"/>
          <w:szCs w:val="24"/>
        </w:rPr>
        <w:t>fi cel amintit anterior, re</w:t>
      </w:r>
      <w:r w:rsidRPr="005A0F19">
        <w:rPr>
          <w:rFonts w:ascii="Arial Narrow" w:hAnsi="Arial Narrow" w:cs="RomStoneSans"/>
          <w:sz w:val="24"/>
          <w:szCs w:val="24"/>
        </w:rPr>
        <w:t>s</w:t>
      </w:r>
      <w:r>
        <w:rPr>
          <w:rFonts w:ascii="Arial Narrow" w:hAnsi="Arial Narrow" w:cs="RomStoneSans"/>
          <w:sz w:val="24"/>
          <w:szCs w:val="24"/>
        </w:rPr>
        <w:t>p</w:t>
      </w:r>
      <w:r w:rsidRPr="005A0F19">
        <w:rPr>
          <w:rFonts w:ascii="Arial Narrow" w:hAnsi="Arial Narrow" w:cs="RomStoneSans"/>
          <w:sz w:val="24"/>
          <w:szCs w:val="24"/>
        </w:rPr>
        <w:t>ectiv atracția față de condițiile mai bune de muncă, de venit sau de recunoaștere profesională.</w:t>
      </w:r>
    </w:p>
    <w:p w:rsidR="00643600" w:rsidRDefault="00643600" w:rsidP="00643600">
      <w:pPr>
        <w:spacing w:after="0" w:line="240" w:lineRule="auto"/>
        <w:jc w:val="both"/>
        <w:rPr>
          <w:rFonts w:ascii="Arial Narrow" w:hAnsi="Arial Narrow"/>
          <w:sz w:val="24"/>
          <w:szCs w:val="24"/>
        </w:rPr>
      </w:pPr>
    </w:p>
    <w:p w:rsidR="00643600" w:rsidRDefault="00643600" w:rsidP="00643600">
      <w:pPr>
        <w:spacing w:after="0" w:line="240" w:lineRule="auto"/>
        <w:jc w:val="both"/>
        <w:rPr>
          <w:rFonts w:ascii="Arial Narrow" w:hAnsi="Arial Narrow"/>
          <w:sz w:val="24"/>
          <w:szCs w:val="24"/>
        </w:rPr>
      </w:pPr>
      <w:r>
        <w:rPr>
          <w:rFonts w:ascii="Arial Narrow" w:hAnsi="Arial Narrow"/>
          <w:sz w:val="24"/>
          <w:szCs w:val="24"/>
        </w:rPr>
        <w:t>Așa cum se poate observa și din graficele de mai jos, atât la nivel național, cât și regional, cele mai multe categorii de personal medical au cunoscut un trend ascendent în perioada analizată, doar categoria de medici de familie se află în continuă scădere. O explicație</w:t>
      </w:r>
      <w:r>
        <w:rPr>
          <w:rStyle w:val="apple-converted-space"/>
          <w:rFonts w:ascii="Arial" w:hAnsi="Arial" w:cs="Arial"/>
          <w:color w:val="000000"/>
          <w:sz w:val="21"/>
          <w:szCs w:val="21"/>
        </w:rPr>
        <w:t xml:space="preserve"> ar putea fi </w:t>
      </w:r>
      <w:r>
        <w:rPr>
          <w:rFonts w:ascii="Arial" w:hAnsi="Arial" w:cs="Arial"/>
          <w:color w:val="000000"/>
          <w:sz w:val="21"/>
          <w:szCs w:val="21"/>
        </w:rPr>
        <w:t xml:space="preserve">interesul tot mai scăzut al studenților pentru medicina de familie, din cauza </w:t>
      </w:r>
      <w:r>
        <w:rPr>
          <w:rFonts w:ascii="Arial Narrow" w:hAnsi="Arial Narrow"/>
          <w:sz w:val="24"/>
          <w:szCs w:val="24"/>
        </w:rPr>
        <w:t>diferențelor semnificative de remunerație dintre un medic de familie ș</w:t>
      </w:r>
      <w:r w:rsidRPr="00D274AD">
        <w:rPr>
          <w:rFonts w:ascii="Arial Narrow" w:hAnsi="Arial Narrow"/>
          <w:sz w:val="24"/>
          <w:szCs w:val="24"/>
        </w:rPr>
        <w:t>i un medic specialist.</w:t>
      </w:r>
    </w:p>
    <w:p w:rsidR="00643600" w:rsidRPr="005A0F19" w:rsidRDefault="002617A6" w:rsidP="00643600">
      <w:pPr>
        <w:spacing w:after="0" w:line="24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2876550" cy="4200525"/>
            <wp:effectExtent l="19050" t="0" r="0"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srcRect r="2841" b="1563"/>
                    <a:stretch>
                      <a:fillRect/>
                    </a:stretch>
                  </pic:blipFill>
                  <pic:spPr bwMode="auto">
                    <a:xfrm>
                      <a:off x="0" y="0"/>
                      <a:ext cx="2876550" cy="4200525"/>
                    </a:xfrm>
                    <a:prstGeom prst="rect">
                      <a:avLst/>
                    </a:prstGeom>
                    <a:noFill/>
                  </pic:spPr>
                </pic:pic>
              </a:graphicData>
            </a:graphic>
          </wp:inline>
        </w:drawing>
      </w:r>
      <w:r>
        <w:rPr>
          <w:rFonts w:ascii="Arial Narrow" w:hAnsi="Arial Narrow"/>
          <w:noProof/>
          <w:sz w:val="24"/>
          <w:szCs w:val="24"/>
        </w:rPr>
        <w:drawing>
          <wp:inline distT="0" distB="0" distL="0" distR="0">
            <wp:extent cx="2524125" cy="4143375"/>
            <wp:effectExtent l="19050" t="0" r="9525" b="0"/>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2"/>
                    <a:srcRect r="3736" b="1806"/>
                    <a:stretch>
                      <a:fillRect/>
                    </a:stretch>
                  </pic:blipFill>
                  <pic:spPr bwMode="auto">
                    <a:xfrm>
                      <a:off x="0" y="0"/>
                      <a:ext cx="2524125" cy="4143375"/>
                    </a:xfrm>
                    <a:prstGeom prst="rect">
                      <a:avLst/>
                    </a:prstGeom>
                    <a:noFill/>
                  </pic:spPr>
                </pic:pic>
              </a:graphicData>
            </a:graphic>
          </wp:inline>
        </w:drawing>
      </w:r>
    </w:p>
    <w:p w:rsidR="00643600" w:rsidRDefault="00643600" w:rsidP="00643600">
      <w:pPr>
        <w:spacing w:after="0" w:line="240" w:lineRule="auto"/>
        <w:jc w:val="both"/>
        <w:rPr>
          <w:rFonts w:ascii="Arial Narrow" w:hAnsi="Arial Narrow"/>
          <w:b/>
          <w:sz w:val="24"/>
          <w:szCs w:val="24"/>
        </w:rPr>
      </w:pPr>
    </w:p>
    <w:p w:rsidR="00643600" w:rsidRDefault="00643600" w:rsidP="00643600">
      <w:pPr>
        <w:spacing w:after="0" w:line="240" w:lineRule="auto"/>
        <w:jc w:val="both"/>
        <w:rPr>
          <w:rFonts w:ascii="Arial Narrow" w:hAnsi="Arial Narrow"/>
          <w:b/>
          <w:sz w:val="24"/>
          <w:szCs w:val="24"/>
        </w:rPr>
      </w:pPr>
    </w:p>
    <w:p w:rsidR="00643600" w:rsidRDefault="00643600" w:rsidP="00643600">
      <w:pPr>
        <w:spacing w:after="0" w:line="240" w:lineRule="auto"/>
        <w:jc w:val="both"/>
        <w:rPr>
          <w:rFonts w:ascii="Arial Narrow" w:hAnsi="Arial Narrow"/>
          <w:b/>
          <w:sz w:val="24"/>
          <w:szCs w:val="24"/>
        </w:rPr>
      </w:pPr>
    </w:p>
    <w:p w:rsidR="00643600" w:rsidRPr="005A0F19" w:rsidRDefault="00643600" w:rsidP="00643600">
      <w:pPr>
        <w:spacing w:after="0" w:line="240" w:lineRule="auto"/>
        <w:jc w:val="both"/>
        <w:rPr>
          <w:rFonts w:ascii="Arial Narrow" w:hAnsi="Arial Narrow"/>
          <w:b/>
          <w:sz w:val="24"/>
          <w:szCs w:val="24"/>
        </w:rPr>
      </w:pPr>
      <w:r>
        <w:rPr>
          <w:rFonts w:ascii="Arial Narrow" w:hAnsi="Arial Narrow"/>
          <w:b/>
          <w:sz w:val="24"/>
          <w:szCs w:val="24"/>
        </w:rPr>
        <w:t>Perspective de dezvoltare</w:t>
      </w:r>
    </w:p>
    <w:p w:rsidR="00643600" w:rsidRDefault="00643600" w:rsidP="00643600">
      <w:pPr>
        <w:spacing w:after="0" w:line="240" w:lineRule="auto"/>
        <w:jc w:val="both"/>
        <w:rPr>
          <w:rFonts w:ascii="Arial Narrow" w:hAnsi="Arial Narrow"/>
          <w:sz w:val="24"/>
          <w:szCs w:val="24"/>
        </w:rPr>
      </w:pPr>
    </w:p>
    <w:p w:rsidR="00643600" w:rsidRPr="005A0F19"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rPr>
        <w:t>Regiunea Centru dispune de o infrastructur</w:t>
      </w:r>
      <w:r w:rsidRPr="005A0F19">
        <w:rPr>
          <w:rFonts w:ascii="Arial Narrow" w:hAnsi="Arial Narrow"/>
          <w:sz w:val="24"/>
          <w:szCs w:val="24"/>
          <w:lang w:val="ro-RO"/>
        </w:rPr>
        <w:t xml:space="preserve">ă de sănătate dezvoltată atât în mediul public, cât și în cel privat, având trei mari centre universitare și medicale (Brașov, Tg. Mureș și Sibiu) capabile să asigure, împreună cu celelalte județe din regiune, servicii și forță de muncă de calitate în domeniul sănătății. </w:t>
      </w:r>
    </w:p>
    <w:p w:rsidR="00643600" w:rsidRDefault="00643600" w:rsidP="00643600">
      <w:pPr>
        <w:spacing w:after="0" w:line="240" w:lineRule="auto"/>
        <w:jc w:val="both"/>
        <w:rPr>
          <w:rFonts w:ascii="Arial Narrow" w:hAnsi="Arial Narrow"/>
          <w:sz w:val="24"/>
          <w:szCs w:val="24"/>
          <w:lang w:val="ro-RO"/>
        </w:rPr>
      </w:pPr>
    </w:p>
    <w:p w:rsidR="00643600" w:rsidRPr="005A0F19"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lang w:val="ro-RO"/>
        </w:rPr>
        <w:t>Lanțul valoric al sectorului medical și farmaceutic este complet și există reprezentanți pentru fiecare din cele trei mari categorii:  producție de medicamente și echipamente medicale, distribuție și comerț cu amănuntul, însă cele mai multe companii sunt orientate preponderent spre zona de distribuție și retail.</w:t>
      </w:r>
    </w:p>
    <w:p w:rsidR="00643600" w:rsidRDefault="00643600" w:rsidP="00643600">
      <w:pPr>
        <w:spacing w:after="0" w:line="240" w:lineRule="auto"/>
        <w:jc w:val="both"/>
        <w:rPr>
          <w:rFonts w:ascii="Arial Narrow" w:hAnsi="Arial Narrow"/>
          <w:sz w:val="24"/>
          <w:szCs w:val="24"/>
          <w:lang w:val="ro-RO"/>
        </w:rPr>
      </w:pPr>
    </w:p>
    <w:p w:rsidR="00643600" w:rsidRPr="005A0F19" w:rsidRDefault="00643600" w:rsidP="00643600">
      <w:pPr>
        <w:spacing w:after="0" w:line="240" w:lineRule="auto"/>
        <w:jc w:val="both"/>
        <w:rPr>
          <w:rFonts w:ascii="Arial Narrow" w:hAnsi="Arial Narrow"/>
          <w:sz w:val="24"/>
          <w:szCs w:val="24"/>
          <w:lang w:val="ro-RO"/>
        </w:rPr>
      </w:pPr>
      <w:r w:rsidRPr="005A0F19">
        <w:rPr>
          <w:rFonts w:ascii="Arial Narrow" w:hAnsi="Arial Narrow"/>
          <w:sz w:val="24"/>
          <w:szCs w:val="24"/>
          <w:lang w:val="ro-RO"/>
        </w:rPr>
        <w:t xml:space="preserve">În ultimii ani, activitatea de cercetare-dezvoltare a cunoscut un trend ascendent, fiind încurajată de finanțările nerambursabile disponibile în acest sens. A fost depus un număr semnificativ de proiecte atât din mediul privat, cât și din cel public. </w:t>
      </w:r>
    </w:p>
    <w:p w:rsidR="00643600" w:rsidRDefault="00643600" w:rsidP="00643600">
      <w:pPr>
        <w:spacing w:after="0" w:line="240" w:lineRule="auto"/>
        <w:jc w:val="both"/>
        <w:rPr>
          <w:rFonts w:ascii="Arial Narrow" w:hAnsi="Arial Narrow"/>
          <w:sz w:val="24"/>
          <w:szCs w:val="24"/>
        </w:rPr>
      </w:pPr>
    </w:p>
    <w:p w:rsidR="00643600" w:rsidRPr="00DD41FF" w:rsidRDefault="00643600" w:rsidP="00643600">
      <w:pPr>
        <w:spacing w:after="0" w:line="240" w:lineRule="auto"/>
        <w:jc w:val="both"/>
        <w:rPr>
          <w:rFonts w:ascii="Arial Narrow" w:hAnsi="Arial Narrow"/>
          <w:sz w:val="24"/>
          <w:szCs w:val="24"/>
        </w:rPr>
      </w:pPr>
      <w:r>
        <w:rPr>
          <w:rFonts w:ascii="Arial Narrow" w:hAnsi="Arial Narrow"/>
          <w:sz w:val="24"/>
          <w:szCs w:val="24"/>
        </w:rPr>
        <w:t>Fără a minimaliza importantele realizări din ultimii ani, putem spune că e</w:t>
      </w:r>
      <w:r w:rsidRPr="005A0F19">
        <w:rPr>
          <w:rFonts w:ascii="Arial Narrow" w:hAnsi="Arial Narrow"/>
          <w:sz w:val="24"/>
          <w:szCs w:val="24"/>
        </w:rPr>
        <w:t xml:space="preserve">xistă totuși și minusuri în acest sector, </w:t>
      </w:r>
      <w:r>
        <w:rPr>
          <w:rFonts w:ascii="Arial Narrow" w:hAnsi="Arial Narrow"/>
          <w:sz w:val="24"/>
          <w:szCs w:val="24"/>
        </w:rPr>
        <w:t xml:space="preserve">în special în sistemul public de sănătate, </w:t>
      </w:r>
      <w:r w:rsidRPr="005A0F19">
        <w:rPr>
          <w:rFonts w:ascii="Arial Narrow" w:hAnsi="Arial Narrow"/>
          <w:sz w:val="24"/>
          <w:szCs w:val="24"/>
        </w:rPr>
        <w:t>utilizarea efici</w:t>
      </w:r>
      <w:r>
        <w:rPr>
          <w:rFonts w:ascii="Arial Narrow" w:hAnsi="Arial Narrow"/>
          <w:sz w:val="24"/>
          <w:szCs w:val="24"/>
        </w:rPr>
        <w:t xml:space="preserve">entă a resurselor publice fiind </w:t>
      </w:r>
      <w:r w:rsidRPr="005A0F19">
        <w:rPr>
          <w:rFonts w:ascii="Arial Narrow" w:hAnsi="Arial Narrow"/>
          <w:sz w:val="24"/>
          <w:szCs w:val="24"/>
        </w:rPr>
        <w:t xml:space="preserve">unul dintre aspectele care poate fi îmbunătățit, împreună cu o alocare </w:t>
      </w:r>
      <w:r>
        <w:rPr>
          <w:rFonts w:ascii="Arial Narrow" w:hAnsi="Arial Narrow"/>
          <w:sz w:val="24"/>
          <w:szCs w:val="24"/>
        </w:rPr>
        <w:t xml:space="preserve">suplimentară </w:t>
      </w:r>
      <w:r w:rsidRPr="005A0F19">
        <w:rPr>
          <w:rFonts w:ascii="Arial Narrow" w:hAnsi="Arial Narrow"/>
          <w:sz w:val="24"/>
          <w:szCs w:val="24"/>
        </w:rPr>
        <w:t xml:space="preserve">a fondurilor publice care să </w:t>
      </w:r>
      <w:r>
        <w:rPr>
          <w:rFonts w:ascii="Arial Narrow" w:hAnsi="Arial Narrow"/>
          <w:sz w:val="24"/>
          <w:szCs w:val="24"/>
        </w:rPr>
        <w:t xml:space="preserve">fie </w:t>
      </w:r>
      <w:r w:rsidRPr="005A0F19">
        <w:rPr>
          <w:rFonts w:ascii="Arial Narrow" w:hAnsi="Arial Narrow"/>
          <w:sz w:val="24"/>
          <w:szCs w:val="24"/>
        </w:rPr>
        <w:t>d</w:t>
      </w:r>
      <w:r>
        <w:rPr>
          <w:rFonts w:ascii="Arial Narrow" w:hAnsi="Arial Narrow"/>
          <w:sz w:val="24"/>
          <w:szCs w:val="24"/>
        </w:rPr>
        <w:t>irecționate spre dezvoltarea și</w:t>
      </w:r>
      <w:r w:rsidRPr="005A0F19">
        <w:rPr>
          <w:rFonts w:ascii="Arial Narrow" w:hAnsi="Arial Narrow"/>
          <w:sz w:val="24"/>
          <w:szCs w:val="24"/>
        </w:rPr>
        <w:t xml:space="preserve"> îmbunătățirea condițiilor din sistemul de sănătate.</w:t>
      </w:r>
      <w:r>
        <w:rPr>
          <w:rFonts w:ascii="Arial Narrow" w:hAnsi="Arial Narrow"/>
          <w:sz w:val="24"/>
          <w:szCs w:val="24"/>
        </w:rPr>
        <w:t xml:space="preserve"> </w:t>
      </w:r>
    </w:p>
    <w:p w:rsidR="00643600" w:rsidRDefault="00643600" w:rsidP="00643600">
      <w:pPr>
        <w:spacing w:after="0" w:line="240" w:lineRule="auto"/>
        <w:jc w:val="both"/>
        <w:rPr>
          <w:rFonts w:ascii="Arial Narrow" w:hAnsi="Arial Narrow"/>
          <w:sz w:val="24"/>
          <w:szCs w:val="24"/>
          <w:lang w:val="ro-RO"/>
        </w:rPr>
      </w:pPr>
    </w:p>
    <w:p w:rsidR="00981E9F" w:rsidRDefault="00643600" w:rsidP="002617A6">
      <w:pPr>
        <w:spacing w:after="0" w:line="240" w:lineRule="auto"/>
        <w:jc w:val="both"/>
        <w:rPr>
          <w:rFonts w:ascii="Arial Narrow" w:hAnsi="Arial Narrow"/>
          <w:sz w:val="24"/>
          <w:szCs w:val="24"/>
        </w:rPr>
      </w:pPr>
      <w:r w:rsidRPr="00FF2A4B">
        <w:rPr>
          <w:rFonts w:ascii="Arial Narrow" w:hAnsi="Arial Narrow"/>
          <w:sz w:val="24"/>
          <w:szCs w:val="24"/>
          <w:lang w:val="ro-RO"/>
        </w:rPr>
        <w:t>Piaţa serviciilor medicale este una din pieţele cu o</w:t>
      </w:r>
      <w:r>
        <w:rPr>
          <w:rFonts w:ascii="Arial Narrow" w:hAnsi="Arial Narrow"/>
          <w:sz w:val="24"/>
          <w:szCs w:val="24"/>
          <w:lang w:val="ro-RO"/>
        </w:rPr>
        <w:t xml:space="preserve"> tendinţă  rapidă de dezvoltare. S</w:t>
      </w:r>
      <w:r w:rsidRPr="00FF2A4B">
        <w:rPr>
          <w:rFonts w:ascii="Arial Narrow" w:hAnsi="Arial Narrow"/>
          <w:sz w:val="24"/>
          <w:szCs w:val="24"/>
          <w:lang w:val="ro-RO"/>
        </w:rPr>
        <w:t xml:space="preserve">ectorul </w:t>
      </w:r>
      <w:r>
        <w:rPr>
          <w:rFonts w:ascii="Arial Narrow" w:hAnsi="Arial Narrow"/>
          <w:sz w:val="24"/>
          <w:szCs w:val="24"/>
          <w:lang w:val="ro-RO"/>
        </w:rPr>
        <w:t>a avansat puternic în ultimii ani și are un</w:t>
      </w:r>
      <w:r w:rsidRPr="00FF2A4B">
        <w:rPr>
          <w:rFonts w:ascii="Arial Narrow" w:hAnsi="Arial Narrow"/>
          <w:sz w:val="24"/>
          <w:szCs w:val="24"/>
        </w:rPr>
        <w:t xml:space="preserve"> potențial </w:t>
      </w:r>
      <w:r>
        <w:rPr>
          <w:rFonts w:ascii="Arial Narrow" w:hAnsi="Arial Narrow"/>
          <w:sz w:val="24"/>
          <w:szCs w:val="24"/>
        </w:rPr>
        <w:t xml:space="preserve">ridicat </w:t>
      </w:r>
      <w:r w:rsidRPr="00FF2A4B">
        <w:rPr>
          <w:rFonts w:ascii="Arial Narrow" w:hAnsi="Arial Narrow"/>
          <w:sz w:val="24"/>
          <w:szCs w:val="24"/>
        </w:rPr>
        <w:t>de dezvoltare atât în mediul public, cât și în cel privat, nevoia de a oferi servicii de calitate fiind accentuată mai ales în mediul privat, unde nivelul de competitivitate este tot mai ridicat.</w:t>
      </w:r>
      <w:r>
        <w:rPr>
          <w:rFonts w:ascii="Arial Narrow" w:hAnsi="Arial Narrow"/>
          <w:sz w:val="24"/>
          <w:szCs w:val="24"/>
        </w:rPr>
        <w:t xml:space="preserve"> </w:t>
      </w:r>
    </w:p>
    <w:p w:rsidR="002617A6" w:rsidRDefault="002617A6" w:rsidP="002617A6">
      <w:pPr>
        <w:ind w:firstLine="708"/>
        <w:jc w:val="center"/>
        <w:rPr>
          <w:b/>
          <w:sz w:val="28"/>
          <w:szCs w:val="28"/>
          <w:lang w:val="ro-RO"/>
        </w:rPr>
      </w:pPr>
      <w:r>
        <w:rPr>
          <w:rFonts w:eastAsia="Times New Roman" w:cs="Times New Roman"/>
          <w:b/>
          <w:sz w:val="28"/>
          <w:szCs w:val="28"/>
          <w:lang w:val="ro-RO" w:eastAsia="ar-SA"/>
        </w:rPr>
        <w:lastRenderedPageBreak/>
        <w:t>T</w:t>
      </w:r>
      <w:r w:rsidRPr="0017028B">
        <w:rPr>
          <w:rFonts w:eastAsia="Times New Roman" w:cs="Times New Roman"/>
          <w:b/>
          <w:sz w:val="28"/>
          <w:szCs w:val="28"/>
          <w:lang w:val="ro-RO" w:eastAsia="ar-SA"/>
        </w:rPr>
        <w:t xml:space="preserve">urismul balnear – domeniu economic cu potenţial de dezvoltare </w:t>
      </w:r>
      <w:r w:rsidRPr="0017028B">
        <w:rPr>
          <w:b/>
          <w:sz w:val="28"/>
          <w:szCs w:val="28"/>
          <w:lang w:val="ro-RO"/>
        </w:rPr>
        <w:t>în Regiunea Centru</w:t>
      </w:r>
    </w:p>
    <w:p w:rsidR="002617A6" w:rsidRDefault="002617A6" w:rsidP="002617A6">
      <w:pPr>
        <w:jc w:val="both"/>
        <w:rPr>
          <w:rFonts w:cs="Times New Roman"/>
          <w:sz w:val="24"/>
          <w:szCs w:val="24"/>
          <w:lang w:val="ro-RO"/>
        </w:rPr>
      </w:pPr>
      <w:r>
        <w:rPr>
          <w:rFonts w:cs="Times New Roman"/>
          <w:sz w:val="24"/>
          <w:szCs w:val="24"/>
          <w:lang w:val="ro-RO"/>
        </w:rPr>
        <w:t xml:space="preserve">Turismul balnear este un subsegment al </w:t>
      </w:r>
      <w:r w:rsidRPr="00516E11">
        <w:rPr>
          <w:rFonts w:cs="Times New Roman"/>
          <w:b/>
          <w:sz w:val="24"/>
          <w:szCs w:val="24"/>
          <w:lang w:val="ro-RO"/>
        </w:rPr>
        <w:t>turismului de sănătate</w:t>
      </w:r>
      <w:r>
        <w:rPr>
          <w:rFonts w:cs="Times New Roman"/>
          <w:sz w:val="24"/>
          <w:szCs w:val="24"/>
          <w:lang w:val="ro-RO"/>
        </w:rPr>
        <w:t>, alături de turismul medical, talasoterapia, hidroterapia, wellbeing/</w:t>
      </w:r>
      <w:r w:rsidRPr="00516E11">
        <w:rPr>
          <w:rFonts w:cs="Times New Roman"/>
          <w:sz w:val="24"/>
          <w:szCs w:val="24"/>
          <w:lang w:val="ro-RO"/>
        </w:rPr>
        <w:t>spa</w:t>
      </w:r>
      <w:r>
        <w:rPr>
          <w:rFonts w:cs="Times New Roman"/>
          <w:sz w:val="24"/>
          <w:szCs w:val="24"/>
          <w:lang w:val="ro-RO"/>
        </w:rPr>
        <w:t xml:space="preserve"> şi fitness. Dintre cele menţionate anterior se situează pe locul doi </w:t>
      </w:r>
      <w:r w:rsidRPr="009F2951">
        <w:rPr>
          <w:rFonts w:cs="Times New Roman"/>
          <w:sz w:val="24"/>
          <w:szCs w:val="24"/>
          <w:lang w:val="ro-RO"/>
        </w:rPr>
        <w:t>în ordinea crescătoare a medicalizării</w:t>
      </w:r>
      <w:r>
        <w:rPr>
          <w:rFonts w:cs="Times New Roman"/>
          <w:sz w:val="24"/>
          <w:szCs w:val="24"/>
          <w:lang w:val="ro-RO"/>
        </w:rPr>
        <w:t xml:space="preserve">. </w:t>
      </w:r>
      <w:r>
        <w:rPr>
          <w:rFonts w:cs="Times New Roman"/>
          <w:b/>
          <w:sz w:val="24"/>
          <w:szCs w:val="24"/>
          <w:lang w:val="ro-RO"/>
        </w:rPr>
        <w:t>Specificul turismului</w:t>
      </w:r>
      <w:r w:rsidRPr="00516E11">
        <w:rPr>
          <w:rFonts w:cs="Times New Roman"/>
          <w:b/>
          <w:sz w:val="24"/>
          <w:szCs w:val="24"/>
          <w:lang w:val="ro-RO"/>
        </w:rPr>
        <w:t xml:space="preserve"> balnear</w:t>
      </w:r>
      <w:r>
        <w:rPr>
          <w:rFonts w:cs="Times New Roman"/>
          <w:sz w:val="24"/>
          <w:szCs w:val="24"/>
          <w:lang w:val="ro-RO"/>
        </w:rPr>
        <w:t xml:space="preserve"> este utilizarea unei</w:t>
      </w:r>
      <w:r w:rsidRPr="00516E11">
        <w:rPr>
          <w:rFonts w:cs="Times New Roman"/>
          <w:sz w:val="24"/>
          <w:szCs w:val="24"/>
          <w:lang w:val="ro-RO"/>
        </w:rPr>
        <w:t xml:space="preserve"> </w:t>
      </w:r>
      <w:r>
        <w:rPr>
          <w:rFonts w:cs="Times New Roman"/>
          <w:b/>
          <w:sz w:val="24"/>
          <w:szCs w:val="24"/>
          <w:lang w:val="ro-RO"/>
        </w:rPr>
        <w:t>ape minerale</w:t>
      </w:r>
      <w:r w:rsidRPr="005835B3">
        <w:rPr>
          <w:rFonts w:cs="Times New Roman"/>
          <w:b/>
          <w:sz w:val="24"/>
          <w:szCs w:val="24"/>
          <w:lang w:val="ro-RO"/>
        </w:rPr>
        <w:t xml:space="preserve"> naturală</w:t>
      </w:r>
      <w:r w:rsidRPr="00516E11">
        <w:rPr>
          <w:rFonts w:cs="Times New Roman"/>
          <w:sz w:val="24"/>
          <w:szCs w:val="24"/>
          <w:lang w:val="ro-RO"/>
        </w:rPr>
        <w:t xml:space="preserve"> care provine din pânze freatice sau surse naturale și ale cărei </w:t>
      </w:r>
      <w:r w:rsidRPr="005835B3">
        <w:rPr>
          <w:rFonts w:cs="Times New Roman"/>
          <w:b/>
          <w:sz w:val="24"/>
          <w:szCs w:val="24"/>
          <w:lang w:val="ro-RO"/>
        </w:rPr>
        <w:t>proprietăţi curative</w:t>
      </w:r>
      <w:r w:rsidRPr="00516E11">
        <w:rPr>
          <w:rFonts w:cs="Times New Roman"/>
          <w:sz w:val="24"/>
          <w:szCs w:val="24"/>
          <w:lang w:val="ro-RO"/>
        </w:rPr>
        <w:t xml:space="preserve"> sunt recunoscute (efecte chimice, termice și mecanice). Este în </w:t>
      </w:r>
      <w:r>
        <w:rPr>
          <w:rFonts w:cs="Times New Roman"/>
          <w:sz w:val="24"/>
          <w:szCs w:val="24"/>
          <w:lang w:val="ro-RO"/>
        </w:rPr>
        <w:t>general practicat într-un mediu</w:t>
      </w:r>
      <w:r w:rsidRPr="00516E11">
        <w:rPr>
          <w:rFonts w:cs="Times New Roman"/>
          <w:sz w:val="24"/>
          <w:szCs w:val="24"/>
          <w:lang w:val="ro-RO"/>
        </w:rPr>
        <w:t xml:space="preserve"> natural adecvat. </w:t>
      </w:r>
      <w:r w:rsidRPr="00516E11">
        <w:rPr>
          <w:rFonts w:cs="Times New Roman"/>
          <w:b/>
          <w:sz w:val="24"/>
          <w:szCs w:val="24"/>
          <w:lang w:val="ro-RO"/>
        </w:rPr>
        <w:t>Tratamentele balneare</w:t>
      </w:r>
      <w:r w:rsidRPr="00516E11">
        <w:rPr>
          <w:rFonts w:cs="Times New Roman"/>
          <w:sz w:val="24"/>
          <w:szCs w:val="24"/>
          <w:lang w:val="ro-RO"/>
        </w:rPr>
        <w:t xml:space="preserve"> sunt din ce în ce mai mult considerate ca </w:t>
      </w:r>
      <w:r w:rsidRPr="00516E11">
        <w:rPr>
          <w:rFonts w:cs="Times New Roman"/>
          <w:b/>
          <w:sz w:val="24"/>
          <w:szCs w:val="24"/>
          <w:lang w:val="ro-RO"/>
        </w:rPr>
        <w:t>tratamente preventive</w:t>
      </w:r>
      <w:r>
        <w:rPr>
          <w:rFonts w:cs="Times New Roman"/>
          <w:sz w:val="24"/>
          <w:szCs w:val="24"/>
          <w:lang w:val="ro-RO"/>
        </w:rPr>
        <w:t>.</w:t>
      </w:r>
    </w:p>
    <w:p w:rsidR="002617A6" w:rsidRPr="00C13DC3" w:rsidRDefault="002617A6" w:rsidP="002617A6">
      <w:pPr>
        <w:jc w:val="both"/>
        <w:rPr>
          <w:rFonts w:eastAsia="Times New Roman" w:cs="Times New Roman"/>
          <w:sz w:val="24"/>
          <w:szCs w:val="24"/>
          <w:lang w:val="ro-RO" w:eastAsia="ar-SA"/>
        </w:rPr>
      </w:pPr>
      <w:r w:rsidRPr="005835B3">
        <w:rPr>
          <w:rFonts w:eastAsia="Times New Roman" w:cs="Times New Roman"/>
          <w:b/>
          <w:sz w:val="24"/>
          <w:szCs w:val="24"/>
          <w:lang w:val="ro-RO" w:eastAsia="ar-SA"/>
        </w:rPr>
        <w:t>Turismul balnear</w:t>
      </w:r>
      <w:r w:rsidRPr="009B33B9">
        <w:rPr>
          <w:rFonts w:eastAsia="Times New Roman" w:cs="Times New Roman"/>
          <w:sz w:val="24"/>
          <w:szCs w:val="24"/>
          <w:lang w:val="ro-RO" w:eastAsia="ar-SA"/>
        </w:rPr>
        <w:t xml:space="preserve"> reprezintă una din formele de </w:t>
      </w:r>
      <w:r w:rsidRPr="005835B3">
        <w:rPr>
          <w:rFonts w:eastAsia="Times New Roman" w:cs="Times New Roman"/>
          <w:b/>
          <w:sz w:val="24"/>
          <w:szCs w:val="24"/>
          <w:lang w:val="ro-RO" w:eastAsia="ar-SA"/>
        </w:rPr>
        <w:t>circulaţie turistică constantă</w:t>
      </w:r>
      <w:r w:rsidRPr="009B33B9">
        <w:rPr>
          <w:rFonts w:eastAsia="Times New Roman" w:cs="Times New Roman"/>
          <w:sz w:val="24"/>
          <w:szCs w:val="24"/>
          <w:lang w:val="ro-RO" w:eastAsia="ar-SA"/>
        </w:rPr>
        <w:t xml:space="preserve">, cu o </w:t>
      </w:r>
      <w:r w:rsidRPr="005835B3">
        <w:rPr>
          <w:rFonts w:eastAsia="Times New Roman" w:cs="Times New Roman"/>
          <w:b/>
          <w:sz w:val="24"/>
          <w:szCs w:val="24"/>
          <w:lang w:val="ro-RO" w:eastAsia="ar-SA"/>
        </w:rPr>
        <w:t>clientelă relativ stabilă</w:t>
      </w:r>
      <w:r w:rsidRPr="009B33B9">
        <w:rPr>
          <w:rFonts w:eastAsia="Times New Roman" w:cs="Times New Roman"/>
          <w:sz w:val="24"/>
          <w:szCs w:val="24"/>
          <w:lang w:val="ro-RO" w:eastAsia="ar-SA"/>
        </w:rPr>
        <w:t>, care contribuie la ridicarea coeficienţilor de utilizare a capacităţilor de cazare şi la realizarea unor încasări medii sporite pe zi/turist.</w:t>
      </w:r>
    </w:p>
    <w:p w:rsidR="002617A6" w:rsidRDefault="002617A6" w:rsidP="002617A6">
      <w:pPr>
        <w:jc w:val="both"/>
        <w:rPr>
          <w:rFonts w:eastAsia="Times New Roman" w:cs="Times New Roman"/>
          <w:sz w:val="24"/>
          <w:szCs w:val="24"/>
          <w:lang w:val="ro-RO" w:eastAsia="ar-SA"/>
        </w:rPr>
      </w:pPr>
      <w:r w:rsidRPr="009B33B9">
        <w:rPr>
          <w:rFonts w:eastAsia="Times New Roman" w:cs="Times New Roman"/>
          <w:sz w:val="24"/>
          <w:szCs w:val="24"/>
          <w:lang w:val="ro-RO" w:eastAsia="ar-SA"/>
        </w:rPr>
        <w:t xml:space="preserve">Europa ca şi ţara noastră se află într-un proces accelerat de </w:t>
      </w:r>
      <w:r w:rsidRPr="008D41BE">
        <w:rPr>
          <w:rFonts w:eastAsia="Times New Roman" w:cs="Times New Roman"/>
          <w:b/>
          <w:sz w:val="24"/>
          <w:szCs w:val="24"/>
          <w:lang w:val="ro-RO" w:eastAsia="ar-SA"/>
        </w:rPr>
        <w:t>îmbătrânire demografică</w:t>
      </w:r>
      <w:r w:rsidRPr="009B33B9">
        <w:rPr>
          <w:rFonts w:eastAsia="Times New Roman" w:cs="Times New Roman"/>
          <w:sz w:val="24"/>
          <w:szCs w:val="24"/>
          <w:lang w:val="ro-RO" w:eastAsia="ar-SA"/>
        </w:rPr>
        <w:t>, vârstnicii fiind cel mai important grup ţintă pentru turismul de sănătate.</w:t>
      </w:r>
      <w:r>
        <w:rPr>
          <w:rFonts w:eastAsia="Times New Roman" w:cs="Times New Roman"/>
          <w:sz w:val="24"/>
          <w:szCs w:val="24"/>
          <w:lang w:val="ro-RO" w:eastAsia="ar-SA"/>
        </w:rPr>
        <w:t xml:space="preserve"> În plus, în majoritatea ţărilor europene, puterea de cumpărare a unei persoane </w:t>
      </w:r>
      <w:r w:rsidRPr="00CD3D55">
        <w:rPr>
          <w:rFonts w:eastAsia="Times New Roman" w:cs="Times New Roman"/>
          <w:sz w:val="24"/>
          <w:szCs w:val="24"/>
          <w:lang w:val="ro-RO" w:eastAsia="ar-SA"/>
        </w:rPr>
        <w:t>de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peste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50</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de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ani</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este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de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acum</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înainte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superioară</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cu</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30%</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celei</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a</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altor</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categorii</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de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vârstă.</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Seniorii</w:t>
      </w:r>
      <w:r>
        <w:rPr>
          <w:rFonts w:eastAsia="Times New Roman" w:cs="Times New Roman"/>
          <w:sz w:val="24"/>
          <w:szCs w:val="24"/>
          <w:lang w:val="ro-RO" w:eastAsia="ar-SA"/>
        </w:rPr>
        <w:t xml:space="preserve"> deţ</w:t>
      </w:r>
      <w:r w:rsidRPr="00CD3D55">
        <w:rPr>
          <w:rFonts w:eastAsia="Times New Roman" w:cs="Times New Roman"/>
          <w:sz w:val="24"/>
          <w:szCs w:val="24"/>
          <w:lang w:val="ro-RO" w:eastAsia="ar-SA"/>
        </w:rPr>
        <w:t>in</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50%</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din</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venitul</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net</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al</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gospodăriilor</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din</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Europa</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de</w:t>
      </w:r>
      <w:r>
        <w:rPr>
          <w:rFonts w:eastAsia="Times New Roman" w:cs="Times New Roman"/>
          <w:sz w:val="24"/>
          <w:szCs w:val="24"/>
          <w:lang w:val="ro-RO" w:eastAsia="ar-SA"/>
        </w:rPr>
        <w:t xml:space="preserve"> </w:t>
      </w:r>
      <w:r w:rsidRPr="00CD3D55">
        <w:rPr>
          <w:rFonts w:eastAsia="Times New Roman" w:cs="Times New Roman"/>
          <w:sz w:val="24"/>
          <w:szCs w:val="24"/>
          <w:lang w:val="ro-RO" w:eastAsia="ar-SA"/>
        </w:rPr>
        <w:t>Vest.</w:t>
      </w:r>
    </w:p>
    <w:p w:rsidR="002617A6" w:rsidRPr="006E615F" w:rsidRDefault="002617A6" w:rsidP="002617A6">
      <w:pPr>
        <w:spacing w:after="0"/>
        <w:jc w:val="both"/>
        <w:rPr>
          <w:rFonts w:eastAsia="Times New Roman" w:cs="Times New Roman"/>
          <w:b/>
          <w:lang w:val="ro-RO" w:eastAsia="ar-SA"/>
        </w:rPr>
      </w:pPr>
      <w:r>
        <w:rPr>
          <w:rFonts w:eastAsia="Times New Roman" w:cs="Times New Roman"/>
          <w:b/>
          <w:lang w:val="ro-RO" w:eastAsia="ar-SA"/>
        </w:rPr>
        <w:t xml:space="preserve"> </w:t>
      </w:r>
      <w:r>
        <w:rPr>
          <w:b/>
          <w:sz w:val="24"/>
          <w:szCs w:val="24"/>
          <w:lang w:val="ro-RO"/>
        </w:rPr>
        <w:t xml:space="preserve">Grafic </w:t>
      </w:r>
      <w:r w:rsidRPr="006A49F5">
        <w:rPr>
          <w:b/>
          <w:sz w:val="24"/>
          <w:szCs w:val="24"/>
          <w:lang w:val="ro-RO"/>
        </w:rPr>
        <w:t>1</w:t>
      </w:r>
      <w:r>
        <w:rPr>
          <w:b/>
          <w:sz w:val="24"/>
          <w:szCs w:val="24"/>
          <w:lang w:val="ro-RO"/>
        </w:rPr>
        <w:t>.</w:t>
      </w:r>
      <w:r w:rsidRPr="006A49F5">
        <w:rPr>
          <w:b/>
          <w:sz w:val="24"/>
          <w:szCs w:val="24"/>
          <w:lang w:val="ro-RO"/>
        </w:rPr>
        <w:t xml:space="preserve"> </w:t>
      </w:r>
      <w:r w:rsidRPr="006A12AA">
        <w:rPr>
          <w:b/>
          <w:sz w:val="24"/>
          <w:szCs w:val="24"/>
          <w:lang w:val="ro-RO"/>
        </w:rPr>
        <w:t>Ponderea</w:t>
      </w:r>
      <w:r>
        <w:rPr>
          <w:b/>
          <w:sz w:val="24"/>
          <w:szCs w:val="24"/>
          <w:lang w:val="ro-RO"/>
        </w:rPr>
        <w:t xml:space="preserve"> seniorilor cu vârste de peste 65 de ani în total (%)</w:t>
      </w:r>
    </w:p>
    <w:p w:rsidR="002617A6" w:rsidRDefault="002617A6" w:rsidP="002617A6">
      <w:pPr>
        <w:spacing w:after="0"/>
        <w:jc w:val="both"/>
        <w:rPr>
          <w:rFonts w:cs="Times New Roman"/>
          <w:sz w:val="24"/>
          <w:szCs w:val="24"/>
          <w:lang w:val="ro-RO"/>
        </w:rPr>
      </w:pPr>
      <w:r w:rsidRPr="008D41BE">
        <w:rPr>
          <w:rFonts w:cs="Times New Roman"/>
          <w:noProof/>
          <w:sz w:val="24"/>
          <w:szCs w:val="24"/>
        </w:rPr>
        <w:drawing>
          <wp:inline distT="0" distB="0" distL="0" distR="0">
            <wp:extent cx="5514975" cy="2714625"/>
            <wp:effectExtent l="19050" t="0" r="9525" b="0"/>
            <wp:docPr id="64"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rFonts w:cs="Times New Roman"/>
          <w:sz w:val="24"/>
          <w:szCs w:val="24"/>
          <w:lang w:val="ro-RO"/>
        </w:rPr>
        <w:t xml:space="preserve">  </w:t>
      </w:r>
    </w:p>
    <w:p w:rsidR="002617A6" w:rsidRDefault="002617A6" w:rsidP="002617A6">
      <w:pPr>
        <w:jc w:val="both"/>
        <w:rPr>
          <w:rFonts w:cs="Times New Roman"/>
          <w:lang w:val="ro-RO"/>
        </w:rPr>
      </w:pPr>
      <w:r w:rsidRPr="00E00DAA">
        <w:rPr>
          <w:rFonts w:cs="Times New Roman"/>
          <w:b/>
          <w:lang w:val="ro-RO"/>
        </w:rPr>
        <w:t>Surse date:</w:t>
      </w:r>
      <w:r w:rsidRPr="008D41BE">
        <w:rPr>
          <w:rFonts w:cs="Times New Roman"/>
          <w:lang w:val="ro-RO"/>
        </w:rPr>
        <w:t xml:space="preserve"> Eurostat,</w:t>
      </w:r>
      <w:r w:rsidRPr="008D41BE">
        <w:t xml:space="preserve"> </w:t>
      </w:r>
      <w:r w:rsidRPr="008D41BE">
        <w:rPr>
          <w:rFonts w:cs="Times New Roman"/>
          <w:lang w:val="ro-RO"/>
        </w:rPr>
        <w:t>The U.S. Census Bureau şi Master Plan pentru Dezvoltarea Turismului</w:t>
      </w:r>
      <w:r>
        <w:rPr>
          <w:rFonts w:cs="Times New Roman"/>
          <w:lang w:val="ro-RO"/>
        </w:rPr>
        <w:t xml:space="preserve"> Balnear</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România este una din ţările cu cele mai bogate ş</w:t>
      </w:r>
      <w:r w:rsidRPr="00C13DC3">
        <w:rPr>
          <w:rFonts w:eastAsia="Times New Roman" w:cs="Times New Roman"/>
          <w:sz w:val="24"/>
          <w:szCs w:val="24"/>
          <w:lang w:val="ro-RO" w:eastAsia="ar-SA"/>
        </w:rPr>
        <w:t xml:space="preserve">i mai variate resurse </w:t>
      </w:r>
      <w:r>
        <w:rPr>
          <w:rFonts w:eastAsia="Times New Roman" w:cs="Times New Roman"/>
          <w:sz w:val="24"/>
          <w:szCs w:val="24"/>
          <w:lang w:val="ro-RO" w:eastAsia="ar-SA"/>
        </w:rPr>
        <w:t>utilizate în tratamentele balneare. În condiţiile în care România dispune de un potenţial balnear de excepţ</w:t>
      </w:r>
      <w:r w:rsidRPr="00C13DC3">
        <w:rPr>
          <w:rFonts w:eastAsia="Times New Roman" w:cs="Times New Roman"/>
          <w:sz w:val="24"/>
          <w:szCs w:val="24"/>
          <w:lang w:val="ro-RO" w:eastAsia="ar-SA"/>
        </w:rPr>
        <w:t>ie, cara</w:t>
      </w:r>
      <w:r>
        <w:rPr>
          <w:rFonts w:eastAsia="Times New Roman" w:cs="Times New Roman"/>
          <w:sz w:val="24"/>
          <w:szCs w:val="24"/>
          <w:lang w:val="ro-RO" w:eastAsia="ar-SA"/>
        </w:rPr>
        <w:t>cterizat nu numai prin faptul că deţ</w:t>
      </w:r>
      <w:r w:rsidRPr="00C13DC3">
        <w:rPr>
          <w:rFonts w:eastAsia="Times New Roman" w:cs="Times New Roman"/>
          <w:sz w:val="24"/>
          <w:szCs w:val="24"/>
          <w:lang w:val="ro-RO" w:eastAsia="ar-SA"/>
        </w:rPr>
        <w:t xml:space="preserve">ine </w:t>
      </w:r>
      <w:r w:rsidRPr="008E50B3">
        <w:rPr>
          <w:rFonts w:eastAsia="Times New Roman" w:cs="Times New Roman"/>
          <w:b/>
          <w:sz w:val="24"/>
          <w:szCs w:val="24"/>
          <w:lang w:val="ro-RO" w:eastAsia="ar-SA"/>
        </w:rPr>
        <w:t>o treime din apele minerale existente în Europa</w:t>
      </w:r>
      <w:r>
        <w:rPr>
          <w:rFonts w:eastAsia="Times New Roman" w:cs="Times New Roman"/>
          <w:sz w:val="24"/>
          <w:szCs w:val="24"/>
          <w:lang w:val="ro-RO" w:eastAsia="ar-SA"/>
        </w:rPr>
        <w:t>, dar ş</w:t>
      </w:r>
      <w:r w:rsidRPr="00C13DC3">
        <w:rPr>
          <w:rFonts w:eastAsia="Times New Roman" w:cs="Times New Roman"/>
          <w:sz w:val="24"/>
          <w:szCs w:val="24"/>
          <w:lang w:val="ro-RO" w:eastAsia="ar-SA"/>
        </w:rPr>
        <w:t>i prin cea mai mare diversita</w:t>
      </w:r>
      <w:r>
        <w:rPr>
          <w:rFonts w:eastAsia="Times New Roman" w:cs="Times New Roman"/>
          <w:sz w:val="24"/>
          <w:szCs w:val="24"/>
          <w:lang w:val="ro-RO" w:eastAsia="ar-SA"/>
        </w:rPr>
        <w:t>te de factori naturali de cură dintre</w:t>
      </w:r>
      <w:r w:rsidRPr="00C13DC3">
        <w:rPr>
          <w:rFonts w:eastAsia="Times New Roman" w:cs="Times New Roman"/>
          <w:sz w:val="24"/>
          <w:szCs w:val="24"/>
          <w:lang w:val="ro-RO" w:eastAsia="ar-SA"/>
        </w:rPr>
        <w:t xml:space="preserve"> care u</w:t>
      </w:r>
      <w:r>
        <w:rPr>
          <w:rFonts w:eastAsia="Times New Roman" w:cs="Times New Roman"/>
          <w:sz w:val="24"/>
          <w:szCs w:val="24"/>
          <w:lang w:val="ro-RO" w:eastAsia="ar-SA"/>
        </w:rPr>
        <w:t>nii cu valoare de unicat sau puţin răspândiţi î</w:t>
      </w:r>
      <w:r w:rsidRPr="00C13DC3">
        <w:rPr>
          <w:rFonts w:eastAsia="Times New Roman" w:cs="Times New Roman"/>
          <w:sz w:val="24"/>
          <w:szCs w:val="24"/>
          <w:lang w:val="ro-RO" w:eastAsia="ar-SA"/>
        </w:rPr>
        <w:t>n Europa,</w:t>
      </w:r>
      <w:r>
        <w:rPr>
          <w:rFonts w:eastAsia="Times New Roman" w:cs="Times New Roman"/>
          <w:sz w:val="24"/>
          <w:szCs w:val="24"/>
          <w:lang w:val="ro-RO" w:eastAsia="ar-SA"/>
        </w:rPr>
        <w:t xml:space="preserve"> turismul balnear</w:t>
      </w:r>
      <w:r w:rsidRPr="00C13DC3">
        <w:rPr>
          <w:rFonts w:eastAsia="Times New Roman" w:cs="Times New Roman"/>
          <w:sz w:val="24"/>
          <w:szCs w:val="24"/>
          <w:lang w:val="ro-RO" w:eastAsia="ar-SA"/>
        </w:rPr>
        <w:t xml:space="preserve"> </w:t>
      </w:r>
      <w:r>
        <w:rPr>
          <w:rFonts w:eastAsia="Times New Roman" w:cs="Times New Roman"/>
          <w:sz w:val="24"/>
          <w:szCs w:val="24"/>
          <w:lang w:val="ro-RO" w:eastAsia="ar-SA"/>
        </w:rPr>
        <w:t>are potenţial de a deveni un pilon de bază</w:t>
      </w:r>
      <w:r w:rsidRPr="00C13DC3">
        <w:rPr>
          <w:rFonts w:eastAsia="Times New Roman" w:cs="Times New Roman"/>
          <w:sz w:val="24"/>
          <w:szCs w:val="24"/>
          <w:lang w:val="ro-RO" w:eastAsia="ar-SA"/>
        </w:rPr>
        <w:t xml:space="preserve"> al turismului romanesc.</w:t>
      </w:r>
    </w:p>
    <w:p w:rsidR="002617A6" w:rsidRPr="005E2DBB" w:rsidRDefault="002617A6" w:rsidP="002617A6">
      <w:pPr>
        <w:jc w:val="both"/>
        <w:rPr>
          <w:b/>
          <w:sz w:val="28"/>
          <w:szCs w:val="28"/>
          <w:lang w:val="ro-RO"/>
        </w:rPr>
      </w:pPr>
      <w:r>
        <w:rPr>
          <w:rFonts w:cstheme="minorHAnsi"/>
          <w:b/>
          <w:sz w:val="28"/>
          <w:szCs w:val="28"/>
          <w:lang w:val="ro-RO"/>
        </w:rPr>
        <w:lastRenderedPageBreak/>
        <w:t>Cadrul organizatoric şi legislativ</w:t>
      </w:r>
      <w:r w:rsidRPr="005E2DBB">
        <w:rPr>
          <w:rFonts w:cstheme="minorHAnsi"/>
          <w:b/>
          <w:sz w:val="28"/>
          <w:szCs w:val="28"/>
          <w:lang w:val="ro-RO"/>
        </w:rPr>
        <w:t xml:space="preserve"> </w:t>
      </w:r>
      <w:r>
        <w:rPr>
          <w:rFonts w:cstheme="minorHAnsi"/>
          <w:b/>
          <w:sz w:val="28"/>
          <w:szCs w:val="28"/>
          <w:lang w:val="ro-RO"/>
        </w:rPr>
        <w:t xml:space="preserve">privind funcţionarea şi dezvoltarea </w:t>
      </w:r>
      <w:r w:rsidRPr="005E2DBB">
        <w:rPr>
          <w:rFonts w:cstheme="minorHAnsi"/>
          <w:b/>
          <w:sz w:val="28"/>
          <w:szCs w:val="28"/>
          <w:lang w:val="ro-RO"/>
        </w:rPr>
        <w:t>staţiunil</w:t>
      </w:r>
      <w:r>
        <w:rPr>
          <w:rFonts w:cstheme="minorHAnsi"/>
          <w:b/>
          <w:sz w:val="28"/>
          <w:szCs w:val="28"/>
          <w:lang w:val="ro-RO"/>
        </w:rPr>
        <w:t>or</w:t>
      </w:r>
      <w:r w:rsidRPr="005E2DBB">
        <w:rPr>
          <w:rFonts w:cstheme="minorHAnsi"/>
          <w:b/>
          <w:sz w:val="28"/>
          <w:szCs w:val="28"/>
          <w:lang w:val="ro-RO"/>
        </w:rPr>
        <w:t xml:space="preserve"> balneoclimaterice în România</w:t>
      </w:r>
    </w:p>
    <w:p w:rsidR="002617A6" w:rsidRDefault="002617A6" w:rsidP="002617A6">
      <w:pPr>
        <w:jc w:val="both"/>
        <w:rPr>
          <w:rFonts w:eastAsia="Times New Roman" w:cs="Times New Roman"/>
          <w:sz w:val="24"/>
          <w:szCs w:val="24"/>
          <w:lang w:val="ro-RO" w:eastAsia="ar-SA"/>
        </w:rPr>
      </w:pPr>
      <w:r w:rsidRPr="009B33B9">
        <w:rPr>
          <w:rFonts w:eastAsia="Times New Roman" w:cs="Times New Roman"/>
          <w:sz w:val="24"/>
          <w:szCs w:val="24"/>
          <w:lang w:val="ro-RO" w:eastAsia="ar-SA"/>
        </w:rPr>
        <w:t xml:space="preserve">Conştientizând potenţialul natural existent, autorităţile guvernamentale din sectorul turistic au planificat şi implementat unele acţiuni menite să revigoreze turismul balnear românesc. </w:t>
      </w:r>
    </w:p>
    <w:p w:rsidR="002617A6" w:rsidRDefault="002617A6" w:rsidP="002617A6">
      <w:pPr>
        <w:jc w:val="both"/>
        <w:rPr>
          <w:rFonts w:eastAsia="Times New Roman" w:cs="Times New Roman"/>
          <w:sz w:val="24"/>
          <w:szCs w:val="24"/>
          <w:lang w:val="ro-RO" w:eastAsia="ar-SA"/>
        </w:rPr>
      </w:pPr>
      <w:r w:rsidRPr="009B33B9">
        <w:rPr>
          <w:rFonts w:eastAsia="Times New Roman" w:cs="Times New Roman"/>
          <w:sz w:val="24"/>
          <w:szCs w:val="24"/>
          <w:lang w:val="ro-RO" w:eastAsia="ar-SA"/>
        </w:rPr>
        <w:t xml:space="preserve">În anul 1993 a fost elaborată o evaluare calitativă, realizându-se o ierarhizare a staţiunilor balneare prin calcularea unor indici de atractivitate, iar în 1997 au fost reinventariaţi factorii naturali de cură din staţiunile balneare. </w:t>
      </w:r>
    </w:p>
    <w:p w:rsidR="002617A6" w:rsidRDefault="002617A6" w:rsidP="002617A6">
      <w:pPr>
        <w:jc w:val="both"/>
        <w:rPr>
          <w:rFonts w:eastAsia="Times New Roman" w:cs="Times New Roman"/>
          <w:sz w:val="24"/>
          <w:szCs w:val="24"/>
          <w:lang w:val="ro-RO" w:eastAsia="ar-SA"/>
        </w:rPr>
      </w:pPr>
      <w:r w:rsidRPr="009B33B9">
        <w:rPr>
          <w:rFonts w:eastAsia="Times New Roman" w:cs="Times New Roman"/>
          <w:sz w:val="24"/>
          <w:szCs w:val="24"/>
          <w:lang w:val="ro-RO" w:eastAsia="ar-SA"/>
        </w:rPr>
        <w:t xml:space="preserve">De asemenea, în anul 2007, a fost întocmit </w:t>
      </w:r>
      <w:r w:rsidRPr="00FE1234">
        <w:rPr>
          <w:rFonts w:eastAsia="Times New Roman" w:cs="Times New Roman"/>
          <w:sz w:val="24"/>
          <w:szCs w:val="24"/>
          <w:lang w:val="ro-RO" w:eastAsia="ar-SA"/>
        </w:rPr>
        <w:t>M</w:t>
      </w:r>
      <w:r>
        <w:rPr>
          <w:rFonts w:eastAsia="Times New Roman" w:cs="Times New Roman"/>
          <w:sz w:val="24"/>
          <w:szCs w:val="24"/>
          <w:lang w:val="ro-RO" w:eastAsia="ar-SA"/>
        </w:rPr>
        <w:t xml:space="preserve">aster Planul pentru Turismul Naţional al României </w:t>
      </w:r>
      <w:r w:rsidRPr="00FE1234">
        <w:rPr>
          <w:rFonts w:eastAsia="Times New Roman" w:cs="Times New Roman"/>
          <w:sz w:val="24"/>
          <w:szCs w:val="24"/>
          <w:lang w:val="ro-RO" w:eastAsia="ar-SA"/>
        </w:rPr>
        <w:t>2007 - 2026</w:t>
      </w:r>
      <w:r w:rsidRPr="009B33B9">
        <w:rPr>
          <w:rFonts w:eastAsia="Times New Roman" w:cs="Times New Roman"/>
          <w:sz w:val="24"/>
          <w:szCs w:val="24"/>
          <w:lang w:val="ro-RO" w:eastAsia="ar-SA"/>
        </w:rPr>
        <w:t xml:space="preserve">, care vizează printre alte forme de turism şi turismul balnear. </w:t>
      </w:r>
      <w:r>
        <w:rPr>
          <w:rFonts w:eastAsia="Times New Roman" w:cs="Times New Roman"/>
          <w:sz w:val="24"/>
          <w:szCs w:val="24"/>
          <w:lang w:val="ro-RO" w:eastAsia="ar-SA"/>
        </w:rPr>
        <w:t>Documentul oferă informaţii cu privire la oferta</w:t>
      </w:r>
      <w:r w:rsidRPr="00FE1234">
        <w:rPr>
          <w:rFonts w:eastAsia="Times New Roman" w:cs="Times New Roman"/>
          <w:sz w:val="24"/>
          <w:szCs w:val="24"/>
          <w:lang w:val="ro-RO" w:eastAsia="ar-SA"/>
        </w:rPr>
        <w:t xml:space="preserve"> de produse balneoclimaterice principale</w:t>
      </w:r>
      <w:r>
        <w:rPr>
          <w:rFonts w:eastAsia="Times New Roman" w:cs="Times New Roman"/>
          <w:sz w:val="24"/>
          <w:szCs w:val="24"/>
          <w:lang w:val="ro-RO" w:eastAsia="ar-SA"/>
        </w:rPr>
        <w:t>, unităţ</w:t>
      </w:r>
      <w:r w:rsidRPr="00FE1234">
        <w:rPr>
          <w:rFonts w:eastAsia="Times New Roman" w:cs="Times New Roman"/>
          <w:sz w:val="24"/>
          <w:szCs w:val="24"/>
          <w:lang w:val="ro-RO" w:eastAsia="ar-SA"/>
        </w:rPr>
        <w:t>i</w:t>
      </w:r>
      <w:r>
        <w:rPr>
          <w:rFonts w:eastAsia="Times New Roman" w:cs="Times New Roman"/>
          <w:sz w:val="24"/>
          <w:szCs w:val="24"/>
          <w:lang w:val="ro-RO" w:eastAsia="ar-SA"/>
        </w:rPr>
        <w:t>le de cazare înregistrate în staţ</w:t>
      </w:r>
      <w:r w:rsidRPr="00FE1234">
        <w:rPr>
          <w:rFonts w:eastAsia="Times New Roman" w:cs="Times New Roman"/>
          <w:sz w:val="24"/>
          <w:szCs w:val="24"/>
          <w:lang w:val="ro-RO" w:eastAsia="ar-SA"/>
        </w:rPr>
        <w:t>iuni</w:t>
      </w:r>
      <w:r>
        <w:rPr>
          <w:rFonts w:eastAsia="Times New Roman" w:cs="Times New Roman"/>
          <w:sz w:val="24"/>
          <w:szCs w:val="24"/>
          <w:lang w:val="ro-RO" w:eastAsia="ar-SA"/>
        </w:rPr>
        <w:t>le</w:t>
      </w:r>
      <w:r w:rsidRPr="00FE1234">
        <w:rPr>
          <w:rFonts w:eastAsia="Times New Roman" w:cs="Times New Roman"/>
          <w:sz w:val="24"/>
          <w:szCs w:val="24"/>
          <w:lang w:val="ro-RO" w:eastAsia="ar-SA"/>
        </w:rPr>
        <w:t xml:space="preserve"> balneare</w:t>
      </w:r>
      <w:r>
        <w:rPr>
          <w:rFonts w:eastAsia="Times New Roman" w:cs="Times New Roman"/>
          <w:sz w:val="24"/>
          <w:szCs w:val="24"/>
          <w:lang w:val="ro-RO" w:eastAsia="ar-SA"/>
        </w:rPr>
        <w:t xml:space="preserve"> româneşti şi clientela din aceste staţiuni. Acest Master Plan a fost elaborat în parteneriat cu Organizaţ</w:t>
      </w:r>
      <w:r w:rsidRPr="00FE1234">
        <w:rPr>
          <w:rFonts w:eastAsia="Times New Roman" w:cs="Times New Roman"/>
          <w:sz w:val="24"/>
          <w:szCs w:val="24"/>
          <w:lang w:val="ro-RO" w:eastAsia="ar-SA"/>
        </w:rPr>
        <w:t>ia</w:t>
      </w:r>
      <w:r>
        <w:rPr>
          <w:rFonts w:eastAsia="Times New Roman" w:cs="Times New Roman"/>
          <w:sz w:val="24"/>
          <w:szCs w:val="24"/>
          <w:lang w:val="ro-RO" w:eastAsia="ar-SA"/>
        </w:rPr>
        <w:t xml:space="preserve"> </w:t>
      </w:r>
      <w:r w:rsidRPr="00FE1234">
        <w:rPr>
          <w:rFonts w:eastAsia="Times New Roman" w:cs="Times New Roman"/>
          <w:sz w:val="24"/>
          <w:szCs w:val="24"/>
          <w:lang w:val="ro-RO" w:eastAsia="ar-SA"/>
        </w:rPr>
        <w:t>Mondială a Turismului</w:t>
      </w:r>
      <w:r>
        <w:rPr>
          <w:rFonts w:eastAsia="Times New Roman" w:cs="Times New Roman"/>
          <w:sz w:val="24"/>
          <w:szCs w:val="24"/>
          <w:lang w:val="ro-RO" w:eastAsia="ar-SA"/>
        </w:rPr>
        <w:t>, prin el au fost stabilite p</w:t>
      </w:r>
      <w:r w:rsidRPr="00FE1234">
        <w:rPr>
          <w:rFonts w:eastAsia="Times New Roman" w:cs="Times New Roman"/>
          <w:sz w:val="24"/>
          <w:szCs w:val="24"/>
          <w:lang w:val="ro-RO" w:eastAsia="ar-SA"/>
        </w:rPr>
        <w:t>unctele forte şi s</w:t>
      </w:r>
      <w:r>
        <w:rPr>
          <w:rFonts w:eastAsia="Times New Roman" w:cs="Times New Roman"/>
          <w:sz w:val="24"/>
          <w:szCs w:val="24"/>
          <w:lang w:val="ro-RO" w:eastAsia="ar-SA"/>
        </w:rPr>
        <w:t xml:space="preserve">labe ale României ca destinaţie </w:t>
      </w:r>
      <w:r w:rsidRPr="00FE1234">
        <w:rPr>
          <w:rFonts w:eastAsia="Times New Roman" w:cs="Times New Roman"/>
          <w:sz w:val="24"/>
          <w:szCs w:val="24"/>
          <w:lang w:val="ro-RO" w:eastAsia="ar-SA"/>
        </w:rPr>
        <w:t>turistică</w:t>
      </w:r>
      <w:r>
        <w:rPr>
          <w:rFonts w:eastAsia="Times New Roman" w:cs="Times New Roman"/>
          <w:sz w:val="24"/>
          <w:szCs w:val="24"/>
          <w:lang w:val="ro-RO" w:eastAsia="ar-SA"/>
        </w:rPr>
        <w:t xml:space="preserve"> şi cuprinde un program de acţ</w:t>
      </w:r>
      <w:r w:rsidRPr="00FB3DBF">
        <w:rPr>
          <w:rFonts w:eastAsia="Times New Roman" w:cs="Times New Roman"/>
          <w:sz w:val="24"/>
          <w:szCs w:val="24"/>
          <w:lang w:val="ro-RO" w:eastAsia="ar-SA"/>
        </w:rPr>
        <w:t>iune pe şase ani (2007-2013)</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r w:rsidRPr="00FB3DBF">
        <w:rPr>
          <w:rFonts w:eastAsia="Times New Roman" w:cs="Times New Roman"/>
          <w:sz w:val="24"/>
          <w:szCs w:val="24"/>
          <w:lang w:val="ro-RO" w:eastAsia="ar-SA"/>
        </w:rPr>
        <w:t xml:space="preserve">în anul 2009 </w:t>
      </w:r>
      <w:r>
        <w:rPr>
          <w:rFonts w:eastAsia="Times New Roman" w:cs="Times New Roman"/>
          <w:sz w:val="24"/>
          <w:szCs w:val="24"/>
          <w:lang w:val="ro-RO" w:eastAsia="ar-SA"/>
        </w:rPr>
        <w:t>a fost elaborat un Master Plan specific pentru</w:t>
      </w:r>
      <w:r w:rsidRPr="00FB3DBF">
        <w:rPr>
          <w:rFonts w:eastAsia="Times New Roman" w:cs="Times New Roman"/>
          <w:sz w:val="24"/>
          <w:szCs w:val="24"/>
          <w:lang w:val="ro-RO" w:eastAsia="ar-SA"/>
        </w:rPr>
        <w:t xml:space="preserve"> Dezvoltarea Turismului Balnear</w:t>
      </w:r>
      <w:r>
        <w:rPr>
          <w:rFonts w:eastAsia="Times New Roman" w:cs="Times New Roman"/>
          <w:sz w:val="24"/>
          <w:szCs w:val="24"/>
          <w:lang w:val="ro-RO" w:eastAsia="ar-SA"/>
        </w:rPr>
        <w:t>.</w:t>
      </w:r>
      <w:r w:rsidRPr="00FB3DBF">
        <w:rPr>
          <w:rFonts w:eastAsia="Times New Roman" w:cs="Times New Roman"/>
          <w:sz w:val="24"/>
          <w:szCs w:val="24"/>
          <w:lang w:val="ro-RO" w:eastAsia="ar-SA"/>
        </w:rPr>
        <w:t xml:space="preserve"> </w:t>
      </w:r>
      <w:r>
        <w:rPr>
          <w:rFonts w:eastAsia="Times New Roman" w:cs="Times New Roman"/>
          <w:sz w:val="24"/>
          <w:szCs w:val="24"/>
          <w:lang w:val="ro-RO" w:eastAsia="ar-SA"/>
        </w:rPr>
        <w:t>Acest Master Plan a avut 3 obiective: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O1. Alegerea uneia sau mai multor poziţionări de marketing;</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O2. Definirea strategiei care trebuie aplicată pentru fiecare combinaţ</w:t>
      </w:r>
      <w:r w:rsidRPr="00FB3DBF">
        <w:rPr>
          <w:rFonts w:eastAsia="Times New Roman" w:cs="Times New Roman"/>
          <w:sz w:val="24"/>
          <w:szCs w:val="24"/>
          <w:lang w:val="ro-RO" w:eastAsia="ar-SA"/>
        </w:rPr>
        <w:t>ie</w:t>
      </w:r>
      <w:r>
        <w:rPr>
          <w:rFonts w:eastAsia="Times New Roman" w:cs="Times New Roman"/>
          <w:sz w:val="24"/>
          <w:szCs w:val="24"/>
          <w:lang w:val="ro-RO" w:eastAsia="ar-SA"/>
        </w:rPr>
        <w:t xml:space="preserve"> </w:t>
      </w:r>
      <w:r w:rsidRPr="00FB3DBF">
        <w:rPr>
          <w:rFonts w:eastAsia="Times New Roman" w:cs="Times New Roman"/>
          <w:sz w:val="24"/>
          <w:szCs w:val="24"/>
          <w:lang w:val="ro-RO" w:eastAsia="ar-SA"/>
        </w:rPr>
        <w:t>pi</w:t>
      </w:r>
      <w:r>
        <w:rPr>
          <w:rFonts w:eastAsia="Times New Roman" w:cs="Times New Roman"/>
          <w:sz w:val="24"/>
          <w:szCs w:val="24"/>
          <w:lang w:val="ro-RO" w:eastAsia="ar-SA"/>
        </w:rPr>
        <w:t>aţ</w:t>
      </w:r>
      <w:r w:rsidRPr="00FB3DBF">
        <w:rPr>
          <w:rFonts w:eastAsia="Times New Roman" w:cs="Times New Roman"/>
          <w:sz w:val="24"/>
          <w:szCs w:val="24"/>
          <w:lang w:val="ro-RO" w:eastAsia="ar-SA"/>
        </w:rPr>
        <w:t>ă/produs</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O3. Definirea mijloacelor financiare care trebuie alocate și a metodei de lucru.</w:t>
      </w:r>
    </w:p>
    <w:p w:rsidR="002617A6" w:rsidRDefault="002617A6" w:rsidP="002617A6">
      <w:pPr>
        <w:jc w:val="both"/>
        <w:rPr>
          <w:rFonts w:eastAsia="Times New Roman" w:cs="Times New Roman"/>
          <w:sz w:val="24"/>
          <w:szCs w:val="24"/>
          <w:lang w:val="ro-RO" w:eastAsia="ar-SA"/>
        </w:rPr>
      </w:pPr>
      <w:r w:rsidRPr="009B33B9">
        <w:rPr>
          <w:rFonts w:eastAsia="Times New Roman" w:cs="Times New Roman"/>
          <w:sz w:val="24"/>
          <w:szCs w:val="24"/>
          <w:lang w:val="ro-RO" w:eastAsia="ar-SA"/>
        </w:rPr>
        <w:t>În acest scop,</w:t>
      </w:r>
      <w:r w:rsidRPr="009B33B9">
        <w:rPr>
          <w:sz w:val="24"/>
          <w:szCs w:val="24"/>
          <w:lang w:val="ro-RO"/>
        </w:rPr>
        <w:t xml:space="preserve"> </w:t>
      </w:r>
      <w:r w:rsidRPr="009B33B9">
        <w:rPr>
          <w:rFonts w:eastAsia="Times New Roman" w:cs="Times New Roman"/>
          <w:sz w:val="24"/>
          <w:szCs w:val="24"/>
          <w:lang w:val="ro-RO" w:eastAsia="ar-SA"/>
        </w:rPr>
        <w:t>a fost analizat potenţialul turistic balnear existent, concurenţii din domeniu, stabilindu-se obiectivele necesare revigorării turis</w:t>
      </w:r>
      <w:r>
        <w:rPr>
          <w:rFonts w:eastAsia="Times New Roman" w:cs="Times New Roman"/>
          <w:sz w:val="24"/>
          <w:szCs w:val="24"/>
          <w:lang w:val="ro-RO" w:eastAsia="ar-SA"/>
        </w:rPr>
        <w:t>mului balnear românesc.</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Î</w:t>
      </w:r>
      <w:r w:rsidRPr="00FB3DBF">
        <w:rPr>
          <w:rFonts w:eastAsia="Times New Roman" w:cs="Times New Roman"/>
          <w:sz w:val="24"/>
          <w:szCs w:val="24"/>
          <w:lang w:val="ro-RO" w:eastAsia="ar-SA"/>
        </w:rPr>
        <w:t xml:space="preserve">n anul 2015 </w:t>
      </w:r>
      <w:r>
        <w:rPr>
          <w:rFonts w:eastAsia="Times New Roman" w:cs="Times New Roman"/>
          <w:sz w:val="24"/>
          <w:szCs w:val="24"/>
          <w:lang w:val="ro-RO" w:eastAsia="ar-SA"/>
        </w:rPr>
        <w:t>Master Planul pentru</w:t>
      </w:r>
      <w:r w:rsidRPr="00FB3DBF">
        <w:rPr>
          <w:rFonts w:eastAsia="Times New Roman" w:cs="Times New Roman"/>
          <w:sz w:val="24"/>
          <w:szCs w:val="24"/>
          <w:lang w:val="ro-RO" w:eastAsia="ar-SA"/>
        </w:rPr>
        <w:t xml:space="preserve"> Dezvoltarea Turismului Balnear</w:t>
      </w:r>
      <w:r>
        <w:rPr>
          <w:rFonts w:eastAsia="Times New Roman" w:cs="Times New Roman"/>
          <w:sz w:val="24"/>
          <w:szCs w:val="24"/>
          <w:lang w:val="ro-RO" w:eastAsia="ar-SA"/>
        </w:rPr>
        <w:t xml:space="preserve"> a fost revizuit. Autoritatea Naţională pentru Turism a dorit să</w:t>
      </w:r>
      <w:r w:rsidRPr="00FB3DBF">
        <w:rPr>
          <w:rFonts w:eastAsia="Times New Roman" w:cs="Times New Roman"/>
          <w:sz w:val="24"/>
          <w:szCs w:val="24"/>
          <w:lang w:val="ro-RO" w:eastAsia="ar-SA"/>
        </w:rPr>
        <w:t xml:space="preserve"> realizeze o actualizare a Master Planului pentru dezvoltarea</w:t>
      </w:r>
      <w:r>
        <w:rPr>
          <w:rFonts w:eastAsia="Times New Roman" w:cs="Times New Roman"/>
          <w:sz w:val="24"/>
          <w:szCs w:val="24"/>
          <w:lang w:val="ro-RO" w:eastAsia="ar-SA"/>
        </w:rPr>
        <w:t xml:space="preserve"> </w:t>
      </w:r>
      <w:r w:rsidRPr="00FB3DBF">
        <w:rPr>
          <w:rFonts w:eastAsia="Times New Roman" w:cs="Times New Roman"/>
          <w:sz w:val="24"/>
          <w:szCs w:val="24"/>
          <w:lang w:val="ro-RO" w:eastAsia="ar-SA"/>
        </w:rPr>
        <w:t>turismului balnear din Romania care a fos</w:t>
      </w:r>
      <w:r>
        <w:rPr>
          <w:rFonts w:eastAsia="Times New Roman" w:cs="Times New Roman"/>
          <w:sz w:val="24"/>
          <w:szCs w:val="24"/>
          <w:lang w:val="ro-RO" w:eastAsia="ar-SA"/>
        </w:rPr>
        <w:t>t elaborat in anul 2009. Motivaţ</w:t>
      </w:r>
      <w:r w:rsidRPr="00FB3DBF">
        <w:rPr>
          <w:rFonts w:eastAsia="Times New Roman" w:cs="Times New Roman"/>
          <w:sz w:val="24"/>
          <w:szCs w:val="24"/>
          <w:lang w:val="ro-RO" w:eastAsia="ar-SA"/>
        </w:rPr>
        <w:t>ia principal</w:t>
      </w:r>
      <w:r>
        <w:rPr>
          <w:rFonts w:eastAsia="Times New Roman" w:cs="Times New Roman"/>
          <w:sz w:val="24"/>
          <w:szCs w:val="24"/>
          <w:lang w:val="ro-RO" w:eastAsia="ar-SA"/>
        </w:rPr>
        <w:t>ă</w:t>
      </w:r>
      <w:r w:rsidRPr="00FB3DBF">
        <w:rPr>
          <w:rFonts w:eastAsia="Times New Roman" w:cs="Times New Roman"/>
          <w:sz w:val="24"/>
          <w:szCs w:val="24"/>
          <w:lang w:val="ro-RO" w:eastAsia="ar-SA"/>
        </w:rPr>
        <w:t xml:space="preserve"> a acestui demers </w:t>
      </w:r>
      <w:r>
        <w:rPr>
          <w:rFonts w:eastAsia="Times New Roman" w:cs="Times New Roman"/>
          <w:sz w:val="24"/>
          <w:szCs w:val="24"/>
          <w:lang w:val="ro-RO" w:eastAsia="ar-SA"/>
        </w:rPr>
        <w:t xml:space="preserve">a ţinut </w:t>
      </w:r>
      <w:r w:rsidRPr="00FB3DBF">
        <w:rPr>
          <w:rFonts w:eastAsia="Times New Roman" w:cs="Times New Roman"/>
          <w:sz w:val="24"/>
          <w:szCs w:val="24"/>
          <w:lang w:val="ro-RO" w:eastAsia="ar-SA"/>
        </w:rPr>
        <w:t>pe de</w:t>
      </w:r>
      <w:r>
        <w:rPr>
          <w:rFonts w:eastAsia="Times New Roman" w:cs="Times New Roman"/>
          <w:sz w:val="24"/>
          <w:szCs w:val="24"/>
          <w:lang w:val="ro-RO" w:eastAsia="ar-SA"/>
        </w:rPr>
        <w:t xml:space="preserve"> o parte de contextul european şi internaţ</w:t>
      </w:r>
      <w:r w:rsidRPr="00FB3DBF">
        <w:rPr>
          <w:rFonts w:eastAsia="Times New Roman" w:cs="Times New Roman"/>
          <w:sz w:val="24"/>
          <w:szCs w:val="24"/>
          <w:lang w:val="ro-RO" w:eastAsia="ar-SA"/>
        </w:rPr>
        <w:t xml:space="preserve">ional </w:t>
      </w:r>
      <w:r>
        <w:rPr>
          <w:rFonts w:eastAsia="Times New Roman" w:cs="Times New Roman"/>
          <w:sz w:val="24"/>
          <w:szCs w:val="24"/>
          <w:lang w:val="ro-RO" w:eastAsia="ar-SA"/>
        </w:rPr>
        <w:t>unde are loc o dezvoltare rapidă</w:t>
      </w:r>
      <w:r w:rsidRPr="00FB3DBF">
        <w:rPr>
          <w:rFonts w:eastAsia="Times New Roman" w:cs="Times New Roman"/>
          <w:sz w:val="24"/>
          <w:szCs w:val="24"/>
          <w:lang w:val="ro-RO" w:eastAsia="ar-SA"/>
        </w:rPr>
        <w:t xml:space="preserve"> a sectorului turismului</w:t>
      </w:r>
      <w:r>
        <w:rPr>
          <w:rFonts w:eastAsia="Times New Roman" w:cs="Times New Roman"/>
          <w:sz w:val="24"/>
          <w:szCs w:val="24"/>
          <w:lang w:val="ro-RO" w:eastAsia="ar-SA"/>
        </w:rPr>
        <w:t xml:space="preserve"> de sănătate ş</w:t>
      </w:r>
      <w:r w:rsidRPr="00FB3DBF">
        <w:rPr>
          <w:rFonts w:eastAsia="Times New Roman" w:cs="Times New Roman"/>
          <w:sz w:val="24"/>
          <w:szCs w:val="24"/>
          <w:lang w:val="ro-RO" w:eastAsia="ar-SA"/>
        </w:rPr>
        <w:t xml:space="preserve">i pe </w:t>
      </w:r>
      <w:r>
        <w:rPr>
          <w:rFonts w:eastAsia="Times New Roman" w:cs="Times New Roman"/>
          <w:sz w:val="24"/>
          <w:szCs w:val="24"/>
          <w:lang w:val="ro-RO" w:eastAsia="ar-SA"/>
        </w:rPr>
        <w:t>de alta de evoluţia dificilă a sectorului balnear în perioada scursă din momentul finaliză</w:t>
      </w:r>
      <w:r w:rsidRPr="00FB3DBF">
        <w:rPr>
          <w:rFonts w:eastAsia="Times New Roman" w:cs="Times New Roman"/>
          <w:sz w:val="24"/>
          <w:szCs w:val="24"/>
          <w:lang w:val="ro-RO" w:eastAsia="ar-SA"/>
        </w:rPr>
        <w:t>rii</w:t>
      </w:r>
      <w:r>
        <w:rPr>
          <w:rFonts w:eastAsia="Times New Roman" w:cs="Times New Roman"/>
          <w:sz w:val="24"/>
          <w:szCs w:val="24"/>
          <w:lang w:val="ro-RO" w:eastAsia="ar-SA"/>
        </w:rPr>
        <w:t xml:space="preserve"> Master Planului in 2009.</w:t>
      </w:r>
    </w:p>
    <w:p w:rsidR="002617A6" w:rsidRPr="00FE1234"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Analiza cuprinde 2 părţi, p</w:t>
      </w:r>
      <w:r w:rsidRPr="008F2102">
        <w:rPr>
          <w:rFonts w:eastAsia="Times New Roman" w:cs="Times New Roman"/>
          <w:sz w:val="24"/>
          <w:szCs w:val="24"/>
          <w:lang w:val="ro-RO" w:eastAsia="ar-SA"/>
        </w:rPr>
        <w:t xml:space="preserve">rima parte </w:t>
      </w:r>
      <w:r>
        <w:rPr>
          <w:rFonts w:eastAsia="Times New Roman" w:cs="Times New Roman"/>
          <w:sz w:val="24"/>
          <w:szCs w:val="24"/>
          <w:lang w:val="ro-RO" w:eastAsia="ar-SA"/>
        </w:rPr>
        <w:t>s-a î</w:t>
      </w:r>
      <w:r w:rsidRPr="008F2102">
        <w:rPr>
          <w:rFonts w:eastAsia="Times New Roman" w:cs="Times New Roman"/>
          <w:sz w:val="24"/>
          <w:szCs w:val="24"/>
          <w:lang w:val="ro-RO" w:eastAsia="ar-SA"/>
        </w:rPr>
        <w:t>ncheia</w:t>
      </w:r>
      <w:r>
        <w:rPr>
          <w:rFonts w:eastAsia="Times New Roman" w:cs="Times New Roman"/>
          <w:sz w:val="24"/>
          <w:szCs w:val="24"/>
          <w:lang w:val="ro-RO" w:eastAsia="ar-SA"/>
        </w:rPr>
        <w:t>t cu o analiză SWOT care a permis operaţ</w:t>
      </w:r>
      <w:r w:rsidRPr="008F2102">
        <w:rPr>
          <w:rFonts w:eastAsia="Times New Roman" w:cs="Times New Roman"/>
          <w:sz w:val="24"/>
          <w:szCs w:val="24"/>
          <w:lang w:val="ro-RO" w:eastAsia="ar-SA"/>
        </w:rPr>
        <w:t>ionalizarea concluziilor pentru cea de-a</w:t>
      </w:r>
      <w:r>
        <w:rPr>
          <w:rFonts w:eastAsia="Times New Roman" w:cs="Times New Roman"/>
          <w:sz w:val="24"/>
          <w:szCs w:val="24"/>
          <w:lang w:val="ro-RO" w:eastAsia="ar-SA"/>
        </w:rPr>
        <w:t xml:space="preserve"> doua fază în care s-a</w:t>
      </w:r>
      <w:r w:rsidRPr="008F2102">
        <w:rPr>
          <w:rFonts w:eastAsia="Times New Roman" w:cs="Times New Roman"/>
          <w:sz w:val="24"/>
          <w:szCs w:val="24"/>
          <w:lang w:val="ro-RO" w:eastAsia="ar-SA"/>
        </w:rPr>
        <w:t xml:space="preserve"> propu</w:t>
      </w:r>
      <w:r>
        <w:rPr>
          <w:rFonts w:eastAsia="Times New Roman" w:cs="Times New Roman"/>
          <w:sz w:val="24"/>
          <w:szCs w:val="24"/>
          <w:lang w:val="ro-RO" w:eastAsia="ar-SA"/>
        </w:rPr>
        <w:t>s</w:t>
      </w:r>
      <w:r w:rsidRPr="008F2102">
        <w:rPr>
          <w:rFonts w:eastAsia="Times New Roman" w:cs="Times New Roman"/>
          <w:sz w:val="24"/>
          <w:szCs w:val="24"/>
          <w:lang w:val="ro-RO" w:eastAsia="ar-SA"/>
        </w:rPr>
        <w:t xml:space="preserve"> str</w:t>
      </w:r>
      <w:r>
        <w:rPr>
          <w:rFonts w:eastAsia="Times New Roman" w:cs="Times New Roman"/>
          <w:sz w:val="24"/>
          <w:szCs w:val="24"/>
          <w:lang w:val="ro-RO" w:eastAsia="ar-SA"/>
        </w:rPr>
        <w:t>ategia de adoptat şi acţiunile de î</w:t>
      </w:r>
      <w:r w:rsidRPr="008F2102">
        <w:rPr>
          <w:rFonts w:eastAsia="Times New Roman" w:cs="Times New Roman"/>
          <w:sz w:val="24"/>
          <w:szCs w:val="24"/>
          <w:lang w:val="ro-RO" w:eastAsia="ar-SA"/>
        </w:rPr>
        <w:t>ntreprins.</w:t>
      </w:r>
      <w:r w:rsidRPr="008F2102">
        <w:rPr>
          <w:rFonts w:eastAsia="Times New Roman" w:cs="Times New Roman"/>
          <w:sz w:val="24"/>
          <w:szCs w:val="24"/>
          <w:lang w:val="ro-RO" w:eastAsia="ar-SA"/>
        </w:rPr>
        <w:cr/>
      </w:r>
    </w:p>
    <w:p w:rsidR="002617A6" w:rsidRPr="005E2DBB" w:rsidRDefault="002617A6" w:rsidP="002617A6">
      <w:pPr>
        <w:spacing w:after="0"/>
        <w:jc w:val="both"/>
        <w:rPr>
          <w:b/>
          <w:sz w:val="24"/>
          <w:szCs w:val="24"/>
          <w:lang w:val="ro-RO"/>
        </w:rPr>
      </w:pPr>
      <w:r w:rsidRPr="005E2DBB">
        <w:rPr>
          <w:b/>
          <w:sz w:val="24"/>
          <w:szCs w:val="24"/>
          <w:lang w:val="ro-RO"/>
        </w:rPr>
        <w:t>Reglementări legislative:</w:t>
      </w:r>
    </w:p>
    <w:p w:rsidR="002617A6" w:rsidRPr="00765C47" w:rsidRDefault="002617A6" w:rsidP="002617A6">
      <w:pPr>
        <w:spacing w:after="0"/>
        <w:jc w:val="both"/>
        <w:rPr>
          <w:rFonts w:eastAsia="Times New Roman" w:cs="Times New Roman"/>
          <w:sz w:val="24"/>
          <w:szCs w:val="24"/>
          <w:lang w:val="ro-RO" w:eastAsia="ar-SA"/>
        </w:rPr>
      </w:pPr>
      <w:r w:rsidRPr="005E2DBB">
        <w:rPr>
          <w:rFonts w:eastAsia="Times New Roman" w:cs="Times New Roman"/>
          <w:b/>
          <w:sz w:val="24"/>
          <w:szCs w:val="24"/>
          <w:lang w:val="ro-RO" w:eastAsia="ar-SA"/>
        </w:rPr>
        <w:t>Ordonanţ</w:t>
      </w:r>
      <w:r>
        <w:rPr>
          <w:rFonts w:eastAsia="Times New Roman" w:cs="Times New Roman"/>
          <w:b/>
          <w:sz w:val="24"/>
          <w:szCs w:val="24"/>
          <w:lang w:val="ro-RO" w:eastAsia="ar-SA"/>
        </w:rPr>
        <w:t>a</w:t>
      </w:r>
      <w:r w:rsidRPr="005E2DBB">
        <w:rPr>
          <w:rFonts w:eastAsia="Times New Roman" w:cs="Times New Roman"/>
          <w:b/>
          <w:sz w:val="24"/>
          <w:szCs w:val="24"/>
          <w:lang w:val="ro-RO" w:eastAsia="ar-SA"/>
        </w:rPr>
        <w:t xml:space="preserve"> nr. 109 din 31/08/2000</w:t>
      </w:r>
      <w:r w:rsidRPr="00765C47">
        <w:rPr>
          <w:rFonts w:eastAsia="Times New Roman" w:cs="Times New Roman"/>
          <w:sz w:val="24"/>
          <w:szCs w:val="24"/>
          <w:lang w:val="ro-RO" w:eastAsia="ar-SA"/>
        </w:rPr>
        <w:t xml:space="preserve"> privind staţiunile balneare, climatice şi balneoclimatice şi asistenţa medicală balneară şi de recuperare</w:t>
      </w:r>
      <w:r>
        <w:rPr>
          <w:rFonts w:eastAsia="Times New Roman" w:cs="Times New Roman"/>
          <w:sz w:val="24"/>
          <w:szCs w:val="24"/>
          <w:lang w:val="ro-RO" w:eastAsia="ar-SA"/>
        </w:rPr>
        <w:t>, modificată de:</w:t>
      </w:r>
    </w:p>
    <w:p w:rsidR="002617A6" w:rsidRPr="00765C47" w:rsidRDefault="002617A6" w:rsidP="002617A6">
      <w:pPr>
        <w:spacing w:after="0"/>
        <w:ind w:left="720"/>
        <w:jc w:val="both"/>
        <w:rPr>
          <w:rFonts w:eastAsia="Times New Roman" w:cs="Times New Roman"/>
          <w:sz w:val="24"/>
          <w:szCs w:val="24"/>
          <w:lang w:val="ro-RO" w:eastAsia="ar-SA"/>
        </w:rPr>
      </w:pPr>
      <w:r w:rsidRPr="005E2DBB">
        <w:rPr>
          <w:rFonts w:eastAsia="Times New Roman" w:cs="Times New Roman"/>
          <w:b/>
          <w:sz w:val="24"/>
          <w:szCs w:val="24"/>
          <w:lang w:val="ro-RO" w:eastAsia="ar-SA"/>
        </w:rPr>
        <w:t>Lege</w:t>
      </w:r>
      <w:r>
        <w:rPr>
          <w:rFonts w:eastAsia="Times New Roman" w:cs="Times New Roman"/>
          <w:b/>
          <w:sz w:val="24"/>
          <w:szCs w:val="24"/>
          <w:lang w:val="ro-RO" w:eastAsia="ar-SA"/>
        </w:rPr>
        <w:t>a</w:t>
      </w:r>
      <w:r w:rsidRPr="005E2DBB">
        <w:rPr>
          <w:rFonts w:eastAsia="Times New Roman" w:cs="Times New Roman"/>
          <w:b/>
          <w:sz w:val="24"/>
          <w:szCs w:val="24"/>
          <w:lang w:val="ro-RO" w:eastAsia="ar-SA"/>
        </w:rPr>
        <w:t xml:space="preserve"> nr. 343 din 31/05/2002</w:t>
      </w:r>
      <w:r w:rsidRPr="00765C47">
        <w:rPr>
          <w:rFonts w:eastAsia="Times New Roman" w:cs="Times New Roman"/>
          <w:sz w:val="24"/>
          <w:szCs w:val="24"/>
          <w:lang w:val="ro-RO" w:eastAsia="ar-SA"/>
        </w:rPr>
        <w:t xml:space="preserve"> pentru aprobarea Ordonanţei Guvernului nr. 109/2000 </w:t>
      </w:r>
      <w:r>
        <w:rPr>
          <w:rFonts w:eastAsia="Times New Roman" w:cs="Times New Roman"/>
          <w:sz w:val="24"/>
          <w:szCs w:val="24"/>
          <w:lang w:val="ro-RO" w:eastAsia="ar-SA"/>
        </w:rPr>
        <w:t>privind staţiunile balneare, climatice şi balneoclimatice şi asistenţă medicală balneară ş</w:t>
      </w:r>
      <w:r w:rsidRPr="00765C47">
        <w:rPr>
          <w:rFonts w:eastAsia="Times New Roman" w:cs="Times New Roman"/>
          <w:sz w:val="24"/>
          <w:szCs w:val="24"/>
          <w:lang w:val="ro-RO" w:eastAsia="ar-SA"/>
        </w:rPr>
        <w:t>i de recuperare</w:t>
      </w:r>
      <w:r>
        <w:rPr>
          <w:rFonts w:eastAsia="Times New Roman" w:cs="Times New Roman"/>
          <w:sz w:val="24"/>
          <w:szCs w:val="24"/>
          <w:lang w:val="ro-RO" w:eastAsia="ar-SA"/>
        </w:rPr>
        <w:t>.</w:t>
      </w:r>
    </w:p>
    <w:p w:rsidR="002617A6" w:rsidRDefault="002617A6" w:rsidP="002617A6">
      <w:pPr>
        <w:spacing w:after="0"/>
        <w:ind w:left="720"/>
        <w:jc w:val="both"/>
        <w:rPr>
          <w:rFonts w:eastAsia="Times New Roman" w:cs="Times New Roman"/>
          <w:sz w:val="24"/>
          <w:szCs w:val="24"/>
          <w:lang w:val="ro-RO" w:eastAsia="ar-SA"/>
        </w:rPr>
      </w:pPr>
      <w:r w:rsidRPr="005E2DBB">
        <w:rPr>
          <w:rFonts w:eastAsia="Times New Roman" w:cs="Times New Roman"/>
          <w:b/>
          <w:sz w:val="24"/>
          <w:szCs w:val="24"/>
          <w:lang w:val="ro-RO" w:eastAsia="ar-SA"/>
        </w:rPr>
        <w:lastRenderedPageBreak/>
        <w:t>Lege</w:t>
      </w:r>
      <w:r>
        <w:rPr>
          <w:rFonts w:eastAsia="Times New Roman" w:cs="Times New Roman"/>
          <w:b/>
          <w:sz w:val="24"/>
          <w:szCs w:val="24"/>
          <w:lang w:val="ro-RO" w:eastAsia="ar-SA"/>
        </w:rPr>
        <w:t>a</w:t>
      </w:r>
      <w:r w:rsidRPr="005E2DBB">
        <w:rPr>
          <w:rFonts w:eastAsia="Times New Roman" w:cs="Times New Roman"/>
          <w:b/>
          <w:sz w:val="24"/>
          <w:szCs w:val="24"/>
          <w:lang w:val="ro-RO" w:eastAsia="ar-SA"/>
        </w:rPr>
        <w:t xml:space="preserve"> nr. 415 din 16/11/2006 </w:t>
      </w:r>
      <w:r w:rsidRPr="00765C47">
        <w:rPr>
          <w:rFonts w:eastAsia="Times New Roman" w:cs="Times New Roman"/>
          <w:sz w:val="24"/>
          <w:szCs w:val="24"/>
          <w:lang w:val="ro-RO" w:eastAsia="ar-SA"/>
        </w:rPr>
        <w:t>pentru modificarea Ordonanţei Guvernului nr. 109/2000 privind staţiunile balneare, climatice şi balneoclimatice şi asistenţa medicală balneară şi de recuperare</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p>
    <w:p w:rsidR="002617A6" w:rsidRDefault="002617A6" w:rsidP="002617A6">
      <w:pPr>
        <w:spacing w:after="0"/>
        <w:jc w:val="both"/>
        <w:rPr>
          <w:rFonts w:eastAsia="Times New Roman" w:cs="Times New Roman"/>
          <w:sz w:val="24"/>
          <w:szCs w:val="24"/>
          <w:lang w:val="ro-RO" w:eastAsia="ar-SA"/>
        </w:rPr>
      </w:pPr>
      <w:r w:rsidRPr="008F2102">
        <w:rPr>
          <w:rFonts w:eastAsia="Times New Roman" w:cs="Times New Roman"/>
          <w:b/>
          <w:sz w:val="24"/>
          <w:szCs w:val="24"/>
          <w:lang w:val="ro-RO" w:eastAsia="ar-SA"/>
        </w:rPr>
        <w:t xml:space="preserve">Hotărârea Guvernului nr. 1122/2002 </w:t>
      </w:r>
      <w:r w:rsidRPr="008F2102">
        <w:rPr>
          <w:rFonts w:eastAsia="Times New Roman" w:cs="Times New Roman"/>
          <w:sz w:val="24"/>
          <w:szCs w:val="24"/>
          <w:lang w:val="ro-RO" w:eastAsia="ar-SA"/>
        </w:rPr>
        <w:t>pentru aprobarea condiţiilor şi a procedurii de atestare a staţiunilor</w:t>
      </w:r>
      <w:r>
        <w:rPr>
          <w:rFonts w:eastAsia="Times New Roman" w:cs="Times New Roman"/>
          <w:sz w:val="24"/>
          <w:szCs w:val="24"/>
          <w:lang w:val="ro-RO" w:eastAsia="ar-SA"/>
        </w:rPr>
        <w:t xml:space="preserve"> </w:t>
      </w:r>
      <w:r w:rsidRPr="008F2102">
        <w:rPr>
          <w:rFonts w:eastAsia="Times New Roman" w:cs="Times New Roman"/>
          <w:sz w:val="24"/>
          <w:szCs w:val="24"/>
          <w:lang w:val="ro-RO" w:eastAsia="ar-SA"/>
        </w:rPr>
        <w:t>turistice, precum şi pentru declararea unor localităţi ca staţiuni turistice de interes naţional, respectiv local</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p>
    <w:p w:rsidR="002617A6" w:rsidRPr="00765C47" w:rsidRDefault="002617A6" w:rsidP="002617A6">
      <w:pPr>
        <w:spacing w:after="0"/>
        <w:jc w:val="both"/>
        <w:rPr>
          <w:rFonts w:eastAsia="Times New Roman" w:cs="Times New Roman"/>
          <w:sz w:val="24"/>
          <w:szCs w:val="24"/>
          <w:lang w:val="ro-RO" w:eastAsia="ar-SA"/>
        </w:rPr>
      </w:pPr>
      <w:r w:rsidRPr="005E2DBB">
        <w:rPr>
          <w:rFonts w:eastAsia="Times New Roman" w:cs="Times New Roman"/>
          <w:b/>
          <w:sz w:val="24"/>
          <w:szCs w:val="24"/>
          <w:lang w:val="ro-RO" w:eastAsia="ar-SA"/>
        </w:rPr>
        <w:t>Hotărârea Guvernului nr.1016/2011</w:t>
      </w:r>
      <w:r w:rsidRPr="00765C47">
        <w:rPr>
          <w:rFonts w:eastAsia="Times New Roman" w:cs="Times New Roman"/>
          <w:sz w:val="24"/>
          <w:szCs w:val="24"/>
          <w:lang w:val="ro-RO" w:eastAsia="ar-SA"/>
        </w:rPr>
        <w:t xml:space="preserve"> privind acordarea statutului de staţiune balneară şi balneoclimatică pentru unele localităţi şi areale care dispun de factori naturali de cură</w:t>
      </w:r>
      <w:r>
        <w:rPr>
          <w:rFonts w:eastAsia="Times New Roman" w:cs="Times New Roman"/>
          <w:sz w:val="24"/>
          <w:szCs w:val="24"/>
          <w:lang w:val="ro-RO" w:eastAsia="ar-SA"/>
        </w:rPr>
        <w:t>, modificată de:</w:t>
      </w:r>
    </w:p>
    <w:p w:rsidR="002617A6" w:rsidRPr="00765C47" w:rsidRDefault="002617A6" w:rsidP="002617A6">
      <w:pPr>
        <w:spacing w:after="0"/>
        <w:ind w:left="720"/>
        <w:jc w:val="both"/>
        <w:rPr>
          <w:rFonts w:eastAsia="Times New Roman" w:cs="Times New Roman"/>
          <w:sz w:val="24"/>
          <w:szCs w:val="24"/>
          <w:lang w:val="ro-RO" w:eastAsia="ar-SA"/>
        </w:rPr>
      </w:pPr>
      <w:r w:rsidRPr="005E2DBB">
        <w:rPr>
          <w:rFonts w:eastAsia="Times New Roman" w:cs="Times New Roman"/>
          <w:b/>
          <w:sz w:val="24"/>
          <w:szCs w:val="24"/>
          <w:lang w:val="ro-RO" w:eastAsia="ar-SA"/>
        </w:rPr>
        <w:t>Hotărâre</w:t>
      </w:r>
      <w:r>
        <w:rPr>
          <w:rFonts w:eastAsia="Times New Roman" w:cs="Times New Roman"/>
          <w:b/>
          <w:sz w:val="24"/>
          <w:szCs w:val="24"/>
          <w:lang w:val="ro-RO" w:eastAsia="ar-SA"/>
        </w:rPr>
        <w:t>a</w:t>
      </w:r>
      <w:r w:rsidRPr="005E2DBB">
        <w:rPr>
          <w:rFonts w:eastAsia="Times New Roman" w:cs="Times New Roman"/>
          <w:b/>
          <w:sz w:val="24"/>
          <w:szCs w:val="24"/>
          <w:lang w:val="ro-RO" w:eastAsia="ar-SA"/>
        </w:rPr>
        <w:t xml:space="preserve"> nr. 367 din 12/06/2013</w:t>
      </w:r>
      <w:r w:rsidRPr="00765C47">
        <w:rPr>
          <w:rFonts w:eastAsia="Times New Roman" w:cs="Times New Roman"/>
          <w:sz w:val="24"/>
          <w:szCs w:val="24"/>
          <w:lang w:val="ro-RO" w:eastAsia="ar-SA"/>
        </w:rPr>
        <w:t xml:space="preserve"> pentru modificarea anexei nr. 1 la Hotărârea Guvernului nr. 1.016/2011 privind acordarea statutului de staţiune balneară şi balneoclimatică pentru unele localităţi şi areale care dispun de factori naturali de cură</w:t>
      </w:r>
      <w:r>
        <w:rPr>
          <w:rFonts w:eastAsia="Times New Roman" w:cs="Times New Roman"/>
          <w:sz w:val="24"/>
          <w:szCs w:val="24"/>
          <w:lang w:val="ro-RO" w:eastAsia="ar-SA"/>
        </w:rPr>
        <w:t>.</w:t>
      </w:r>
    </w:p>
    <w:p w:rsidR="002617A6" w:rsidRDefault="002617A6" w:rsidP="002617A6">
      <w:pPr>
        <w:ind w:left="720"/>
        <w:jc w:val="both"/>
        <w:rPr>
          <w:rFonts w:eastAsia="Times New Roman" w:cs="Times New Roman"/>
          <w:sz w:val="24"/>
          <w:szCs w:val="24"/>
          <w:lang w:val="ro-RO" w:eastAsia="ar-SA"/>
        </w:rPr>
      </w:pPr>
      <w:r w:rsidRPr="005E2DBB">
        <w:rPr>
          <w:rFonts w:eastAsia="Times New Roman" w:cs="Times New Roman"/>
          <w:b/>
          <w:sz w:val="24"/>
          <w:szCs w:val="24"/>
          <w:lang w:val="ro-RO" w:eastAsia="ar-SA"/>
        </w:rPr>
        <w:t>Hotărâre</w:t>
      </w:r>
      <w:r>
        <w:rPr>
          <w:rFonts w:eastAsia="Times New Roman" w:cs="Times New Roman"/>
          <w:b/>
          <w:sz w:val="24"/>
          <w:szCs w:val="24"/>
          <w:lang w:val="ro-RO" w:eastAsia="ar-SA"/>
        </w:rPr>
        <w:t>a</w:t>
      </w:r>
      <w:r w:rsidRPr="005E2DBB">
        <w:rPr>
          <w:rFonts w:eastAsia="Times New Roman" w:cs="Times New Roman"/>
          <w:b/>
          <w:sz w:val="24"/>
          <w:szCs w:val="24"/>
          <w:lang w:val="ro-RO" w:eastAsia="ar-SA"/>
        </w:rPr>
        <w:t xml:space="preserve"> nr. 1072 din 11/12/2013</w:t>
      </w:r>
      <w:r w:rsidRPr="00765C47">
        <w:rPr>
          <w:rFonts w:eastAsia="Times New Roman" w:cs="Times New Roman"/>
          <w:sz w:val="24"/>
          <w:szCs w:val="24"/>
          <w:lang w:val="ro-RO" w:eastAsia="ar-SA"/>
        </w:rPr>
        <w:t xml:space="preserve"> pentru modificarea anexei nr. 1 la Hotărârea Guvernului nr. 1.016/2011 privind acordarea statutului de staţiune balneară şi balneoclimatică pentru unele localităţi şi areale care dispun de factori naturali de cură</w:t>
      </w:r>
      <w:r>
        <w:rPr>
          <w:rFonts w:eastAsia="Times New Roman" w:cs="Times New Roman"/>
          <w:sz w:val="24"/>
          <w:szCs w:val="24"/>
          <w:lang w:val="ro-RO" w:eastAsia="ar-SA"/>
        </w:rPr>
        <w:t>.</w:t>
      </w:r>
    </w:p>
    <w:p w:rsidR="002617A6" w:rsidRDefault="002617A6" w:rsidP="002617A6">
      <w:pPr>
        <w:jc w:val="both"/>
        <w:rPr>
          <w:rFonts w:eastAsia="Times New Roman" w:cs="Times New Roman"/>
          <w:sz w:val="24"/>
          <w:szCs w:val="24"/>
          <w:lang w:val="ro-RO" w:eastAsia="ar-SA"/>
        </w:rPr>
      </w:pPr>
      <w:r w:rsidRPr="009B33B9">
        <w:rPr>
          <w:rFonts w:eastAsia="Times New Roman" w:cs="Times New Roman"/>
          <w:sz w:val="24"/>
          <w:szCs w:val="24"/>
          <w:lang w:val="ro-RO" w:eastAsia="ar-SA"/>
        </w:rPr>
        <w:t xml:space="preserve">Din 10 octombrie 2002 din </w:t>
      </w:r>
      <w:r w:rsidRPr="009B33B9">
        <w:rPr>
          <w:rFonts w:eastAsia="Times New Roman" w:cs="Times New Roman"/>
          <w:b/>
          <w:sz w:val="24"/>
          <w:szCs w:val="24"/>
          <w:lang w:val="ro-RO" w:eastAsia="ar-SA"/>
        </w:rPr>
        <w:t>4 staţiuni din Regiunea Centru au fost declarate</w:t>
      </w:r>
      <w:r w:rsidRPr="009B33B9">
        <w:rPr>
          <w:rFonts w:eastAsia="Times New Roman" w:cs="Times New Roman"/>
          <w:sz w:val="24"/>
          <w:szCs w:val="24"/>
          <w:lang w:val="ro-RO" w:eastAsia="ar-SA"/>
        </w:rPr>
        <w:t xml:space="preserve"> prin Hotărârea de Guvern nr.1122 </w:t>
      </w:r>
      <w:r w:rsidRPr="009B33B9">
        <w:rPr>
          <w:rFonts w:eastAsia="Times New Roman" w:cs="Times New Roman"/>
          <w:b/>
          <w:sz w:val="24"/>
          <w:szCs w:val="24"/>
          <w:lang w:val="ro-RO" w:eastAsia="ar-SA"/>
        </w:rPr>
        <w:t>staţiuni de interes naţional</w:t>
      </w:r>
      <w:r w:rsidRPr="009B33B9">
        <w:rPr>
          <w:rFonts w:eastAsia="Times New Roman" w:cs="Times New Roman"/>
          <w:sz w:val="24"/>
          <w:szCs w:val="24"/>
          <w:lang w:val="ro-RO" w:eastAsia="ar-SA"/>
        </w:rPr>
        <w:t xml:space="preserve"> (Covasna</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judeţul Covasna, Predeal</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judeţul Braşov, Băile Tuşnad</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judeţul Harghita, Sovata</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 xml:space="preserve">judeţul Mureş) iar alte </w:t>
      </w:r>
      <w:r w:rsidRPr="009B33B9">
        <w:rPr>
          <w:rFonts w:eastAsia="Times New Roman" w:cs="Times New Roman"/>
          <w:b/>
          <w:sz w:val="24"/>
          <w:szCs w:val="24"/>
          <w:lang w:val="ro-RO" w:eastAsia="ar-SA"/>
        </w:rPr>
        <w:t>11 sunt considerate de interes local</w:t>
      </w:r>
      <w:r w:rsidRPr="009B33B9">
        <w:rPr>
          <w:rFonts w:eastAsia="Times New Roman" w:cs="Times New Roman"/>
          <w:sz w:val="24"/>
          <w:szCs w:val="24"/>
          <w:lang w:val="ro-RO" w:eastAsia="ar-SA"/>
        </w:rPr>
        <w:t xml:space="preserve"> (Balvanyos</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judeţul Covasna, Bazna</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w:t>
      </w:r>
      <w:r>
        <w:rPr>
          <w:rFonts w:eastAsia="Times New Roman" w:cs="Times New Roman"/>
          <w:sz w:val="24"/>
          <w:szCs w:val="24"/>
          <w:lang w:val="ro-RO" w:eastAsia="ar-SA"/>
        </w:rPr>
        <w:t xml:space="preserve"> </w:t>
      </w:r>
      <w:r w:rsidRPr="009B33B9">
        <w:rPr>
          <w:rFonts w:eastAsia="Times New Roman" w:cs="Times New Roman"/>
          <w:sz w:val="24"/>
          <w:szCs w:val="24"/>
          <w:lang w:val="ro-RO" w:eastAsia="ar-SA"/>
        </w:rPr>
        <w:t>judeţul Sibiu, Băile Homorod, Borsec, Harghita-Băi, Izvoru Mureşului, Lacu Roşu şi Praid din judeţul Harghita</w:t>
      </w:r>
      <w:r>
        <w:rPr>
          <w:rFonts w:eastAsia="Times New Roman" w:cs="Times New Roman"/>
          <w:sz w:val="24"/>
          <w:szCs w:val="24"/>
          <w:lang w:val="ro-RO" w:eastAsia="ar-SA"/>
        </w:rPr>
        <w:t>, Pă</w:t>
      </w:r>
      <w:r w:rsidRPr="009B33B9">
        <w:rPr>
          <w:rFonts w:eastAsia="Times New Roman" w:cs="Times New Roman"/>
          <w:sz w:val="24"/>
          <w:szCs w:val="24"/>
          <w:lang w:val="ro-RO" w:eastAsia="ar-SA"/>
        </w:rPr>
        <w:t>ltiniş</w:t>
      </w:r>
      <w:r>
        <w:rPr>
          <w:rFonts w:eastAsia="Times New Roman" w:cs="Times New Roman"/>
          <w:sz w:val="24"/>
          <w:szCs w:val="24"/>
          <w:lang w:val="ro-RO" w:eastAsia="ar-SA"/>
        </w:rPr>
        <w:t xml:space="preserve"> – </w:t>
      </w:r>
      <w:r w:rsidRPr="009B33B9">
        <w:rPr>
          <w:rFonts w:eastAsia="Times New Roman" w:cs="Times New Roman"/>
          <w:sz w:val="24"/>
          <w:szCs w:val="24"/>
          <w:lang w:val="ro-RO" w:eastAsia="ar-SA"/>
        </w:rPr>
        <w:t xml:space="preserve">judeţul Sibiu, Pârâul Rece şi Timişu de Sus din judeţul Braşov. </w:t>
      </w:r>
    </w:p>
    <w:p w:rsidR="002617A6" w:rsidRDefault="002617A6" w:rsidP="002617A6">
      <w:pPr>
        <w:jc w:val="both"/>
        <w:rPr>
          <w:rFonts w:eastAsia="Times New Roman" w:cs="Times New Roman"/>
          <w:sz w:val="24"/>
          <w:szCs w:val="24"/>
          <w:lang w:val="ro-RO" w:eastAsia="ar-SA"/>
        </w:rPr>
      </w:pPr>
      <w:r>
        <w:rPr>
          <w:rFonts w:eastAsia="Times New Roman" w:cs="Times New Roman"/>
          <w:b/>
          <w:sz w:val="24"/>
          <w:szCs w:val="24"/>
          <w:lang w:val="ro-RO" w:eastAsia="ar-SA"/>
        </w:rPr>
        <w:t>C</w:t>
      </w:r>
      <w:r w:rsidRPr="00BD63CE">
        <w:rPr>
          <w:rFonts w:eastAsia="Times New Roman" w:cs="Times New Roman"/>
          <w:b/>
          <w:sz w:val="24"/>
          <w:szCs w:val="24"/>
          <w:lang w:val="ro-RO" w:eastAsia="ar-SA"/>
        </w:rPr>
        <w:t>ondiţiile pe care o staţiune de interes local</w:t>
      </w:r>
      <w:r>
        <w:rPr>
          <w:rFonts w:eastAsia="Times New Roman" w:cs="Times New Roman"/>
          <w:sz w:val="24"/>
          <w:szCs w:val="24"/>
          <w:lang w:val="ro-RO" w:eastAsia="ar-SA"/>
        </w:rPr>
        <w:t xml:space="preserve"> trebuie să le îndeplinească sunt următoarele: </w:t>
      </w:r>
    </w:p>
    <w:p w:rsidR="002617A6" w:rsidRPr="00BD63CE"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BD63CE">
        <w:rPr>
          <w:rFonts w:eastAsia="Times New Roman" w:cs="Times New Roman"/>
          <w:sz w:val="24"/>
          <w:szCs w:val="24"/>
          <w:lang w:val="ro-RO" w:eastAsia="ar-SA"/>
        </w:rPr>
        <w:t>Amplasarea într-un cadru natural pitoresc, fără factor</w:t>
      </w:r>
      <w:r>
        <w:rPr>
          <w:rFonts w:eastAsia="Times New Roman" w:cs="Times New Roman"/>
          <w:sz w:val="24"/>
          <w:szCs w:val="24"/>
          <w:lang w:val="ro-RO" w:eastAsia="ar-SA"/>
        </w:rPr>
        <w:t>i poluanţi;</w:t>
      </w:r>
    </w:p>
    <w:p w:rsidR="002617A6" w:rsidRPr="00BD63CE"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BD63CE">
        <w:rPr>
          <w:rFonts w:eastAsia="Times New Roman" w:cs="Times New Roman"/>
          <w:sz w:val="24"/>
          <w:szCs w:val="24"/>
          <w:lang w:val="ro-RO" w:eastAsia="ar-SA"/>
        </w:rPr>
        <w:t>Existenţa studiilor şi documentelor care atestă prezenţa şi valoarea factorilor naturali de cură (ape minerale, nămol, gaze terapeutice, bioclimat, lacuri terapeutice, saline) din punct de</w:t>
      </w:r>
      <w:r>
        <w:rPr>
          <w:rFonts w:eastAsia="Times New Roman" w:cs="Times New Roman"/>
          <w:sz w:val="24"/>
          <w:szCs w:val="24"/>
          <w:lang w:val="ro-RO" w:eastAsia="ar-SA"/>
        </w:rPr>
        <w:t xml:space="preserve"> vedere calitativ şi cantitativ;</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BD63CE">
        <w:rPr>
          <w:rFonts w:eastAsia="Times New Roman" w:cs="Times New Roman"/>
          <w:sz w:val="24"/>
          <w:szCs w:val="24"/>
          <w:lang w:val="ro-RO" w:eastAsia="ar-SA"/>
        </w:rPr>
        <w:t>Constituirea perimetrelor de protecţie ecologică, hidrogeologică şi sanitară a factorilor naturali de cură, în conformitate cu legislaţia în vigoare</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6035D3">
        <w:rPr>
          <w:rFonts w:eastAsia="Times New Roman" w:cs="Times New Roman"/>
          <w:sz w:val="24"/>
          <w:szCs w:val="24"/>
          <w:lang w:val="ro-RO" w:eastAsia="ar-SA"/>
        </w:rPr>
        <w:t>Drum rutier modernizat</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6035D3">
        <w:rPr>
          <w:rFonts w:eastAsia="Times New Roman" w:cs="Times New Roman"/>
          <w:sz w:val="24"/>
          <w:szCs w:val="24"/>
          <w:lang w:val="ro-RO" w:eastAsia="ar-SA"/>
        </w:rPr>
        <w:t>Transport în comun între staţiunea turistică şi gara care o deserveşte</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Asistenţă medicală permanentă şi mijloc de transport pentru urgenţe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Asistenţă medicală balneară, după caz, acreditată conform normelor legale în vigoare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Punct de prim ajutor</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Punct farmaceutic</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S</w:t>
      </w:r>
      <w:r w:rsidRPr="000E7760">
        <w:rPr>
          <w:rFonts w:eastAsia="Times New Roman" w:cs="Times New Roman"/>
          <w:sz w:val="24"/>
          <w:szCs w:val="24"/>
          <w:lang w:val="ro-RO" w:eastAsia="ar-SA"/>
        </w:rPr>
        <w:t>paţii comerciale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lastRenderedPageBreak/>
        <w:t>- Apă curentă</w:t>
      </w:r>
    </w:p>
    <w:p w:rsidR="002617A6" w:rsidRPr="008A00DF"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Canalizare</w:t>
      </w:r>
    </w:p>
    <w:p w:rsidR="002617A6" w:rsidRPr="008A00DF"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Energie electrică</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Dotări tehnice pentru exploatarea, protecţia şi utilizarea resurselor minerale terapeutice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Număr minim de locuri în structuri de primire turistice clasificate, fără campinguri</w:t>
      </w:r>
      <w:r>
        <w:rPr>
          <w:rFonts w:eastAsia="Times New Roman" w:cs="Times New Roman"/>
          <w:sz w:val="24"/>
          <w:szCs w:val="24"/>
          <w:lang w:val="ro-RO" w:eastAsia="ar-SA"/>
        </w:rPr>
        <w:t xml:space="preserve">: </w:t>
      </w:r>
      <w:r w:rsidRPr="008A00DF">
        <w:rPr>
          <w:rFonts w:eastAsia="Times New Roman" w:cs="Times New Roman"/>
          <w:b/>
          <w:sz w:val="24"/>
          <w:szCs w:val="24"/>
          <w:lang w:val="ro-RO" w:eastAsia="ar-SA"/>
        </w:rPr>
        <w:t xml:space="preserve"> 50</w:t>
      </w:r>
    </w:p>
    <w:p w:rsidR="002617A6" w:rsidRPr="008A00DF"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Amenajări şi dotări pentru relaxare în aer lib</w:t>
      </w:r>
      <w:r>
        <w:rPr>
          <w:rFonts w:eastAsia="Times New Roman" w:cs="Times New Roman"/>
          <w:sz w:val="24"/>
          <w:szCs w:val="24"/>
          <w:lang w:val="ro-RO" w:eastAsia="ar-SA"/>
        </w:rPr>
        <w:t>er, inclusiv terenuri sportive:</w:t>
      </w:r>
      <w:r w:rsidRPr="008A00DF">
        <w:rPr>
          <w:rFonts w:eastAsia="Times New Roman" w:cs="Times New Roman"/>
          <w:b/>
          <w:sz w:val="24"/>
          <w:szCs w:val="24"/>
          <w:lang w:val="ro-RO" w:eastAsia="ar-SA"/>
        </w:rPr>
        <w:t xml:space="preserve"> 1</w:t>
      </w:r>
    </w:p>
    <w:p w:rsidR="002617A6" w:rsidRDefault="002617A6" w:rsidP="002617A6">
      <w:pPr>
        <w:spacing w:after="0"/>
        <w:jc w:val="both"/>
        <w:rPr>
          <w:rFonts w:eastAsia="Times New Roman" w:cs="Times New Roman"/>
          <w:b/>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Terenu</w:t>
      </w:r>
      <w:r>
        <w:rPr>
          <w:rFonts w:eastAsia="Times New Roman" w:cs="Times New Roman"/>
          <w:sz w:val="24"/>
          <w:szCs w:val="24"/>
          <w:lang w:val="ro-RO" w:eastAsia="ar-SA"/>
        </w:rPr>
        <w:t xml:space="preserve">ri de joacă pentru copii: </w:t>
      </w:r>
      <w:r w:rsidRPr="008A00DF">
        <w:rPr>
          <w:rFonts w:eastAsia="Times New Roman" w:cs="Times New Roman"/>
          <w:b/>
          <w:sz w:val="24"/>
          <w:szCs w:val="24"/>
          <w:lang w:val="ro-RO" w:eastAsia="ar-SA"/>
        </w:rPr>
        <w:t>1</w:t>
      </w:r>
    </w:p>
    <w:p w:rsidR="002617A6" w:rsidRPr="008A00DF" w:rsidRDefault="002617A6" w:rsidP="002617A6">
      <w:pPr>
        <w:spacing w:after="0"/>
        <w:jc w:val="both"/>
        <w:rPr>
          <w:rFonts w:eastAsia="Times New Roman" w:cs="Times New Roman"/>
          <w:sz w:val="24"/>
          <w:szCs w:val="24"/>
          <w:lang w:val="ro-RO" w:eastAsia="ar-SA"/>
        </w:rPr>
      </w:pPr>
      <w:r w:rsidRPr="008A00DF">
        <w:rPr>
          <w:rFonts w:eastAsia="Times New Roman" w:cs="Times New Roman"/>
          <w:sz w:val="24"/>
          <w:szCs w:val="24"/>
          <w:lang w:val="ro-RO" w:eastAsia="ar-SA"/>
        </w:rPr>
        <w:t>- Număr minim de trasee turistice montane marcate şi afişate, dacă este cazul:</w:t>
      </w:r>
      <w:r w:rsidRPr="008A00DF">
        <w:rPr>
          <w:rFonts w:eastAsia="Times New Roman" w:cs="Times New Roman"/>
          <w:b/>
          <w:sz w:val="24"/>
          <w:szCs w:val="24"/>
          <w:lang w:val="ro-RO" w:eastAsia="ar-SA"/>
        </w:rPr>
        <w:t xml:space="preserve"> 1</w:t>
      </w:r>
      <w:r w:rsidRPr="008A00DF">
        <w:rPr>
          <w:rFonts w:eastAsia="Times New Roman" w:cs="Times New Roman"/>
          <w:sz w:val="24"/>
          <w:szCs w:val="24"/>
          <w:lang w:val="ro-RO" w:eastAsia="ar-SA"/>
        </w:rPr>
        <w:t xml:space="preserve"> </w:t>
      </w:r>
    </w:p>
    <w:p w:rsidR="002617A6" w:rsidRDefault="002617A6" w:rsidP="002617A6">
      <w:pPr>
        <w:spacing w:after="0"/>
        <w:jc w:val="both"/>
        <w:rPr>
          <w:rFonts w:eastAsia="Times New Roman" w:cs="Times New Roman"/>
          <w:sz w:val="24"/>
          <w:szCs w:val="24"/>
          <w:lang w:val="ro-RO" w:eastAsia="ar-SA"/>
        </w:rPr>
      </w:pPr>
      <w:r w:rsidRPr="008A00DF">
        <w:rPr>
          <w:rFonts w:eastAsia="Times New Roman" w:cs="Times New Roman"/>
          <w:sz w:val="24"/>
          <w:szCs w:val="24"/>
          <w:lang w:val="ro-RO" w:eastAsia="ar-SA"/>
        </w:rPr>
        <w:t>- Bază pentru valorificarea resurselor naturale terapeutice, dacă este cazul</w:t>
      </w:r>
    </w:p>
    <w:p w:rsidR="002617A6" w:rsidRDefault="002617A6" w:rsidP="002617A6">
      <w:pPr>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8A00DF">
        <w:rPr>
          <w:rFonts w:eastAsia="Times New Roman" w:cs="Times New Roman"/>
          <w:sz w:val="24"/>
          <w:szCs w:val="24"/>
          <w:lang w:val="ro-RO" w:eastAsia="ar-SA"/>
        </w:rPr>
        <w:t>Localităţile sau părţile de localităţi de pe litoral trebuie să dispună de plajă amenajată</w:t>
      </w:r>
      <w:r>
        <w:rPr>
          <w:rFonts w:eastAsia="Times New Roman" w:cs="Times New Roman"/>
          <w:sz w:val="24"/>
          <w:szCs w:val="24"/>
          <w:lang w:val="ro-RO" w:eastAsia="ar-SA"/>
        </w:rPr>
        <w:t>.</w:t>
      </w:r>
    </w:p>
    <w:p w:rsidR="002617A6" w:rsidRDefault="002617A6" w:rsidP="002617A6">
      <w:pPr>
        <w:jc w:val="both"/>
        <w:rPr>
          <w:rFonts w:eastAsia="Times New Roman" w:cs="Times New Roman"/>
          <w:sz w:val="24"/>
          <w:szCs w:val="24"/>
          <w:lang w:val="ro-RO" w:eastAsia="ar-SA"/>
        </w:rPr>
      </w:pPr>
      <w:r>
        <w:rPr>
          <w:rFonts w:eastAsia="Times New Roman" w:cs="Times New Roman"/>
          <w:sz w:val="24"/>
          <w:szCs w:val="24"/>
          <w:lang w:val="ro-RO" w:eastAsia="ar-SA"/>
        </w:rPr>
        <w:t xml:space="preserve">Pe lângă condiţiile enumerate anterior </w:t>
      </w:r>
      <w:r w:rsidRPr="000E7760">
        <w:rPr>
          <w:rFonts w:eastAsia="Times New Roman" w:cs="Times New Roman"/>
          <w:b/>
          <w:sz w:val="24"/>
          <w:szCs w:val="24"/>
          <w:lang w:val="ro-RO" w:eastAsia="ar-SA"/>
        </w:rPr>
        <w:t xml:space="preserve">o </w:t>
      </w:r>
      <w:r>
        <w:rPr>
          <w:rFonts w:eastAsia="Times New Roman" w:cs="Times New Roman"/>
          <w:b/>
          <w:sz w:val="24"/>
          <w:szCs w:val="24"/>
          <w:lang w:val="ro-RO" w:eastAsia="ar-SA"/>
        </w:rPr>
        <w:t>staţiune</w:t>
      </w:r>
      <w:r w:rsidRPr="009B33B9">
        <w:rPr>
          <w:rFonts w:eastAsia="Times New Roman" w:cs="Times New Roman"/>
          <w:b/>
          <w:sz w:val="24"/>
          <w:szCs w:val="24"/>
          <w:lang w:val="ro-RO" w:eastAsia="ar-SA"/>
        </w:rPr>
        <w:t xml:space="preserve"> de interes naţional</w:t>
      </w:r>
      <w:r>
        <w:rPr>
          <w:rFonts w:eastAsia="Times New Roman" w:cs="Times New Roman"/>
          <w:b/>
          <w:sz w:val="24"/>
          <w:szCs w:val="24"/>
          <w:lang w:val="ro-RO" w:eastAsia="ar-SA"/>
        </w:rPr>
        <w:t xml:space="preserve"> mai trebuie să îndeplinească şi condiţiile </w:t>
      </w:r>
      <w:r w:rsidRPr="000E7760">
        <w:rPr>
          <w:rFonts w:eastAsia="Times New Roman" w:cs="Times New Roman"/>
          <w:sz w:val="24"/>
          <w:szCs w:val="24"/>
          <w:lang w:val="ro-RO" w:eastAsia="ar-SA"/>
        </w:rPr>
        <w:t>următoare: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Trenurile cu regim de rezervare a locurilor, inclusiv vagoanele de dormit, trebuie să oprească în gara care deserveşte staţiunea turistică</w:t>
      </w:r>
    </w:p>
    <w:p w:rsidR="002617A6" w:rsidRPr="000E7760"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Spaţii comerciale şi pentru activităţi de prestări de servicii: bancă, schi</w:t>
      </w:r>
      <w:r>
        <w:rPr>
          <w:rFonts w:eastAsia="Times New Roman" w:cs="Times New Roman"/>
          <w:sz w:val="24"/>
          <w:szCs w:val="24"/>
          <w:lang w:val="ro-RO" w:eastAsia="ar-SA"/>
        </w:rPr>
        <w:t>mb valutar, agenţie de turism</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Săli</w:t>
      </w:r>
      <w:r>
        <w:rPr>
          <w:rFonts w:eastAsia="Times New Roman" w:cs="Times New Roman"/>
          <w:sz w:val="24"/>
          <w:szCs w:val="24"/>
          <w:lang w:val="ro-RO" w:eastAsia="ar-SA"/>
        </w:rPr>
        <w:t xml:space="preserve"> de spectacole şi de conferinţe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Asistenţă medicală permanentă şi mijloc de transport pentru urgenţe</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Amenajarea şi iluminarea locurilor de promenadă</w:t>
      </w:r>
    </w:p>
    <w:p w:rsidR="002617A6" w:rsidRPr="000E7760"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Număr minim de locuri în structuri de primire turistice clasificate, fără campinguri</w:t>
      </w:r>
      <w:r>
        <w:rPr>
          <w:rFonts w:eastAsia="Times New Roman" w:cs="Times New Roman"/>
          <w:sz w:val="24"/>
          <w:szCs w:val="24"/>
          <w:lang w:val="ro-RO" w:eastAsia="ar-SA"/>
        </w:rPr>
        <w:t xml:space="preserve">: </w:t>
      </w:r>
      <w:r w:rsidRPr="00221BA6">
        <w:rPr>
          <w:rFonts w:eastAsia="Times New Roman" w:cs="Times New Roman"/>
          <w:b/>
          <w:sz w:val="24"/>
          <w:szCs w:val="24"/>
          <w:lang w:val="ro-RO" w:eastAsia="ar-SA"/>
        </w:rPr>
        <w:t>300</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Amenajări şi dotări pentru servicii de revigorare în spaţii construite, săli pentru întreţinere (fitness)</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Amenajări şi dotări pentru relaxare în aer libe</w:t>
      </w:r>
      <w:r>
        <w:rPr>
          <w:rFonts w:eastAsia="Times New Roman" w:cs="Times New Roman"/>
          <w:sz w:val="24"/>
          <w:szCs w:val="24"/>
          <w:lang w:val="ro-RO" w:eastAsia="ar-SA"/>
        </w:rPr>
        <w:t xml:space="preserve">r, inclusiv terenuri sportive: </w:t>
      </w:r>
      <w:r w:rsidRPr="00221BA6">
        <w:rPr>
          <w:rFonts w:eastAsia="Times New Roman" w:cs="Times New Roman"/>
          <w:b/>
          <w:sz w:val="24"/>
          <w:szCs w:val="24"/>
          <w:lang w:val="ro-RO" w:eastAsia="ar-SA"/>
        </w:rPr>
        <w:t>3</w:t>
      </w:r>
    </w:p>
    <w:p w:rsidR="002617A6" w:rsidRPr="00221BA6" w:rsidRDefault="002617A6" w:rsidP="002617A6">
      <w:pPr>
        <w:spacing w:after="0"/>
        <w:jc w:val="both"/>
        <w:rPr>
          <w:rFonts w:eastAsia="Times New Roman" w:cs="Times New Roman"/>
          <w:b/>
          <w:sz w:val="24"/>
          <w:szCs w:val="24"/>
          <w:lang w:val="ro-RO" w:eastAsia="ar-SA"/>
        </w:rPr>
      </w:pPr>
      <w:r>
        <w:rPr>
          <w:rFonts w:eastAsia="Times New Roman" w:cs="Times New Roman"/>
          <w:sz w:val="24"/>
          <w:szCs w:val="24"/>
          <w:lang w:val="ro-RO" w:eastAsia="ar-SA"/>
        </w:rPr>
        <w:t xml:space="preserve">- Terenuri de joacă pentru copii: </w:t>
      </w:r>
      <w:r w:rsidRPr="00221BA6">
        <w:rPr>
          <w:rFonts w:eastAsia="Times New Roman" w:cs="Times New Roman"/>
          <w:b/>
          <w:sz w:val="24"/>
          <w:szCs w:val="24"/>
          <w:lang w:val="ro-RO" w:eastAsia="ar-SA"/>
        </w:rPr>
        <w:t>2</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Parc amenajat</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0E7760">
        <w:rPr>
          <w:rFonts w:eastAsia="Times New Roman" w:cs="Times New Roman"/>
          <w:sz w:val="24"/>
          <w:szCs w:val="24"/>
          <w:lang w:val="ro-RO" w:eastAsia="ar-SA"/>
        </w:rPr>
        <w:t>Număr minim de trasee turistice montane marcate şi afişate, dacă este cazul</w:t>
      </w:r>
      <w:r>
        <w:rPr>
          <w:rFonts w:eastAsia="Times New Roman" w:cs="Times New Roman"/>
          <w:sz w:val="24"/>
          <w:szCs w:val="24"/>
          <w:lang w:val="ro-RO" w:eastAsia="ar-SA"/>
        </w:rPr>
        <w:t xml:space="preserve">: </w:t>
      </w:r>
      <w:r w:rsidRPr="00221BA6">
        <w:rPr>
          <w:rFonts w:eastAsia="Times New Roman" w:cs="Times New Roman"/>
          <w:b/>
          <w:sz w:val="24"/>
          <w:szCs w:val="24"/>
          <w:lang w:val="ro-RO" w:eastAsia="ar-SA"/>
        </w:rPr>
        <w:t>3</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221BA6">
        <w:rPr>
          <w:rFonts w:eastAsia="Times New Roman" w:cs="Times New Roman"/>
          <w:sz w:val="24"/>
          <w:szCs w:val="24"/>
          <w:lang w:val="ro-RO" w:eastAsia="ar-SA"/>
        </w:rPr>
        <w:t>Amenajări şi dotări pentru plimbări sau practicarea sport</w:t>
      </w:r>
      <w:r>
        <w:rPr>
          <w:rFonts w:eastAsia="Times New Roman" w:cs="Times New Roman"/>
          <w:sz w:val="24"/>
          <w:szCs w:val="24"/>
          <w:lang w:val="ro-RO" w:eastAsia="ar-SA"/>
        </w:rPr>
        <w:t>urilor nautice, dacă este cazul</w:t>
      </w:r>
    </w:p>
    <w:p w:rsidR="002617A6" w:rsidRDefault="002617A6" w:rsidP="002617A6">
      <w:pPr>
        <w:jc w:val="both"/>
        <w:rPr>
          <w:rFonts w:eastAsia="Times New Roman" w:cs="Times New Roman"/>
          <w:sz w:val="24"/>
          <w:szCs w:val="24"/>
          <w:lang w:val="ro-RO" w:eastAsia="ar-SA"/>
        </w:rPr>
      </w:pPr>
      <w:r>
        <w:rPr>
          <w:rFonts w:eastAsia="Times New Roman" w:cs="Times New Roman"/>
          <w:sz w:val="24"/>
          <w:szCs w:val="24"/>
          <w:lang w:val="ro-RO" w:eastAsia="ar-SA"/>
        </w:rPr>
        <w:t xml:space="preserve">- </w:t>
      </w:r>
      <w:r w:rsidRPr="00221BA6">
        <w:rPr>
          <w:rFonts w:eastAsia="Times New Roman" w:cs="Times New Roman"/>
          <w:sz w:val="24"/>
          <w:szCs w:val="24"/>
          <w:lang w:val="ro-RO" w:eastAsia="ar-SA"/>
        </w:rPr>
        <w:t>Localităţile sau părţile de localităţi care dispun de condiţii pentru practicarea schiului trebuie să aibă amenajată cel puţin o pârtie de schi omologată şi mijloacele de transport pe cablu corespunzătoare</w:t>
      </w:r>
      <w:r>
        <w:rPr>
          <w:rFonts w:eastAsia="Times New Roman" w:cs="Times New Roman"/>
          <w:sz w:val="24"/>
          <w:szCs w:val="24"/>
          <w:lang w:val="ro-RO" w:eastAsia="ar-SA"/>
        </w:rPr>
        <w:t>.</w:t>
      </w:r>
    </w:p>
    <w:p w:rsidR="002617A6" w:rsidRDefault="002617A6" w:rsidP="002617A6">
      <w:pPr>
        <w:spacing w:after="0"/>
        <w:jc w:val="both"/>
        <w:rPr>
          <w:rFonts w:eastAsia="Times New Roman" w:cs="Times New Roman"/>
          <w:sz w:val="24"/>
          <w:szCs w:val="24"/>
          <w:lang w:val="ro-RO" w:eastAsia="ar-SA"/>
        </w:rPr>
      </w:pPr>
      <w:r>
        <w:rPr>
          <w:rFonts w:eastAsia="Times New Roman" w:cs="Times New Roman"/>
          <w:sz w:val="24"/>
          <w:szCs w:val="24"/>
          <w:lang w:val="ro-RO" w:eastAsia="ar-SA"/>
        </w:rPr>
        <w:t>Conform Hotărârii</w:t>
      </w:r>
      <w:r w:rsidRPr="0092430D">
        <w:rPr>
          <w:rFonts w:eastAsia="Times New Roman" w:cs="Times New Roman"/>
          <w:sz w:val="24"/>
          <w:szCs w:val="24"/>
          <w:lang w:val="ro-RO" w:eastAsia="ar-SA"/>
        </w:rPr>
        <w:t xml:space="preserve"> nr. 1016/2011 privind acordarea statutului de staţiune balneară şi balneoclimatică pentru unele localităţi şi areale care dispun de factori naturali de cură</w:t>
      </w:r>
      <w:r>
        <w:rPr>
          <w:rFonts w:eastAsia="Times New Roman" w:cs="Times New Roman"/>
          <w:sz w:val="24"/>
          <w:szCs w:val="24"/>
          <w:lang w:val="ro-RO" w:eastAsia="ar-SA"/>
        </w:rPr>
        <w:t xml:space="preserve">, din cele 6 localităţi </w:t>
      </w:r>
      <w:r w:rsidRPr="0092430D">
        <w:rPr>
          <w:rFonts w:eastAsia="Times New Roman" w:cs="Times New Roman"/>
          <w:sz w:val="24"/>
          <w:szCs w:val="24"/>
          <w:lang w:val="ro-RO" w:eastAsia="ar-SA"/>
        </w:rPr>
        <w:t>şi arealele pentru care se acordă statutul de staţiune balneoclimatică</w:t>
      </w:r>
      <w:r>
        <w:rPr>
          <w:rFonts w:eastAsia="Times New Roman" w:cs="Times New Roman"/>
          <w:sz w:val="24"/>
          <w:szCs w:val="24"/>
          <w:lang w:val="ro-RO" w:eastAsia="ar-SA"/>
        </w:rPr>
        <w:t>, 3 sunt din Regiunea Centru:</w:t>
      </w:r>
    </w:p>
    <w:p w:rsidR="002617A6" w:rsidRPr="009B33B9"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Covasna</w:t>
      </w:r>
      <w:r w:rsidRPr="009B33B9">
        <w:rPr>
          <w:rFonts w:eastAsia="Times New Roman" w:cs="Times New Roman"/>
          <w:sz w:val="24"/>
          <w:szCs w:val="24"/>
          <w:lang w:eastAsia="ar-SA"/>
        </w:rPr>
        <w:t>, judeţul Covasna;</w:t>
      </w:r>
    </w:p>
    <w:p w:rsidR="002617A6" w:rsidRPr="009B33B9"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Sovata</w:t>
      </w:r>
      <w:r w:rsidRPr="009B33B9">
        <w:rPr>
          <w:rFonts w:eastAsia="Times New Roman" w:cs="Times New Roman"/>
          <w:sz w:val="24"/>
          <w:szCs w:val="24"/>
          <w:lang w:eastAsia="ar-SA"/>
        </w:rPr>
        <w:t>, judeţul Mureş;</w:t>
      </w:r>
    </w:p>
    <w:p w:rsidR="002617A6" w:rsidRPr="0092430D"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Ocna Sibiului</w:t>
      </w:r>
      <w:r w:rsidRPr="009B33B9">
        <w:rPr>
          <w:rFonts w:eastAsia="Times New Roman" w:cs="Times New Roman"/>
          <w:sz w:val="24"/>
          <w:szCs w:val="24"/>
          <w:lang w:eastAsia="ar-SA"/>
        </w:rPr>
        <w:t>, judeţul Sibiu;</w:t>
      </w:r>
    </w:p>
    <w:p w:rsidR="002617A6" w:rsidRPr="00A9797D" w:rsidRDefault="002617A6" w:rsidP="002617A6">
      <w:pPr>
        <w:spacing w:after="0"/>
        <w:jc w:val="both"/>
        <w:rPr>
          <w:sz w:val="24"/>
          <w:szCs w:val="24"/>
          <w:lang w:val="ro-RO"/>
        </w:rPr>
      </w:pPr>
      <w:r>
        <w:rPr>
          <w:rFonts w:eastAsia="Times New Roman" w:cs="Times New Roman"/>
          <w:sz w:val="24"/>
          <w:szCs w:val="24"/>
          <w:lang w:val="ro-RO" w:eastAsia="ar-SA"/>
        </w:rPr>
        <w:t>În 2013</w:t>
      </w:r>
      <w:r w:rsidRPr="009B33B9">
        <w:rPr>
          <w:rFonts w:eastAsia="Times New Roman" w:cs="Times New Roman"/>
          <w:sz w:val="24"/>
          <w:szCs w:val="24"/>
          <w:lang w:val="ro-RO" w:eastAsia="ar-SA"/>
        </w:rPr>
        <w:t xml:space="preserve"> se modifică </w:t>
      </w:r>
      <w:r>
        <w:rPr>
          <w:rFonts w:eastAsia="Times New Roman" w:cs="Times New Roman"/>
          <w:sz w:val="24"/>
          <w:szCs w:val="24"/>
          <w:lang w:val="ro-RO" w:eastAsia="ar-SA"/>
        </w:rPr>
        <w:t xml:space="preserve">pentru ultima oară până la momentul actual </w:t>
      </w:r>
      <w:r w:rsidRPr="009B33B9">
        <w:rPr>
          <w:rFonts w:eastAsia="Times New Roman" w:cs="Times New Roman"/>
          <w:sz w:val="24"/>
          <w:szCs w:val="24"/>
          <w:lang w:val="ro-RO" w:eastAsia="ar-SA"/>
        </w:rPr>
        <w:t xml:space="preserve">anexa nr.1 a Hotărârii Guvernului nr.1016/2011 privind acordarea statutului de staţiune balneară pentru unele </w:t>
      </w:r>
      <w:r w:rsidRPr="009B33B9">
        <w:rPr>
          <w:rFonts w:eastAsia="Times New Roman" w:cs="Times New Roman"/>
          <w:sz w:val="24"/>
          <w:szCs w:val="24"/>
          <w:lang w:val="ro-RO" w:eastAsia="ar-SA"/>
        </w:rPr>
        <w:lastRenderedPageBreak/>
        <w:t>localităţi şi areale care dispun de factori naturali de cură. Din cele 2</w:t>
      </w:r>
      <w:r>
        <w:rPr>
          <w:rFonts w:eastAsia="Times New Roman" w:cs="Times New Roman"/>
          <w:sz w:val="24"/>
          <w:szCs w:val="24"/>
          <w:lang w:val="ro-RO" w:eastAsia="ar-SA"/>
        </w:rPr>
        <w:t>3</w:t>
      </w:r>
      <w:r w:rsidRPr="009B33B9">
        <w:rPr>
          <w:rFonts w:eastAsia="Times New Roman" w:cs="Times New Roman"/>
          <w:sz w:val="24"/>
          <w:szCs w:val="24"/>
          <w:lang w:val="ro-RO" w:eastAsia="ar-SA"/>
        </w:rPr>
        <w:t xml:space="preserve"> de localităţi şi areale, următoarele 5 sunt din Regiunea Centru:</w:t>
      </w:r>
    </w:p>
    <w:p w:rsidR="002617A6" w:rsidRPr="009B33B9"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Covasna</w:t>
      </w:r>
      <w:r w:rsidRPr="009B33B9">
        <w:rPr>
          <w:rFonts w:eastAsia="Times New Roman" w:cs="Times New Roman"/>
          <w:sz w:val="24"/>
          <w:szCs w:val="24"/>
          <w:lang w:eastAsia="ar-SA"/>
        </w:rPr>
        <w:t>, judeţul Covasna;</w:t>
      </w:r>
    </w:p>
    <w:p w:rsidR="002617A6" w:rsidRPr="009B33B9"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Băile Tuşnad</w:t>
      </w:r>
      <w:r w:rsidRPr="009B33B9">
        <w:rPr>
          <w:rFonts w:eastAsia="Times New Roman" w:cs="Times New Roman"/>
          <w:sz w:val="24"/>
          <w:szCs w:val="24"/>
          <w:lang w:eastAsia="ar-SA"/>
        </w:rPr>
        <w:t>, judeţul Harghita;</w:t>
      </w:r>
    </w:p>
    <w:p w:rsidR="002617A6" w:rsidRPr="009B33B9"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Sovata</w:t>
      </w:r>
      <w:r w:rsidRPr="009B33B9">
        <w:rPr>
          <w:rFonts w:eastAsia="Times New Roman" w:cs="Times New Roman"/>
          <w:sz w:val="24"/>
          <w:szCs w:val="24"/>
          <w:lang w:eastAsia="ar-SA"/>
        </w:rPr>
        <w:t>, judeţul Mureş;</w:t>
      </w:r>
    </w:p>
    <w:p w:rsidR="002617A6" w:rsidRPr="009B33B9"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Oraşul Ocna Sibiului</w:t>
      </w:r>
      <w:r w:rsidRPr="009B33B9">
        <w:rPr>
          <w:rFonts w:eastAsia="Times New Roman" w:cs="Times New Roman"/>
          <w:sz w:val="24"/>
          <w:szCs w:val="24"/>
          <w:lang w:eastAsia="ar-SA"/>
        </w:rPr>
        <w:t>, judeţul Sibiu;</w:t>
      </w:r>
    </w:p>
    <w:p w:rsidR="002617A6" w:rsidRDefault="002617A6" w:rsidP="0002155C">
      <w:pPr>
        <w:pStyle w:val="Listparagraf"/>
        <w:numPr>
          <w:ilvl w:val="0"/>
          <w:numId w:val="84"/>
        </w:numPr>
        <w:jc w:val="both"/>
        <w:rPr>
          <w:rFonts w:eastAsia="Times New Roman" w:cs="Times New Roman"/>
          <w:sz w:val="24"/>
          <w:szCs w:val="24"/>
          <w:lang w:eastAsia="ar-SA"/>
        </w:rPr>
      </w:pPr>
      <w:r w:rsidRPr="009B33B9">
        <w:rPr>
          <w:rFonts w:eastAsia="Times New Roman" w:cs="Times New Roman"/>
          <w:b/>
          <w:sz w:val="24"/>
          <w:szCs w:val="24"/>
          <w:lang w:eastAsia="ar-SA"/>
        </w:rPr>
        <w:t>Comuna Bazna</w:t>
      </w:r>
      <w:r>
        <w:rPr>
          <w:rFonts w:eastAsia="Times New Roman" w:cs="Times New Roman"/>
          <w:sz w:val="24"/>
          <w:szCs w:val="24"/>
          <w:lang w:eastAsia="ar-SA"/>
        </w:rPr>
        <w:t>, judeţul Sibiu.</w:t>
      </w:r>
    </w:p>
    <w:p w:rsidR="002617A6" w:rsidRDefault="002617A6" w:rsidP="002617A6">
      <w:pPr>
        <w:jc w:val="both"/>
        <w:rPr>
          <w:rFonts w:eastAsia="Times New Roman" w:cs="Times New Roman"/>
          <w:sz w:val="24"/>
          <w:szCs w:val="24"/>
          <w:lang w:val="ro-RO" w:eastAsia="ar-SA"/>
        </w:rPr>
      </w:pPr>
      <w:r w:rsidRPr="00016445">
        <w:rPr>
          <w:rFonts w:eastAsia="Times New Roman" w:cs="Times New Roman"/>
          <w:sz w:val="24"/>
          <w:szCs w:val="24"/>
          <w:lang w:val="ro-RO" w:eastAsia="ar-SA"/>
        </w:rPr>
        <w:t>În conformitate cu prevederile  art. 1 alin.(1) lit.c) din Ordonanţa Guvernului nr.109/2000 privind staţiunile balneare, climatice şi balneoclimatice şi asistenţa medicală balneară şi de recuperare, aprobată cu modificări şi completări prin Legea nr.343/2002, staţiunile balneoclimatice sunt definite ca localităţi care dispun de resurse de substanţe minerale, ştiinţific dovedite şi tradiţional recunoscute ca eficiente terapeutic, de factori climatici benefici şi de condiţii de asigurare a menţinerii şi ameliorării sănătăţii şi capacităţii de muncă, precum şi a odihnei şi reconfortării.</w:t>
      </w:r>
    </w:p>
    <w:p w:rsidR="002617A6" w:rsidRDefault="002617A6" w:rsidP="002617A6">
      <w:pPr>
        <w:spacing w:after="0"/>
        <w:jc w:val="both"/>
        <w:rPr>
          <w:b/>
          <w:sz w:val="28"/>
          <w:szCs w:val="28"/>
          <w:lang w:val="ro-RO"/>
        </w:rPr>
      </w:pPr>
      <w:r w:rsidRPr="00BD63CE">
        <w:rPr>
          <w:rFonts w:eastAsia="Times New Roman" w:cs="Times New Roman"/>
          <w:sz w:val="24"/>
          <w:szCs w:val="24"/>
          <w:lang w:val="ro-RO" w:eastAsia="ar-SA"/>
        </w:rPr>
        <w:t>În conformitate cu prevederile art.2 alin.(1) din acelaşi act normativ, statutul de staţiune balneoclimatică se acordă prin hotărâre a Guvernului, la propunerea consiliilor locale, în baza normelor tehnice unitare pentru realizarea documentaţiilor complexe de atestare a funcţionării staţiunilor balneare, climatice şi balneoclimatice şi de organizare a întregii activităţi de utilizare a factorilor naturali, aprobate prin Hotărârea Guvernului nr.1154/2004.</w:t>
      </w:r>
    </w:p>
    <w:p w:rsidR="002617A6" w:rsidRDefault="002617A6" w:rsidP="002617A6">
      <w:pPr>
        <w:spacing w:after="0"/>
        <w:jc w:val="both"/>
        <w:rPr>
          <w:b/>
          <w:sz w:val="28"/>
          <w:szCs w:val="28"/>
          <w:lang w:val="ro-RO"/>
        </w:rPr>
      </w:pPr>
    </w:p>
    <w:p w:rsidR="002617A6" w:rsidRPr="00A9797D" w:rsidRDefault="002617A6" w:rsidP="002617A6">
      <w:pPr>
        <w:spacing w:after="0"/>
        <w:jc w:val="both"/>
        <w:rPr>
          <w:rFonts w:cs="Times New Roman"/>
          <w:sz w:val="24"/>
          <w:szCs w:val="24"/>
          <w:lang w:val="ro-RO"/>
        </w:rPr>
      </w:pPr>
      <w:r w:rsidRPr="00A9797D">
        <w:rPr>
          <w:b/>
          <w:sz w:val="28"/>
          <w:szCs w:val="28"/>
          <w:lang w:val="ro-RO"/>
        </w:rPr>
        <w:t>Evoluția turismului balnear la nivel național</w:t>
      </w:r>
    </w:p>
    <w:p w:rsidR="002617A6" w:rsidRPr="004E3377" w:rsidRDefault="002617A6" w:rsidP="002617A6">
      <w:pPr>
        <w:spacing w:after="0"/>
        <w:ind w:firstLine="720"/>
        <w:jc w:val="both"/>
        <w:rPr>
          <w:rFonts w:cs="Times New Roman"/>
          <w:sz w:val="24"/>
          <w:szCs w:val="24"/>
          <w:lang w:val="ro-RO"/>
        </w:rPr>
      </w:pPr>
    </w:p>
    <w:p w:rsidR="002617A6" w:rsidRDefault="002617A6" w:rsidP="002617A6">
      <w:pPr>
        <w:spacing w:after="0"/>
        <w:rPr>
          <w:rFonts w:eastAsia="Times New Roman" w:cs="Times New Roman"/>
          <w:b/>
          <w:sz w:val="24"/>
          <w:szCs w:val="24"/>
          <w:lang w:val="ro-RO" w:eastAsia="ar-SA"/>
        </w:rPr>
      </w:pPr>
      <w:r>
        <w:rPr>
          <w:b/>
          <w:sz w:val="24"/>
          <w:szCs w:val="24"/>
          <w:lang w:val="ro-RO"/>
        </w:rPr>
        <w:t>Grafic 2.</w:t>
      </w:r>
      <w:r w:rsidRPr="006A49F5">
        <w:rPr>
          <w:b/>
          <w:sz w:val="24"/>
          <w:szCs w:val="24"/>
          <w:lang w:val="ro-RO"/>
        </w:rPr>
        <w:t xml:space="preserve"> </w:t>
      </w:r>
      <w:r w:rsidRPr="009B33B9">
        <w:rPr>
          <w:rFonts w:eastAsia="Times New Roman" w:cs="Times New Roman"/>
          <w:b/>
          <w:sz w:val="24"/>
          <w:szCs w:val="24"/>
          <w:lang w:val="ro-RO" w:eastAsia="ar-SA"/>
        </w:rPr>
        <w:t>Evoluţia capacităţii de cazare turistică</w:t>
      </w:r>
      <w:r w:rsidRPr="009B33B9">
        <w:rPr>
          <w:rStyle w:val="Referinnotdesubsol"/>
          <w:rFonts w:eastAsia="Times New Roman" w:cs="Times New Roman"/>
          <w:b/>
          <w:sz w:val="24"/>
          <w:szCs w:val="24"/>
          <w:lang w:eastAsia="ar-SA"/>
        </w:rPr>
        <w:footnoteReference w:id="119"/>
      </w:r>
      <w:r>
        <w:rPr>
          <w:rFonts w:eastAsia="Times New Roman" w:cs="Times New Roman"/>
          <w:b/>
          <w:sz w:val="24"/>
          <w:szCs w:val="24"/>
          <w:lang w:val="ro-RO" w:eastAsia="ar-SA"/>
        </w:rPr>
        <w:t xml:space="preserve"> în perioada 2005</w:t>
      </w:r>
      <w:r w:rsidRPr="009B33B9">
        <w:rPr>
          <w:rFonts w:eastAsia="Times New Roman" w:cs="Times New Roman"/>
          <w:b/>
          <w:sz w:val="24"/>
          <w:szCs w:val="24"/>
          <w:lang w:val="ro-RO" w:eastAsia="ar-SA"/>
        </w:rPr>
        <w:t xml:space="preserve"> –</w:t>
      </w:r>
      <w:r>
        <w:rPr>
          <w:rFonts w:eastAsia="Times New Roman" w:cs="Times New Roman"/>
          <w:b/>
          <w:sz w:val="24"/>
          <w:szCs w:val="24"/>
          <w:lang w:val="ro-RO" w:eastAsia="ar-SA"/>
        </w:rPr>
        <w:t xml:space="preserve"> 2015</w:t>
      </w:r>
    </w:p>
    <w:p w:rsidR="002617A6" w:rsidRPr="00E00DAA" w:rsidRDefault="002617A6" w:rsidP="002617A6">
      <w:pPr>
        <w:spacing w:after="0"/>
        <w:ind w:left="1440"/>
        <w:rPr>
          <w:rFonts w:eastAsia="Times New Roman" w:cs="Times New Roman"/>
          <w:b/>
          <w:sz w:val="24"/>
          <w:szCs w:val="24"/>
          <w:lang w:val="ro-RO" w:eastAsia="ar-SA"/>
        </w:rPr>
      </w:pPr>
      <w:r>
        <w:rPr>
          <w:rFonts w:eastAsia="Times New Roman" w:cs="Times New Roman"/>
          <w:b/>
          <w:sz w:val="24"/>
          <w:szCs w:val="24"/>
          <w:lang w:val="ro-RO" w:eastAsia="ar-SA"/>
        </w:rPr>
        <w:t xml:space="preserve">   România </w:t>
      </w:r>
      <w:r>
        <w:rPr>
          <w:rFonts w:eastAsia="Times New Roman" w:cs="Times New Roman"/>
          <w:b/>
          <w:sz w:val="24"/>
          <w:szCs w:val="24"/>
          <w:lang w:val="ro-RO" w:eastAsia="ar-SA"/>
        </w:rPr>
        <w:tab/>
      </w:r>
      <w:r>
        <w:rPr>
          <w:rFonts w:eastAsia="Times New Roman" w:cs="Times New Roman"/>
          <w:b/>
          <w:sz w:val="24"/>
          <w:szCs w:val="24"/>
          <w:lang w:val="ro-RO" w:eastAsia="ar-SA"/>
        </w:rPr>
        <w:tab/>
      </w:r>
      <w:r>
        <w:rPr>
          <w:rFonts w:eastAsia="Times New Roman" w:cs="Times New Roman"/>
          <w:b/>
          <w:sz w:val="24"/>
          <w:szCs w:val="24"/>
          <w:lang w:val="ro-RO" w:eastAsia="ar-SA"/>
        </w:rPr>
        <w:tab/>
      </w:r>
      <w:r>
        <w:rPr>
          <w:rFonts w:eastAsia="Times New Roman" w:cs="Times New Roman"/>
          <w:b/>
          <w:sz w:val="24"/>
          <w:szCs w:val="24"/>
          <w:lang w:val="ro-RO" w:eastAsia="ar-SA"/>
        </w:rPr>
        <w:tab/>
      </w:r>
      <w:r>
        <w:rPr>
          <w:rFonts w:eastAsia="Times New Roman" w:cs="Times New Roman"/>
          <w:b/>
          <w:sz w:val="24"/>
          <w:szCs w:val="24"/>
          <w:lang w:val="ro-RO" w:eastAsia="ar-SA"/>
        </w:rPr>
        <w:tab/>
        <w:t>Regiunea Centru</w:t>
      </w:r>
    </w:p>
    <w:p w:rsidR="002617A6" w:rsidRPr="009B33B9" w:rsidRDefault="002617A6" w:rsidP="002617A6">
      <w:pPr>
        <w:spacing w:after="0"/>
        <w:rPr>
          <w:b/>
          <w:sz w:val="24"/>
          <w:szCs w:val="24"/>
          <w:lang w:val="ro-RO"/>
        </w:rPr>
      </w:pPr>
      <w:r w:rsidRPr="009B33B9">
        <w:rPr>
          <w:b/>
          <w:noProof/>
          <w:sz w:val="24"/>
          <w:szCs w:val="24"/>
        </w:rPr>
        <w:drawing>
          <wp:inline distT="0" distB="0" distL="0" distR="0">
            <wp:extent cx="2743200" cy="2377440"/>
            <wp:effectExtent l="19050" t="0" r="19050" b="3810"/>
            <wp:docPr id="65"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9B33B9">
        <w:rPr>
          <w:b/>
          <w:noProof/>
          <w:sz w:val="24"/>
          <w:szCs w:val="24"/>
        </w:rPr>
        <w:drawing>
          <wp:inline distT="0" distB="0" distL="0" distR="0">
            <wp:extent cx="2743200" cy="2377440"/>
            <wp:effectExtent l="19050" t="0" r="19050" b="3810"/>
            <wp:docPr id="66"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617A6" w:rsidRPr="00E00DAA" w:rsidRDefault="002617A6" w:rsidP="002617A6">
      <w:pPr>
        <w:jc w:val="both"/>
        <w:rPr>
          <w:lang w:val="ro-RO"/>
        </w:rPr>
      </w:pPr>
      <w:r w:rsidRPr="00E00DAA">
        <w:rPr>
          <w:b/>
          <w:lang w:val="ro-RO"/>
        </w:rPr>
        <w:t>Sursa:</w:t>
      </w:r>
      <w:r w:rsidRPr="00E00DAA">
        <w:rPr>
          <w:lang w:val="ro-RO"/>
        </w:rPr>
        <w:t xml:space="preserve"> Institutul Național de Statistică</w:t>
      </w:r>
      <w:r>
        <w:rPr>
          <w:lang w:val="ro-RO"/>
        </w:rPr>
        <w:t xml:space="preserve">                                                                           U.M. număr locuri</w:t>
      </w:r>
    </w:p>
    <w:p w:rsidR="002617A6" w:rsidRPr="009B33B9" w:rsidRDefault="002617A6" w:rsidP="002617A6">
      <w:pPr>
        <w:jc w:val="both"/>
        <w:rPr>
          <w:rFonts w:eastAsia="Times New Roman" w:cs="Times New Roman"/>
          <w:b/>
          <w:sz w:val="24"/>
          <w:szCs w:val="24"/>
          <w:lang w:val="ro-RO" w:eastAsia="ar-SA"/>
        </w:rPr>
      </w:pPr>
      <w:r w:rsidRPr="009B33B9">
        <w:rPr>
          <w:sz w:val="24"/>
          <w:szCs w:val="24"/>
          <w:lang w:val="ro-RO"/>
        </w:rPr>
        <w:lastRenderedPageBreak/>
        <w:t>În cei 10 ani cuprinşi în analiză, atât la nivelul Regiunii Centru cât şi la nivel naţional, se observă un trend ascendent în evoluţia capacităţii de cazare turistică. Dar creşterea de la nivel regional a fost mult mai accelerată decât cea de la nivel naţional,</w:t>
      </w:r>
      <w:r>
        <w:rPr>
          <w:sz w:val="24"/>
          <w:szCs w:val="24"/>
          <w:lang w:val="ro-RO"/>
        </w:rPr>
        <w:t xml:space="preserve"> o creştere cu 49</w:t>
      </w:r>
      <w:r w:rsidRPr="009B33B9">
        <w:rPr>
          <w:sz w:val="24"/>
          <w:szCs w:val="24"/>
          <w:lang w:val="ro-RO"/>
        </w:rPr>
        <w:t xml:space="preserve">% </w:t>
      </w:r>
      <w:r>
        <w:rPr>
          <w:sz w:val="24"/>
          <w:szCs w:val="24"/>
          <w:lang w:val="ro-RO"/>
        </w:rPr>
        <w:t xml:space="preserve">la nivel regional, </w:t>
      </w:r>
      <w:r w:rsidRPr="009B33B9">
        <w:rPr>
          <w:sz w:val="24"/>
          <w:szCs w:val="24"/>
          <w:lang w:val="ro-RO"/>
        </w:rPr>
        <w:t>respectiv</w:t>
      </w:r>
      <w:r>
        <w:rPr>
          <w:sz w:val="24"/>
          <w:szCs w:val="24"/>
          <w:lang w:val="ro-RO"/>
        </w:rPr>
        <w:t xml:space="preserve"> cu doar 14</w:t>
      </w:r>
      <w:r w:rsidRPr="009B33B9">
        <w:rPr>
          <w:sz w:val="24"/>
          <w:szCs w:val="24"/>
          <w:lang w:val="ro-RO"/>
        </w:rPr>
        <w:t>%</w:t>
      </w:r>
      <w:r>
        <w:rPr>
          <w:sz w:val="24"/>
          <w:szCs w:val="24"/>
          <w:lang w:val="ro-RO"/>
        </w:rPr>
        <w:t xml:space="preserve"> la nivel naţional</w:t>
      </w:r>
      <w:r w:rsidRPr="009B33B9">
        <w:rPr>
          <w:sz w:val="24"/>
          <w:szCs w:val="24"/>
          <w:lang w:val="ro-RO"/>
        </w:rPr>
        <w:t xml:space="preserve">.  </w:t>
      </w:r>
      <w:r w:rsidRPr="009B33B9">
        <w:rPr>
          <w:rFonts w:eastAsia="Times New Roman" w:cs="Times New Roman"/>
          <w:b/>
          <w:sz w:val="24"/>
          <w:szCs w:val="24"/>
          <w:lang w:val="ro-RO" w:eastAsia="ar-SA"/>
        </w:rPr>
        <w:t xml:space="preserve"> </w:t>
      </w:r>
    </w:p>
    <w:p w:rsidR="002617A6" w:rsidRPr="00F5677C" w:rsidRDefault="002617A6" w:rsidP="002617A6">
      <w:pPr>
        <w:spacing w:after="0"/>
        <w:jc w:val="both"/>
        <w:rPr>
          <w:rFonts w:eastAsia="Times New Roman" w:cs="Times New Roman"/>
          <w:b/>
          <w:sz w:val="24"/>
          <w:szCs w:val="24"/>
          <w:lang w:val="ro-RO"/>
        </w:rPr>
      </w:pPr>
      <w:r w:rsidRPr="00F5677C">
        <w:rPr>
          <w:b/>
          <w:sz w:val="24"/>
          <w:szCs w:val="24"/>
          <w:lang w:val="ro-RO"/>
        </w:rPr>
        <w:t>Grafic 3.</w:t>
      </w:r>
      <w:r>
        <w:rPr>
          <w:b/>
          <w:sz w:val="24"/>
          <w:szCs w:val="24"/>
          <w:lang w:val="ro-RO"/>
        </w:rPr>
        <w:t xml:space="preserve">    </w:t>
      </w:r>
      <w:r w:rsidRPr="00F5677C">
        <w:rPr>
          <w:rFonts w:eastAsia="Times New Roman" w:cs="Times New Roman"/>
          <w:b/>
          <w:bCs/>
          <w:sz w:val="24"/>
          <w:szCs w:val="24"/>
          <w:lang w:val="ro-RO"/>
        </w:rPr>
        <w:t>Capacitatea de cazare turistic</w:t>
      </w:r>
      <w:r>
        <w:rPr>
          <w:rFonts w:eastAsia="Times New Roman" w:cs="Times New Roman"/>
          <w:b/>
          <w:bCs/>
          <w:sz w:val="24"/>
          <w:szCs w:val="24"/>
          <w:lang w:val="ro-RO"/>
        </w:rPr>
        <w:t>ă existentă în</w:t>
      </w:r>
      <w:r w:rsidRPr="00F5677C">
        <w:rPr>
          <w:rFonts w:eastAsia="Times New Roman" w:cs="Times New Roman"/>
          <w:b/>
          <w:bCs/>
          <w:sz w:val="24"/>
          <w:szCs w:val="24"/>
          <w:lang w:val="ro-RO"/>
        </w:rPr>
        <w:t xml:space="preserve"> staţiunile balneare </w:t>
      </w:r>
      <w:r>
        <w:rPr>
          <w:rFonts w:eastAsia="Times New Roman" w:cs="Times New Roman"/>
          <w:b/>
          <w:bCs/>
          <w:sz w:val="24"/>
          <w:szCs w:val="24"/>
          <w:lang w:val="ro-RO"/>
        </w:rPr>
        <w:t>din</w:t>
      </w:r>
      <w:r w:rsidRPr="00F5677C">
        <w:rPr>
          <w:rFonts w:eastAsia="Times New Roman" w:cs="Times New Roman"/>
          <w:b/>
          <w:bCs/>
          <w:sz w:val="24"/>
          <w:szCs w:val="24"/>
          <w:lang w:val="ro-RO"/>
        </w:rPr>
        <w:t xml:space="preserve"> România</w:t>
      </w:r>
      <w:r w:rsidRPr="009B33B9">
        <w:rPr>
          <w:rFonts w:eastAsia="Times New Roman" w:cs="Times New Roman"/>
          <w:b/>
          <w:sz w:val="24"/>
          <w:szCs w:val="24"/>
          <w:lang w:val="ro-RO" w:eastAsia="ar-SA"/>
        </w:rPr>
        <w:t xml:space="preserve">                                                   </w:t>
      </w:r>
    </w:p>
    <w:p w:rsidR="002617A6" w:rsidRPr="009B33B9" w:rsidRDefault="002617A6" w:rsidP="002617A6">
      <w:pPr>
        <w:spacing w:after="0"/>
        <w:rPr>
          <w:rFonts w:eastAsia="Times New Roman" w:cs="Times New Roman"/>
          <w:b/>
          <w:sz w:val="24"/>
          <w:szCs w:val="24"/>
          <w:lang w:val="ro-RO" w:eastAsia="ar-SA"/>
        </w:rPr>
      </w:pPr>
      <w:r w:rsidRPr="009B33B9">
        <w:rPr>
          <w:rFonts w:eastAsia="Times New Roman" w:cs="Times New Roman"/>
          <w:b/>
          <w:noProof/>
          <w:sz w:val="24"/>
          <w:szCs w:val="24"/>
        </w:rPr>
        <w:drawing>
          <wp:inline distT="0" distB="0" distL="0" distR="0">
            <wp:extent cx="5657850" cy="2743200"/>
            <wp:effectExtent l="19050" t="0" r="19050" b="0"/>
            <wp:docPr id="67"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617A6" w:rsidRDefault="002617A6" w:rsidP="002617A6">
      <w:pPr>
        <w:spacing w:after="0"/>
        <w:jc w:val="both"/>
        <w:rPr>
          <w:lang w:val="ro-RO"/>
        </w:rPr>
      </w:pPr>
      <w:r w:rsidRPr="00EC7BCB">
        <w:rPr>
          <w:b/>
          <w:lang w:val="ro-RO"/>
        </w:rPr>
        <w:t>Sursa:</w:t>
      </w:r>
      <w:r w:rsidRPr="00EC7BCB">
        <w:rPr>
          <w:lang w:val="ro-RO"/>
        </w:rPr>
        <w:t xml:space="preserve"> Institutul Național de Statistică</w:t>
      </w:r>
      <w:r>
        <w:rPr>
          <w:lang w:val="ro-RO"/>
        </w:rPr>
        <w:t xml:space="preserve">                                                                               U.M. număr locuri</w:t>
      </w:r>
    </w:p>
    <w:p w:rsidR="002617A6" w:rsidRDefault="002617A6" w:rsidP="002617A6">
      <w:pPr>
        <w:spacing w:after="0"/>
        <w:jc w:val="both"/>
        <w:rPr>
          <w:sz w:val="24"/>
          <w:szCs w:val="24"/>
          <w:lang w:val="ro-RO"/>
        </w:rPr>
      </w:pPr>
    </w:p>
    <w:p w:rsidR="002617A6" w:rsidRPr="00A9797D" w:rsidRDefault="002617A6" w:rsidP="002617A6">
      <w:pPr>
        <w:spacing w:after="0"/>
        <w:jc w:val="both"/>
        <w:rPr>
          <w:sz w:val="18"/>
          <w:szCs w:val="18"/>
          <w:lang w:val="ro-RO"/>
        </w:rPr>
      </w:pPr>
      <w:r w:rsidRPr="009B33B9">
        <w:rPr>
          <w:sz w:val="24"/>
          <w:szCs w:val="24"/>
          <w:lang w:val="ro-RO"/>
        </w:rPr>
        <w:t>Capacitatea de cazare în staţiunile balneare din România a înregistrat o scădere semnific</w:t>
      </w:r>
      <w:r>
        <w:rPr>
          <w:sz w:val="24"/>
          <w:szCs w:val="24"/>
          <w:lang w:val="ro-RO"/>
        </w:rPr>
        <w:t xml:space="preserve">ativă de la </w:t>
      </w:r>
      <w:r w:rsidRPr="00CF6E31">
        <w:rPr>
          <w:sz w:val="24"/>
          <w:szCs w:val="24"/>
          <w:lang w:val="ro-RO"/>
        </w:rPr>
        <w:t>39090</w:t>
      </w:r>
      <w:r>
        <w:rPr>
          <w:sz w:val="24"/>
          <w:szCs w:val="24"/>
          <w:lang w:val="ro-RO"/>
        </w:rPr>
        <w:t xml:space="preserve"> locuri în 2005</w:t>
      </w:r>
      <w:r w:rsidRPr="009B33B9">
        <w:rPr>
          <w:sz w:val="24"/>
          <w:szCs w:val="24"/>
          <w:lang w:val="ro-RO"/>
        </w:rPr>
        <w:t xml:space="preserve"> la </w:t>
      </w:r>
      <w:r w:rsidRPr="00CF6E31">
        <w:rPr>
          <w:sz w:val="24"/>
          <w:szCs w:val="24"/>
          <w:lang w:val="ro-RO"/>
        </w:rPr>
        <w:t>35342</w:t>
      </w:r>
      <w:r>
        <w:rPr>
          <w:sz w:val="24"/>
          <w:szCs w:val="24"/>
          <w:lang w:val="ro-RO"/>
        </w:rPr>
        <w:t xml:space="preserve"> locuri în 2015</w:t>
      </w:r>
      <w:r w:rsidRPr="009B33B9">
        <w:rPr>
          <w:sz w:val="24"/>
          <w:szCs w:val="24"/>
          <w:lang w:val="ro-RO"/>
        </w:rPr>
        <w:t>. Dar putem observa că în</w:t>
      </w:r>
      <w:r>
        <w:rPr>
          <w:sz w:val="24"/>
          <w:szCs w:val="24"/>
          <w:lang w:val="ro-RO"/>
        </w:rPr>
        <w:t>tr-o anumită perioadă</w:t>
      </w:r>
      <w:r w:rsidRPr="009B33B9">
        <w:rPr>
          <w:sz w:val="24"/>
          <w:szCs w:val="24"/>
          <w:lang w:val="ro-RO"/>
        </w:rPr>
        <w:t xml:space="preserve"> (2010 - 2013) numărul locurilor de cazare din staţiunile balneare a crescut considerabil</w:t>
      </w:r>
      <w:r>
        <w:rPr>
          <w:sz w:val="24"/>
          <w:szCs w:val="24"/>
          <w:lang w:val="ro-RO"/>
        </w:rPr>
        <w:t xml:space="preserve"> de la </w:t>
      </w:r>
      <w:r w:rsidRPr="009D4199">
        <w:rPr>
          <w:sz w:val="24"/>
          <w:szCs w:val="24"/>
          <w:lang w:val="ro-RO"/>
        </w:rPr>
        <w:t>36706</w:t>
      </w:r>
      <w:r>
        <w:rPr>
          <w:sz w:val="24"/>
          <w:szCs w:val="24"/>
          <w:lang w:val="ro-RO"/>
        </w:rPr>
        <w:t xml:space="preserve"> în 2010</w:t>
      </w:r>
      <w:r w:rsidRPr="009B33B9">
        <w:rPr>
          <w:sz w:val="24"/>
          <w:szCs w:val="24"/>
          <w:lang w:val="ro-RO"/>
        </w:rPr>
        <w:t xml:space="preserve"> ajungând la 39953 locuri în 2013.</w:t>
      </w:r>
    </w:p>
    <w:p w:rsidR="002617A6" w:rsidRPr="009B33B9" w:rsidRDefault="002617A6" w:rsidP="002617A6">
      <w:pPr>
        <w:spacing w:after="0"/>
        <w:jc w:val="center"/>
        <w:rPr>
          <w:b/>
          <w:sz w:val="24"/>
          <w:szCs w:val="24"/>
          <w:lang w:val="ro-RO"/>
        </w:rPr>
      </w:pPr>
      <w:r w:rsidRPr="00F5677C">
        <w:rPr>
          <w:b/>
          <w:sz w:val="24"/>
          <w:szCs w:val="24"/>
          <w:lang w:val="ro-RO"/>
        </w:rPr>
        <w:t xml:space="preserve">Grafic </w:t>
      </w:r>
      <w:r>
        <w:rPr>
          <w:b/>
          <w:sz w:val="24"/>
          <w:szCs w:val="24"/>
          <w:lang w:val="ro-RO"/>
        </w:rPr>
        <w:t>4</w:t>
      </w:r>
      <w:r w:rsidRPr="00F5677C">
        <w:rPr>
          <w:b/>
          <w:sz w:val="24"/>
          <w:szCs w:val="24"/>
          <w:lang w:val="ro-RO"/>
        </w:rPr>
        <w:t>.</w:t>
      </w:r>
      <w:r>
        <w:rPr>
          <w:b/>
          <w:sz w:val="24"/>
          <w:szCs w:val="24"/>
          <w:lang w:val="ro-RO"/>
        </w:rPr>
        <w:t xml:space="preserve"> </w:t>
      </w:r>
      <w:r w:rsidRPr="009B33B9">
        <w:rPr>
          <w:b/>
          <w:sz w:val="24"/>
          <w:szCs w:val="24"/>
          <w:lang w:val="ro-RO"/>
        </w:rPr>
        <w:t>Sosiri</w:t>
      </w:r>
      <w:r w:rsidRPr="009B33B9">
        <w:rPr>
          <w:rStyle w:val="Referinnotdesubsol"/>
          <w:b/>
          <w:sz w:val="24"/>
          <w:szCs w:val="24"/>
        </w:rPr>
        <w:footnoteReference w:id="120"/>
      </w:r>
      <w:r w:rsidRPr="009B33B9">
        <w:rPr>
          <w:b/>
          <w:sz w:val="24"/>
          <w:szCs w:val="24"/>
          <w:lang w:val="ro-RO"/>
        </w:rPr>
        <w:t xml:space="preserve"> în structuri</w:t>
      </w:r>
      <w:r>
        <w:rPr>
          <w:b/>
          <w:sz w:val="24"/>
          <w:szCs w:val="24"/>
          <w:lang w:val="ro-RO"/>
        </w:rPr>
        <w:t>le</w:t>
      </w:r>
      <w:r w:rsidRPr="009B33B9">
        <w:rPr>
          <w:b/>
          <w:sz w:val="24"/>
          <w:szCs w:val="24"/>
          <w:lang w:val="ro-RO"/>
        </w:rPr>
        <w:t xml:space="preserve"> de cazare turistică din staţiunile balneare </w:t>
      </w:r>
      <w:r>
        <w:rPr>
          <w:b/>
          <w:sz w:val="24"/>
          <w:szCs w:val="24"/>
          <w:lang w:val="ro-RO"/>
        </w:rPr>
        <w:t>ale României</w:t>
      </w:r>
    </w:p>
    <w:p w:rsidR="002617A6" w:rsidRPr="009B33B9" w:rsidRDefault="002617A6" w:rsidP="002617A6">
      <w:pPr>
        <w:spacing w:after="0"/>
        <w:jc w:val="center"/>
        <w:rPr>
          <w:b/>
          <w:sz w:val="24"/>
          <w:szCs w:val="24"/>
          <w:lang w:val="ro-RO"/>
        </w:rPr>
      </w:pPr>
      <w:r w:rsidRPr="0085330F">
        <w:rPr>
          <w:b/>
          <w:noProof/>
          <w:sz w:val="24"/>
          <w:szCs w:val="24"/>
        </w:rPr>
        <w:drawing>
          <wp:inline distT="0" distB="0" distL="0" distR="0">
            <wp:extent cx="5505450" cy="2676525"/>
            <wp:effectExtent l="19050" t="0" r="19050" b="0"/>
            <wp:docPr id="68"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617A6" w:rsidRPr="00563FF9" w:rsidRDefault="002617A6" w:rsidP="002617A6">
      <w:pPr>
        <w:jc w:val="both"/>
        <w:rPr>
          <w:sz w:val="20"/>
          <w:szCs w:val="20"/>
          <w:lang w:val="ro-RO"/>
        </w:rPr>
      </w:pPr>
      <w:r w:rsidRPr="00563FF9">
        <w:rPr>
          <w:b/>
          <w:sz w:val="20"/>
          <w:szCs w:val="20"/>
          <w:lang w:val="ro-RO"/>
        </w:rPr>
        <w:t>Sursa:</w:t>
      </w:r>
      <w:r w:rsidRPr="00563FF9">
        <w:rPr>
          <w:sz w:val="20"/>
          <w:szCs w:val="20"/>
          <w:lang w:val="ro-RO"/>
        </w:rPr>
        <w:t xml:space="preserve"> Institutul Național de Statistică                                                                               </w:t>
      </w:r>
    </w:p>
    <w:p w:rsidR="002617A6" w:rsidRPr="00177A66" w:rsidRDefault="002617A6" w:rsidP="002617A6">
      <w:pPr>
        <w:jc w:val="both"/>
        <w:rPr>
          <w:sz w:val="24"/>
          <w:szCs w:val="24"/>
          <w:lang w:val="ro-RO"/>
        </w:rPr>
      </w:pPr>
      <w:r w:rsidRPr="009B33B9">
        <w:rPr>
          <w:sz w:val="24"/>
          <w:szCs w:val="24"/>
          <w:lang w:val="ro-RO"/>
        </w:rPr>
        <w:lastRenderedPageBreak/>
        <w:t xml:space="preserve">Cu toate că numărul turiştilor cazaţi în staţiunile balneare la nivel naţional a înregistrat creşteri în ultimii ani, ajungând de la 568257 persoane în 2010 la </w:t>
      </w:r>
      <w:r w:rsidRPr="00497792">
        <w:rPr>
          <w:sz w:val="24"/>
          <w:szCs w:val="24"/>
          <w:lang w:val="ro-RO"/>
        </w:rPr>
        <w:t>787947</w:t>
      </w:r>
      <w:r>
        <w:rPr>
          <w:sz w:val="24"/>
          <w:szCs w:val="24"/>
          <w:lang w:val="ro-RO"/>
        </w:rPr>
        <w:t xml:space="preserve"> persoane în 2015</w:t>
      </w:r>
      <w:r w:rsidRPr="009B33B9">
        <w:rPr>
          <w:sz w:val="24"/>
          <w:szCs w:val="24"/>
          <w:lang w:val="ro-RO"/>
        </w:rPr>
        <w:t>, ponderea turiştilor din staţiunile balneare</w:t>
      </w:r>
      <w:r>
        <w:rPr>
          <w:sz w:val="24"/>
          <w:szCs w:val="24"/>
          <w:lang w:val="ro-RO"/>
        </w:rPr>
        <w:t xml:space="preserve"> raportată la numărul total de turişti</w:t>
      </w:r>
      <w:r w:rsidRPr="009B33B9">
        <w:rPr>
          <w:sz w:val="24"/>
          <w:szCs w:val="24"/>
          <w:lang w:val="ro-RO"/>
        </w:rPr>
        <w:t xml:space="preserve"> a scăzut continuu </w:t>
      </w:r>
      <w:r>
        <w:rPr>
          <w:sz w:val="24"/>
          <w:szCs w:val="24"/>
          <w:lang w:val="ro-RO"/>
        </w:rPr>
        <w:t>în ultimii 10 ani, de la aproximativ 11% în 2005 a scăzut sub 8% în 2015</w:t>
      </w:r>
      <w:r w:rsidRPr="009B33B9">
        <w:rPr>
          <w:sz w:val="24"/>
          <w:szCs w:val="24"/>
          <w:lang w:val="ro-RO"/>
        </w:rPr>
        <w:t>.</w:t>
      </w:r>
      <w:r>
        <w:rPr>
          <w:sz w:val="24"/>
          <w:szCs w:val="24"/>
          <w:lang w:val="ro-RO"/>
        </w:rPr>
        <w:t xml:space="preserve"> Însă ponderea turiştilor străini sosiţi în staţiunile balneare din România este în creştere.</w:t>
      </w:r>
    </w:p>
    <w:p w:rsidR="002617A6" w:rsidRPr="009B33B9" w:rsidRDefault="002617A6" w:rsidP="002617A6">
      <w:pPr>
        <w:spacing w:after="0"/>
        <w:jc w:val="center"/>
        <w:rPr>
          <w:b/>
          <w:sz w:val="24"/>
          <w:szCs w:val="24"/>
          <w:lang w:val="ro-RO"/>
        </w:rPr>
      </w:pPr>
      <w:r w:rsidRPr="00F5677C">
        <w:rPr>
          <w:b/>
          <w:sz w:val="24"/>
          <w:szCs w:val="24"/>
          <w:lang w:val="ro-RO"/>
        </w:rPr>
        <w:t xml:space="preserve">Grafic </w:t>
      </w:r>
      <w:r>
        <w:rPr>
          <w:b/>
          <w:sz w:val="24"/>
          <w:szCs w:val="24"/>
          <w:lang w:val="ro-RO"/>
        </w:rPr>
        <w:t>5</w:t>
      </w:r>
      <w:r w:rsidRPr="00F5677C">
        <w:rPr>
          <w:b/>
          <w:sz w:val="24"/>
          <w:szCs w:val="24"/>
          <w:lang w:val="ro-RO"/>
        </w:rPr>
        <w:t>.</w:t>
      </w:r>
      <w:r>
        <w:rPr>
          <w:b/>
          <w:sz w:val="24"/>
          <w:szCs w:val="24"/>
          <w:lang w:val="ro-RO"/>
        </w:rPr>
        <w:t xml:space="preserve"> </w:t>
      </w:r>
      <w:r w:rsidRPr="009B33B9">
        <w:rPr>
          <w:b/>
          <w:sz w:val="24"/>
          <w:szCs w:val="24"/>
          <w:lang w:val="ro-RO"/>
        </w:rPr>
        <w:t>Înnoptări</w:t>
      </w:r>
      <w:r w:rsidRPr="009B33B9">
        <w:rPr>
          <w:rStyle w:val="Referinnotdesubsol"/>
          <w:b/>
          <w:sz w:val="24"/>
          <w:szCs w:val="24"/>
        </w:rPr>
        <w:footnoteReference w:id="121"/>
      </w:r>
      <w:r w:rsidRPr="009B33B9">
        <w:rPr>
          <w:b/>
          <w:sz w:val="24"/>
          <w:szCs w:val="24"/>
          <w:lang w:val="ro-RO"/>
        </w:rPr>
        <w:t xml:space="preserve"> în structuri</w:t>
      </w:r>
      <w:r>
        <w:rPr>
          <w:b/>
          <w:sz w:val="24"/>
          <w:szCs w:val="24"/>
          <w:lang w:val="ro-RO"/>
        </w:rPr>
        <w:t>le</w:t>
      </w:r>
      <w:r w:rsidRPr="009B33B9">
        <w:rPr>
          <w:b/>
          <w:sz w:val="24"/>
          <w:szCs w:val="24"/>
          <w:lang w:val="ro-RO"/>
        </w:rPr>
        <w:t xml:space="preserve"> de cazare turistică din staţiunile balneare </w:t>
      </w:r>
      <w:r>
        <w:rPr>
          <w:b/>
          <w:sz w:val="24"/>
          <w:szCs w:val="24"/>
          <w:lang w:val="ro-RO"/>
        </w:rPr>
        <w:t>ale României</w:t>
      </w:r>
    </w:p>
    <w:p w:rsidR="002617A6" w:rsidRPr="009B33B9" w:rsidRDefault="002617A6" w:rsidP="002617A6">
      <w:pPr>
        <w:spacing w:after="0"/>
        <w:jc w:val="both"/>
        <w:rPr>
          <w:sz w:val="24"/>
          <w:szCs w:val="24"/>
          <w:lang w:val="ro-RO"/>
        </w:rPr>
      </w:pPr>
      <w:r w:rsidRPr="009B33B9">
        <w:rPr>
          <w:noProof/>
          <w:sz w:val="24"/>
          <w:szCs w:val="24"/>
        </w:rPr>
        <w:drawing>
          <wp:inline distT="0" distB="0" distL="0" distR="0">
            <wp:extent cx="5467350" cy="2447925"/>
            <wp:effectExtent l="19050" t="0" r="19050" b="0"/>
            <wp:docPr id="69"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617A6" w:rsidRPr="00563FF9" w:rsidRDefault="002617A6" w:rsidP="002617A6">
      <w:pPr>
        <w:jc w:val="both"/>
        <w:rPr>
          <w:sz w:val="20"/>
          <w:szCs w:val="20"/>
          <w:lang w:val="ro-RO"/>
        </w:rPr>
      </w:pPr>
      <w:r w:rsidRPr="00563FF9">
        <w:rPr>
          <w:b/>
          <w:sz w:val="20"/>
          <w:szCs w:val="20"/>
          <w:lang w:val="ro-RO"/>
        </w:rPr>
        <w:t>Sursa:</w:t>
      </w:r>
      <w:r w:rsidRPr="00563FF9">
        <w:rPr>
          <w:sz w:val="20"/>
          <w:szCs w:val="20"/>
          <w:lang w:val="ro-RO"/>
        </w:rPr>
        <w:t xml:space="preserve"> Institutul Național de Statistică                                                                               </w:t>
      </w:r>
    </w:p>
    <w:p w:rsidR="002617A6" w:rsidRPr="001D08E2" w:rsidRDefault="002617A6" w:rsidP="002617A6">
      <w:pPr>
        <w:jc w:val="both"/>
        <w:rPr>
          <w:sz w:val="24"/>
          <w:szCs w:val="24"/>
          <w:lang w:val="ro-RO"/>
        </w:rPr>
      </w:pPr>
      <w:r>
        <w:rPr>
          <w:sz w:val="24"/>
          <w:szCs w:val="24"/>
          <w:lang w:val="ro-RO"/>
        </w:rPr>
        <w:t>În perioada 2010 – 2015 numărul înnoptărilor în structurile de cazare turistică din staţiunile balneare româneşti a scăzut. Numărul înnoptărilor turiştilor străini în staţiunile balneare a crescut cu aproximativ 50% în această perioadă, în timp ce numărul înnoptărilor turiştilor autohtoni a înregistrat o uşoară scădere.</w:t>
      </w:r>
    </w:p>
    <w:p w:rsidR="002617A6" w:rsidRPr="009B33B9" w:rsidRDefault="002617A6" w:rsidP="002617A6">
      <w:pPr>
        <w:spacing w:after="0"/>
        <w:jc w:val="center"/>
        <w:rPr>
          <w:sz w:val="18"/>
          <w:szCs w:val="18"/>
          <w:lang w:val="ro-RO"/>
        </w:rPr>
      </w:pPr>
      <w:r>
        <w:rPr>
          <w:b/>
          <w:sz w:val="24"/>
          <w:szCs w:val="24"/>
          <w:lang w:val="ro-RO"/>
        </w:rPr>
        <w:t>Tabel</w:t>
      </w:r>
      <w:r w:rsidRPr="00806D29">
        <w:rPr>
          <w:b/>
          <w:sz w:val="24"/>
          <w:szCs w:val="24"/>
          <w:lang w:val="ro-RO"/>
        </w:rPr>
        <w:t xml:space="preserve"> 1. </w:t>
      </w:r>
      <w:r w:rsidRPr="009B33B9">
        <w:rPr>
          <w:b/>
          <w:sz w:val="24"/>
          <w:szCs w:val="24"/>
          <w:lang w:val="ro-RO"/>
        </w:rPr>
        <w:t>Numărul înnoptărilor turiştilor în România şi în staţiunile balneare şi ponderea turiştilor străini din total</w:t>
      </w:r>
    </w:p>
    <w:tbl>
      <w:tblPr>
        <w:tblStyle w:val="Listdeculoarenchis-Accentuare5"/>
        <w:tblW w:w="9090" w:type="dxa"/>
        <w:tblLayout w:type="fixed"/>
        <w:tblLook w:val="04A0"/>
      </w:tblPr>
      <w:tblGrid>
        <w:gridCol w:w="1260"/>
        <w:gridCol w:w="1170"/>
        <w:gridCol w:w="180"/>
        <w:gridCol w:w="1260"/>
        <w:gridCol w:w="1440"/>
        <w:gridCol w:w="1080"/>
        <w:gridCol w:w="990"/>
        <w:gridCol w:w="1710"/>
      </w:tblGrid>
      <w:tr w:rsidR="002617A6" w:rsidRPr="009B33B9" w:rsidTr="00064502">
        <w:trPr>
          <w:cnfStyle w:val="100000000000"/>
          <w:trHeight w:val="647"/>
        </w:trPr>
        <w:tc>
          <w:tcPr>
            <w:cnfStyle w:val="001000000000"/>
            <w:tcW w:w="1260" w:type="dxa"/>
            <w:vMerge w:val="restart"/>
            <w:noWrap/>
            <w:hideMark/>
          </w:tcPr>
          <w:p w:rsidR="002617A6" w:rsidRPr="009B33B9" w:rsidRDefault="002617A6" w:rsidP="00064502">
            <w:pPr>
              <w:rPr>
                <w:rFonts w:ascii="Calibri" w:eastAsia="Times New Roman" w:hAnsi="Calibri" w:cs="Times New Roman"/>
                <w:color w:val="auto"/>
                <w:lang w:val="ro-RO"/>
              </w:rPr>
            </w:pPr>
          </w:p>
        </w:tc>
        <w:tc>
          <w:tcPr>
            <w:tcW w:w="1350" w:type="dxa"/>
            <w:gridSpan w:val="2"/>
            <w:vMerge w:val="restart"/>
            <w:hideMark/>
          </w:tcPr>
          <w:p w:rsidR="002617A6" w:rsidRPr="00A9797D" w:rsidRDefault="002617A6" w:rsidP="00064502">
            <w:pPr>
              <w:jc w:val="center"/>
              <w:cnfStyle w:val="100000000000"/>
              <w:rPr>
                <w:rFonts w:ascii="Calibri" w:eastAsia="Times New Roman" w:hAnsi="Calibri" w:cs="Times New Roman"/>
                <w:lang w:val="ro-RO"/>
              </w:rPr>
            </w:pPr>
            <w:r w:rsidRPr="00A9797D">
              <w:rPr>
                <w:rFonts w:ascii="Calibri" w:eastAsia="Times New Roman" w:hAnsi="Calibri" w:cs="Times New Roman"/>
                <w:lang w:val="ro-RO"/>
              </w:rPr>
              <w:t xml:space="preserve">Total </w:t>
            </w:r>
          </w:p>
        </w:tc>
        <w:tc>
          <w:tcPr>
            <w:tcW w:w="1260" w:type="dxa"/>
            <w:vMerge w:val="restart"/>
            <w:hideMark/>
          </w:tcPr>
          <w:p w:rsidR="002617A6" w:rsidRPr="00A9797D" w:rsidRDefault="002617A6" w:rsidP="00064502">
            <w:pPr>
              <w:jc w:val="center"/>
              <w:cnfStyle w:val="100000000000"/>
              <w:rPr>
                <w:rFonts w:ascii="Calibri" w:eastAsia="Times New Roman" w:hAnsi="Calibri" w:cs="Times New Roman"/>
                <w:lang w:val="ro-RO"/>
              </w:rPr>
            </w:pPr>
            <w:r w:rsidRPr="00A9797D">
              <w:rPr>
                <w:rFonts w:ascii="Calibri" w:eastAsia="Times New Roman" w:hAnsi="Calibri" w:cs="Times New Roman"/>
                <w:lang w:val="ro-RO"/>
              </w:rPr>
              <w:t>Staţiuni balneare</w:t>
            </w:r>
          </w:p>
        </w:tc>
        <w:tc>
          <w:tcPr>
            <w:tcW w:w="1440" w:type="dxa"/>
            <w:vMerge w:val="restart"/>
          </w:tcPr>
          <w:p w:rsidR="002617A6" w:rsidRPr="00A9797D" w:rsidRDefault="002617A6" w:rsidP="00064502">
            <w:pPr>
              <w:cnfStyle w:val="100000000000"/>
              <w:rPr>
                <w:rFonts w:ascii="Calibri" w:eastAsia="Times New Roman" w:hAnsi="Calibri" w:cs="Times New Roman"/>
                <w:sz w:val="20"/>
                <w:szCs w:val="20"/>
                <w:lang w:val="ro-RO"/>
              </w:rPr>
            </w:pPr>
            <w:r w:rsidRPr="00A9797D">
              <w:rPr>
                <w:rFonts w:ascii="Calibri" w:eastAsia="Times New Roman" w:hAnsi="Calibri" w:cs="Times New Roman"/>
                <w:sz w:val="20"/>
                <w:szCs w:val="20"/>
                <w:lang w:val="ro-RO"/>
              </w:rPr>
              <w:t xml:space="preserve">% înnoptărilor din staţiunile balneare în total </w:t>
            </w:r>
          </w:p>
        </w:tc>
        <w:tc>
          <w:tcPr>
            <w:tcW w:w="2070" w:type="dxa"/>
            <w:gridSpan w:val="2"/>
            <w:noWrap/>
            <w:hideMark/>
          </w:tcPr>
          <w:p w:rsidR="002617A6" w:rsidRPr="00A9797D" w:rsidRDefault="002617A6" w:rsidP="00064502">
            <w:pPr>
              <w:cnfStyle w:val="100000000000"/>
              <w:rPr>
                <w:rFonts w:ascii="Calibri" w:eastAsia="Times New Roman" w:hAnsi="Calibri" w:cs="Times New Roman"/>
                <w:lang w:val="ro-RO"/>
              </w:rPr>
            </w:pPr>
            <w:r w:rsidRPr="00A9797D">
              <w:rPr>
                <w:rFonts w:ascii="Calibri" w:eastAsia="Times New Roman" w:hAnsi="Calibri" w:cs="Times New Roman"/>
                <w:lang w:val="ro-RO"/>
              </w:rPr>
              <w:t>Staţiuni balneare</w:t>
            </w:r>
          </w:p>
        </w:tc>
        <w:tc>
          <w:tcPr>
            <w:tcW w:w="1710" w:type="dxa"/>
            <w:vMerge w:val="restart"/>
            <w:noWrap/>
            <w:hideMark/>
          </w:tcPr>
          <w:p w:rsidR="002617A6" w:rsidRPr="00A9797D" w:rsidRDefault="002617A6" w:rsidP="00064502">
            <w:pPr>
              <w:jc w:val="center"/>
              <w:cnfStyle w:val="100000000000"/>
              <w:rPr>
                <w:rFonts w:ascii="Calibri" w:eastAsia="Times New Roman" w:hAnsi="Calibri" w:cs="Times New Roman"/>
                <w:sz w:val="20"/>
                <w:szCs w:val="20"/>
                <w:lang w:val="ro-RO"/>
              </w:rPr>
            </w:pPr>
            <w:r w:rsidRPr="00A9797D">
              <w:rPr>
                <w:rFonts w:ascii="Calibri" w:eastAsia="Times New Roman" w:hAnsi="Calibri" w:cs="Times New Roman"/>
                <w:sz w:val="20"/>
                <w:szCs w:val="20"/>
                <w:lang w:val="ro-RO"/>
              </w:rPr>
              <w:t>% înnoptărilor turiştilor străini în totalul din staţiunile balneare</w:t>
            </w:r>
          </w:p>
        </w:tc>
      </w:tr>
      <w:tr w:rsidR="002617A6" w:rsidRPr="009B33B9" w:rsidTr="00064502">
        <w:trPr>
          <w:cnfStyle w:val="000000100000"/>
          <w:trHeight w:val="323"/>
        </w:trPr>
        <w:tc>
          <w:tcPr>
            <w:cnfStyle w:val="001000000000"/>
            <w:tcW w:w="1260" w:type="dxa"/>
            <w:vMerge/>
            <w:noWrap/>
            <w:hideMark/>
          </w:tcPr>
          <w:p w:rsidR="002617A6" w:rsidRPr="009B33B9" w:rsidRDefault="002617A6" w:rsidP="00064502">
            <w:pPr>
              <w:rPr>
                <w:rFonts w:ascii="Calibri" w:eastAsia="Times New Roman" w:hAnsi="Calibri" w:cs="Times New Roman"/>
                <w:lang w:val="ro-RO"/>
              </w:rPr>
            </w:pPr>
          </w:p>
        </w:tc>
        <w:tc>
          <w:tcPr>
            <w:tcW w:w="1350" w:type="dxa"/>
            <w:gridSpan w:val="2"/>
            <w:vMerge/>
            <w:hideMark/>
          </w:tcPr>
          <w:p w:rsidR="002617A6" w:rsidRPr="009B33B9" w:rsidRDefault="002617A6" w:rsidP="00064502">
            <w:pPr>
              <w:jc w:val="center"/>
              <w:cnfStyle w:val="000000100000"/>
              <w:rPr>
                <w:rFonts w:ascii="Calibri" w:eastAsia="Times New Roman" w:hAnsi="Calibri" w:cs="Times New Roman"/>
                <w:b/>
                <w:bCs/>
                <w:lang w:val="ro-RO"/>
              </w:rPr>
            </w:pPr>
          </w:p>
        </w:tc>
        <w:tc>
          <w:tcPr>
            <w:tcW w:w="1260" w:type="dxa"/>
            <w:vMerge/>
            <w:hideMark/>
          </w:tcPr>
          <w:p w:rsidR="002617A6" w:rsidRPr="009B33B9" w:rsidRDefault="002617A6" w:rsidP="00064502">
            <w:pPr>
              <w:jc w:val="center"/>
              <w:cnfStyle w:val="000000100000"/>
              <w:rPr>
                <w:rFonts w:ascii="Calibri" w:eastAsia="Times New Roman" w:hAnsi="Calibri" w:cs="Times New Roman"/>
                <w:b/>
                <w:bCs/>
                <w:lang w:val="ro-RO"/>
              </w:rPr>
            </w:pPr>
          </w:p>
        </w:tc>
        <w:tc>
          <w:tcPr>
            <w:tcW w:w="1440" w:type="dxa"/>
            <w:vMerge/>
          </w:tcPr>
          <w:p w:rsidR="002617A6" w:rsidRPr="009B33B9" w:rsidRDefault="002617A6" w:rsidP="00064502">
            <w:pPr>
              <w:cnfStyle w:val="000000100000"/>
              <w:rPr>
                <w:rFonts w:ascii="Calibri" w:eastAsia="Times New Roman" w:hAnsi="Calibri" w:cs="Times New Roman"/>
                <w:lang w:val="ro-RO"/>
              </w:rPr>
            </w:pPr>
          </w:p>
        </w:tc>
        <w:tc>
          <w:tcPr>
            <w:tcW w:w="1080" w:type="dxa"/>
            <w:noWrap/>
            <w:hideMark/>
          </w:tcPr>
          <w:p w:rsidR="002617A6" w:rsidRPr="00A9797D" w:rsidRDefault="002617A6" w:rsidP="00064502">
            <w:pPr>
              <w:cnfStyle w:val="000000100000"/>
              <w:rPr>
                <w:rFonts w:ascii="Calibri" w:eastAsia="Times New Roman" w:hAnsi="Calibri" w:cs="Times New Roman"/>
                <w:b/>
                <w:lang w:val="ro-RO"/>
              </w:rPr>
            </w:pPr>
            <w:r w:rsidRPr="00A9797D">
              <w:rPr>
                <w:rFonts w:ascii="Calibri" w:eastAsia="Times New Roman" w:hAnsi="Calibri" w:cs="Times New Roman"/>
                <w:b/>
                <w:lang w:val="ro-RO"/>
              </w:rPr>
              <w:t>Români</w:t>
            </w:r>
          </w:p>
        </w:tc>
        <w:tc>
          <w:tcPr>
            <w:tcW w:w="990" w:type="dxa"/>
            <w:noWrap/>
            <w:hideMark/>
          </w:tcPr>
          <w:p w:rsidR="002617A6" w:rsidRPr="00A9797D" w:rsidRDefault="002617A6" w:rsidP="00064502">
            <w:pPr>
              <w:cnfStyle w:val="000000100000"/>
              <w:rPr>
                <w:rFonts w:ascii="Calibri" w:eastAsia="Times New Roman" w:hAnsi="Calibri" w:cs="Times New Roman"/>
                <w:b/>
                <w:lang w:val="ro-RO"/>
              </w:rPr>
            </w:pPr>
            <w:r w:rsidRPr="00A9797D">
              <w:rPr>
                <w:rFonts w:ascii="Calibri" w:eastAsia="Times New Roman" w:hAnsi="Calibri" w:cs="Times New Roman"/>
                <w:b/>
                <w:lang w:val="ro-RO"/>
              </w:rPr>
              <w:t>Străini</w:t>
            </w:r>
          </w:p>
        </w:tc>
        <w:tc>
          <w:tcPr>
            <w:tcW w:w="1710" w:type="dxa"/>
            <w:vMerge/>
            <w:noWrap/>
            <w:hideMark/>
          </w:tcPr>
          <w:p w:rsidR="002617A6" w:rsidRPr="009B33B9" w:rsidRDefault="002617A6" w:rsidP="00064502">
            <w:pPr>
              <w:cnfStyle w:val="000000100000"/>
              <w:rPr>
                <w:rFonts w:ascii="Calibri" w:eastAsia="Times New Roman" w:hAnsi="Calibri" w:cs="Times New Roman"/>
                <w:lang w:val="ro-RO"/>
              </w:rPr>
            </w:pPr>
          </w:p>
        </w:tc>
      </w:tr>
      <w:tr w:rsidR="002617A6" w:rsidRPr="009B33B9" w:rsidTr="00064502">
        <w:trPr>
          <w:trHeight w:val="300"/>
        </w:trPr>
        <w:tc>
          <w:tcPr>
            <w:cnfStyle w:val="001000000000"/>
            <w:tcW w:w="1260" w:type="dxa"/>
            <w:hideMark/>
          </w:tcPr>
          <w:p w:rsidR="002617A6" w:rsidRPr="00806D29" w:rsidRDefault="002617A6" w:rsidP="00064502">
            <w:pPr>
              <w:jc w:val="center"/>
              <w:rPr>
                <w:rFonts w:ascii="Calibri" w:eastAsia="Times New Roman" w:hAnsi="Calibri" w:cs="Times New Roman"/>
                <w:b/>
                <w:bCs/>
                <w:color w:val="FFFF00"/>
                <w:lang w:val="ro-RO"/>
              </w:rPr>
            </w:pPr>
            <w:r w:rsidRPr="00806D29">
              <w:rPr>
                <w:rFonts w:ascii="Calibri" w:eastAsia="Times New Roman" w:hAnsi="Calibri" w:cs="Times New Roman"/>
                <w:b/>
                <w:color w:val="FFFF00"/>
                <w:lang w:val="ro-RO"/>
              </w:rPr>
              <w:t>Anul 2005</w:t>
            </w:r>
          </w:p>
        </w:tc>
        <w:tc>
          <w:tcPr>
            <w:tcW w:w="1170" w:type="dxa"/>
            <w:hideMark/>
          </w:tcPr>
          <w:p w:rsidR="002617A6" w:rsidRPr="00806D29" w:rsidRDefault="002617A6" w:rsidP="00064502">
            <w:pPr>
              <w:jc w:val="right"/>
              <w:cnfStyle w:val="000000000000"/>
              <w:rPr>
                <w:rFonts w:ascii="Calibri" w:eastAsia="Times New Roman" w:hAnsi="Calibri" w:cs="Times New Roman"/>
                <w:b/>
                <w:color w:val="FFFF00"/>
                <w:lang w:val="ro-RO"/>
              </w:rPr>
            </w:pPr>
            <w:r w:rsidRPr="00806D29">
              <w:rPr>
                <w:rFonts w:ascii="Calibri" w:eastAsia="Times New Roman" w:hAnsi="Calibri" w:cs="Times New Roman"/>
                <w:b/>
                <w:color w:val="FFFF00"/>
                <w:lang w:val="ro-RO"/>
              </w:rPr>
              <w:t>18372988</w:t>
            </w:r>
          </w:p>
        </w:tc>
        <w:tc>
          <w:tcPr>
            <w:tcW w:w="1440" w:type="dxa"/>
            <w:gridSpan w:val="2"/>
            <w:hideMark/>
          </w:tcPr>
          <w:p w:rsidR="002617A6" w:rsidRPr="00806D29" w:rsidRDefault="002617A6" w:rsidP="00064502">
            <w:pPr>
              <w:jc w:val="right"/>
              <w:cnfStyle w:val="000000000000"/>
              <w:rPr>
                <w:rFonts w:ascii="Calibri" w:eastAsia="Times New Roman" w:hAnsi="Calibri" w:cs="Times New Roman"/>
                <w:b/>
                <w:color w:val="FFFF00"/>
                <w:lang w:val="ro-RO"/>
              </w:rPr>
            </w:pPr>
            <w:r w:rsidRPr="00806D29">
              <w:rPr>
                <w:rFonts w:ascii="Calibri" w:eastAsia="Times New Roman" w:hAnsi="Calibri" w:cs="Times New Roman"/>
                <w:b/>
                <w:color w:val="FFFF00"/>
                <w:lang w:val="ro-RO"/>
              </w:rPr>
              <w:t>5303980</w:t>
            </w:r>
          </w:p>
        </w:tc>
        <w:tc>
          <w:tcPr>
            <w:tcW w:w="1440" w:type="dxa"/>
          </w:tcPr>
          <w:p w:rsidR="002617A6" w:rsidRPr="00806D29" w:rsidRDefault="002617A6" w:rsidP="00064502">
            <w:pPr>
              <w:jc w:val="right"/>
              <w:cnfStyle w:val="000000000000"/>
              <w:rPr>
                <w:rFonts w:ascii="Calibri" w:hAnsi="Calibri"/>
                <w:b/>
                <w:color w:val="FFFF00"/>
                <w:lang w:val="ro-RO"/>
              </w:rPr>
            </w:pPr>
            <w:r>
              <w:rPr>
                <w:rFonts w:ascii="Calibri" w:hAnsi="Calibri"/>
                <w:b/>
                <w:color w:val="FFFF00"/>
                <w:lang w:val="ro-RO"/>
              </w:rPr>
              <w:t>28,</w:t>
            </w:r>
            <w:r w:rsidRPr="00806D29">
              <w:rPr>
                <w:rFonts w:ascii="Calibri" w:hAnsi="Calibri"/>
                <w:b/>
                <w:color w:val="FFFF00"/>
                <w:lang w:val="ro-RO"/>
              </w:rPr>
              <w:t>9</w:t>
            </w:r>
          </w:p>
        </w:tc>
        <w:tc>
          <w:tcPr>
            <w:tcW w:w="1080" w:type="dxa"/>
            <w:hideMark/>
          </w:tcPr>
          <w:p w:rsidR="002617A6" w:rsidRPr="00806D29" w:rsidRDefault="002617A6" w:rsidP="00064502">
            <w:pPr>
              <w:jc w:val="right"/>
              <w:cnfStyle w:val="000000000000"/>
              <w:rPr>
                <w:rFonts w:ascii="Calibri" w:eastAsia="Times New Roman" w:hAnsi="Calibri" w:cs="Times New Roman"/>
                <w:b/>
                <w:color w:val="FFFF00"/>
                <w:lang w:val="ro-RO"/>
              </w:rPr>
            </w:pPr>
            <w:r w:rsidRPr="00806D29">
              <w:rPr>
                <w:rFonts w:ascii="Calibri" w:eastAsia="Times New Roman" w:hAnsi="Calibri" w:cs="Times New Roman"/>
                <w:b/>
                <w:color w:val="FFFF00"/>
                <w:lang w:val="ro-RO"/>
              </w:rPr>
              <w:t>5155731</w:t>
            </w:r>
          </w:p>
        </w:tc>
        <w:tc>
          <w:tcPr>
            <w:tcW w:w="990" w:type="dxa"/>
            <w:hideMark/>
          </w:tcPr>
          <w:p w:rsidR="002617A6" w:rsidRPr="00806D29" w:rsidRDefault="002617A6" w:rsidP="00064502">
            <w:pPr>
              <w:jc w:val="right"/>
              <w:cnfStyle w:val="000000000000"/>
              <w:rPr>
                <w:rFonts w:ascii="Calibri" w:eastAsia="Times New Roman" w:hAnsi="Calibri" w:cs="Times New Roman"/>
                <w:b/>
                <w:color w:val="FFFF00"/>
                <w:lang w:val="ro-RO"/>
              </w:rPr>
            </w:pPr>
            <w:r w:rsidRPr="00806D29">
              <w:rPr>
                <w:rFonts w:ascii="Calibri" w:eastAsia="Times New Roman" w:hAnsi="Calibri" w:cs="Times New Roman"/>
                <w:b/>
                <w:color w:val="FFFF00"/>
                <w:lang w:val="ro-RO"/>
              </w:rPr>
              <w:t>148249</w:t>
            </w:r>
          </w:p>
        </w:tc>
        <w:tc>
          <w:tcPr>
            <w:tcW w:w="1710" w:type="dxa"/>
            <w:noWrap/>
            <w:hideMark/>
          </w:tcPr>
          <w:p w:rsidR="002617A6" w:rsidRPr="00806D29" w:rsidRDefault="002617A6" w:rsidP="00064502">
            <w:pPr>
              <w:jc w:val="right"/>
              <w:cnfStyle w:val="000000000000"/>
              <w:rPr>
                <w:rFonts w:ascii="Calibri" w:eastAsia="Times New Roman" w:hAnsi="Calibri" w:cs="Times New Roman"/>
                <w:b/>
                <w:color w:val="FFFF00"/>
                <w:lang w:val="ro-RO"/>
              </w:rPr>
            </w:pPr>
            <w:r>
              <w:rPr>
                <w:rFonts w:ascii="Calibri" w:eastAsia="Times New Roman" w:hAnsi="Calibri" w:cs="Times New Roman"/>
                <w:b/>
                <w:color w:val="FFFF00"/>
                <w:lang w:val="ro-RO"/>
              </w:rPr>
              <w:t>2,</w:t>
            </w:r>
            <w:r w:rsidRPr="00806D29">
              <w:rPr>
                <w:rFonts w:ascii="Calibri" w:eastAsia="Times New Roman" w:hAnsi="Calibri" w:cs="Times New Roman"/>
                <w:b/>
                <w:color w:val="FFFF00"/>
                <w:lang w:val="ro-RO"/>
              </w:rPr>
              <w:t>8</w:t>
            </w:r>
          </w:p>
        </w:tc>
      </w:tr>
      <w:tr w:rsidR="002617A6" w:rsidRPr="009B33B9" w:rsidTr="00064502">
        <w:trPr>
          <w:cnfStyle w:val="000000100000"/>
          <w:trHeight w:val="300"/>
        </w:trPr>
        <w:tc>
          <w:tcPr>
            <w:cnfStyle w:val="001000000000"/>
            <w:tcW w:w="1260" w:type="dxa"/>
            <w:hideMark/>
          </w:tcPr>
          <w:p w:rsidR="002617A6" w:rsidRPr="009B33B9" w:rsidRDefault="002617A6" w:rsidP="00064502">
            <w:pPr>
              <w:jc w:val="center"/>
              <w:rPr>
                <w:rFonts w:ascii="Calibri" w:eastAsia="Times New Roman" w:hAnsi="Calibri" w:cs="Times New Roman"/>
                <w:b/>
                <w:bCs/>
                <w:lang w:val="ro-RO"/>
              </w:rPr>
            </w:pPr>
            <w:r w:rsidRPr="009B33B9">
              <w:rPr>
                <w:rFonts w:ascii="Calibri" w:eastAsia="Times New Roman" w:hAnsi="Calibri" w:cs="Times New Roman"/>
                <w:lang w:val="ro-RO"/>
              </w:rPr>
              <w:t>Anul 2010</w:t>
            </w:r>
          </w:p>
        </w:tc>
        <w:tc>
          <w:tcPr>
            <w:tcW w:w="1170" w:type="dxa"/>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16051135</w:t>
            </w:r>
          </w:p>
        </w:tc>
        <w:tc>
          <w:tcPr>
            <w:tcW w:w="1440" w:type="dxa"/>
            <w:gridSpan w:val="2"/>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3910309</w:t>
            </w:r>
          </w:p>
        </w:tc>
        <w:tc>
          <w:tcPr>
            <w:tcW w:w="1440" w:type="dxa"/>
          </w:tcPr>
          <w:p w:rsidR="002617A6" w:rsidRPr="009B33B9" w:rsidRDefault="002617A6" w:rsidP="00064502">
            <w:pPr>
              <w:jc w:val="right"/>
              <w:cnfStyle w:val="000000100000"/>
              <w:rPr>
                <w:rFonts w:ascii="Calibri" w:hAnsi="Calibri"/>
                <w:lang w:val="ro-RO"/>
              </w:rPr>
            </w:pPr>
            <w:r>
              <w:rPr>
                <w:rFonts w:ascii="Calibri" w:hAnsi="Calibri"/>
                <w:lang w:val="ro-RO"/>
              </w:rPr>
              <w:t>24,</w:t>
            </w:r>
            <w:r w:rsidRPr="009B33B9">
              <w:rPr>
                <w:rFonts w:ascii="Calibri" w:hAnsi="Calibri"/>
                <w:lang w:val="ro-RO"/>
              </w:rPr>
              <w:t>4</w:t>
            </w:r>
          </w:p>
        </w:tc>
        <w:tc>
          <w:tcPr>
            <w:tcW w:w="1080" w:type="dxa"/>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3820672</w:t>
            </w:r>
          </w:p>
        </w:tc>
        <w:tc>
          <w:tcPr>
            <w:tcW w:w="990" w:type="dxa"/>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89637</w:t>
            </w:r>
          </w:p>
        </w:tc>
        <w:tc>
          <w:tcPr>
            <w:tcW w:w="1710" w:type="dxa"/>
            <w:noWrap/>
            <w:hideMark/>
          </w:tcPr>
          <w:p w:rsidR="002617A6" w:rsidRPr="009B33B9" w:rsidRDefault="002617A6" w:rsidP="00064502">
            <w:pPr>
              <w:jc w:val="right"/>
              <w:cnfStyle w:val="000000100000"/>
              <w:rPr>
                <w:rFonts w:ascii="Calibri" w:eastAsia="Times New Roman" w:hAnsi="Calibri" w:cs="Times New Roman"/>
                <w:lang w:val="ro-RO"/>
              </w:rPr>
            </w:pPr>
            <w:r>
              <w:rPr>
                <w:rFonts w:ascii="Calibri" w:eastAsia="Times New Roman" w:hAnsi="Calibri" w:cs="Times New Roman"/>
                <w:lang w:val="ro-RO"/>
              </w:rPr>
              <w:t>2,</w:t>
            </w:r>
            <w:r w:rsidRPr="009B33B9">
              <w:rPr>
                <w:rFonts w:ascii="Calibri" w:eastAsia="Times New Roman" w:hAnsi="Calibri" w:cs="Times New Roman"/>
                <w:lang w:val="ro-RO"/>
              </w:rPr>
              <w:t>3</w:t>
            </w:r>
          </w:p>
        </w:tc>
      </w:tr>
      <w:tr w:rsidR="002617A6" w:rsidRPr="009B33B9" w:rsidTr="00064502">
        <w:trPr>
          <w:trHeight w:val="300"/>
        </w:trPr>
        <w:tc>
          <w:tcPr>
            <w:cnfStyle w:val="001000000000"/>
            <w:tcW w:w="1260" w:type="dxa"/>
            <w:hideMark/>
          </w:tcPr>
          <w:p w:rsidR="002617A6" w:rsidRPr="009B33B9" w:rsidRDefault="002617A6" w:rsidP="00064502">
            <w:pPr>
              <w:jc w:val="center"/>
              <w:rPr>
                <w:rFonts w:ascii="Calibri" w:eastAsia="Times New Roman" w:hAnsi="Calibri" w:cs="Times New Roman"/>
                <w:b/>
                <w:bCs/>
                <w:lang w:val="ro-RO"/>
              </w:rPr>
            </w:pPr>
            <w:r w:rsidRPr="009B33B9">
              <w:rPr>
                <w:rFonts w:ascii="Calibri" w:eastAsia="Times New Roman" w:hAnsi="Calibri" w:cs="Times New Roman"/>
                <w:lang w:val="ro-RO"/>
              </w:rPr>
              <w:t>Anul 2011</w:t>
            </w:r>
          </w:p>
        </w:tc>
        <w:tc>
          <w:tcPr>
            <w:tcW w:w="1170" w:type="dxa"/>
            <w:hideMark/>
          </w:tcPr>
          <w:p w:rsidR="002617A6" w:rsidRPr="00806D29" w:rsidRDefault="002617A6" w:rsidP="00064502">
            <w:pPr>
              <w:jc w:val="right"/>
              <w:cnfStyle w:val="000000000000"/>
              <w:rPr>
                <w:rFonts w:ascii="Calibri" w:eastAsia="Times New Roman" w:hAnsi="Calibri" w:cs="Times New Roman"/>
                <w:bCs/>
                <w:lang w:val="ro-RO"/>
              </w:rPr>
            </w:pPr>
            <w:r w:rsidRPr="00806D29">
              <w:rPr>
                <w:rFonts w:ascii="Calibri" w:eastAsia="Times New Roman" w:hAnsi="Calibri" w:cs="Times New Roman"/>
                <w:bCs/>
                <w:lang w:val="ro-RO"/>
              </w:rPr>
              <w:t>17979439</w:t>
            </w:r>
          </w:p>
        </w:tc>
        <w:tc>
          <w:tcPr>
            <w:tcW w:w="1440" w:type="dxa"/>
            <w:gridSpan w:val="2"/>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4342157</w:t>
            </w:r>
          </w:p>
        </w:tc>
        <w:tc>
          <w:tcPr>
            <w:tcW w:w="1440" w:type="dxa"/>
          </w:tcPr>
          <w:p w:rsidR="002617A6" w:rsidRPr="009B33B9" w:rsidRDefault="002617A6" w:rsidP="00064502">
            <w:pPr>
              <w:jc w:val="right"/>
              <w:cnfStyle w:val="000000000000"/>
              <w:rPr>
                <w:rFonts w:ascii="Calibri" w:hAnsi="Calibri"/>
                <w:lang w:val="ro-RO"/>
              </w:rPr>
            </w:pPr>
            <w:r w:rsidRPr="009B33B9">
              <w:rPr>
                <w:rFonts w:ascii="Calibri" w:hAnsi="Calibri"/>
                <w:lang w:val="ro-RO"/>
              </w:rPr>
              <w:t>24</w:t>
            </w:r>
            <w:r>
              <w:rPr>
                <w:rFonts w:ascii="Calibri" w:hAnsi="Calibri"/>
                <w:lang w:val="ro-RO"/>
              </w:rPr>
              <w:t>,</w:t>
            </w:r>
            <w:r w:rsidRPr="009B33B9">
              <w:rPr>
                <w:rFonts w:ascii="Calibri" w:hAnsi="Calibri"/>
                <w:lang w:val="ro-RO"/>
              </w:rPr>
              <w:t>2</w:t>
            </w:r>
          </w:p>
        </w:tc>
        <w:tc>
          <w:tcPr>
            <w:tcW w:w="1080" w:type="dxa"/>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4238654</w:t>
            </w:r>
          </w:p>
        </w:tc>
        <w:tc>
          <w:tcPr>
            <w:tcW w:w="990" w:type="dxa"/>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103503</w:t>
            </w:r>
          </w:p>
        </w:tc>
        <w:tc>
          <w:tcPr>
            <w:tcW w:w="1710" w:type="dxa"/>
            <w:noWrap/>
            <w:hideMark/>
          </w:tcPr>
          <w:p w:rsidR="002617A6" w:rsidRPr="009B33B9" w:rsidRDefault="002617A6" w:rsidP="00064502">
            <w:pPr>
              <w:jc w:val="right"/>
              <w:cnfStyle w:val="000000000000"/>
              <w:rPr>
                <w:rFonts w:ascii="Calibri" w:eastAsia="Times New Roman" w:hAnsi="Calibri" w:cs="Times New Roman"/>
                <w:lang w:val="ro-RO"/>
              </w:rPr>
            </w:pPr>
            <w:r>
              <w:rPr>
                <w:rFonts w:ascii="Calibri" w:eastAsia="Times New Roman" w:hAnsi="Calibri" w:cs="Times New Roman"/>
                <w:lang w:val="ro-RO"/>
              </w:rPr>
              <w:t>2,</w:t>
            </w:r>
            <w:r w:rsidRPr="009B33B9">
              <w:rPr>
                <w:rFonts w:ascii="Calibri" w:eastAsia="Times New Roman" w:hAnsi="Calibri" w:cs="Times New Roman"/>
                <w:lang w:val="ro-RO"/>
              </w:rPr>
              <w:t>4</w:t>
            </w:r>
          </w:p>
        </w:tc>
      </w:tr>
      <w:tr w:rsidR="002617A6" w:rsidRPr="009B33B9" w:rsidTr="00064502">
        <w:trPr>
          <w:cnfStyle w:val="000000100000"/>
          <w:trHeight w:val="300"/>
        </w:trPr>
        <w:tc>
          <w:tcPr>
            <w:cnfStyle w:val="001000000000"/>
            <w:tcW w:w="1260" w:type="dxa"/>
            <w:hideMark/>
          </w:tcPr>
          <w:p w:rsidR="002617A6" w:rsidRPr="009B33B9" w:rsidRDefault="002617A6" w:rsidP="00064502">
            <w:pPr>
              <w:jc w:val="center"/>
              <w:rPr>
                <w:rFonts w:ascii="Calibri" w:eastAsia="Times New Roman" w:hAnsi="Calibri" w:cs="Times New Roman"/>
                <w:b/>
                <w:bCs/>
                <w:lang w:val="ro-RO"/>
              </w:rPr>
            </w:pPr>
            <w:r w:rsidRPr="009B33B9">
              <w:rPr>
                <w:rFonts w:ascii="Calibri" w:eastAsia="Times New Roman" w:hAnsi="Calibri" w:cs="Times New Roman"/>
                <w:lang w:val="ro-RO"/>
              </w:rPr>
              <w:t>Anul 2012</w:t>
            </w:r>
          </w:p>
        </w:tc>
        <w:tc>
          <w:tcPr>
            <w:tcW w:w="1170" w:type="dxa"/>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19166122</w:t>
            </w:r>
          </w:p>
        </w:tc>
        <w:tc>
          <w:tcPr>
            <w:tcW w:w="1440" w:type="dxa"/>
            <w:gridSpan w:val="2"/>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4268473</w:t>
            </w:r>
          </w:p>
        </w:tc>
        <w:tc>
          <w:tcPr>
            <w:tcW w:w="1440" w:type="dxa"/>
          </w:tcPr>
          <w:p w:rsidR="002617A6" w:rsidRPr="009B33B9" w:rsidRDefault="002617A6" w:rsidP="00064502">
            <w:pPr>
              <w:jc w:val="right"/>
              <w:cnfStyle w:val="000000100000"/>
              <w:rPr>
                <w:rFonts w:ascii="Calibri" w:hAnsi="Calibri"/>
                <w:lang w:val="ro-RO"/>
              </w:rPr>
            </w:pPr>
            <w:r>
              <w:rPr>
                <w:rFonts w:ascii="Calibri" w:hAnsi="Calibri"/>
                <w:lang w:val="ro-RO"/>
              </w:rPr>
              <w:t>22,</w:t>
            </w:r>
            <w:r w:rsidRPr="009B33B9">
              <w:rPr>
                <w:rFonts w:ascii="Calibri" w:hAnsi="Calibri"/>
                <w:lang w:val="ro-RO"/>
              </w:rPr>
              <w:t>3</w:t>
            </w:r>
          </w:p>
        </w:tc>
        <w:tc>
          <w:tcPr>
            <w:tcW w:w="1080" w:type="dxa"/>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4156939</w:t>
            </w:r>
          </w:p>
        </w:tc>
        <w:tc>
          <w:tcPr>
            <w:tcW w:w="990" w:type="dxa"/>
            <w:hideMark/>
          </w:tcPr>
          <w:p w:rsidR="002617A6" w:rsidRPr="009B33B9" w:rsidRDefault="002617A6" w:rsidP="00064502">
            <w:pPr>
              <w:jc w:val="right"/>
              <w:cnfStyle w:val="000000100000"/>
              <w:rPr>
                <w:rFonts w:ascii="Calibri" w:eastAsia="Times New Roman" w:hAnsi="Calibri" w:cs="Times New Roman"/>
                <w:lang w:val="ro-RO"/>
              </w:rPr>
            </w:pPr>
            <w:r w:rsidRPr="009B33B9">
              <w:rPr>
                <w:rFonts w:ascii="Calibri" w:eastAsia="Times New Roman" w:hAnsi="Calibri" w:cs="Times New Roman"/>
                <w:lang w:val="ro-RO"/>
              </w:rPr>
              <w:t>111534</w:t>
            </w:r>
          </w:p>
        </w:tc>
        <w:tc>
          <w:tcPr>
            <w:tcW w:w="1710" w:type="dxa"/>
            <w:noWrap/>
            <w:hideMark/>
          </w:tcPr>
          <w:p w:rsidR="002617A6" w:rsidRPr="009B33B9" w:rsidRDefault="002617A6" w:rsidP="00064502">
            <w:pPr>
              <w:jc w:val="right"/>
              <w:cnfStyle w:val="000000100000"/>
              <w:rPr>
                <w:rFonts w:ascii="Calibri" w:eastAsia="Times New Roman" w:hAnsi="Calibri" w:cs="Times New Roman"/>
                <w:lang w:val="ro-RO"/>
              </w:rPr>
            </w:pPr>
            <w:r>
              <w:rPr>
                <w:rFonts w:ascii="Calibri" w:eastAsia="Times New Roman" w:hAnsi="Calibri" w:cs="Times New Roman"/>
                <w:lang w:val="ro-RO"/>
              </w:rPr>
              <w:t>2,</w:t>
            </w:r>
            <w:r w:rsidRPr="009B33B9">
              <w:rPr>
                <w:rFonts w:ascii="Calibri" w:eastAsia="Times New Roman" w:hAnsi="Calibri" w:cs="Times New Roman"/>
                <w:lang w:val="ro-RO"/>
              </w:rPr>
              <w:t>6</w:t>
            </w:r>
          </w:p>
        </w:tc>
      </w:tr>
      <w:tr w:rsidR="002617A6" w:rsidRPr="009B33B9" w:rsidTr="00064502">
        <w:trPr>
          <w:trHeight w:val="300"/>
        </w:trPr>
        <w:tc>
          <w:tcPr>
            <w:cnfStyle w:val="001000000000"/>
            <w:tcW w:w="1260" w:type="dxa"/>
            <w:hideMark/>
          </w:tcPr>
          <w:p w:rsidR="002617A6" w:rsidRPr="009B33B9" w:rsidRDefault="002617A6" w:rsidP="00064502">
            <w:pPr>
              <w:jc w:val="center"/>
              <w:rPr>
                <w:rFonts w:ascii="Calibri" w:eastAsia="Times New Roman" w:hAnsi="Calibri" w:cs="Times New Roman"/>
                <w:b/>
                <w:bCs/>
                <w:lang w:val="ro-RO"/>
              </w:rPr>
            </w:pPr>
            <w:r w:rsidRPr="009B33B9">
              <w:rPr>
                <w:rFonts w:ascii="Calibri" w:eastAsia="Times New Roman" w:hAnsi="Calibri" w:cs="Times New Roman"/>
                <w:lang w:val="ro-RO"/>
              </w:rPr>
              <w:t>Anul 2013</w:t>
            </w:r>
          </w:p>
        </w:tc>
        <w:tc>
          <w:tcPr>
            <w:tcW w:w="1170" w:type="dxa"/>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19362671</w:t>
            </w:r>
          </w:p>
        </w:tc>
        <w:tc>
          <w:tcPr>
            <w:tcW w:w="1440" w:type="dxa"/>
            <w:gridSpan w:val="2"/>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4138034</w:t>
            </w:r>
          </w:p>
        </w:tc>
        <w:tc>
          <w:tcPr>
            <w:tcW w:w="1440" w:type="dxa"/>
          </w:tcPr>
          <w:p w:rsidR="002617A6" w:rsidRPr="009B33B9" w:rsidRDefault="002617A6" w:rsidP="00064502">
            <w:pPr>
              <w:jc w:val="right"/>
              <w:cnfStyle w:val="000000000000"/>
              <w:rPr>
                <w:rFonts w:ascii="Calibri" w:hAnsi="Calibri"/>
                <w:lang w:val="ro-RO"/>
              </w:rPr>
            </w:pPr>
            <w:r>
              <w:rPr>
                <w:rFonts w:ascii="Calibri" w:hAnsi="Calibri"/>
                <w:lang w:val="ro-RO"/>
              </w:rPr>
              <w:t>21,</w:t>
            </w:r>
            <w:r w:rsidRPr="009B33B9">
              <w:rPr>
                <w:rFonts w:ascii="Calibri" w:hAnsi="Calibri"/>
                <w:lang w:val="ro-RO"/>
              </w:rPr>
              <w:t>4</w:t>
            </w:r>
          </w:p>
        </w:tc>
        <w:tc>
          <w:tcPr>
            <w:tcW w:w="1080" w:type="dxa"/>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4008964</w:t>
            </w:r>
          </w:p>
        </w:tc>
        <w:tc>
          <w:tcPr>
            <w:tcW w:w="990" w:type="dxa"/>
            <w:hideMark/>
          </w:tcPr>
          <w:p w:rsidR="002617A6" w:rsidRPr="009B33B9" w:rsidRDefault="002617A6" w:rsidP="00064502">
            <w:pPr>
              <w:jc w:val="right"/>
              <w:cnfStyle w:val="000000000000"/>
              <w:rPr>
                <w:rFonts w:ascii="Calibri" w:eastAsia="Times New Roman" w:hAnsi="Calibri" w:cs="Times New Roman"/>
                <w:lang w:val="ro-RO"/>
              </w:rPr>
            </w:pPr>
            <w:r w:rsidRPr="009B33B9">
              <w:rPr>
                <w:rFonts w:ascii="Calibri" w:eastAsia="Times New Roman" w:hAnsi="Calibri" w:cs="Times New Roman"/>
                <w:lang w:val="ro-RO"/>
              </w:rPr>
              <w:t>129070</w:t>
            </w:r>
          </w:p>
        </w:tc>
        <w:tc>
          <w:tcPr>
            <w:tcW w:w="1710" w:type="dxa"/>
            <w:noWrap/>
            <w:hideMark/>
          </w:tcPr>
          <w:p w:rsidR="002617A6" w:rsidRPr="009B33B9" w:rsidRDefault="002617A6" w:rsidP="00064502">
            <w:pPr>
              <w:jc w:val="right"/>
              <w:cnfStyle w:val="000000000000"/>
              <w:rPr>
                <w:rFonts w:ascii="Calibri" w:eastAsia="Times New Roman" w:hAnsi="Calibri" w:cs="Times New Roman"/>
                <w:lang w:val="ro-RO"/>
              </w:rPr>
            </w:pPr>
            <w:r>
              <w:rPr>
                <w:rFonts w:ascii="Calibri" w:eastAsia="Times New Roman" w:hAnsi="Calibri" w:cs="Times New Roman"/>
                <w:lang w:val="ro-RO"/>
              </w:rPr>
              <w:t>3,</w:t>
            </w:r>
            <w:r w:rsidRPr="009B33B9">
              <w:rPr>
                <w:rFonts w:ascii="Calibri" w:eastAsia="Times New Roman" w:hAnsi="Calibri" w:cs="Times New Roman"/>
                <w:lang w:val="ro-RO"/>
              </w:rPr>
              <w:t>1</w:t>
            </w:r>
          </w:p>
        </w:tc>
      </w:tr>
      <w:tr w:rsidR="002617A6" w:rsidRPr="009B33B9" w:rsidTr="00064502">
        <w:trPr>
          <w:cnfStyle w:val="000000100000"/>
          <w:trHeight w:val="315"/>
        </w:trPr>
        <w:tc>
          <w:tcPr>
            <w:cnfStyle w:val="001000000000"/>
            <w:tcW w:w="1260" w:type="dxa"/>
            <w:hideMark/>
          </w:tcPr>
          <w:p w:rsidR="002617A6" w:rsidRPr="00806D29" w:rsidRDefault="002617A6" w:rsidP="00064502">
            <w:pPr>
              <w:jc w:val="center"/>
              <w:rPr>
                <w:rFonts w:ascii="Calibri" w:eastAsia="Times New Roman" w:hAnsi="Calibri" w:cs="Times New Roman"/>
                <w:bCs/>
                <w:lang w:val="ro-RO"/>
              </w:rPr>
            </w:pPr>
            <w:r w:rsidRPr="00806D29">
              <w:rPr>
                <w:rFonts w:ascii="Calibri" w:eastAsia="Times New Roman" w:hAnsi="Calibri" w:cs="Times New Roman"/>
                <w:bCs/>
                <w:lang w:val="ro-RO"/>
              </w:rPr>
              <w:t>Anul 2014</w:t>
            </w:r>
          </w:p>
        </w:tc>
        <w:tc>
          <w:tcPr>
            <w:tcW w:w="1170" w:type="dxa"/>
            <w:hideMark/>
          </w:tcPr>
          <w:p w:rsidR="002617A6" w:rsidRPr="009B33B9" w:rsidRDefault="002617A6" w:rsidP="00064502">
            <w:pPr>
              <w:jc w:val="right"/>
              <w:cnfStyle w:val="000000100000"/>
              <w:rPr>
                <w:rFonts w:ascii="Calibri" w:eastAsia="Times New Roman" w:hAnsi="Calibri" w:cs="Times New Roman"/>
                <w:lang w:val="ro-RO"/>
              </w:rPr>
            </w:pPr>
            <w:r w:rsidRPr="00806D29">
              <w:rPr>
                <w:rFonts w:ascii="Calibri" w:eastAsia="Times New Roman" w:hAnsi="Calibri" w:cs="Times New Roman"/>
                <w:lang w:val="ro-RO"/>
              </w:rPr>
              <w:t>20280041</w:t>
            </w:r>
          </w:p>
        </w:tc>
        <w:tc>
          <w:tcPr>
            <w:tcW w:w="1440" w:type="dxa"/>
            <w:gridSpan w:val="2"/>
            <w:hideMark/>
          </w:tcPr>
          <w:p w:rsidR="002617A6" w:rsidRPr="009B33B9" w:rsidRDefault="002617A6" w:rsidP="00064502">
            <w:pPr>
              <w:jc w:val="right"/>
              <w:cnfStyle w:val="000000100000"/>
              <w:rPr>
                <w:rFonts w:ascii="Calibri" w:eastAsia="Times New Roman" w:hAnsi="Calibri" w:cs="Times New Roman"/>
                <w:lang w:val="ro-RO"/>
              </w:rPr>
            </w:pPr>
            <w:r w:rsidRPr="00806D29">
              <w:rPr>
                <w:rFonts w:ascii="Calibri" w:eastAsia="Times New Roman" w:hAnsi="Calibri" w:cs="Times New Roman"/>
                <w:lang w:val="ro-RO"/>
              </w:rPr>
              <w:t>3577394</w:t>
            </w:r>
          </w:p>
        </w:tc>
        <w:tc>
          <w:tcPr>
            <w:tcW w:w="1440" w:type="dxa"/>
          </w:tcPr>
          <w:p w:rsidR="002617A6" w:rsidRPr="009B33B9" w:rsidRDefault="002617A6" w:rsidP="00064502">
            <w:pPr>
              <w:jc w:val="right"/>
              <w:cnfStyle w:val="000000100000"/>
              <w:rPr>
                <w:rFonts w:ascii="Calibri" w:hAnsi="Calibri"/>
                <w:lang w:val="ro-RO"/>
              </w:rPr>
            </w:pPr>
            <w:r>
              <w:rPr>
                <w:rFonts w:ascii="Calibri" w:hAnsi="Calibri"/>
                <w:lang w:val="ro-RO"/>
              </w:rPr>
              <w:t>17,6</w:t>
            </w:r>
          </w:p>
        </w:tc>
        <w:tc>
          <w:tcPr>
            <w:tcW w:w="1080" w:type="dxa"/>
            <w:hideMark/>
          </w:tcPr>
          <w:p w:rsidR="002617A6" w:rsidRPr="009B33B9" w:rsidRDefault="002617A6" w:rsidP="00064502">
            <w:pPr>
              <w:jc w:val="right"/>
              <w:cnfStyle w:val="000000100000"/>
              <w:rPr>
                <w:rFonts w:ascii="Calibri" w:eastAsia="Times New Roman" w:hAnsi="Calibri" w:cs="Times New Roman"/>
                <w:lang w:val="ro-RO"/>
              </w:rPr>
            </w:pPr>
            <w:r w:rsidRPr="00806D29">
              <w:rPr>
                <w:rFonts w:ascii="Calibri" w:eastAsia="Times New Roman" w:hAnsi="Calibri" w:cs="Times New Roman"/>
                <w:lang w:val="ro-RO"/>
              </w:rPr>
              <w:t>3444268</w:t>
            </w:r>
          </w:p>
        </w:tc>
        <w:tc>
          <w:tcPr>
            <w:tcW w:w="990" w:type="dxa"/>
            <w:hideMark/>
          </w:tcPr>
          <w:p w:rsidR="002617A6" w:rsidRPr="009B33B9" w:rsidRDefault="002617A6" w:rsidP="00064502">
            <w:pPr>
              <w:jc w:val="right"/>
              <w:cnfStyle w:val="000000100000"/>
              <w:rPr>
                <w:rFonts w:ascii="Calibri" w:eastAsia="Times New Roman" w:hAnsi="Calibri" w:cs="Times New Roman"/>
                <w:lang w:val="ro-RO"/>
              </w:rPr>
            </w:pPr>
            <w:r w:rsidRPr="00806D29">
              <w:rPr>
                <w:rFonts w:ascii="Calibri" w:eastAsia="Times New Roman" w:hAnsi="Calibri" w:cs="Times New Roman"/>
                <w:lang w:val="ro-RO"/>
              </w:rPr>
              <w:t>133126</w:t>
            </w:r>
          </w:p>
        </w:tc>
        <w:tc>
          <w:tcPr>
            <w:tcW w:w="1710" w:type="dxa"/>
            <w:noWrap/>
            <w:hideMark/>
          </w:tcPr>
          <w:p w:rsidR="002617A6" w:rsidRPr="009B33B9" w:rsidRDefault="002617A6" w:rsidP="00064502">
            <w:pPr>
              <w:jc w:val="right"/>
              <w:cnfStyle w:val="000000100000"/>
              <w:rPr>
                <w:rFonts w:ascii="Calibri" w:eastAsia="Times New Roman" w:hAnsi="Calibri" w:cs="Times New Roman"/>
                <w:lang w:val="ro-RO"/>
              </w:rPr>
            </w:pPr>
            <w:r>
              <w:rPr>
                <w:rFonts w:ascii="Calibri" w:eastAsia="Times New Roman" w:hAnsi="Calibri" w:cs="Times New Roman"/>
                <w:lang w:val="ro-RO"/>
              </w:rPr>
              <w:t>3,7</w:t>
            </w:r>
          </w:p>
        </w:tc>
      </w:tr>
      <w:tr w:rsidR="002617A6" w:rsidRPr="009B33B9" w:rsidTr="00064502">
        <w:trPr>
          <w:trHeight w:val="180"/>
        </w:trPr>
        <w:tc>
          <w:tcPr>
            <w:cnfStyle w:val="001000000000"/>
            <w:tcW w:w="1260" w:type="dxa"/>
            <w:hideMark/>
          </w:tcPr>
          <w:p w:rsidR="002617A6" w:rsidRPr="00806D29" w:rsidRDefault="002617A6" w:rsidP="00064502">
            <w:pPr>
              <w:jc w:val="center"/>
              <w:rPr>
                <w:rFonts w:ascii="Calibri" w:eastAsia="Times New Roman" w:hAnsi="Calibri" w:cs="Times New Roman"/>
                <w:bCs/>
                <w:lang w:val="ro-RO"/>
              </w:rPr>
            </w:pPr>
            <w:r w:rsidRPr="00806D29">
              <w:rPr>
                <w:rFonts w:ascii="Calibri" w:eastAsia="Times New Roman" w:hAnsi="Calibri" w:cs="Times New Roman"/>
                <w:bCs/>
                <w:lang w:val="ro-RO"/>
              </w:rPr>
              <w:t>Anul 2015</w:t>
            </w:r>
          </w:p>
        </w:tc>
        <w:tc>
          <w:tcPr>
            <w:tcW w:w="1170" w:type="dxa"/>
            <w:hideMark/>
          </w:tcPr>
          <w:p w:rsidR="002617A6" w:rsidRPr="009B33B9" w:rsidRDefault="002617A6" w:rsidP="00064502">
            <w:pPr>
              <w:jc w:val="right"/>
              <w:cnfStyle w:val="000000000000"/>
              <w:rPr>
                <w:rFonts w:ascii="Calibri" w:eastAsia="Times New Roman" w:hAnsi="Calibri" w:cs="Times New Roman"/>
                <w:lang w:val="ro-RO"/>
              </w:rPr>
            </w:pPr>
            <w:r w:rsidRPr="00806D29">
              <w:rPr>
                <w:rFonts w:ascii="Calibri" w:eastAsia="Times New Roman" w:hAnsi="Calibri" w:cs="Times New Roman"/>
                <w:lang w:val="ro-RO"/>
              </w:rPr>
              <w:t>23519340</w:t>
            </w:r>
          </w:p>
        </w:tc>
        <w:tc>
          <w:tcPr>
            <w:tcW w:w="1440" w:type="dxa"/>
            <w:gridSpan w:val="2"/>
            <w:hideMark/>
          </w:tcPr>
          <w:p w:rsidR="002617A6" w:rsidRPr="009B33B9" w:rsidRDefault="002617A6" w:rsidP="00064502">
            <w:pPr>
              <w:jc w:val="right"/>
              <w:cnfStyle w:val="000000000000"/>
              <w:rPr>
                <w:rFonts w:ascii="Calibri" w:eastAsia="Times New Roman" w:hAnsi="Calibri" w:cs="Times New Roman"/>
                <w:lang w:val="ro-RO"/>
              </w:rPr>
            </w:pPr>
            <w:r w:rsidRPr="00806D29">
              <w:rPr>
                <w:rFonts w:ascii="Calibri" w:eastAsia="Times New Roman" w:hAnsi="Calibri" w:cs="Times New Roman"/>
                <w:lang w:val="ro-RO"/>
              </w:rPr>
              <w:t>3917389</w:t>
            </w:r>
          </w:p>
        </w:tc>
        <w:tc>
          <w:tcPr>
            <w:tcW w:w="1440" w:type="dxa"/>
          </w:tcPr>
          <w:p w:rsidR="002617A6" w:rsidRPr="009B33B9" w:rsidRDefault="002617A6" w:rsidP="00064502">
            <w:pPr>
              <w:jc w:val="right"/>
              <w:cnfStyle w:val="000000000000"/>
              <w:rPr>
                <w:rFonts w:ascii="Calibri" w:hAnsi="Calibri"/>
                <w:lang w:val="ro-RO"/>
              </w:rPr>
            </w:pPr>
            <w:r>
              <w:rPr>
                <w:rFonts w:ascii="Calibri" w:hAnsi="Calibri"/>
                <w:lang w:val="ro-RO"/>
              </w:rPr>
              <w:t>16,7</w:t>
            </w:r>
          </w:p>
        </w:tc>
        <w:tc>
          <w:tcPr>
            <w:tcW w:w="1080" w:type="dxa"/>
            <w:hideMark/>
          </w:tcPr>
          <w:p w:rsidR="002617A6" w:rsidRPr="009B33B9" w:rsidRDefault="002617A6" w:rsidP="00064502">
            <w:pPr>
              <w:jc w:val="right"/>
              <w:cnfStyle w:val="000000000000"/>
              <w:rPr>
                <w:rFonts w:ascii="Calibri" w:eastAsia="Times New Roman" w:hAnsi="Calibri" w:cs="Times New Roman"/>
                <w:lang w:val="ro-RO"/>
              </w:rPr>
            </w:pPr>
            <w:r w:rsidRPr="00806D29">
              <w:rPr>
                <w:rFonts w:ascii="Calibri" w:eastAsia="Times New Roman" w:hAnsi="Calibri" w:cs="Times New Roman"/>
                <w:lang w:val="ro-RO"/>
              </w:rPr>
              <w:t>3747388</w:t>
            </w:r>
          </w:p>
        </w:tc>
        <w:tc>
          <w:tcPr>
            <w:tcW w:w="990" w:type="dxa"/>
            <w:hideMark/>
          </w:tcPr>
          <w:p w:rsidR="002617A6" w:rsidRPr="009B33B9" w:rsidRDefault="002617A6" w:rsidP="00064502">
            <w:pPr>
              <w:jc w:val="right"/>
              <w:cnfStyle w:val="000000000000"/>
              <w:rPr>
                <w:rFonts w:ascii="Calibri" w:eastAsia="Times New Roman" w:hAnsi="Calibri" w:cs="Times New Roman"/>
                <w:lang w:val="ro-RO"/>
              </w:rPr>
            </w:pPr>
            <w:r w:rsidRPr="00806D29">
              <w:rPr>
                <w:rFonts w:ascii="Calibri" w:eastAsia="Times New Roman" w:hAnsi="Calibri" w:cs="Times New Roman"/>
                <w:lang w:val="ro-RO"/>
              </w:rPr>
              <w:t>170001</w:t>
            </w:r>
          </w:p>
        </w:tc>
        <w:tc>
          <w:tcPr>
            <w:tcW w:w="1710" w:type="dxa"/>
            <w:noWrap/>
            <w:hideMark/>
          </w:tcPr>
          <w:p w:rsidR="002617A6" w:rsidRPr="009B33B9" w:rsidRDefault="002617A6" w:rsidP="00064502">
            <w:pPr>
              <w:jc w:val="right"/>
              <w:cnfStyle w:val="000000000000"/>
              <w:rPr>
                <w:rFonts w:ascii="Calibri" w:eastAsia="Times New Roman" w:hAnsi="Calibri" w:cs="Times New Roman"/>
                <w:lang w:val="ro-RO"/>
              </w:rPr>
            </w:pPr>
            <w:r>
              <w:rPr>
                <w:rFonts w:ascii="Calibri" w:eastAsia="Times New Roman" w:hAnsi="Calibri" w:cs="Times New Roman"/>
                <w:lang w:val="ro-RO"/>
              </w:rPr>
              <w:t>4,3</w:t>
            </w:r>
          </w:p>
        </w:tc>
      </w:tr>
    </w:tbl>
    <w:p w:rsidR="002617A6" w:rsidRDefault="002617A6" w:rsidP="002617A6">
      <w:pPr>
        <w:spacing w:after="0"/>
        <w:jc w:val="both"/>
        <w:rPr>
          <w:lang w:val="ro-RO"/>
        </w:rPr>
      </w:pPr>
      <w:r w:rsidRPr="00EC7BCB">
        <w:rPr>
          <w:b/>
          <w:lang w:val="ro-RO"/>
        </w:rPr>
        <w:t>Sursa:</w:t>
      </w:r>
      <w:r w:rsidRPr="00EC7BCB">
        <w:rPr>
          <w:lang w:val="ro-RO"/>
        </w:rPr>
        <w:t xml:space="preserve"> Institutul Național de Statistică</w:t>
      </w:r>
      <w:r>
        <w:rPr>
          <w:lang w:val="ro-RO"/>
        </w:rPr>
        <w:t xml:space="preserve">         </w:t>
      </w:r>
    </w:p>
    <w:p w:rsidR="002617A6" w:rsidRDefault="002617A6" w:rsidP="002617A6">
      <w:pPr>
        <w:spacing w:after="0"/>
        <w:jc w:val="both"/>
        <w:rPr>
          <w:lang w:val="ro-RO"/>
        </w:rPr>
      </w:pPr>
    </w:p>
    <w:p w:rsidR="002617A6" w:rsidRDefault="002617A6" w:rsidP="002617A6">
      <w:pPr>
        <w:jc w:val="both"/>
        <w:rPr>
          <w:rFonts w:cs="Times New Roman"/>
          <w:bCs/>
          <w:sz w:val="24"/>
          <w:szCs w:val="24"/>
          <w:lang w:val="ro-RO"/>
        </w:rPr>
      </w:pPr>
      <w:r w:rsidRPr="00881DC1">
        <w:rPr>
          <w:rFonts w:cs="Times New Roman"/>
          <w:bCs/>
          <w:sz w:val="24"/>
          <w:szCs w:val="24"/>
          <w:lang w:val="ro-RO"/>
        </w:rPr>
        <w:lastRenderedPageBreak/>
        <w:t>De</w:t>
      </w:r>
      <w:r>
        <w:rPr>
          <w:rFonts w:cs="Times New Roman"/>
          <w:bCs/>
          <w:sz w:val="24"/>
          <w:szCs w:val="24"/>
          <w:lang w:val="ro-RO"/>
        </w:rPr>
        <w:t>ş</w:t>
      </w:r>
      <w:r w:rsidRPr="00881DC1">
        <w:rPr>
          <w:rFonts w:cs="Times New Roman"/>
          <w:bCs/>
          <w:sz w:val="24"/>
          <w:szCs w:val="24"/>
          <w:lang w:val="ro-RO"/>
        </w:rPr>
        <w:t>i, conform statis</w:t>
      </w:r>
      <w:r>
        <w:rPr>
          <w:rFonts w:cs="Times New Roman"/>
          <w:bCs/>
          <w:sz w:val="24"/>
          <w:szCs w:val="24"/>
          <w:lang w:val="ro-RO"/>
        </w:rPr>
        <w:t>ticilor, turismul  nu are o cotă ridicată î</w:t>
      </w:r>
      <w:r w:rsidRPr="00881DC1">
        <w:rPr>
          <w:rFonts w:cs="Times New Roman"/>
          <w:bCs/>
          <w:sz w:val="24"/>
          <w:szCs w:val="24"/>
          <w:lang w:val="ro-RO"/>
        </w:rPr>
        <w:t xml:space="preserve">n </w:t>
      </w:r>
      <w:r>
        <w:rPr>
          <w:rFonts w:cs="Times New Roman"/>
          <w:bCs/>
          <w:sz w:val="24"/>
          <w:szCs w:val="24"/>
          <w:lang w:val="ro-RO"/>
        </w:rPr>
        <w:t>PIB, turismul balnear are mari şanse să se dezvolte în anii următori datorită atuurilor sale</w:t>
      </w:r>
      <w:r w:rsidRPr="00881DC1">
        <w:rPr>
          <w:rFonts w:cs="Times New Roman"/>
          <w:bCs/>
          <w:sz w:val="24"/>
          <w:szCs w:val="24"/>
          <w:lang w:val="ro-RO"/>
        </w:rPr>
        <w:t>: factorii nat</w:t>
      </w:r>
      <w:r>
        <w:rPr>
          <w:rFonts w:cs="Times New Roman"/>
          <w:bCs/>
          <w:sz w:val="24"/>
          <w:szCs w:val="24"/>
          <w:lang w:val="ro-RO"/>
        </w:rPr>
        <w:t>urali de cură, potenţialul natural şi antropic, lipsa sezonalităţii şi, nu în ultimul rând, serviciile (îndeosebi cele medicale) oferite turiş</w:t>
      </w:r>
      <w:r w:rsidRPr="00881DC1">
        <w:rPr>
          <w:rFonts w:cs="Times New Roman"/>
          <w:bCs/>
          <w:sz w:val="24"/>
          <w:szCs w:val="24"/>
          <w:lang w:val="ro-RO"/>
        </w:rPr>
        <w:t>tilor</w:t>
      </w:r>
      <w:r>
        <w:rPr>
          <w:rFonts w:cs="Times New Roman"/>
          <w:bCs/>
          <w:sz w:val="24"/>
          <w:szCs w:val="24"/>
          <w:lang w:val="ro-RO"/>
        </w:rPr>
        <w:t>.</w:t>
      </w:r>
    </w:p>
    <w:p w:rsidR="002617A6" w:rsidRPr="000C238C" w:rsidRDefault="002617A6" w:rsidP="002617A6">
      <w:pPr>
        <w:jc w:val="both"/>
        <w:rPr>
          <w:rFonts w:cs="Times New Roman"/>
          <w:bCs/>
          <w:sz w:val="24"/>
          <w:szCs w:val="24"/>
          <w:lang w:val="ro-RO"/>
        </w:rPr>
      </w:pPr>
      <w:r w:rsidRPr="00F916B9">
        <w:rPr>
          <w:rFonts w:cs="Times New Roman"/>
          <w:sz w:val="24"/>
          <w:szCs w:val="24"/>
          <w:lang w:val="ro-RO"/>
        </w:rPr>
        <w:t>Potrivit Patronatului</w:t>
      </w:r>
      <w:r>
        <w:rPr>
          <w:rFonts w:cs="Times New Roman"/>
          <w:sz w:val="24"/>
          <w:szCs w:val="24"/>
          <w:lang w:val="ro-RO"/>
        </w:rPr>
        <w:t xml:space="preserve"> din turismul balnear (OPTBR) c</w:t>
      </w:r>
      <w:r>
        <w:rPr>
          <w:rFonts w:cs="Times New Roman"/>
          <w:bCs/>
          <w:sz w:val="24"/>
          <w:szCs w:val="24"/>
          <w:lang w:val="ro-RO"/>
        </w:rPr>
        <w:t>ercetă</w:t>
      </w:r>
      <w:r w:rsidRPr="00F916B9">
        <w:rPr>
          <w:rFonts w:cs="Times New Roman"/>
          <w:bCs/>
          <w:sz w:val="24"/>
          <w:szCs w:val="24"/>
          <w:lang w:val="ro-RO"/>
        </w:rPr>
        <w:t>ri recente realizate pentru elaborarea brandului turistic a</w:t>
      </w:r>
      <w:r>
        <w:rPr>
          <w:rFonts w:cs="Times New Roman"/>
          <w:bCs/>
          <w:sz w:val="24"/>
          <w:szCs w:val="24"/>
          <w:lang w:val="ro-RO"/>
        </w:rPr>
        <w:t>l ţării indică</w:t>
      </w:r>
      <w:r w:rsidRPr="00F916B9">
        <w:rPr>
          <w:rFonts w:cs="Times New Roman"/>
          <w:bCs/>
          <w:sz w:val="24"/>
          <w:szCs w:val="24"/>
          <w:lang w:val="ro-RO"/>
        </w:rPr>
        <w:t xml:space="preserve"> o cerere mare pentru tu</w:t>
      </w:r>
      <w:r>
        <w:rPr>
          <w:rFonts w:cs="Times New Roman"/>
          <w:bCs/>
          <w:sz w:val="24"/>
          <w:szCs w:val="24"/>
          <w:lang w:val="ro-RO"/>
        </w:rPr>
        <w:t>rismul balnear, pe plan intern ş</w:t>
      </w:r>
      <w:r w:rsidRPr="00F916B9">
        <w:rPr>
          <w:rFonts w:cs="Times New Roman"/>
          <w:bCs/>
          <w:sz w:val="24"/>
          <w:szCs w:val="24"/>
          <w:lang w:val="ro-RO"/>
        </w:rPr>
        <w:t>i extern, ce</w:t>
      </w:r>
      <w:r>
        <w:rPr>
          <w:rFonts w:cs="Times New Roman"/>
          <w:bCs/>
          <w:sz w:val="24"/>
          <w:szCs w:val="24"/>
          <w:lang w:val="ro-RO"/>
        </w:rPr>
        <w:t>ea ce l-a situat pe locul 3-4, înaintea altor segmente tradiţionale, demonstrând că este cunoscut potenţialul şi mai ales eficienţa terapeutică a curelor efectuate în staţ</w:t>
      </w:r>
      <w:r w:rsidRPr="00F916B9">
        <w:rPr>
          <w:rFonts w:cs="Times New Roman"/>
          <w:bCs/>
          <w:sz w:val="24"/>
          <w:szCs w:val="24"/>
          <w:lang w:val="ro-RO"/>
        </w:rPr>
        <w:t>iun</w:t>
      </w:r>
      <w:r>
        <w:rPr>
          <w:rFonts w:cs="Times New Roman"/>
          <w:bCs/>
          <w:sz w:val="24"/>
          <w:szCs w:val="24"/>
          <w:lang w:val="ro-RO"/>
        </w:rPr>
        <w:t>i.</w:t>
      </w:r>
      <w:r>
        <w:rPr>
          <w:lang w:val="ro-RO"/>
        </w:rPr>
        <w:t xml:space="preserve">                                                                      </w:t>
      </w:r>
    </w:p>
    <w:p w:rsidR="002617A6" w:rsidRDefault="002617A6" w:rsidP="002617A6">
      <w:pPr>
        <w:rPr>
          <w:rFonts w:eastAsia="Times New Roman" w:cs="Times New Roman"/>
          <w:b/>
          <w:sz w:val="28"/>
          <w:szCs w:val="28"/>
          <w:lang w:val="ro-RO" w:eastAsia="ar-SA"/>
        </w:rPr>
      </w:pPr>
      <w:r>
        <w:rPr>
          <w:rFonts w:eastAsia="Times New Roman" w:cs="Times New Roman"/>
          <w:b/>
          <w:sz w:val="28"/>
          <w:szCs w:val="28"/>
          <w:lang w:val="ro-RO" w:eastAsia="ar-SA"/>
        </w:rPr>
        <w:t>Resursele balneare ale Regiunii C</w:t>
      </w:r>
      <w:r w:rsidRPr="00FC4548">
        <w:rPr>
          <w:rFonts w:eastAsia="Times New Roman" w:cs="Times New Roman"/>
          <w:b/>
          <w:sz w:val="28"/>
          <w:szCs w:val="28"/>
          <w:lang w:val="ro-RO" w:eastAsia="ar-SA"/>
        </w:rPr>
        <w:t>entru</w:t>
      </w:r>
    </w:p>
    <w:p w:rsidR="002617A6" w:rsidRDefault="002617A6" w:rsidP="002617A6">
      <w:pPr>
        <w:jc w:val="both"/>
        <w:rPr>
          <w:rFonts w:eastAsia="Times New Roman" w:cs="Times New Roman"/>
          <w:sz w:val="24"/>
          <w:szCs w:val="24"/>
          <w:lang w:val="ro-RO" w:eastAsia="ar-SA"/>
        </w:rPr>
      </w:pPr>
      <w:r>
        <w:rPr>
          <w:rFonts w:eastAsia="Times New Roman" w:cs="Times New Roman"/>
          <w:sz w:val="24"/>
          <w:szCs w:val="24"/>
          <w:lang w:val="ro-RO" w:eastAsia="ar-SA"/>
        </w:rPr>
        <w:t>Regiunea Centru este regiunea cu cele mai multe staţiuni balneare din România. Potrivit</w:t>
      </w:r>
      <w:r w:rsidRPr="009F1C04">
        <w:t xml:space="preserve"> </w:t>
      </w:r>
      <w:r>
        <w:rPr>
          <w:rFonts w:eastAsia="Times New Roman" w:cs="Times New Roman"/>
          <w:sz w:val="24"/>
          <w:szCs w:val="24"/>
          <w:lang w:val="ro-RO" w:eastAsia="ar-SA"/>
        </w:rPr>
        <w:t xml:space="preserve">Notei de Fundamentare </w:t>
      </w:r>
      <w:r w:rsidRPr="00EA018A">
        <w:rPr>
          <w:rFonts w:eastAsia="Times New Roman" w:cs="Times New Roman"/>
          <w:sz w:val="24"/>
          <w:szCs w:val="24"/>
          <w:lang w:val="ro-RO" w:eastAsia="ar-SA"/>
        </w:rPr>
        <w:t>HG nr.1072/11.12.2013</w:t>
      </w:r>
      <w:r>
        <w:rPr>
          <w:rFonts w:eastAsia="Times New Roman" w:cs="Times New Roman"/>
          <w:sz w:val="24"/>
          <w:szCs w:val="24"/>
          <w:lang w:val="ro-RO" w:eastAsia="ar-SA"/>
        </w:rPr>
        <w:t xml:space="preserve">, aşa cum am mai precizat anterior 5 din cele 23 de </w:t>
      </w:r>
      <w:r w:rsidRPr="009F1C04">
        <w:rPr>
          <w:rFonts w:eastAsia="Times New Roman" w:cs="Times New Roman"/>
          <w:sz w:val="24"/>
          <w:szCs w:val="24"/>
          <w:lang w:val="ro-RO" w:eastAsia="ar-SA"/>
        </w:rPr>
        <w:t>localităţi şi areale</w:t>
      </w:r>
      <w:r>
        <w:rPr>
          <w:rFonts w:eastAsia="Times New Roman" w:cs="Times New Roman"/>
          <w:sz w:val="24"/>
          <w:szCs w:val="24"/>
          <w:lang w:val="ro-RO" w:eastAsia="ar-SA"/>
        </w:rPr>
        <w:t xml:space="preserve"> ce deţin </w:t>
      </w:r>
      <w:r w:rsidRPr="009F1C04">
        <w:rPr>
          <w:rFonts w:eastAsia="Times New Roman" w:cs="Times New Roman"/>
          <w:sz w:val="24"/>
          <w:szCs w:val="24"/>
          <w:lang w:val="ro-RO" w:eastAsia="ar-SA"/>
        </w:rPr>
        <w:t>statutul de staţiune balneară şi balneoclimaterică, sunt din Regiunea Centru</w:t>
      </w:r>
      <w:r>
        <w:rPr>
          <w:rFonts w:eastAsia="Times New Roman" w:cs="Times New Roman"/>
          <w:sz w:val="24"/>
          <w:szCs w:val="24"/>
          <w:lang w:val="ro-RO" w:eastAsia="ar-SA"/>
        </w:rPr>
        <w:t xml:space="preserve">. Pe lângă aceste staţiuni balneare mai avem în regiune încă 4 staţiuni de importanţă naţională şi 11 de importanţă locală, dar pe teritoriul Regiunii Centru mai există şi alte localităţi a căror potenţial balnear este neexploatat sau doar parţial exploatat. </w:t>
      </w:r>
    </w:p>
    <w:p w:rsidR="002617A6" w:rsidRPr="009C0B58" w:rsidRDefault="002617A6" w:rsidP="002617A6">
      <w:pPr>
        <w:spacing w:after="0"/>
        <w:jc w:val="both"/>
        <w:rPr>
          <w:rFonts w:eastAsia="Times New Roman" w:cs="Times New Roman"/>
          <w:b/>
          <w:sz w:val="28"/>
          <w:szCs w:val="28"/>
          <w:lang w:val="ro-RO" w:eastAsia="ar-SA"/>
        </w:rPr>
      </w:pPr>
      <w:r w:rsidRPr="009C0B58">
        <w:rPr>
          <w:rFonts w:eastAsia="Times New Roman" w:cs="Times New Roman"/>
          <w:b/>
          <w:sz w:val="28"/>
          <w:szCs w:val="28"/>
          <w:lang w:val="ro-RO" w:eastAsia="ar-SA"/>
        </w:rPr>
        <w:t xml:space="preserve">Localităţile cu potenţial balnear din cele şase judeţe ale Regiunii Centru </w:t>
      </w:r>
    </w:p>
    <w:p w:rsidR="002617A6" w:rsidRDefault="002617A6" w:rsidP="002617A6">
      <w:pPr>
        <w:spacing w:after="0" w:line="240" w:lineRule="auto"/>
        <w:rPr>
          <w:lang w:val="ro-RO"/>
        </w:rPr>
      </w:pPr>
      <w:r w:rsidRPr="009C0B58">
        <w:rPr>
          <w:noProof/>
        </w:rPr>
        <w:drawing>
          <wp:inline distT="0" distB="0" distL="0" distR="0">
            <wp:extent cx="4400550" cy="2781300"/>
            <wp:effectExtent l="19050" t="0" r="0" b="0"/>
            <wp:docPr id="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l="10474" t="16228" r="16871" b="23231"/>
                    <a:stretch>
                      <a:fillRect/>
                    </a:stretch>
                  </pic:blipFill>
                  <pic:spPr bwMode="auto">
                    <a:xfrm>
                      <a:off x="0" y="0"/>
                      <a:ext cx="4400550" cy="2781300"/>
                    </a:xfrm>
                    <a:prstGeom prst="rect">
                      <a:avLst/>
                    </a:prstGeom>
                    <a:noFill/>
                    <a:ln w="9525">
                      <a:noFill/>
                      <a:miter lim="800000"/>
                      <a:headEnd/>
                      <a:tailEnd/>
                    </a:ln>
                  </pic:spPr>
                </pic:pic>
              </a:graphicData>
            </a:graphic>
          </wp:inline>
        </w:drawing>
      </w:r>
    </w:p>
    <w:p w:rsidR="002617A6" w:rsidRPr="00B65E53" w:rsidRDefault="002617A6" w:rsidP="002617A6">
      <w:pPr>
        <w:spacing w:line="240" w:lineRule="auto"/>
        <w:rPr>
          <w:sz w:val="24"/>
          <w:szCs w:val="24"/>
          <w:lang w:val="ro-RO"/>
        </w:rPr>
      </w:pPr>
      <w:r w:rsidRPr="00B65E53">
        <w:rPr>
          <w:sz w:val="24"/>
          <w:szCs w:val="24"/>
          <w:lang w:val="ro-RO"/>
        </w:rPr>
        <w:t xml:space="preserve">În judeţul Alba nu avem nici o staţiune balneară, deşi potenţial există la </w:t>
      </w:r>
      <w:r w:rsidRPr="0043585A">
        <w:rPr>
          <w:b/>
          <w:sz w:val="24"/>
          <w:szCs w:val="24"/>
          <w:lang w:val="ro-RO"/>
        </w:rPr>
        <w:t>Băile Sărate</w:t>
      </w:r>
      <w:r w:rsidRPr="00B65E53">
        <w:rPr>
          <w:sz w:val="24"/>
          <w:szCs w:val="24"/>
          <w:lang w:val="ro-RO"/>
        </w:rPr>
        <w:t xml:space="preserve"> de la Ocna Mure</w:t>
      </w:r>
      <w:r>
        <w:rPr>
          <w:sz w:val="24"/>
          <w:szCs w:val="24"/>
          <w:lang w:val="ro-RO"/>
        </w:rPr>
        <w:t>ş</w:t>
      </w:r>
      <w:r w:rsidRPr="00B65E53">
        <w:rPr>
          <w:sz w:val="24"/>
          <w:szCs w:val="24"/>
          <w:lang w:val="ro-RO"/>
        </w:rPr>
        <w:t>.</w:t>
      </w:r>
    </w:p>
    <w:p w:rsidR="002617A6" w:rsidRDefault="002617A6" w:rsidP="002617A6">
      <w:pPr>
        <w:spacing w:after="0" w:line="240" w:lineRule="auto"/>
        <w:rPr>
          <w:lang w:val="ro-RO"/>
        </w:rPr>
      </w:pPr>
      <w:r w:rsidRPr="009C0B58">
        <w:rPr>
          <w:noProof/>
        </w:rPr>
        <w:lastRenderedPageBreak/>
        <w:drawing>
          <wp:inline distT="0" distB="0" distL="0" distR="0">
            <wp:extent cx="4467225" cy="2790825"/>
            <wp:effectExtent l="19050" t="0" r="9525" b="0"/>
            <wp:docPr id="7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l="10308" t="17476" r="18201" b="21567"/>
                    <a:stretch>
                      <a:fillRect/>
                    </a:stretch>
                  </pic:blipFill>
                  <pic:spPr bwMode="auto">
                    <a:xfrm>
                      <a:off x="0" y="0"/>
                      <a:ext cx="4467225" cy="2790825"/>
                    </a:xfrm>
                    <a:prstGeom prst="rect">
                      <a:avLst/>
                    </a:prstGeom>
                    <a:noFill/>
                    <a:ln w="9525">
                      <a:noFill/>
                      <a:miter lim="800000"/>
                      <a:headEnd/>
                      <a:tailEnd/>
                    </a:ln>
                  </pic:spPr>
                </pic:pic>
              </a:graphicData>
            </a:graphic>
          </wp:inline>
        </w:drawing>
      </w:r>
    </w:p>
    <w:p w:rsidR="002617A6" w:rsidRDefault="002617A6" w:rsidP="002617A6">
      <w:pPr>
        <w:spacing w:after="0" w:line="240" w:lineRule="auto"/>
        <w:jc w:val="both"/>
        <w:rPr>
          <w:sz w:val="24"/>
          <w:szCs w:val="24"/>
          <w:lang w:val="ro-RO"/>
        </w:rPr>
      </w:pPr>
      <w:r w:rsidRPr="00544509">
        <w:rPr>
          <w:sz w:val="24"/>
          <w:szCs w:val="24"/>
          <w:lang w:val="ro-RO"/>
        </w:rPr>
        <w:t>În ju</w:t>
      </w:r>
      <w:r>
        <w:rPr>
          <w:sz w:val="24"/>
          <w:szCs w:val="24"/>
          <w:lang w:val="ro-RO"/>
        </w:rPr>
        <w:t xml:space="preserve">deţul Braşov avem două staţiuni de interes local, </w:t>
      </w:r>
      <w:r w:rsidRPr="009D579F">
        <w:rPr>
          <w:b/>
          <w:sz w:val="24"/>
          <w:szCs w:val="24"/>
          <w:lang w:val="ro-RO"/>
        </w:rPr>
        <w:t>Pârâul Rece</w:t>
      </w:r>
      <w:r>
        <w:rPr>
          <w:sz w:val="24"/>
          <w:szCs w:val="24"/>
          <w:lang w:val="ro-RO"/>
        </w:rPr>
        <w:t xml:space="preserve"> şi </w:t>
      </w:r>
      <w:r w:rsidRPr="009D579F">
        <w:rPr>
          <w:b/>
          <w:sz w:val="24"/>
          <w:szCs w:val="24"/>
          <w:lang w:val="ro-RO"/>
        </w:rPr>
        <w:t>Timişul de Sus</w:t>
      </w:r>
      <w:r>
        <w:rPr>
          <w:sz w:val="24"/>
          <w:szCs w:val="24"/>
          <w:lang w:val="ro-RO"/>
        </w:rPr>
        <w:t xml:space="preserve">, ambele aparţin de oraşul </w:t>
      </w:r>
      <w:r w:rsidRPr="009D579F">
        <w:rPr>
          <w:b/>
          <w:sz w:val="24"/>
          <w:szCs w:val="24"/>
          <w:lang w:val="ro-RO"/>
        </w:rPr>
        <w:t>Predeal</w:t>
      </w:r>
      <w:r>
        <w:rPr>
          <w:sz w:val="24"/>
          <w:szCs w:val="24"/>
          <w:lang w:val="ro-RO"/>
        </w:rPr>
        <w:t>, care este staţiune de interes naţional. În aceste staţiuni se tratează afecţiuni ca nevroze astenice, stări debilitare, rahitism, afecţiuni endocrine şi tulburări de creştere la copii.</w:t>
      </w:r>
    </w:p>
    <w:p w:rsidR="002617A6" w:rsidRDefault="002617A6" w:rsidP="002617A6">
      <w:pPr>
        <w:spacing w:after="0" w:line="240" w:lineRule="auto"/>
        <w:jc w:val="both"/>
        <w:rPr>
          <w:sz w:val="24"/>
          <w:szCs w:val="24"/>
          <w:lang w:val="ro-RO"/>
        </w:rPr>
      </w:pPr>
      <w:r w:rsidRPr="009D579F">
        <w:rPr>
          <w:b/>
          <w:sz w:val="24"/>
          <w:szCs w:val="24"/>
          <w:lang w:val="ro-RO"/>
        </w:rPr>
        <w:t>Băile Perşani</w:t>
      </w:r>
      <w:r>
        <w:rPr>
          <w:sz w:val="24"/>
          <w:szCs w:val="24"/>
          <w:lang w:val="ro-RO"/>
        </w:rPr>
        <w:t xml:space="preserve"> recomandate pentru tratarea bolilor reumatismale.</w:t>
      </w:r>
    </w:p>
    <w:p w:rsidR="002617A6" w:rsidRDefault="002617A6" w:rsidP="002617A6">
      <w:pPr>
        <w:spacing w:after="0" w:line="240" w:lineRule="auto"/>
        <w:jc w:val="both"/>
        <w:rPr>
          <w:sz w:val="24"/>
          <w:szCs w:val="24"/>
          <w:lang w:val="ro-RO"/>
        </w:rPr>
      </w:pPr>
      <w:r w:rsidRPr="009D579F">
        <w:rPr>
          <w:b/>
          <w:sz w:val="24"/>
          <w:szCs w:val="24"/>
          <w:lang w:val="ro-RO"/>
        </w:rPr>
        <w:t>Băile Homorod</w:t>
      </w:r>
      <w:r>
        <w:rPr>
          <w:sz w:val="24"/>
          <w:szCs w:val="24"/>
          <w:lang w:val="ro-RO"/>
        </w:rPr>
        <w:t xml:space="preserve"> recomandate pentru tratarea afecţiunilor ginecologice, ale aparatului locomotor şi ale sistemului nervos periferic.</w:t>
      </w:r>
    </w:p>
    <w:p w:rsidR="002617A6" w:rsidRDefault="002617A6" w:rsidP="002617A6">
      <w:pPr>
        <w:spacing w:after="0" w:line="240" w:lineRule="auto"/>
        <w:jc w:val="both"/>
        <w:rPr>
          <w:sz w:val="24"/>
          <w:szCs w:val="24"/>
          <w:lang w:val="ro-RO"/>
        </w:rPr>
      </w:pPr>
      <w:r w:rsidRPr="006E67AD">
        <w:rPr>
          <w:b/>
          <w:sz w:val="24"/>
          <w:szCs w:val="24"/>
          <w:lang w:val="ro-RO"/>
        </w:rPr>
        <w:t>Băile Rodbav</w:t>
      </w:r>
      <w:r>
        <w:rPr>
          <w:sz w:val="24"/>
          <w:szCs w:val="24"/>
          <w:lang w:val="ro-RO"/>
        </w:rPr>
        <w:t xml:space="preserve"> recomandate pentru tratarea afecţiunilor reumatismale, ginecologice şi cardiovasculare.</w:t>
      </w:r>
    </w:p>
    <w:p w:rsidR="002617A6" w:rsidRDefault="002617A6" w:rsidP="002617A6">
      <w:pPr>
        <w:spacing w:line="240" w:lineRule="auto"/>
        <w:jc w:val="both"/>
        <w:rPr>
          <w:sz w:val="24"/>
          <w:szCs w:val="24"/>
          <w:lang w:val="ro-RO"/>
        </w:rPr>
      </w:pPr>
      <w:r w:rsidRPr="009D579F">
        <w:rPr>
          <w:noProof/>
          <w:sz w:val="24"/>
          <w:szCs w:val="24"/>
        </w:rPr>
        <w:drawing>
          <wp:inline distT="0" distB="0" distL="0" distR="0">
            <wp:extent cx="4467225" cy="3000375"/>
            <wp:effectExtent l="19050" t="0" r="9525" b="0"/>
            <wp:docPr id="7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srcRect l="10641" t="16643" r="16871" b="17826"/>
                    <a:stretch>
                      <a:fillRect/>
                    </a:stretch>
                  </pic:blipFill>
                  <pic:spPr bwMode="auto">
                    <a:xfrm>
                      <a:off x="0" y="0"/>
                      <a:ext cx="4467225" cy="3000375"/>
                    </a:xfrm>
                    <a:prstGeom prst="rect">
                      <a:avLst/>
                    </a:prstGeom>
                    <a:noFill/>
                    <a:ln w="9525">
                      <a:noFill/>
                      <a:miter lim="800000"/>
                      <a:headEnd/>
                      <a:tailEnd/>
                    </a:ln>
                  </pic:spPr>
                </pic:pic>
              </a:graphicData>
            </a:graphic>
          </wp:inline>
        </w:drawing>
      </w:r>
    </w:p>
    <w:p w:rsidR="002617A6" w:rsidRDefault="002617A6" w:rsidP="002617A6">
      <w:pPr>
        <w:spacing w:after="0" w:line="240" w:lineRule="auto"/>
        <w:jc w:val="both"/>
        <w:rPr>
          <w:sz w:val="24"/>
          <w:szCs w:val="24"/>
          <w:lang w:val="ro-RO"/>
        </w:rPr>
      </w:pPr>
      <w:r>
        <w:rPr>
          <w:sz w:val="24"/>
          <w:szCs w:val="24"/>
          <w:lang w:val="ro-RO"/>
        </w:rPr>
        <w:t xml:space="preserve">În judeţul Covasna avem staţiunea </w:t>
      </w:r>
      <w:r w:rsidRPr="006E67AD">
        <w:rPr>
          <w:b/>
          <w:sz w:val="24"/>
          <w:szCs w:val="24"/>
          <w:lang w:val="ro-RO"/>
        </w:rPr>
        <w:t>Covasna</w:t>
      </w:r>
      <w:r>
        <w:rPr>
          <w:sz w:val="24"/>
          <w:szCs w:val="24"/>
          <w:lang w:val="ro-RO"/>
        </w:rPr>
        <w:t xml:space="preserve"> care are statutul de staţiune balneară, de asemenea este şi staţiune de interes naţional, staţiunea </w:t>
      </w:r>
      <w:r w:rsidRPr="006E67AD">
        <w:rPr>
          <w:b/>
          <w:sz w:val="24"/>
          <w:szCs w:val="24"/>
          <w:lang w:val="ro-RO"/>
        </w:rPr>
        <w:t>Balvanyos</w:t>
      </w:r>
      <w:r>
        <w:rPr>
          <w:sz w:val="24"/>
          <w:szCs w:val="24"/>
          <w:lang w:val="ro-RO"/>
        </w:rPr>
        <w:t>, care este una dintre cele 11 staţiuni de interes local din Regiunea Centru. Ambele fiind recomandate pentru afecţiuni cardiovasculare.</w:t>
      </w:r>
    </w:p>
    <w:p w:rsidR="002617A6" w:rsidRDefault="002617A6" w:rsidP="002617A6">
      <w:pPr>
        <w:spacing w:after="0" w:line="240" w:lineRule="auto"/>
        <w:jc w:val="both"/>
        <w:rPr>
          <w:sz w:val="24"/>
          <w:szCs w:val="24"/>
          <w:lang w:val="ro-RO"/>
        </w:rPr>
      </w:pPr>
      <w:r>
        <w:rPr>
          <w:sz w:val="24"/>
          <w:szCs w:val="24"/>
          <w:lang w:val="ro-RO"/>
        </w:rPr>
        <w:lastRenderedPageBreak/>
        <w:t>Alte staţiuni</w:t>
      </w:r>
      <w:r w:rsidRPr="006E67AD">
        <w:rPr>
          <w:sz w:val="24"/>
          <w:szCs w:val="24"/>
          <w:lang w:val="ro-RO"/>
        </w:rPr>
        <w:t xml:space="preserve"> </w:t>
      </w:r>
      <w:r>
        <w:rPr>
          <w:sz w:val="24"/>
          <w:szCs w:val="24"/>
          <w:lang w:val="ro-RO"/>
        </w:rPr>
        <w:t xml:space="preserve">din acest judeţ cu potenţial balnear sunt </w:t>
      </w:r>
      <w:r w:rsidRPr="006E67AD">
        <w:rPr>
          <w:b/>
          <w:sz w:val="24"/>
          <w:szCs w:val="24"/>
          <w:lang w:val="ro-RO"/>
        </w:rPr>
        <w:t>Malnaş Băi, Vâlcele, Băile Fortyogó, Biborţeni şi Ozunca Băi</w:t>
      </w:r>
      <w:r>
        <w:rPr>
          <w:sz w:val="24"/>
          <w:szCs w:val="24"/>
          <w:lang w:val="ro-RO"/>
        </w:rPr>
        <w:t>, unde există izvoare de ape minerale cu debite foarte mari, nămol mineral şi mofete.</w:t>
      </w:r>
    </w:p>
    <w:p w:rsidR="002617A6" w:rsidRDefault="002617A6" w:rsidP="002617A6">
      <w:pPr>
        <w:spacing w:after="0" w:line="240" w:lineRule="auto"/>
        <w:jc w:val="both"/>
        <w:rPr>
          <w:sz w:val="24"/>
          <w:szCs w:val="24"/>
          <w:lang w:val="ro-RO"/>
        </w:rPr>
      </w:pPr>
    </w:p>
    <w:p w:rsidR="002617A6" w:rsidRDefault="002617A6" w:rsidP="002617A6">
      <w:pPr>
        <w:spacing w:line="240" w:lineRule="auto"/>
        <w:jc w:val="both"/>
        <w:rPr>
          <w:sz w:val="24"/>
          <w:szCs w:val="24"/>
          <w:lang w:val="ro-RO"/>
        </w:rPr>
      </w:pPr>
      <w:r w:rsidRPr="006E67AD">
        <w:rPr>
          <w:noProof/>
          <w:sz w:val="24"/>
          <w:szCs w:val="24"/>
        </w:rPr>
        <w:drawing>
          <wp:inline distT="0" distB="0" distL="0" distR="0">
            <wp:extent cx="5067300" cy="3038475"/>
            <wp:effectExtent l="19050" t="0" r="0" b="0"/>
            <wp:docPr id="8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srcRect l="9139" t="16183" r="9770" b="17635"/>
                    <a:stretch>
                      <a:fillRect/>
                    </a:stretch>
                  </pic:blipFill>
                  <pic:spPr bwMode="auto">
                    <a:xfrm>
                      <a:off x="0" y="0"/>
                      <a:ext cx="5067300" cy="3038475"/>
                    </a:xfrm>
                    <a:prstGeom prst="rect">
                      <a:avLst/>
                    </a:prstGeom>
                    <a:noFill/>
                    <a:ln w="9525">
                      <a:noFill/>
                      <a:miter lim="800000"/>
                      <a:headEnd/>
                      <a:tailEnd/>
                    </a:ln>
                  </pic:spPr>
                </pic:pic>
              </a:graphicData>
            </a:graphic>
          </wp:inline>
        </w:drawing>
      </w:r>
    </w:p>
    <w:p w:rsidR="002617A6" w:rsidRDefault="002617A6" w:rsidP="002617A6">
      <w:pPr>
        <w:spacing w:after="0" w:line="240" w:lineRule="auto"/>
        <w:jc w:val="both"/>
        <w:rPr>
          <w:sz w:val="24"/>
          <w:szCs w:val="24"/>
          <w:lang w:val="ro-RO"/>
        </w:rPr>
      </w:pPr>
      <w:r>
        <w:rPr>
          <w:sz w:val="24"/>
          <w:szCs w:val="24"/>
          <w:lang w:val="ro-RO"/>
        </w:rPr>
        <w:t xml:space="preserve">În judeţul Harghita sunt </w:t>
      </w:r>
      <w:r w:rsidRPr="0043585A">
        <w:rPr>
          <w:b/>
          <w:sz w:val="24"/>
          <w:szCs w:val="24"/>
          <w:lang w:val="ro-RO"/>
        </w:rPr>
        <w:t>18 localităţi cu potenţial balnear</w:t>
      </w:r>
      <w:r>
        <w:rPr>
          <w:sz w:val="24"/>
          <w:szCs w:val="24"/>
          <w:lang w:val="ro-RO"/>
        </w:rPr>
        <w:t xml:space="preserve"> dar nu în toate există şi baze de tratament.</w:t>
      </w:r>
    </w:p>
    <w:p w:rsidR="002617A6" w:rsidRDefault="002617A6" w:rsidP="002617A6">
      <w:pPr>
        <w:spacing w:after="0" w:line="240" w:lineRule="auto"/>
        <w:jc w:val="both"/>
        <w:rPr>
          <w:sz w:val="24"/>
          <w:szCs w:val="24"/>
          <w:lang w:val="ro-RO"/>
        </w:rPr>
      </w:pPr>
      <w:r>
        <w:rPr>
          <w:sz w:val="24"/>
          <w:szCs w:val="24"/>
          <w:lang w:val="ro-RO"/>
        </w:rPr>
        <w:t xml:space="preserve">Oraşul </w:t>
      </w:r>
      <w:r w:rsidRPr="0043585A">
        <w:rPr>
          <w:b/>
          <w:sz w:val="24"/>
          <w:szCs w:val="24"/>
          <w:lang w:val="ro-RO"/>
        </w:rPr>
        <w:t>Băile Tuşnad</w:t>
      </w:r>
      <w:r>
        <w:rPr>
          <w:sz w:val="24"/>
          <w:szCs w:val="24"/>
          <w:lang w:val="ro-RO"/>
        </w:rPr>
        <w:t xml:space="preserve"> este una din cele 5 localităţi din Regiunea Centru care deţine statutul de staţiune balneară, este de asemenea şi staţiune de interes naţional, fiind recomandată pentru tratarea afecţiunilor cardiovasculare.</w:t>
      </w:r>
    </w:p>
    <w:p w:rsidR="002617A6" w:rsidRDefault="002617A6" w:rsidP="002617A6">
      <w:pPr>
        <w:spacing w:after="0" w:line="240" w:lineRule="auto"/>
        <w:jc w:val="both"/>
        <w:rPr>
          <w:sz w:val="24"/>
          <w:szCs w:val="24"/>
          <w:lang w:val="ro-RO"/>
        </w:rPr>
      </w:pPr>
      <w:r w:rsidRPr="0043585A">
        <w:rPr>
          <w:b/>
          <w:sz w:val="24"/>
          <w:szCs w:val="24"/>
          <w:lang w:val="ro-RO"/>
        </w:rPr>
        <w:t>Praid, Băile Homorod, Borsec, Harghita Băi, Izvorul Mureşului şi Lacul Roşu</w:t>
      </w:r>
      <w:r>
        <w:rPr>
          <w:sz w:val="24"/>
          <w:szCs w:val="24"/>
          <w:lang w:val="ro-RO"/>
        </w:rPr>
        <w:t xml:space="preserve"> sunt staţiuni de interes local.</w:t>
      </w:r>
    </w:p>
    <w:p w:rsidR="002617A6" w:rsidRDefault="002617A6" w:rsidP="002617A6">
      <w:pPr>
        <w:spacing w:after="0" w:line="240" w:lineRule="auto"/>
        <w:jc w:val="both"/>
        <w:rPr>
          <w:sz w:val="24"/>
          <w:szCs w:val="24"/>
          <w:lang w:val="ro-RO"/>
        </w:rPr>
      </w:pPr>
      <w:r w:rsidRPr="0043585A">
        <w:rPr>
          <w:b/>
          <w:sz w:val="24"/>
          <w:szCs w:val="24"/>
          <w:lang w:val="ro-RO"/>
        </w:rPr>
        <w:t>Băile Jigodin</w:t>
      </w:r>
      <w:r>
        <w:rPr>
          <w:sz w:val="24"/>
          <w:szCs w:val="24"/>
          <w:lang w:val="ro-RO"/>
        </w:rPr>
        <w:t xml:space="preserve"> şi </w:t>
      </w:r>
      <w:r w:rsidRPr="0043585A">
        <w:rPr>
          <w:b/>
          <w:sz w:val="24"/>
          <w:szCs w:val="24"/>
          <w:lang w:val="ro-RO"/>
        </w:rPr>
        <w:t>Băile Miercurea Ciuc</w:t>
      </w:r>
      <w:r>
        <w:rPr>
          <w:sz w:val="24"/>
          <w:szCs w:val="24"/>
          <w:lang w:val="ro-RO"/>
        </w:rPr>
        <w:t xml:space="preserve"> sunt recomandate şi ele pentru tratarea afecţiunilor cardiovasculare.</w:t>
      </w:r>
    </w:p>
    <w:p w:rsidR="002617A6" w:rsidRDefault="002617A6" w:rsidP="002617A6">
      <w:pPr>
        <w:spacing w:after="0" w:line="240" w:lineRule="auto"/>
        <w:jc w:val="both"/>
        <w:rPr>
          <w:sz w:val="24"/>
          <w:szCs w:val="24"/>
          <w:lang w:val="ro-RO"/>
        </w:rPr>
      </w:pPr>
    </w:p>
    <w:p w:rsidR="002617A6" w:rsidRDefault="002617A6" w:rsidP="002617A6">
      <w:pPr>
        <w:spacing w:line="240" w:lineRule="auto"/>
        <w:jc w:val="both"/>
        <w:rPr>
          <w:sz w:val="24"/>
          <w:szCs w:val="24"/>
          <w:lang w:val="ro-RO"/>
        </w:rPr>
      </w:pPr>
      <w:r w:rsidRPr="009B2B8D">
        <w:rPr>
          <w:noProof/>
          <w:sz w:val="24"/>
          <w:szCs w:val="24"/>
        </w:rPr>
        <w:drawing>
          <wp:inline distT="0" distB="0" distL="0" distR="0">
            <wp:extent cx="4895850" cy="2933700"/>
            <wp:effectExtent l="19050" t="0" r="0" b="0"/>
            <wp:docPr id="84"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srcRect l="9970" t="17879" r="10269" b="20374"/>
                    <a:stretch>
                      <a:fillRect/>
                    </a:stretch>
                  </pic:blipFill>
                  <pic:spPr bwMode="auto">
                    <a:xfrm>
                      <a:off x="0" y="0"/>
                      <a:ext cx="4895850" cy="2933700"/>
                    </a:xfrm>
                    <a:prstGeom prst="rect">
                      <a:avLst/>
                    </a:prstGeom>
                    <a:noFill/>
                    <a:ln w="9525">
                      <a:noFill/>
                      <a:miter lim="800000"/>
                      <a:headEnd/>
                      <a:tailEnd/>
                    </a:ln>
                  </pic:spPr>
                </pic:pic>
              </a:graphicData>
            </a:graphic>
          </wp:inline>
        </w:drawing>
      </w:r>
    </w:p>
    <w:p w:rsidR="002617A6" w:rsidRDefault="002617A6" w:rsidP="002617A6">
      <w:pPr>
        <w:spacing w:after="0" w:line="240" w:lineRule="auto"/>
        <w:jc w:val="both"/>
        <w:rPr>
          <w:sz w:val="24"/>
          <w:szCs w:val="24"/>
          <w:lang w:val="ro-RO"/>
        </w:rPr>
      </w:pPr>
      <w:r>
        <w:rPr>
          <w:sz w:val="24"/>
          <w:szCs w:val="24"/>
          <w:lang w:val="ro-RO"/>
        </w:rPr>
        <w:lastRenderedPageBreak/>
        <w:t xml:space="preserve">Şi în judeţul Mureş avem o localitate cu statut de staţiune balneară, </w:t>
      </w:r>
      <w:r w:rsidRPr="00B65E53">
        <w:rPr>
          <w:b/>
          <w:sz w:val="24"/>
          <w:szCs w:val="24"/>
          <w:lang w:val="ro-RO"/>
        </w:rPr>
        <w:t>Sovata</w:t>
      </w:r>
      <w:r>
        <w:rPr>
          <w:sz w:val="24"/>
          <w:szCs w:val="24"/>
          <w:lang w:val="ro-RO"/>
        </w:rPr>
        <w:t>, este de asemenea şi staţiune de interes naţional şi este recomandată pentru tratamentul afecţiunilor ginecologice.</w:t>
      </w:r>
    </w:p>
    <w:p w:rsidR="002617A6" w:rsidRDefault="002617A6" w:rsidP="002617A6">
      <w:pPr>
        <w:spacing w:after="0" w:line="240" w:lineRule="auto"/>
        <w:jc w:val="both"/>
        <w:rPr>
          <w:sz w:val="24"/>
          <w:szCs w:val="24"/>
          <w:lang w:val="ro-RO"/>
        </w:rPr>
      </w:pPr>
      <w:r>
        <w:rPr>
          <w:sz w:val="24"/>
          <w:szCs w:val="24"/>
          <w:lang w:val="ro-RO"/>
        </w:rPr>
        <w:t xml:space="preserve">În judeţ sunt circa </w:t>
      </w:r>
      <w:r w:rsidRPr="00B65E53">
        <w:rPr>
          <w:b/>
          <w:sz w:val="24"/>
          <w:szCs w:val="24"/>
          <w:lang w:val="ro-RO"/>
        </w:rPr>
        <w:t>10 lacuri sărate</w:t>
      </w:r>
      <w:r>
        <w:rPr>
          <w:sz w:val="24"/>
          <w:szCs w:val="24"/>
          <w:lang w:val="ro-RO"/>
        </w:rPr>
        <w:t xml:space="preserve">, </w:t>
      </w:r>
      <w:r w:rsidRPr="00B65E53">
        <w:rPr>
          <w:b/>
          <w:sz w:val="24"/>
          <w:szCs w:val="24"/>
          <w:lang w:val="ro-RO"/>
        </w:rPr>
        <w:t>Lacul Ursu</w:t>
      </w:r>
      <w:r>
        <w:rPr>
          <w:sz w:val="24"/>
          <w:szCs w:val="24"/>
          <w:lang w:val="ro-RO"/>
        </w:rPr>
        <w:t xml:space="preserve"> este cel mai important lac sărat din Transilvania dar şi </w:t>
      </w:r>
      <w:r w:rsidRPr="00B65E53">
        <w:rPr>
          <w:b/>
          <w:sz w:val="24"/>
          <w:szCs w:val="24"/>
          <w:lang w:val="ro-RO"/>
        </w:rPr>
        <w:t>lacurile Negru şi Aluniş</w:t>
      </w:r>
      <w:r>
        <w:rPr>
          <w:sz w:val="24"/>
          <w:szCs w:val="24"/>
          <w:lang w:val="ro-RO"/>
        </w:rPr>
        <w:t xml:space="preserve"> sunt importante din punct de vedere terapeutic.</w:t>
      </w:r>
    </w:p>
    <w:p w:rsidR="002617A6" w:rsidRDefault="002617A6" w:rsidP="002617A6">
      <w:pPr>
        <w:spacing w:line="240" w:lineRule="auto"/>
        <w:jc w:val="both"/>
        <w:rPr>
          <w:sz w:val="24"/>
          <w:szCs w:val="24"/>
          <w:lang w:val="ro-RO"/>
        </w:rPr>
      </w:pPr>
      <w:r>
        <w:rPr>
          <w:sz w:val="24"/>
          <w:szCs w:val="24"/>
          <w:lang w:val="ro-RO"/>
        </w:rPr>
        <w:t xml:space="preserve">În </w:t>
      </w:r>
      <w:r>
        <w:rPr>
          <w:b/>
          <w:sz w:val="24"/>
          <w:szCs w:val="24"/>
          <w:lang w:val="ro-RO"/>
        </w:rPr>
        <w:t>Ideciu de J</w:t>
      </w:r>
      <w:r w:rsidRPr="00B65E53">
        <w:rPr>
          <w:b/>
          <w:sz w:val="24"/>
          <w:szCs w:val="24"/>
          <w:lang w:val="ro-RO"/>
        </w:rPr>
        <w:t>os</w:t>
      </w:r>
      <w:r>
        <w:rPr>
          <w:sz w:val="24"/>
          <w:szCs w:val="24"/>
          <w:lang w:val="ro-RO"/>
        </w:rPr>
        <w:t xml:space="preserve"> există izvoare de ape minerale clorurate sodice şi nămol mineral, în </w:t>
      </w:r>
      <w:r w:rsidRPr="00B65E53">
        <w:rPr>
          <w:b/>
          <w:sz w:val="24"/>
          <w:szCs w:val="24"/>
          <w:lang w:val="ro-RO"/>
        </w:rPr>
        <w:t>Sângeorgiu de Mureş</w:t>
      </w:r>
      <w:r>
        <w:rPr>
          <w:sz w:val="24"/>
          <w:szCs w:val="24"/>
          <w:lang w:val="ro-RO"/>
        </w:rPr>
        <w:t xml:space="preserve"> există izvoare cu apă sărata şi mofete şi în </w:t>
      </w:r>
      <w:r w:rsidRPr="00B65E53">
        <w:rPr>
          <w:b/>
          <w:sz w:val="24"/>
          <w:szCs w:val="24"/>
          <w:lang w:val="ro-RO"/>
        </w:rPr>
        <w:t>Jabeniţa</w:t>
      </w:r>
      <w:r>
        <w:rPr>
          <w:sz w:val="24"/>
          <w:szCs w:val="24"/>
          <w:lang w:val="ro-RO"/>
        </w:rPr>
        <w:t xml:space="preserve"> există nămol sărat.</w:t>
      </w:r>
    </w:p>
    <w:p w:rsidR="002617A6" w:rsidRDefault="002617A6" w:rsidP="002617A6">
      <w:pPr>
        <w:spacing w:line="240" w:lineRule="auto"/>
        <w:jc w:val="both"/>
        <w:rPr>
          <w:sz w:val="24"/>
          <w:szCs w:val="24"/>
          <w:lang w:val="ro-RO"/>
        </w:rPr>
      </w:pPr>
      <w:r w:rsidRPr="00B65E53">
        <w:rPr>
          <w:noProof/>
          <w:sz w:val="24"/>
          <w:szCs w:val="24"/>
        </w:rPr>
        <w:drawing>
          <wp:inline distT="0" distB="0" distL="0" distR="0">
            <wp:extent cx="4029075" cy="2857500"/>
            <wp:effectExtent l="19050" t="0" r="9525" b="0"/>
            <wp:docPr id="85"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l="9638" t="17256" r="20073" b="20374"/>
                    <a:stretch>
                      <a:fillRect/>
                    </a:stretch>
                  </pic:blipFill>
                  <pic:spPr bwMode="auto">
                    <a:xfrm>
                      <a:off x="0" y="0"/>
                      <a:ext cx="4029075" cy="2857500"/>
                    </a:xfrm>
                    <a:prstGeom prst="rect">
                      <a:avLst/>
                    </a:prstGeom>
                    <a:noFill/>
                    <a:ln w="9525">
                      <a:noFill/>
                      <a:miter lim="800000"/>
                      <a:headEnd/>
                      <a:tailEnd/>
                    </a:ln>
                  </pic:spPr>
                </pic:pic>
              </a:graphicData>
            </a:graphic>
          </wp:inline>
        </w:drawing>
      </w:r>
    </w:p>
    <w:p w:rsidR="002617A6" w:rsidRDefault="002617A6" w:rsidP="002617A6">
      <w:pPr>
        <w:spacing w:after="0" w:line="240" w:lineRule="auto"/>
        <w:jc w:val="both"/>
        <w:rPr>
          <w:sz w:val="24"/>
          <w:szCs w:val="24"/>
          <w:lang w:val="ro-RO"/>
        </w:rPr>
      </w:pPr>
      <w:r>
        <w:rPr>
          <w:sz w:val="24"/>
          <w:szCs w:val="24"/>
          <w:lang w:val="ro-RO"/>
        </w:rPr>
        <w:t xml:space="preserve">În judeţul Sibiu avem 2 localităţi cu statut de staţiune balneară: oraşul </w:t>
      </w:r>
      <w:r w:rsidRPr="0043585A">
        <w:rPr>
          <w:b/>
          <w:sz w:val="24"/>
          <w:szCs w:val="24"/>
          <w:lang w:val="ro-RO"/>
        </w:rPr>
        <w:t>Ocna Sibiului</w:t>
      </w:r>
      <w:r>
        <w:rPr>
          <w:sz w:val="24"/>
          <w:szCs w:val="24"/>
          <w:lang w:val="ro-RO"/>
        </w:rPr>
        <w:t xml:space="preserve"> şi comuna </w:t>
      </w:r>
      <w:r w:rsidRPr="0043585A">
        <w:rPr>
          <w:b/>
          <w:sz w:val="24"/>
          <w:szCs w:val="24"/>
          <w:lang w:val="ro-RO"/>
        </w:rPr>
        <w:t>Bazna</w:t>
      </w:r>
      <w:r>
        <w:rPr>
          <w:sz w:val="24"/>
          <w:szCs w:val="24"/>
          <w:lang w:val="ro-RO"/>
        </w:rPr>
        <w:t>. Bazna fiind şi staţiune de interes local.</w:t>
      </w:r>
    </w:p>
    <w:p w:rsidR="002617A6" w:rsidRDefault="002617A6" w:rsidP="002617A6">
      <w:pPr>
        <w:spacing w:after="0" w:line="240" w:lineRule="auto"/>
        <w:jc w:val="both"/>
        <w:rPr>
          <w:sz w:val="24"/>
          <w:szCs w:val="24"/>
          <w:lang w:val="ro-RO"/>
        </w:rPr>
      </w:pPr>
      <w:r>
        <w:rPr>
          <w:sz w:val="24"/>
          <w:szCs w:val="24"/>
          <w:lang w:val="ro-RO"/>
        </w:rPr>
        <w:t xml:space="preserve">La Ocna Sibiului se găseşte </w:t>
      </w:r>
      <w:r w:rsidRPr="0043585A">
        <w:rPr>
          <w:b/>
          <w:sz w:val="24"/>
          <w:szCs w:val="24"/>
          <w:lang w:val="ro-RO"/>
        </w:rPr>
        <w:t>Lacul Avram Iancu</w:t>
      </w:r>
      <w:r>
        <w:rPr>
          <w:sz w:val="24"/>
          <w:szCs w:val="24"/>
          <w:lang w:val="ro-RO"/>
        </w:rPr>
        <w:t>, care este cel mai adânc lac de ocnă din ţară (132,5m) iar staţiunea Bazna deţine o multitudine de factori de cură (sarea de Bazna, nămolul de Bazna dar şi ape minerale).</w:t>
      </w:r>
    </w:p>
    <w:p w:rsidR="002617A6" w:rsidRPr="00544509" w:rsidRDefault="002617A6" w:rsidP="002617A6">
      <w:pPr>
        <w:spacing w:after="0" w:line="240" w:lineRule="auto"/>
        <w:jc w:val="both"/>
        <w:rPr>
          <w:sz w:val="24"/>
          <w:szCs w:val="24"/>
          <w:lang w:val="ro-RO"/>
        </w:rPr>
      </w:pPr>
      <w:r>
        <w:rPr>
          <w:sz w:val="24"/>
          <w:szCs w:val="24"/>
          <w:lang w:val="ro-RO"/>
        </w:rPr>
        <w:t xml:space="preserve">Staţiunea </w:t>
      </w:r>
      <w:r w:rsidRPr="0043585A">
        <w:rPr>
          <w:b/>
          <w:sz w:val="24"/>
          <w:szCs w:val="24"/>
          <w:lang w:val="ro-RO"/>
        </w:rPr>
        <w:t>Miercurea Băi</w:t>
      </w:r>
      <w:r>
        <w:rPr>
          <w:sz w:val="24"/>
          <w:szCs w:val="24"/>
          <w:lang w:val="ro-RO"/>
        </w:rPr>
        <w:t xml:space="preserve"> nu este funcţională în prezent, dar prezintă potenţial.</w:t>
      </w:r>
    </w:p>
    <w:p w:rsidR="002617A6" w:rsidRPr="009B2B8D" w:rsidRDefault="002617A6" w:rsidP="002617A6">
      <w:pPr>
        <w:spacing w:after="0" w:line="240" w:lineRule="auto"/>
        <w:rPr>
          <w:sz w:val="28"/>
          <w:szCs w:val="28"/>
          <w:lang w:val="ro-RO"/>
        </w:rPr>
      </w:pPr>
    </w:p>
    <w:p w:rsidR="007175F1" w:rsidRDefault="007175F1" w:rsidP="007175F1">
      <w:pPr>
        <w:spacing w:line="240" w:lineRule="auto"/>
        <w:rPr>
          <w:b/>
          <w:sz w:val="28"/>
          <w:szCs w:val="28"/>
          <w:lang w:val="ro-RO"/>
        </w:rPr>
      </w:pPr>
      <w:r>
        <w:rPr>
          <w:b/>
          <w:sz w:val="28"/>
          <w:szCs w:val="28"/>
          <w:lang w:val="ro-RO"/>
        </w:rPr>
        <w:t>Cifre cheie privind evoluţia turismului balnear</w:t>
      </w:r>
      <w:r w:rsidRPr="00A9797D">
        <w:rPr>
          <w:b/>
          <w:sz w:val="28"/>
          <w:szCs w:val="28"/>
          <w:lang w:val="ro-RO"/>
        </w:rPr>
        <w:t xml:space="preserve"> în Regiunea Centru</w:t>
      </w:r>
    </w:p>
    <w:p w:rsidR="007175F1" w:rsidRPr="00182CA9" w:rsidRDefault="007175F1" w:rsidP="007175F1">
      <w:pPr>
        <w:spacing w:line="240" w:lineRule="auto"/>
        <w:jc w:val="both"/>
        <w:rPr>
          <w:sz w:val="24"/>
          <w:szCs w:val="24"/>
          <w:lang w:val="ro-RO"/>
        </w:rPr>
      </w:pPr>
      <w:r>
        <w:rPr>
          <w:sz w:val="24"/>
          <w:szCs w:val="24"/>
          <w:lang w:val="ro-RO"/>
        </w:rPr>
        <w:t>Începând cu anul 2010 Regiunea Centru este prima regiune din ţară în ceea ce priveşte numărul turiştilor sosiţi, în anul 2015, 23,6% din sosirile înregistrate în România au fost înregistrate pe teritoriul Regiunii Centru, această pondere fiind în creştere faţă de 2010 (18,6%).</w:t>
      </w:r>
    </w:p>
    <w:p w:rsidR="007175F1" w:rsidRDefault="007175F1" w:rsidP="007175F1">
      <w:pPr>
        <w:jc w:val="both"/>
        <w:rPr>
          <w:sz w:val="24"/>
          <w:szCs w:val="24"/>
          <w:lang w:val="ro-RO"/>
        </w:rPr>
      </w:pPr>
      <w:r>
        <w:rPr>
          <w:sz w:val="24"/>
          <w:szCs w:val="24"/>
          <w:lang w:val="ro-RO"/>
        </w:rPr>
        <w:t>T</w:t>
      </w:r>
      <w:r w:rsidRPr="009B33B9">
        <w:rPr>
          <w:sz w:val="24"/>
          <w:szCs w:val="24"/>
          <w:lang w:val="ro-RO"/>
        </w:rPr>
        <w:t xml:space="preserve">urismul </w:t>
      </w:r>
      <w:r>
        <w:rPr>
          <w:sz w:val="24"/>
          <w:szCs w:val="24"/>
          <w:lang w:val="ro-RO"/>
        </w:rPr>
        <w:t xml:space="preserve">în </w:t>
      </w:r>
      <w:r w:rsidRPr="009B33B9">
        <w:rPr>
          <w:sz w:val="24"/>
          <w:szCs w:val="24"/>
          <w:lang w:val="ro-RO"/>
        </w:rPr>
        <w:t xml:space="preserve">Regiunea Centru se remarcă prin creşteri atât din punctul de vedere al </w:t>
      </w:r>
      <w:r>
        <w:rPr>
          <w:sz w:val="24"/>
          <w:szCs w:val="24"/>
          <w:lang w:val="ro-RO"/>
        </w:rPr>
        <w:t>structurilor de primire turistică (hoteluri, pensiuni, vile, etc..) cât şi al capacităţii de cazare</w:t>
      </w:r>
      <w:r w:rsidRPr="009B33B9">
        <w:rPr>
          <w:sz w:val="24"/>
          <w:szCs w:val="24"/>
          <w:lang w:val="ro-RO"/>
        </w:rPr>
        <w:t>.</w:t>
      </w:r>
      <w:r>
        <w:rPr>
          <w:sz w:val="24"/>
          <w:szCs w:val="24"/>
          <w:lang w:val="ro-RO"/>
        </w:rPr>
        <w:t xml:space="preserve"> Numărul unităţilor de cazare turistică din Regiunea Centru a crescut cu 1114 unităţi de cazare în 2015 faţă de 2005. Dacă în anul 2005 în unităţile turistice din regiune se puteau caza un număr maxim de 35479 persoane, în anul 2015 numărul locurilor de cazare aproape s-au dublat, putându-se asigura cazare pentru </w:t>
      </w:r>
      <w:r w:rsidRPr="008E1466">
        <w:rPr>
          <w:sz w:val="24"/>
          <w:szCs w:val="24"/>
          <w:lang w:val="ro-RO"/>
        </w:rPr>
        <w:t>68899</w:t>
      </w:r>
      <w:r>
        <w:rPr>
          <w:sz w:val="24"/>
          <w:szCs w:val="24"/>
          <w:lang w:val="ro-RO"/>
        </w:rPr>
        <w:t xml:space="preserve"> de persoane.</w:t>
      </w:r>
    </w:p>
    <w:p w:rsidR="007175F1" w:rsidRDefault="007175F1" w:rsidP="007175F1">
      <w:pPr>
        <w:jc w:val="both"/>
        <w:rPr>
          <w:b/>
          <w:sz w:val="24"/>
          <w:szCs w:val="24"/>
          <w:lang w:val="ro-RO"/>
        </w:rPr>
      </w:pPr>
    </w:p>
    <w:p w:rsidR="007175F1" w:rsidRPr="009B33B9" w:rsidRDefault="007175F1" w:rsidP="007175F1">
      <w:pPr>
        <w:spacing w:after="0" w:line="240" w:lineRule="auto"/>
        <w:rPr>
          <w:b/>
          <w:sz w:val="24"/>
          <w:szCs w:val="24"/>
          <w:lang w:val="ro-RO"/>
        </w:rPr>
      </w:pPr>
      <w:r>
        <w:rPr>
          <w:b/>
          <w:sz w:val="24"/>
          <w:szCs w:val="24"/>
          <w:lang w:val="ro-RO"/>
        </w:rPr>
        <w:lastRenderedPageBreak/>
        <w:t>Tabel 2</w:t>
      </w:r>
      <w:r w:rsidRPr="00806D29">
        <w:rPr>
          <w:b/>
          <w:sz w:val="24"/>
          <w:szCs w:val="24"/>
          <w:lang w:val="ro-RO"/>
        </w:rPr>
        <w:t xml:space="preserve">. </w:t>
      </w:r>
      <w:r>
        <w:rPr>
          <w:b/>
          <w:bCs/>
          <w:sz w:val="24"/>
          <w:szCs w:val="24"/>
          <w:lang w:val="ro-RO"/>
        </w:rPr>
        <w:t>Evoluţia structurii de primire şi a capacităţii turistice în Regiunea Centru</w:t>
      </w:r>
      <w:r w:rsidRPr="009B33B9">
        <w:rPr>
          <w:b/>
          <w:bCs/>
          <w:sz w:val="24"/>
          <w:szCs w:val="24"/>
          <w:lang w:val="ro-RO"/>
        </w:rPr>
        <w:t xml:space="preserve"> </w:t>
      </w:r>
    </w:p>
    <w:tbl>
      <w:tblPr>
        <w:tblStyle w:val="Listdeculoarenchis-Accentuare5"/>
        <w:tblW w:w="9243" w:type="dxa"/>
        <w:tblLayout w:type="fixed"/>
        <w:tblLook w:val="04A0"/>
      </w:tblPr>
      <w:tblGrid>
        <w:gridCol w:w="1861"/>
        <w:gridCol w:w="1230"/>
        <w:gridCol w:w="1230"/>
        <w:gridCol w:w="1000"/>
        <w:gridCol w:w="231"/>
        <w:gridCol w:w="1230"/>
        <w:gridCol w:w="1230"/>
        <w:gridCol w:w="1231"/>
      </w:tblGrid>
      <w:tr w:rsidR="007175F1" w:rsidRPr="00307DC9" w:rsidTr="005F5D09">
        <w:trPr>
          <w:cnfStyle w:val="100000000000"/>
          <w:trHeight w:val="300"/>
        </w:trPr>
        <w:tc>
          <w:tcPr>
            <w:cnfStyle w:val="001000000000"/>
            <w:tcW w:w="1861" w:type="dxa"/>
            <w:noWrap/>
            <w:hideMark/>
          </w:tcPr>
          <w:p w:rsidR="007175F1" w:rsidRPr="00307DC9" w:rsidRDefault="007175F1" w:rsidP="005F5D09">
            <w:pPr>
              <w:rPr>
                <w:rFonts w:ascii="Calibri" w:eastAsia="Times New Roman" w:hAnsi="Calibri" w:cs="Times New Roman"/>
                <w:lang w:val="ro-RO"/>
              </w:rPr>
            </w:pPr>
          </w:p>
        </w:tc>
        <w:tc>
          <w:tcPr>
            <w:tcW w:w="3460" w:type="dxa"/>
            <w:gridSpan w:val="3"/>
            <w:noWrap/>
            <w:hideMark/>
          </w:tcPr>
          <w:p w:rsidR="007175F1" w:rsidRDefault="007175F1" w:rsidP="005F5D09">
            <w:pPr>
              <w:jc w:val="center"/>
              <w:cnfStyle w:val="100000000000"/>
              <w:rPr>
                <w:rFonts w:ascii="Calibri" w:eastAsia="Times New Roman" w:hAnsi="Calibri" w:cs="Times New Roman"/>
                <w:lang w:val="ro-RO"/>
              </w:rPr>
            </w:pPr>
            <w:r w:rsidRPr="00307DC9">
              <w:rPr>
                <w:rFonts w:ascii="Calibri" w:eastAsia="Times New Roman" w:hAnsi="Calibri" w:cs="Times New Roman"/>
                <w:lang w:val="ro-RO"/>
              </w:rPr>
              <w:t>Structuri de primire turistic</w:t>
            </w:r>
            <w:r>
              <w:rPr>
                <w:rFonts w:ascii="Calibri" w:eastAsia="Times New Roman" w:hAnsi="Calibri" w:cs="Times New Roman"/>
                <w:lang w:val="ro-RO"/>
              </w:rPr>
              <w:t>ă</w:t>
            </w:r>
          </w:p>
          <w:p w:rsidR="007175F1" w:rsidRPr="00307DC9" w:rsidRDefault="007175F1" w:rsidP="005F5D09">
            <w:pPr>
              <w:jc w:val="center"/>
              <w:cnfStyle w:val="100000000000"/>
              <w:rPr>
                <w:rFonts w:ascii="Calibri" w:eastAsia="Times New Roman" w:hAnsi="Calibri" w:cs="Times New Roman"/>
                <w:lang w:val="ro-RO"/>
              </w:rPr>
            </w:pPr>
            <w:r>
              <w:rPr>
                <w:rFonts w:ascii="Calibri" w:eastAsia="Times New Roman" w:hAnsi="Calibri" w:cs="Times New Roman"/>
                <w:lang w:val="ro-RO"/>
              </w:rPr>
              <w:t>-U.M. număr-</w:t>
            </w:r>
          </w:p>
        </w:tc>
        <w:tc>
          <w:tcPr>
            <w:tcW w:w="3922" w:type="dxa"/>
            <w:gridSpan w:val="4"/>
            <w:noWrap/>
            <w:hideMark/>
          </w:tcPr>
          <w:p w:rsidR="007175F1" w:rsidRDefault="007175F1" w:rsidP="005F5D09">
            <w:pPr>
              <w:jc w:val="center"/>
              <w:cnfStyle w:val="100000000000"/>
              <w:rPr>
                <w:rFonts w:ascii="Calibri" w:eastAsia="Times New Roman" w:hAnsi="Calibri" w:cs="Times New Roman"/>
                <w:lang w:val="ro-RO"/>
              </w:rPr>
            </w:pPr>
            <w:r w:rsidRPr="00307DC9">
              <w:rPr>
                <w:rFonts w:ascii="Calibri" w:eastAsia="Times New Roman" w:hAnsi="Calibri" w:cs="Times New Roman"/>
                <w:lang w:val="ro-RO"/>
              </w:rPr>
              <w:t>Capacitatea de cazare turistică</w:t>
            </w:r>
          </w:p>
          <w:p w:rsidR="007175F1" w:rsidRPr="00307DC9" w:rsidRDefault="007175F1" w:rsidP="005F5D09">
            <w:pPr>
              <w:jc w:val="center"/>
              <w:cnfStyle w:val="100000000000"/>
              <w:rPr>
                <w:rFonts w:ascii="Calibri" w:eastAsia="Times New Roman" w:hAnsi="Calibri" w:cs="Times New Roman"/>
                <w:lang w:val="ro-RO"/>
              </w:rPr>
            </w:pPr>
            <w:r>
              <w:rPr>
                <w:rFonts w:ascii="Calibri" w:eastAsia="Times New Roman" w:hAnsi="Calibri" w:cs="Times New Roman"/>
                <w:lang w:val="ro-RO"/>
              </w:rPr>
              <w:t>-U.M. locuri-</w:t>
            </w:r>
          </w:p>
        </w:tc>
      </w:tr>
      <w:tr w:rsidR="007175F1" w:rsidRPr="00307DC9" w:rsidTr="005F5D09">
        <w:trPr>
          <w:cnfStyle w:val="000000100000"/>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p>
        </w:tc>
        <w:tc>
          <w:tcPr>
            <w:tcW w:w="1230" w:type="dxa"/>
            <w:noWrap/>
            <w:hideMark/>
          </w:tcPr>
          <w:p w:rsidR="007175F1" w:rsidRPr="00307DC9" w:rsidRDefault="007175F1" w:rsidP="005F5D09">
            <w:pPr>
              <w:cnfStyle w:val="000000100000"/>
              <w:rPr>
                <w:rFonts w:ascii="Calibri" w:eastAsia="Times New Roman" w:hAnsi="Calibri" w:cs="Times New Roman"/>
                <w:b/>
                <w:lang w:val="ro-RO"/>
              </w:rPr>
            </w:pPr>
            <w:r w:rsidRPr="00307DC9">
              <w:rPr>
                <w:rFonts w:ascii="Calibri" w:eastAsia="Times New Roman" w:hAnsi="Calibri" w:cs="Times New Roman"/>
                <w:b/>
                <w:lang w:val="ro-RO"/>
              </w:rPr>
              <w:t>Anul 2005</w:t>
            </w:r>
          </w:p>
        </w:tc>
        <w:tc>
          <w:tcPr>
            <w:tcW w:w="1230" w:type="dxa"/>
            <w:noWrap/>
            <w:hideMark/>
          </w:tcPr>
          <w:p w:rsidR="007175F1" w:rsidRPr="00307DC9" w:rsidRDefault="007175F1" w:rsidP="005F5D09">
            <w:pPr>
              <w:cnfStyle w:val="000000100000"/>
              <w:rPr>
                <w:rFonts w:ascii="Calibri" w:eastAsia="Times New Roman" w:hAnsi="Calibri" w:cs="Times New Roman"/>
                <w:b/>
                <w:lang w:val="ro-RO"/>
              </w:rPr>
            </w:pPr>
            <w:r w:rsidRPr="00307DC9">
              <w:rPr>
                <w:rFonts w:ascii="Calibri" w:eastAsia="Times New Roman" w:hAnsi="Calibri" w:cs="Times New Roman"/>
                <w:b/>
                <w:lang w:val="ro-RO"/>
              </w:rPr>
              <w:t>Anul 2010</w:t>
            </w:r>
          </w:p>
        </w:tc>
        <w:tc>
          <w:tcPr>
            <w:tcW w:w="1231" w:type="dxa"/>
            <w:gridSpan w:val="2"/>
            <w:noWrap/>
            <w:hideMark/>
          </w:tcPr>
          <w:p w:rsidR="007175F1" w:rsidRPr="00307DC9" w:rsidRDefault="007175F1" w:rsidP="005F5D09">
            <w:pPr>
              <w:cnfStyle w:val="000000100000"/>
              <w:rPr>
                <w:rFonts w:ascii="Calibri" w:eastAsia="Times New Roman" w:hAnsi="Calibri" w:cs="Times New Roman"/>
                <w:b/>
                <w:lang w:val="ro-RO"/>
              </w:rPr>
            </w:pPr>
            <w:r w:rsidRPr="00307DC9">
              <w:rPr>
                <w:rFonts w:ascii="Calibri" w:eastAsia="Times New Roman" w:hAnsi="Calibri" w:cs="Times New Roman"/>
                <w:b/>
                <w:lang w:val="ro-RO"/>
              </w:rPr>
              <w:t>Anul 2015</w:t>
            </w:r>
          </w:p>
        </w:tc>
        <w:tc>
          <w:tcPr>
            <w:tcW w:w="1230" w:type="dxa"/>
            <w:noWrap/>
            <w:hideMark/>
          </w:tcPr>
          <w:p w:rsidR="007175F1" w:rsidRPr="00307DC9" w:rsidRDefault="007175F1" w:rsidP="005F5D09">
            <w:pPr>
              <w:cnfStyle w:val="000000100000"/>
              <w:rPr>
                <w:rFonts w:ascii="Calibri" w:eastAsia="Times New Roman" w:hAnsi="Calibri" w:cs="Times New Roman"/>
                <w:b/>
                <w:lang w:val="ro-RO"/>
              </w:rPr>
            </w:pPr>
            <w:r w:rsidRPr="00307DC9">
              <w:rPr>
                <w:rFonts w:ascii="Calibri" w:eastAsia="Times New Roman" w:hAnsi="Calibri" w:cs="Times New Roman"/>
                <w:b/>
                <w:lang w:val="ro-RO"/>
              </w:rPr>
              <w:t>Anul 2005</w:t>
            </w:r>
          </w:p>
        </w:tc>
        <w:tc>
          <w:tcPr>
            <w:tcW w:w="1230" w:type="dxa"/>
            <w:noWrap/>
            <w:hideMark/>
          </w:tcPr>
          <w:p w:rsidR="007175F1" w:rsidRPr="00307DC9" w:rsidRDefault="007175F1" w:rsidP="005F5D09">
            <w:pPr>
              <w:cnfStyle w:val="000000100000"/>
              <w:rPr>
                <w:rFonts w:ascii="Calibri" w:eastAsia="Times New Roman" w:hAnsi="Calibri" w:cs="Times New Roman"/>
                <w:b/>
                <w:lang w:val="ro-RO"/>
              </w:rPr>
            </w:pPr>
            <w:r w:rsidRPr="00307DC9">
              <w:rPr>
                <w:rFonts w:ascii="Calibri" w:eastAsia="Times New Roman" w:hAnsi="Calibri" w:cs="Times New Roman"/>
                <w:b/>
                <w:lang w:val="ro-RO"/>
              </w:rPr>
              <w:t>Anul 2010</w:t>
            </w:r>
          </w:p>
        </w:tc>
        <w:tc>
          <w:tcPr>
            <w:tcW w:w="1231" w:type="dxa"/>
            <w:noWrap/>
            <w:hideMark/>
          </w:tcPr>
          <w:p w:rsidR="007175F1" w:rsidRPr="00307DC9" w:rsidRDefault="007175F1" w:rsidP="005F5D09">
            <w:pPr>
              <w:cnfStyle w:val="000000100000"/>
              <w:rPr>
                <w:rFonts w:ascii="Calibri" w:eastAsia="Times New Roman" w:hAnsi="Calibri" w:cs="Times New Roman"/>
                <w:b/>
                <w:lang w:val="ro-RO"/>
              </w:rPr>
            </w:pPr>
            <w:r w:rsidRPr="00307DC9">
              <w:rPr>
                <w:rFonts w:ascii="Calibri" w:eastAsia="Times New Roman" w:hAnsi="Calibri" w:cs="Times New Roman"/>
                <w:b/>
                <w:lang w:val="ro-RO"/>
              </w:rPr>
              <w:t>Anul 2015</w:t>
            </w:r>
          </w:p>
        </w:tc>
      </w:tr>
      <w:tr w:rsidR="007175F1" w:rsidRPr="00307DC9" w:rsidTr="005F5D09">
        <w:trPr>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sidRPr="00307DC9">
              <w:rPr>
                <w:rFonts w:ascii="Calibri" w:eastAsia="Times New Roman" w:hAnsi="Calibri" w:cs="Times New Roman"/>
                <w:b/>
                <w:lang w:val="ro-RO"/>
              </w:rPr>
              <w:t>Regiunea CENTRU</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993</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1188</w:t>
            </w:r>
          </w:p>
        </w:tc>
        <w:tc>
          <w:tcPr>
            <w:tcW w:w="1231" w:type="dxa"/>
            <w:gridSpan w:val="2"/>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2107</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35479</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42029</w:t>
            </w:r>
          </w:p>
        </w:tc>
        <w:tc>
          <w:tcPr>
            <w:tcW w:w="1231"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68899</w:t>
            </w:r>
          </w:p>
        </w:tc>
      </w:tr>
      <w:tr w:rsidR="007175F1" w:rsidRPr="00307DC9" w:rsidTr="005F5D09">
        <w:trPr>
          <w:cnfStyle w:val="000000100000"/>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sidRPr="00307DC9">
              <w:rPr>
                <w:rFonts w:ascii="Calibri" w:eastAsia="Times New Roman" w:hAnsi="Calibri" w:cs="Times New Roman"/>
                <w:b/>
                <w:lang w:val="ro-RO"/>
              </w:rPr>
              <w:t>Alba</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27</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67</w:t>
            </w:r>
          </w:p>
        </w:tc>
        <w:tc>
          <w:tcPr>
            <w:tcW w:w="1231" w:type="dxa"/>
            <w:gridSpan w:val="2"/>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159</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1179</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2109</w:t>
            </w:r>
          </w:p>
        </w:tc>
        <w:tc>
          <w:tcPr>
            <w:tcW w:w="1231"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4585</w:t>
            </w:r>
          </w:p>
        </w:tc>
      </w:tr>
      <w:tr w:rsidR="007175F1" w:rsidRPr="00307DC9" w:rsidTr="005F5D09">
        <w:trPr>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Pr>
                <w:rFonts w:ascii="Calibri" w:eastAsia="Times New Roman" w:hAnsi="Calibri" w:cs="Times New Roman"/>
                <w:b/>
                <w:lang w:val="ro-RO"/>
              </w:rPr>
              <w:t>Braş</w:t>
            </w:r>
            <w:r w:rsidRPr="00307DC9">
              <w:rPr>
                <w:rFonts w:ascii="Calibri" w:eastAsia="Times New Roman" w:hAnsi="Calibri" w:cs="Times New Roman"/>
                <w:b/>
                <w:lang w:val="ro-RO"/>
              </w:rPr>
              <w:t>ov</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403</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474</w:t>
            </w:r>
          </w:p>
        </w:tc>
        <w:tc>
          <w:tcPr>
            <w:tcW w:w="1231" w:type="dxa"/>
            <w:gridSpan w:val="2"/>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886</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12037</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16742</w:t>
            </w:r>
          </w:p>
        </w:tc>
        <w:tc>
          <w:tcPr>
            <w:tcW w:w="1231"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28616</w:t>
            </w:r>
          </w:p>
        </w:tc>
      </w:tr>
      <w:tr w:rsidR="007175F1" w:rsidRPr="00307DC9" w:rsidTr="005F5D09">
        <w:trPr>
          <w:cnfStyle w:val="000000100000"/>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sidRPr="00307DC9">
              <w:rPr>
                <w:rFonts w:ascii="Calibri" w:eastAsia="Times New Roman" w:hAnsi="Calibri" w:cs="Times New Roman"/>
                <w:b/>
                <w:lang w:val="ro-RO"/>
              </w:rPr>
              <w:t>Covasna</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47</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76</w:t>
            </w:r>
          </w:p>
        </w:tc>
        <w:tc>
          <w:tcPr>
            <w:tcW w:w="1231" w:type="dxa"/>
            <w:gridSpan w:val="2"/>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108</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3664</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3638</w:t>
            </w:r>
          </w:p>
        </w:tc>
        <w:tc>
          <w:tcPr>
            <w:tcW w:w="1231"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5582</w:t>
            </w:r>
          </w:p>
        </w:tc>
      </w:tr>
      <w:tr w:rsidR="007175F1" w:rsidRPr="00307DC9" w:rsidTr="005F5D09">
        <w:trPr>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sidRPr="00307DC9">
              <w:rPr>
                <w:rFonts w:ascii="Calibri" w:eastAsia="Times New Roman" w:hAnsi="Calibri" w:cs="Times New Roman"/>
                <w:b/>
                <w:lang w:val="ro-RO"/>
              </w:rPr>
              <w:t>Harghita</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301</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281</w:t>
            </w:r>
          </w:p>
        </w:tc>
        <w:tc>
          <w:tcPr>
            <w:tcW w:w="1231" w:type="dxa"/>
            <w:gridSpan w:val="2"/>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357</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7644</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6909</w:t>
            </w:r>
          </w:p>
        </w:tc>
        <w:tc>
          <w:tcPr>
            <w:tcW w:w="1231"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8547</w:t>
            </w:r>
          </w:p>
        </w:tc>
      </w:tr>
      <w:tr w:rsidR="007175F1" w:rsidRPr="00307DC9" w:rsidTr="005F5D09">
        <w:trPr>
          <w:cnfStyle w:val="000000100000"/>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sidRPr="00307DC9">
              <w:rPr>
                <w:rFonts w:ascii="Calibri" w:eastAsia="Times New Roman" w:hAnsi="Calibri" w:cs="Times New Roman"/>
                <w:b/>
                <w:lang w:val="ro-RO"/>
              </w:rPr>
              <w:t>Mure</w:t>
            </w:r>
            <w:r>
              <w:rPr>
                <w:rFonts w:ascii="Calibri" w:eastAsia="Times New Roman" w:hAnsi="Calibri" w:cs="Times New Roman"/>
                <w:b/>
                <w:lang w:val="ro-RO"/>
              </w:rPr>
              <w:t>ş</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104</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123</w:t>
            </w:r>
          </w:p>
        </w:tc>
        <w:tc>
          <w:tcPr>
            <w:tcW w:w="1231" w:type="dxa"/>
            <w:gridSpan w:val="2"/>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282</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6201</w:t>
            </w:r>
          </w:p>
        </w:tc>
        <w:tc>
          <w:tcPr>
            <w:tcW w:w="1230"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6093</w:t>
            </w:r>
          </w:p>
        </w:tc>
        <w:tc>
          <w:tcPr>
            <w:tcW w:w="1231" w:type="dxa"/>
            <w:noWrap/>
            <w:hideMark/>
          </w:tcPr>
          <w:p w:rsidR="007175F1" w:rsidRPr="00307DC9" w:rsidRDefault="007175F1" w:rsidP="005F5D09">
            <w:pPr>
              <w:jc w:val="center"/>
              <w:cnfStyle w:val="000000100000"/>
              <w:rPr>
                <w:rFonts w:ascii="Calibri" w:eastAsia="Times New Roman" w:hAnsi="Calibri" w:cs="Times New Roman"/>
                <w:b/>
                <w:lang w:val="ro-RO"/>
              </w:rPr>
            </w:pPr>
            <w:r w:rsidRPr="00307DC9">
              <w:rPr>
                <w:rFonts w:ascii="Calibri" w:eastAsia="Times New Roman" w:hAnsi="Calibri" w:cs="Times New Roman"/>
                <w:b/>
                <w:lang w:val="ro-RO"/>
              </w:rPr>
              <w:t>11096</w:t>
            </w:r>
          </w:p>
        </w:tc>
      </w:tr>
      <w:tr w:rsidR="007175F1" w:rsidRPr="00307DC9" w:rsidTr="005F5D09">
        <w:trPr>
          <w:trHeight w:val="300"/>
        </w:trPr>
        <w:tc>
          <w:tcPr>
            <w:cnfStyle w:val="001000000000"/>
            <w:tcW w:w="1861" w:type="dxa"/>
            <w:noWrap/>
            <w:hideMark/>
          </w:tcPr>
          <w:p w:rsidR="007175F1" w:rsidRPr="00307DC9" w:rsidRDefault="007175F1" w:rsidP="005F5D09">
            <w:pPr>
              <w:rPr>
                <w:rFonts w:ascii="Calibri" w:eastAsia="Times New Roman" w:hAnsi="Calibri" w:cs="Times New Roman"/>
                <w:b/>
                <w:lang w:val="ro-RO"/>
              </w:rPr>
            </w:pPr>
            <w:r w:rsidRPr="00307DC9">
              <w:rPr>
                <w:rFonts w:ascii="Calibri" w:eastAsia="Times New Roman" w:hAnsi="Calibri" w:cs="Times New Roman"/>
                <w:b/>
                <w:lang w:val="ro-RO"/>
              </w:rPr>
              <w:t>Sibiu</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111</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167</w:t>
            </w:r>
          </w:p>
        </w:tc>
        <w:tc>
          <w:tcPr>
            <w:tcW w:w="1231" w:type="dxa"/>
            <w:gridSpan w:val="2"/>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315</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4754</w:t>
            </w:r>
          </w:p>
        </w:tc>
        <w:tc>
          <w:tcPr>
            <w:tcW w:w="1230"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6538</w:t>
            </w:r>
          </w:p>
        </w:tc>
        <w:tc>
          <w:tcPr>
            <w:tcW w:w="1231" w:type="dxa"/>
            <w:noWrap/>
            <w:hideMark/>
          </w:tcPr>
          <w:p w:rsidR="007175F1" w:rsidRPr="00307DC9" w:rsidRDefault="007175F1" w:rsidP="005F5D09">
            <w:pPr>
              <w:jc w:val="center"/>
              <w:cnfStyle w:val="000000000000"/>
              <w:rPr>
                <w:rFonts w:ascii="Calibri" w:eastAsia="Times New Roman" w:hAnsi="Calibri" w:cs="Times New Roman"/>
                <w:b/>
                <w:lang w:val="ro-RO"/>
              </w:rPr>
            </w:pPr>
            <w:r w:rsidRPr="00307DC9">
              <w:rPr>
                <w:rFonts w:ascii="Calibri" w:eastAsia="Times New Roman" w:hAnsi="Calibri" w:cs="Times New Roman"/>
                <w:b/>
                <w:lang w:val="ro-RO"/>
              </w:rPr>
              <w:t>10473</w:t>
            </w:r>
          </w:p>
        </w:tc>
      </w:tr>
    </w:tbl>
    <w:p w:rsidR="007175F1" w:rsidRPr="00307DC9" w:rsidRDefault="007175F1" w:rsidP="007175F1">
      <w:pPr>
        <w:jc w:val="both"/>
        <w:rPr>
          <w:b/>
          <w:lang w:val="ro-RO"/>
        </w:rPr>
      </w:pPr>
      <w:r w:rsidRPr="00307DC9">
        <w:rPr>
          <w:b/>
          <w:lang w:val="ro-RO"/>
        </w:rPr>
        <w:t>Sursa:</w:t>
      </w:r>
      <w:r w:rsidRPr="00307DC9">
        <w:rPr>
          <w:lang w:val="ro-RO"/>
        </w:rPr>
        <w:t xml:space="preserve"> Institutul Național de Statistică</w:t>
      </w:r>
    </w:p>
    <w:p w:rsidR="007175F1" w:rsidRPr="00800060" w:rsidRDefault="007175F1" w:rsidP="007175F1">
      <w:pPr>
        <w:jc w:val="both"/>
        <w:rPr>
          <w:sz w:val="24"/>
          <w:szCs w:val="24"/>
          <w:lang w:val="ro-RO"/>
        </w:rPr>
      </w:pPr>
      <w:r w:rsidRPr="00800060">
        <w:rPr>
          <w:sz w:val="24"/>
          <w:szCs w:val="24"/>
          <w:lang w:val="ro-RO"/>
        </w:rPr>
        <w:t xml:space="preserve">Atât în ceea ce priveşte numărul sosirilor turiştilor străini cât şi a înnoptărilor situaţia este diferită în judeţele Regiunii Centru. În judeţul Sibiu urmat de judeţul Harghita s-au înregistrat cele mai mari ponderi ale turiştilor străini sosiţi. </w:t>
      </w:r>
    </w:p>
    <w:p w:rsidR="007175F1" w:rsidRPr="009B33B9" w:rsidRDefault="007175F1" w:rsidP="007175F1">
      <w:pPr>
        <w:spacing w:after="0" w:line="240" w:lineRule="auto"/>
        <w:jc w:val="center"/>
        <w:rPr>
          <w:b/>
          <w:sz w:val="24"/>
          <w:szCs w:val="24"/>
          <w:lang w:val="ro-RO"/>
        </w:rPr>
      </w:pPr>
      <w:r>
        <w:rPr>
          <w:b/>
          <w:sz w:val="24"/>
          <w:szCs w:val="24"/>
          <w:lang w:val="ro-RO"/>
        </w:rPr>
        <w:t>Tabel 3</w:t>
      </w:r>
      <w:r w:rsidRPr="00806D29">
        <w:rPr>
          <w:b/>
          <w:sz w:val="24"/>
          <w:szCs w:val="24"/>
          <w:lang w:val="ro-RO"/>
        </w:rPr>
        <w:t xml:space="preserve">. </w:t>
      </w:r>
      <w:r w:rsidRPr="009B33B9">
        <w:rPr>
          <w:b/>
          <w:sz w:val="24"/>
          <w:szCs w:val="24"/>
          <w:lang w:val="ro-RO"/>
        </w:rPr>
        <w:t>Numărul sosirilor şi înnoptărilor turiştilor şi ponderea turiştilor străini din total</w:t>
      </w:r>
    </w:p>
    <w:p w:rsidR="007175F1" w:rsidRPr="008E1466" w:rsidRDefault="007175F1" w:rsidP="007175F1">
      <w:pPr>
        <w:spacing w:after="0" w:line="240" w:lineRule="auto"/>
        <w:jc w:val="center"/>
        <w:rPr>
          <w:b/>
          <w:sz w:val="24"/>
          <w:szCs w:val="24"/>
          <w:lang w:val="ro-RO"/>
        </w:rPr>
      </w:pPr>
      <w:r w:rsidRPr="009B33B9">
        <w:rPr>
          <w:b/>
          <w:sz w:val="24"/>
          <w:szCs w:val="24"/>
          <w:lang w:val="ro-RO"/>
        </w:rPr>
        <w:t xml:space="preserve"> în anul 201</w:t>
      </w:r>
      <w:r>
        <w:rPr>
          <w:b/>
          <w:sz w:val="24"/>
          <w:szCs w:val="24"/>
          <w:lang w:val="ro-RO"/>
        </w:rPr>
        <w:t>5</w:t>
      </w:r>
    </w:p>
    <w:tbl>
      <w:tblPr>
        <w:tblStyle w:val="Grilcolorat-Accentuare5"/>
        <w:tblW w:w="8632" w:type="dxa"/>
        <w:tblLook w:val="04A0"/>
      </w:tblPr>
      <w:tblGrid>
        <w:gridCol w:w="1963"/>
        <w:gridCol w:w="997"/>
        <w:gridCol w:w="997"/>
        <w:gridCol w:w="1156"/>
        <w:gridCol w:w="1171"/>
        <w:gridCol w:w="1137"/>
        <w:gridCol w:w="1211"/>
      </w:tblGrid>
      <w:tr w:rsidR="007175F1" w:rsidRPr="008E1466" w:rsidTr="005F5D09">
        <w:trPr>
          <w:cnfStyle w:val="100000000000"/>
          <w:trHeight w:val="1035"/>
        </w:trPr>
        <w:tc>
          <w:tcPr>
            <w:cnfStyle w:val="001000000000"/>
            <w:tcW w:w="1963" w:type="dxa"/>
            <w:hideMark/>
          </w:tcPr>
          <w:p w:rsidR="007175F1" w:rsidRPr="008E1466" w:rsidRDefault="007175F1" w:rsidP="005F5D09">
            <w:pPr>
              <w:rPr>
                <w:rFonts w:ascii="Calibri" w:eastAsia="Times New Roman" w:hAnsi="Calibri" w:cs="Times New Roman"/>
                <w:color w:val="000000"/>
                <w:lang w:val="ro-RO"/>
              </w:rPr>
            </w:pPr>
          </w:p>
        </w:tc>
        <w:tc>
          <w:tcPr>
            <w:tcW w:w="997" w:type="dxa"/>
            <w:hideMark/>
          </w:tcPr>
          <w:p w:rsidR="007175F1" w:rsidRPr="008E1466" w:rsidRDefault="007175F1" w:rsidP="005F5D09">
            <w:pPr>
              <w:cnfStyle w:val="100000000000"/>
              <w:rPr>
                <w:rFonts w:ascii="Calibri" w:eastAsia="Times New Roman" w:hAnsi="Calibri" w:cs="Times New Roman"/>
                <w:color w:val="000000"/>
                <w:sz w:val="20"/>
                <w:szCs w:val="20"/>
                <w:lang w:val="ro-RO"/>
              </w:rPr>
            </w:pPr>
            <w:r w:rsidRPr="008E1466">
              <w:rPr>
                <w:rFonts w:ascii="Calibri" w:eastAsia="Times New Roman" w:hAnsi="Calibri" w:cs="Times New Roman"/>
                <w:color w:val="000000"/>
                <w:sz w:val="20"/>
                <w:szCs w:val="20"/>
                <w:lang w:val="ro-RO"/>
              </w:rPr>
              <w:t>Total sosiri</w:t>
            </w:r>
          </w:p>
        </w:tc>
        <w:tc>
          <w:tcPr>
            <w:tcW w:w="997" w:type="dxa"/>
            <w:hideMark/>
          </w:tcPr>
          <w:p w:rsidR="007175F1" w:rsidRPr="008E1466" w:rsidRDefault="007175F1" w:rsidP="005F5D09">
            <w:pPr>
              <w:cnfStyle w:val="100000000000"/>
              <w:rPr>
                <w:rFonts w:ascii="Calibri" w:eastAsia="Times New Roman" w:hAnsi="Calibri" w:cs="Times New Roman"/>
                <w:color w:val="000000"/>
                <w:sz w:val="20"/>
                <w:szCs w:val="20"/>
                <w:lang w:val="ro-RO"/>
              </w:rPr>
            </w:pPr>
            <w:r w:rsidRPr="008E1466">
              <w:rPr>
                <w:rFonts w:ascii="Calibri" w:eastAsia="Times New Roman" w:hAnsi="Calibri" w:cs="Times New Roman"/>
                <w:color w:val="000000"/>
                <w:sz w:val="20"/>
                <w:szCs w:val="20"/>
                <w:lang w:val="ro-RO"/>
              </w:rPr>
              <w:t>Sosirile turişti străini</w:t>
            </w:r>
          </w:p>
        </w:tc>
        <w:tc>
          <w:tcPr>
            <w:tcW w:w="1156" w:type="dxa"/>
            <w:hideMark/>
          </w:tcPr>
          <w:p w:rsidR="007175F1" w:rsidRPr="008E1466" w:rsidRDefault="007175F1" w:rsidP="005F5D09">
            <w:pPr>
              <w:cnfStyle w:val="100000000000"/>
              <w:rPr>
                <w:rFonts w:ascii="Calibri" w:eastAsia="Times New Roman" w:hAnsi="Calibri" w:cs="Times New Roman"/>
                <w:color w:val="000000"/>
                <w:sz w:val="20"/>
                <w:szCs w:val="20"/>
                <w:lang w:val="ro-RO"/>
              </w:rPr>
            </w:pPr>
            <w:r w:rsidRPr="008E1466">
              <w:rPr>
                <w:rFonts w:ascii="Calibri" w:eastAsia="Times New Roman" w:hAnsi="Calibri" w:cs="Times New Roman"/>
                <w:color w:val="000000"/>
                <w:sz w:val="20"/>
                <w:szCs w:val="20"/>
                <w:lang w:val="ro-RO"/>
              </w:rPr>
              <w:t>Ponderea sosirilor turiştilor străini (%)</w:t>
            </w:r>
          </w:p>
        </w:tc>
        <w:tc>
          <w:tcPr>
            <w:tcW w:w="1171" w:type="dxa"/>
            <w:hideMark/>
          </w:tcPr>
          <w:p w:rsidR="007175F1" w:rsidRPr="008E1466" w:rsidRDefault="007175F1" w:rsidP="005F5D09">
            <w:pPr>
              <w:cnfStyle w:val="100000000000"/>
              <w:rPr>
                <w:rFonts w:ascii="Calibri" w:eastAsia="Times New Roman" w:hAnsi="Calibri" w:cs="Times New Roman"/>
                <w:color w:val="000000"/>
                <w:sz w:val="20"/>
                <w:szCs w:val="20"/>
                <w:lang w:val="ro-RO"/>
              </w:rPr>
            </w:pPr>
            <w:r w:rsidRPr="008E1466">
              <w:rPr>
                <w:rFonts w:ascii="Calibri" w:eastAsia="Times New Roman" w:hAnsi="Calibri" w:cs="Times New Roman"/>
                <w:color w:val="000000"/>
                <w:sz w:val="20"/>
                <w:szCs w:val="20"/>
                <w:lang w:val="ro-RO"/>
              </w:rPr>
              <w:t>Total înnoptări</w:t>
            </w:r>
          </w:p>
        </w:tc>
        <w:tc>
          <w:tcPr>
            <w:tcW w:w="1137" w:type="dxa"/>
            <w:hideMark/>
          </w:tcPr>
          <w:p w:rsidR="007175F1" w:rsidRPr="008E1466" w:rsidRDefault="007175F1" w:rsidP="005F5D09">
            <w:pPr>
              <w:cnfStyle w:val="100000000000"/>
              <w:rPr>
                <w:rFonts w:ascii="Calibri" w:eastAsia="Times New Roman" w:hAnsi="Calibri" w:cs="Times New Roman"/>
                <w:color w:val="000000"/>
                <w:sz w:val="20"/>
                <w:szCs w:val="20"/>
                <w:lang w:val="ro-RO"/>
              </w:rPr>
            </w:pPr>
            <w:r w:rsidRPr="008E1466">
              <w:rPr>
                <w:rFonts w:ascii="Calibri" w:eastAsia="Times New Roman" w:hAnsi="Calibri" w:cs="Times New Roman"/>
                <w:color w:val="000000"/>
                <w:sz w:val="20"/>
                <w:szCs w:val="20"/>
                <w:lang w:val="ro-RO"/>
              </w:rPr>
              <w:t>Înnoptările turiştilor  străini</w:t>
            </w:r>
          </w:p>
        </w:tc>
        <w:tc>
          <w:tcPr>
            <w:tcW w:w="1211" w:type="dxa"/>
            <w:hideMark/>
          </w:tcPr>
          <w:p w:rsidR="007175F1" w:rsidRPr="008E1466" w:rsidRDefault="007175F1" w:rsidP="005F5D09">
            <w:pPr>
              <w:cnfStyle w:val="100000000000"/>
              <w:rPr>
                <w:rFonts w:ascii="Calibri" w:eastAsia="Times New Roman" w:hAnsi="Calibri" w:cs="Times New Roman"/>
                <w:color w:val="000000"/>
                <w:sz w:val="20"/>
                <w:szCs w:val="20"/>
                <w:lang w:val="ro-RO"/>
              </w:rPr>
            </w:pPr>
            <w:r w:rsidRPr="008E1466">
              <w:rPr>
                <w:rFonts w:ascii="Calibri" w:eastAsia="Times New Roman" w:hAnsi="Calibri" w:cs="Times New Roman"/>
                <w:color w:val="000000"/>
                <w:sz w:val="20"/>
                <w:szCs w:val="20"/>
                <w:lang w:val="ro-RO"/>
              </w:rPr>
              <w:t>Ponderea înnoptărilor turiştilor străini (%)</w:t>
            </w:r>
          </w:p>
        </w:tc>
      </w:tr>
      <w:tr w:rsidR="007175F1" w:rsidRPr="008E1466" w:rsidTr="005F5D09">
        <w:trPr>
          <w:cnfStyle w:val="000000100000"/>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România</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9930496</w:t>
            </w:r>
          </w:p>
        </w:tc>
        <w:tc>
          <w:tcPr>
            <w:tcW w:w="997" w:type="dxa"/>
            <w:hideMark/>
          </w:tcPr>
          <w:p w:rsidR="007175F1" w:rsidRDefault="007175F1" w:rsidP="005F5D09">
            <w:pPr>
              <w:jc w:val="right"/>
              <w:cnfStyle w:val="000000100000"/>
              <w:rPr>
                <w:rFonts w:ascii="Calibri" w:hAnsi="Calibri"/>
                <w:color w:val="000000"/>
              </w:rPr>
            </w:pPr>
            <w:r>
              <w:rPr>
                <w:rFonts w:ascii="Calibri" w:hAnsi="Calibri"/>
                <w:color w:val="000000"/>
              </w:rPr>
              <w:t>2239978</w:t>
            </w:r>
          </w:p>
        </w:tc>
        <w:tc>
          <w:tcPr>
            <w:tcW w:w="1156" w:type="dxa"/>
            <w:hideMark/>
          </w:tcPr>
          <w:p w:rsidR="007175F1" w:rsidRDefault="007175F1" w:rsidP="005F5D09">
            <w:pPr>
              <w:jc w:val="right"/>
              <w:cnfStyle w:val="000000100000"/>
              <w:rPr>
                <w:rFonts w:ascii="Calibri" w:hAnsi="Calibri"/>
                <w:color w:val="000000"/>
              </w:rPr>
            </w:pPr>
            <w:r>
              <w:rPr>
                <w:rFonts w:ascii="Calibri" w:hAnsi="Calibri"/>
                <w:color w:val="000000"/>
              </w:rPr>
              <w:t>22,6</w:t>
            </w:r>
          </w:p>
        </w:tc>
        <w:tc>
          <w:tcPr>
            <w:tcW w:w="1171" w:type="dxa"/>
            <w:noWrap/>
            <w:hideMark/>
          </w:tcPr>
          <w:p w:rsidR="007175F1" w:rsidRDefault="007175F1" w:rsidP="005F5D09">
            <w:pPr>
              <w:jc w:val="right"/>
              <w:cnfStyle w:val="000000100000"/>
              <w:rPr>
                <w:rFonts w:ascii="Calibri" w:hAnsi="Calibri"/>
                <w:color w:val="000000"/>
              </w:rPr>
            </w:pPr>
            <w:r>
              <w:rPr>
                <w:rFonts w:ascii="Calibri" w:hAnsi="Calibri"/>
                <w:color w:val="000000"/>
              </w:rPr>
              <w:t>23519340</w:t>
            </w:r>
          </w:p>
        </w:tc>
        <w:tc>
          <w:tcPr>
            <w:tcW w:w="1137" w:type="dxa"/>
            <w:noWrap/>
            <w:hideMark/>
          </w:tcPr>
          <w:p w:rsidR="007175F1" w:rsidRDefault="007175F1" w:rsidP="005F5D09">
            <w:pPr>
              <w:jc w:val="right"/>
              <w:cnfStyle w:val="000000100000"/>
              <w:rPr>
                <w:rFonts w:ascii="Calibri" w:hAnsi="Calibri"/>
                <w:color w:val="000000"/>
              </w:rPr>
            </w:pPr>
            <w:r>
              <w:rPr>
                <w:rFonts w:ascii="Calibri" w:hAnsi="Calibri"/>
                <w:color w:val="000000"/>
              </w:rPr>
              <w:t>4471639</w:t>
            </w:r>
          </w:p>
        </w:tc>
        <w:tc>
          <w:tcPr>
            <w:tcW w:w="1211" w:type="dxa"/>
            <w:hideMark/>
          </w:tcPr>
          <w:p w:rsidR="007175F1" w:rsidRDefault="007175F1" w:rsidP="005F5D09">
            <w:pPr>
              <w:jc w:val="right"/>
              <w:cnfStyle w:val="000000100000"/>
              <w:rPr>
                <w:rFonts w:ascii="Calibri" w:hAnsi="Calibri"/>
                <w:color w:val="000000"/>
              </w:rPr>
            </w:pPr>
            <w:r>
              <w:rPr>
                <w:rFonts w:ascii="Calibri" w:hAnsi="Calibri"/>
                <w:color w:val="000000"/>
              </w:rPr>
              <w:t>19</w:t>
            </w:r>
          </w:p>
        </w:tc>
      </w:tr>
      <w:tr w:rsidR="007175F1" w:rsidRPr="008E1466" w:rsidTr="005F5D09">
        <w:trPr>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Regiunea Centru</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2340984</w:t>
            </w:r>
          </w:p>
        </w:tc>
        <w:tc>
          <w:tcPr>
            <w:tcW w:w="997" w:type="dxa"/>
            <w:hideMark/>
          </w:tcPr>
          <w:p w:rsidR="007175F1" w:rsidRDefault="007175F1" w:rsidP="005F5D09">
            <w:pPr>
              <w:jc w:val="right"/>
              <w:cnfStyle w:val="000000000000"/>
              <w:rPr>
                <w:rFonts w:ascii="Calibri" w:hAnsi="Calibri"/>
                <w:color w:val="000000"/>
              </w:rPr>
            </w:pPr>
            <w:r>
              <w:rPr>
                <w:rFonts w:ascii="Calibri" w:hAnsi="Calibri"/>
                <w:color w:val="000000"/>
              </w:rPr>
              <w:t>430476</w:t>
            </w:r>
          </w:p>
        </w:tc>
        <w:tc>
          <w:tcPr>
            <w:tcW w:w="1156" w:type="dxa"/>
            <w:hideMark/>
          </w:tcPr>
          <w:p w:rsidR="007175F1" w:rsidRDefault="007175F1" w:rsidP="005F5D09">
            <w:pPr>
              <w:jc w:val="right"/>
              <w:cnfStyle w:val="000000000000"/>
              <w:rPr>
                <w:rFonts w:ascii="Calibri" w:hAnsi="Calibri"/>
                <w:color w:val="000000"/>
              </w:rPr>
            </w:pPr>
            <w:r>
              <w:rPr>
                <w:rFonts w:ascii="Calibri" w:hAnsi="Calibri"/>
                <w:color w:val="000000"/>
              </w:rPr>
              <w:t>18,4</w:t>
            </w:r>
          </w:p>
        </w:tc>
        <w:tc>
          <w:tcPr>
            <w:tcW w:w="1171" w:type="dxa"/>
            <w:noWrap/>
            <w:hideMark/>
          </w:tcPr>
          <w:p w:rsidR="007175F1" w:rsidRDefault="007175F1" w:rsidP="005F5D09">
            <w:pPr>
              <w:jc w:val="right"/>
              <w:cnfStyle w:val="000000000000"/>
              <w:rPr>
                <w:rFonts w:ascii="Calibri" w:hAnsi="Calibri"/>
                <w:color w:val="000000"/>
              </w:rPr>
            </w:pPr>
            <w:r>
              <w:rPr>
                <w:rFonts w:ascii="Calibri" w:hAnsi="Calibri"/>
                <w:color w:val="000000"/>
              </w:rPr>
              <w:t>5042039</w:t>
            </w:r>
          </w:p>
        </w:tc>
        <w:tc>
          <w:tcPr>
            <w:tcW w:w="1137" w:type="dxa"/>
            <w:noWrap/>
            <w:hideMark/>
          </w:tcPr>
          <w:p w:rsidR="007175F1" w:rsidRDefault="007175F1" w:rsidP="005F5D09">
            <w:pPr>
              <w:jc w:val="right"/>
              <w:cnfStyle w:val="000000000000"/>
              <w:rPr>
                <w:rFonts w:ascii="Calibri" w:hAnsi="Calibri"/>
                <w:color w:val="000000"/>
              </w:rPr>
            </w:pPr>
            <w:r>
              <w:rPr>
                <w:rFonts w:ascii="Calibri" w:hAnsi="Calibri"/>
                <w:color w:val="000000"/>
              </w:rPr>
              <w:t>919568</w:t>
            </w:r>
          </w:p>
        </w:tc>
        <w:tc>
          <w:tcPr>
            <w:tcW w:w="1211" w:type="dxa"/>
            <w:hideMark/>
          </w:tcPr>
          <w:p w:rsidR="007175F1" w:rsidRDefault="007175F1" w:rsidP="005F5D09">
            <w:pPr>
              <w:jc w:val="right"/>
              <w:cnfStyle w:val="000000000000"/>
              <w:rPr>
                <w:rFonts w:ascii="Calibri" w:hAnsi="Calibri"/>
                <w:color w:val="000000"/>
              </w:rPr>
            </w:pPr>
            <w:r>
              <w:rPr>
                <w:rFonts w:ascii="Calibri" w:hAnsi="Calibri"/>
                <w:color w:val="000000"/>
              </w:rPr>
              <w:t>18,2</w:t>
            </w:r>
          </w:p>
        </w:tc>
      </w:tr>
      <w:tr w:rsidR="007175F1" w:rsidRPr="008E1466" w:rsidTr="005F5D09">
        <w:trPr>
          <w:cnfStyle w:val="000000100000"/>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Alba</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154210</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21893</w:t>
            </w:r>
          </w:p>
        </w:tc>
        <w:tc>
          <w:tcPr>
            <w:tcW w:w="1156" w:type="dxa"/>
            <w:hideMark/>
          </w:tcPr>
          <w:p w:rsidR="007175F1" w:rsidRDefault="007175F1" w:rsidP="005F5D09">
            <w:pPr>
              <w:jc w:val="right"/>
              <w:cnfStyle w:val="000000100000"/>
              <w:rPr>
                <w:rFonts w:ascii="Calibri" w:hAnsi="Calibri"/>
                <w:color w:val="000000"/>
              </w:rPr>
            </w:pPr>
            <w:r>
              <w:rPr>
                <w:rFonts w:ascii="Calibri" w:hAnsi="Calibri"/>
                <w:color w:val="000000"/>
              </w:rPr>
              <w:t>14,2</w:t>
            </w:r>
          </w:p>
        </w:tc>
        <w:tc>
          <w:tcPr>
            <w:tcW w:w="1171" w:type="dxa"/>
            <w:noWrap/>
            <w:hideMark/>
          </w:tcPr>
          <w:p w:rsidR="007175F1" w:rsidRDefault="007175F1" w:rsidP="005F5D09">
            <w:pPr>
              <w:jc w:val="right"/>
              <w:cnfStyle w:val="000000100000"/>
              <w:rPr>
                <w:rFonts w:ascii="Calibri" w:hAnsi="Calibri"/>
                <w:color w:val="000000"/>
              </w:rPr>
            </w:pPr>
            <w:r>
              <w:rPr>
                <w:rFonts w:ascii="Calibri" w:hAnsi="Calibri"/>
                <w:color w:val="000000"/>
              </w:rPr>
              <w:t>312762</w:t>
            </w:r>
          </w:p>
        </w:tc>
        <w:tc>
          <w:tcPr>
            <w:tcW w:w="1137" w:type="dxa"/>
            <w:noWrap/>
            <w:hideMark/>
          </w:tcPr>
          <w:p w:rsidR="007175F1" w:rsidRDefault="007175F1" w:rsidP="005F5D09">
            <w:pPr>
              <w:jc w:val="right"/>
              <w:cnfStyle w:val="000000100000"/>
              <w:rPr>
                <w:rFonts w:ascii="Calibri" w:hAnsi="Calibri"/>
                <w:color w:val="000000"/>
              </w:rPr>
            </w:pPr>
            <w:r>
              <w:rPr>
                <w:rFonts w:ascii="Calibri" w:hAnsi="Calibri"/>
                <w:color w:val="000000"/>
              </w:rPr>
              <w:t>48113</w:t>
            </w:r>
          </w:p>
        </w:tc>
        <w:tc>
          <w:tcPr>
            <w:tcW w:w="1211" w:type="dxa"/>
            <w:hideMark/>
          </w:tcPr>
          <w:p w:rsidR="007175F1" w:rsidRDefault="007175F1" w:rsidP="005F5D09">
            <w:pPr>
              <w:jc w:val="right"/>
              <w:cnfStyle w:val="000000100000"/>
              <w:rPr>
                <w:rFonts w:ascii="Calibri" w:hAnsi="Calibri"/>
                <w:color w:val="000000"/>
              </w:rPr>
            </w:pPr>
            <w:r>
              <w:rPr>
                <w:rFonts w:ascii="Calibri" w:hAnsi="Calibri"/>
                <w:color w:val="000000"/>
              </w:rPr>
              <w:t>15,4</w:t>
            </w:r>
          </w:p>
        </w:tc>
      </w:tr>
      <w:tr w:rsidR="007175F1" w:rsidRPr="008E1466" w:rsidTr="005F5D09">
        <w:trPr>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Braşov</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997601</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158257</w:t>
            </w:r>
          </w:p>
        </w:tc>
        <w:tc>
          <w:tcPr>
            <w:tcW w:w="1156" w:type="dxa"/>
            <w:hideMark/>
          </w:tcPr>
          <w:p w:rsidR="007175F1" w:rsidRDefault="007175F1" w:rsidP="005F5D09">
            <w:pPr>
              <w:jc w:val="right"/>
              <w:cnfStyle w:val="000000000000"/>
              <w:rPr>
                <w:rFonts w:ascii="Calibri" w:hAnsi="Calibri"/>
                <w:color w:val="000000"/>
              </w:rPr>
            </w:pPr>
            <w:r>
              <w:rPr>
                <w:rFonts w:ascii="Calibri" w:hAnsi="Calibri"/>
                <w:color w:val="000000"/>
              </w:rPr>
              <w:t>15,9</w:t>
            </w:r>
          </w:p>
        </w:tc>
        <w:tc>
          <w:tcPr>
            <w:tcW w:w="1171" w:type="dxa"/>
            <w:noWrap/>
            <w:hideMark/>
          </w:tcPr>
          <w:p w:rsidR="007175F1" w:rsidRDefault="007175F1" w:rsidP="005F5D09">
            <w:pPr>
              <w:jc w:val="right"/>
              <w:cnfStyle w:val="000000000000"/>
              <w:rPr>
                <w:rFonts w:ascii="Calibri" w:hAnsi="Calibri"/>
                <w:color w:val="000000"/>
              </w:rPr>
            </w:pPr>
            <w:r>
              <w:rPr>
                <w:rFonts w:ascii="Calibri" w:hAnsi="Calibri"/>
                <w:color w:val="000000"/>
              </w:rPr>
              <w:t>2060959</w:t>
            </w:r>
          </w:p>
        </w:tc>
        <w:tc>
          <w:tcPr>
            <w:tcW w:w="1137" w:type="dxa"/>
            <w:noWrap/>
            <w:hideMark/>
          </w:tcPr>
          <w:p w:rsidR="007175F1" w:rsidRDefault="007175F1" w:rsidP="005F5D09">
            <w:pPr>
              <w:jc w:val="right"/>
              <w:cnfStyle w:val="000000000000"/>
              <w:rPr>
                <w:rFonts w:ascii="Calibri" w:hAnsi="Calibri"/>
                <w:color w:val="000000"/>
              </w:rPr>
            </w:pPr>
            <w:r>
              <w:rPr>
                <w:rFonts w:ascii="Calibri" w:hAnsi="Calibri"/>
                <w:color w:val="000000"/>
              </w:rPr>
              <w:t>336549</w:t>
            </w:r>
          </w:p>
        </w:tc>
        <w:tc>
          <w:tcPr>
            <w:tcW w:w="1211" w:type="dxa"/>
            <w:hideMark/>
          </w:tcPr>
          <w:p w:rsidR="007175F1" w:rsidRDefault="007175F1" w:rsidP="005F5D09">
            <w:pPr>
              <w:jc w:val="right"/>
              <w:cnfStyle w:val="000000000000"/>
              <w:rPr>
                <w:rFonts w:ascii="Calibri" w:hAnsi="Calibri"/>
                <w:color w:val="000000"/>
              </w:rPr>
            </w:pPr>
            <w:r>
              <w:rPr>
                <w:rFonts w:ascii="Calibri" w:hAnsi="Calibri"/>
                <w:color w:val="000000"/>
              </w:rPr>
              <w:t>16,3</w:t>
            </w:r>
          </w:p>
        </w:tc>
      </w:tr>
      <w:tr w:rsidR="007175F1" w:rsidRPr="008E1466" w:rsidTr="005F5D09">
        <w:trPr>
          <w:cnfStyle w:val="000000100000"/>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Covasna</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97422</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9736</w:t>
            </w:r>
          </w:p>
        </w:tc>
        <w:tc>
          <w:tcPr>
            <w:tcW w:w="1156" w:type="dxa"/>
            <w:hideMark/>
          </w:tcPr>
          <w:p w:rsidR="007175F1" w:rsidRDefault="007175F1" w:rsidP="005F5D09">
            <w:pPr>
              <w:jc w:val="right"/>
              <w:cnfStyle w:val="000000100000"/>
              <w:rPr>
                <w:rFonts w:ascii="Calibri" w:hAnsi="Calibri"/>
                <w:color w:val="000000"/>
              </w:rPr>
            </w:pPr>
            <w:r>
              <w:rPr>
                <w:rFonts w:ascii="Calibri" w:hAnsi="Calibri"/>
                <w:color w:val="000000"/>
              </w:rPr>
              <w:t xml:space="preserve">10  </w:t>
            </w:r>
          </w:p>
        </w:tc>
        <w:tc>
          <w:tcPr>
            <w:tcW w:w="1171" w:type="dxa"/>
            <w:noWrap/>
            <w:hideMark/>
          </w:tcPr>
          <w:p w:rsidR="007175F1" w:rsidRDefault="007175F1" w:rsidP="005F5D09">
            <w:pPr>
              <w:jc w:val="right"/>
              <w:cnfStyle w:val="000000100000"/>
              <w:rPr>
                <w:rFonts w:ascii="Calibri" w:hAnsi="Calibri"/>
                <w:color w:val="000000"/>
              </w:rPr>
            </w:pPr>
            <w:r>
              <w:rPr>
                <w:rFonts w:ascii="Calibri" w:hAnsi="Calibri"/>
                <w:color w:val="000000"/>
              </w:rPr>
              <w:t>481600</w:t>
            </w:r>
          </w:p>
        </w:tc>
        <w:tc>
          <w:tcPr>
            <w:tcW w:w="1137" w:type="dxa"/>
            <w:noWrap/>
            <w:hideMark/>
          </w:tcPr>
          <w:p w:rsidR="007175F1" w:rsidRDefault="007175F1" w:rsidP="005F5D09">
            <w:pPr>
              <w:jc w:val="right"/>
              <w:cnfStyle w:val="000000100000"/>
              <w:rPr>
                <w:rFonts w:ascii="Calibri" w:hAnsi="Calibri"/>
                <w:color w:val="000000"/>
              </w:rPr>
            </w:pPr>
            <w:r>
              <w:rPr>
                <w:rFonts w:ascii="Calibri" w:hAnsi="Calibri"/>
                <w:color w:val="000000"/>
              </w:rPr>
              <w:t>32372</w:t>
            </w:r>
          </w:p>
        </w:tc>
        <w:tc>
          <w:tcPr>
            <w:tcW w:w="1211" w:type="dxa"/>
            <w:hideMark/>
          </w:tcPr>
          <w:p w:rsidR="007175F1" w:rsidRDefault="007175F1" w:rsidP="005F5D09">
            <w:pPr>
              <w:jc w:val="right"/>
              <w:cnfStyle w:val="000000100000"/>
              <w:rPr>
                <w:rFonts w:ascii="Calibri" w:hAnsi="Calibri"/>
                <w:color w:val="000000"/>
              </w:rPr>
            </w:pPr>
            <w:r>
              <w:rPr>
                <w:rFonts w:ascii="Calibri" w:hAnsi="Calibri"/>
                <w:color w:val="000000"/>
              </w:rPr>
              <w:t>6,7</w:t>
            </w:r>
          </w:p>
        </w:tc>
      </w:tr>
      <w:tr w:rsidR="007175F1" w:rsidRPr="008E1466" w:rsidTr="005F5D09">
        <w:trPr>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Harghita</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157659</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38029</w:t>
            </w:r>
          </w:p>
        </w:tc>
        <w:tc>
          <w:tcPr>
            <w:tcW w:w="1156" w:type="dxa"/>
            <w:hideMark/>
          </w:tcPr>
          <w:p w:rsidR="007175F1" w:rsidRDefault="007175F1" w:rsidP="005F5D09">
            <w:pPr>
              <w:jc w:val="right"/>
              <w:cnfStyle w:val="000000000000"/>
              <w:rPr>
                <w:rFonts w:ascii="Calibri" w:hAnsi="Calibri"/>
                <w:color w:val="000000"/>
              </w:rPr>
            </w:pPr>
            <w:r>
              <w:rPr>
                <w:rFonts w:ascii="Calibri" w:hAnsi="Calibri"/>
                <w:color w:val="000000"/>
              </w:rPr>
              <w:t>24,1</w:t>
            </w:r>
          </w:p>
        </w:tc>
        <w:tc>
          <w:tcPr>
            <w:tcW w:w="1171" w:type="dxa"/>
            <w:noWrap/>
            <w:hideMark/>
          </w:tcPr>
          <w:p w:rsidR="007175F1" w:rsidRDefault="007175F1" w:rsidP="005F5D09">
            <w:pPr>
              <w:jc w:val="right"/>
              <w:cnfStyle w:val="000000000000"/>
              <w:rPr>
                <w:rFonts w:ascii="Calibri" w:hAnsi="Calibri"/>
                <w:color w:val="000000"/>
              </w:rPr>
            </w:pPr>
            <w:r>
              <w:rPr>
                <w:rFonts w:ascii="Calibri" w:hAnsi="Calibri"/>
                <w:color w:val="000000"/>
              </w:rPr>
              <w:t>417129</w:t>
            </w:r>
          </w:p>
        </w:tc>
        <w:tc>
          <w:tcPr>
            <w:tcW w:w="1137" w:type="dxa"/>
            <w:noWrap/>
            <w:hideMark/>
          </w:tcPr>
          <w:p w:rsidR="007175F1" w:rsidRDefault="007175F1" w:rsidP="005F5D09">
            <w:pPr>
              <w:jc w:val="right"/>
              <w:cnfStyle w:val="000000000000"/>
              <w:rPr>
                <w:rFonts w:ascii="Calibri" w:hAnsi="Calibri"/>
                <w:color w:val="000000"/>
              </w:rPr>
            </w:pPr>
            <w:r>
              <w:rPr>
                <w:rFonts w:ascii="Calibri" w:hAnsi="Calibri"/>
                <w:color w:val="000000"/>
              </w:rPr>
              <w:t>93770</w:t>
            </w:r>
          </w:p>
        </w:tc>
        <w:tc>
          <w:tcPr>
            <w:tcW w:w="1211" w:type="dxa"/>
            <w:hideMark/>
          </w:tcPr>
          <w:p w:rsidR="007175F1" w:rsidRDefault="007175F1" w:rsidP="005F5D09">
            <w:pPr>
              <w:jc w:val="right"/>
              <w:cnfStyle w:val="000000000000"/>
              <w:rPr>
                <w:rFonts w:ascii="Calibri" w:hAnsi="Calibri"/>
                <w:color w:val="000000"/>
              </w:rPr>
            </w:pPr>
            <w:r>
              <w:rPr>
                <w:rFonts w:ascii="Calibri" w:hAnsi="Calibri"/>
                <w:color w:val="000000"/>
              </w:rPr>
              <w:t>22,5</w:t>
            </w:r>
          </w:p>
        </w:tc>
      </w:tr>
      <w:tr w:rsidR="007175F1" w:rsidRPr="008E1466" w:rsidTr="005F5D09">
        <w:trPr>
          <w:cnfStyle w:val="000000100000"/>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Mureş</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495481</w:t>
            </w:r>
          </w:p>
        </w:tc>
        <w:tc>
          <w:tcPr>
            <w:tcW w:w="997" w:type="dxa"/>
            <w:noWrap/>
            <w:hideMark/>
          </w:tcPr>
          <w:p w:rsidR="007175F1" w:rsidRDefault="007175F1" w:rsidP="005F5D09">
            <w:pPr>
              <w:jc w:val="right"/>
              <w:cnfStyle w:val="000000100000"/>
              <w:rPr>
                <w:rFonts w:ascii="Calibri" w:hAnsi="Calibri"/>
                <w:color w:val="000000"/>
              </w:rPr>
            </w:pPr>
            <w:r>
              <w:rPr>
                <w:rFonts w:ascii="Calibri" w:hAnsi="Calibri"/>
                <w:color w:val="000000"/>
              </w:rPr>
              <w:t>92021</w:t>
            </w:r>
          </w:p>
        </w:tc>
        <w:tc>
          <w:tcPr>
            <w:tcW w:w="1156" w:type="dxa"/>
            <w:hideMark/>
          </w:tcPr>
          <w:p w:rsidR="007175F1" w:rsidRDefault="007175F1" w:rsidP="005F5D09">
            <w:pPr>
              <w:jc w:val="right"/>
              <w:cnfStyle w:val="000000100000"/>
              <w:rPr>
                <w:rFonts w:ascii="Calibri" w:hAnsi="Calibri"/>
                <w:color w:val="000000"/>
              </w:rPr>
            </w:pPr>
            <w:r>
              <w:rPr>
                <w:rFonts w:ascii="Calibri" w:hAnsi="Calibri"/>
                <w:color w:val="000000"/>
              </w:rPr>
              <w:t>18,6</w:t>
            </w:r>
          </w:p>
        </w:tc>
        <w:tc>
          <w:tcPr>
            <w:tcW w:w="1171" w:type="dxa"/>
            <w:noWrap/>
            <w:hideMark/>
          </w:tcPr>
          <w:p w:rsidR="007175F1" w:rsidRDefault="007175F1" w:rsidP="005F5D09">
            <w:pPr>
              <w:jc w:val="right"/>
              <w:cnfStyle w:val="000000100000"/>
              <w:rPr>
                <w:rFonts w:ascii="Calibri" w:hAnsi="Calibri"/>
                <w:color w:val="000000"/>
              </w:rPr>
            </w:pPr>
            <w:r>
              <w:rPr>
                <w:rFonts w:ascii="Calibri" w:hAnsi="Calibri"/>
                <w:color w:val="000000"/>
              </w:rPr>
              <w:t>1028643</w:t>
            </w:r>
          </w:p>
        </w:tc>
        <w:tc>
          <w:tcPr>
            <w:tcW w:w="1137" w:type="dxa"/>
            <w:noWrap/>
            <w:hideMark/>
          </w:tcPr>
          <w:p w:rsidR="007175F1" w:rsidRDefault="007175F1" w:rsidP="005F5D09">
            <w:pPr>
              <w:jc w:val="right"/>
              <w:cnfStyle w:val="000000100000"/>
              <w:rPr>
                <w:rFonts w:ascii="Calibri" w:hAnsi="Calibri"/>
                <w:color w:val="000000"/>
              </w:rPr>
            </w:pPr>
            <w:r>
              <w:rPr>
                <w:rFonts w:ascii="Calibri" w:hAnsi="Calibri"/>
                <w:color w:val="000000"/>
              </w:rPr>
              <w:t>216096</w:t>
            </w:r>
          </w:p>
        </w:tc>
        <w:tc>
          <w:tcPr>
            <w:tcW w:w="1211" w:type="dxa"/>
            <w:hideMark/>
          </w:tcPr>
          <w:p w:rsidR="007175F1" w:rsidRDefault="007175F1" w:rsidP="005F5D09">
            <w:pPr>
              <w:jc w:val="right"/>
              <w:cnfStyle w:val="000000100000"/>
              <w:rPr>
                <w:rFonts w:ascii="Calibri" w:hAnsi="Calibri"/>
                <w:color w:val="000000"/>
              </w:rPr>
            </w:pPr>
            <w:r>
              <w:rPr>
                <w:rFonts w:ascii="Calibri" w:hAnsi="Calibri"/>
                <w:color w:val="000000"/>
              </w:rPr>
              <w:t>21</w:t>
            </w:r>
          </w:p>
        </w:tc>
      </w:tr>
      <w:tr w:rsidR="007175F1" w:rsidRPr="008E1466" w:rsidTr="005F5D09">
        <w:trPr>
          <w:trHeight w:val="300"/>
        </w:trPr>
        <w:tc>
          <w:tcPr>
            <w:cnfStyle w:val="001000000000"/>
            <w:tcW w:w="1963" w:type="dxa"/>
            <w:hideMark/>
          </w:tcPr>
          <w:p w:rsidR="007175F1" w:rsidRPr="000D78BD" w:rsidRDefault="007175F1" w:rsidP="005F5D09">
            <w:pPr>
              <w:rPr>
                <w:rFonts w:ascii="Calibri" w:eastAsia="Times New Roman" w:hAnsi="Calibri" w:cs="Times New Roman"/>
                <w:b/>
                <w:lang w:val="ro-RO"/>
              </w:rPr>
            </w:pPr>
            <w:r w:rsidRPr="000D78BD">
              <w:rPr>
                <w:rFonts w:ascii="Calibri" w:eastAsia="Times New Roman" w:hAnsi="Calibri" w:cs="Times New Roman"/>
                <w:b/>
                <w:lang w:val="ro-RO"/>
              </w:rPr>
              <w:t>Sibiu</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438611</w:t>
            </w:r>
          </w:p>
        </w:tc>
        <w:tc>
          <w:tcPr>
            <w:tcW w:w="997" w:type="dxa"/>
            <w:noWrap/>
            <w:hideMark/>
          </w:tcPr>
          <w:p w:rsidR="007175F1" w:rsidRDefault="007175F1" w:rsidP="005F5D09">
            <w:pPr>
              <w:jc w:val="right"/>
              <w:cnfStyle w:val="000000000000"/>
              <w:rPr>
                <w:rFonts w:ascii="Calibri" w:hAnsi="Calibri"/>
                <w:color w:val="000000"/>
              </w:rPr>
            </w:pPr>
            <w:r>
              <w:rPr>
                <w:rFonts w:ascii="Calibri" w:hAnsi="Calibri"/>
                <w:color w:val="000000"/>
              </w:rPr>
              <w:t>110540</w:t>
            </w:r>
          </w:p>
        </w:tc>
        <w:tc>
          <w:tcPr>
            <w:tcW w:w="1156" w:type="dxa"/>
            <w:hideMark/>
          </w:tcPr>
          <w:p w:rsidR="007175F1" w:rsidRDefault="007175F1" w:rsidP="005F5D09">
            <w:pPr>
              <w:jc w:val="right"/>
              <w:cnfStyle w:val="000000000000"/>
              <w:rPr>
                <w:rFonts w:ascii="Calibri" w:hAnsi="Calibri"/>
                <w:color w:val="000000"/>
              </w:rPr>
            </w:pPr>
            <w:r>
              <w:rPr>
                <w:rFonts w:ascii="Calibri" w:hAnsi="Calibri"/>
                <w:color w:val="000000"/>
              </w:rPr>
              <w:t>25,2</w:t>
            </w:r>
          </w:p>
        </w:tc>
        <w:tc>
          <w:tcPr>
            <w:tcW w:w="1171" w:type="dxa"/>
            <w:noWrap/>
            <w:hideMark/>
          </w:tcPr>
          <w:p w:rsidR="007175F1" w:rsidRDefault="007175F1" w:rsidP="005F5D09">
            <w:pPr>
              <w:jc w:val="right"/>
              <w:cnfStyle w:val="000000000000"/>
              <w:rPr>
                <w:rFonts w:ascii="Calibri" w:hAnsi="Calibri"/>
                <w:color w:val="000000"/>
              </w:rPr>
            </w:pPr>
            <w:r>
              <w:rPr>
                <w:rFonts w:ascii="Calibri" w:hAnsi="Calibri"/>
                <w:color w:val="000000"/>
              </w:rPr>
              <w:t>740946</w:t>
            </w:r>
          </w:p>
        </w:tc>
        <w:tc>
          <w:tcPr>
            <w:tcW w:w="1137" w:type="dxa"/>
            <w:noWrap/>
            <w:hideMark/>
          </w:tcPr>
          <w:p w:rsidR="007175F1" w:rsidRDefault="007175F1" w:rsidP="005F5D09">
            <w:pPr>
              <w:jc w:val="right"/>
              <w:cnfStyle w:val="000000000000"/>
              <w:rPr>
                <w:rFonts w:ascii="Calibri" w:hAnsi="Calibri"/>
                <w:color w:val="000000"/>
              </w:rPr>
            </w:pPr>
            <w:r>
              <w:rPr>
                <w:rFonts w:ascii="Calibri" w:hAnsi="Calibri"/>
                <w:color w:val="000000"/>
              </w:rPr>
              <w:t>192668</w:t>
            </w:r>
          </w:p>
        </w:tc>
        <w:tc>
          <w:tcPr>
            <w:tcW w:w="1211" w:type="dxa"/>
            <w:hideMark/>
          </w:tcPr>
          <w:p w:rsidR="007175F1" w:rsidRDefault="007175F1" w:rsidP="005F5D09">
            <w:pPr>
              <w:jc w:val="right"/>
              <w:cnfStyle w:val="000000000000"/>
              <w:rPr>
                <w:rFonts w:ascii="Calibri" w:hAnsi="Calibri"/>
                <w:color w:val="000000"/>
              </w:rPr>
            </w:pPr>
            <w:r>
              <w:rPr>
                <w:rFonts w:ascii="Calibri" w:hAnsi="Calibri"/>
                <w:color w:val="000000"/>
              </w:rPr>
              <w:t>26</w:t>
            </w:r>
          </w:p>
        </w:tc>
      </w:tr>
    </w:tbl>
    <w:p w:rsidR="007175F1" w:rsidRDefault="007175F1" w:rsidP="007175F1">
      <w:pPr>
        <w:jc w:val="both"/>
        <w:rPr>
          <w:lang w:val="ro-RO"/>
        </w:rPr>
      </w:pPr>
      <w:r w:rsidRPr="00307DC9">
        <w:rPr>
          <w:b/>
          <w:lang w:val="ro-RO"/>
        </w:rPr>
        <w:t>Sursa:</w:t>
      </w:r>
      <w:r w:rsidRPr="00307DC9">
        <w:rPr>
          <w:lang w:val="ro-RO"/>
        </w:rPr>
        <w:t xml:space="preserve"> Institutul Național de Statistică</w:t>
      </w:r>
    </w:p>
    <w:p w:rsidR="007175F1" w:rsidRDefault="007175F1" w:rsidP="007175F1">
      <w:pPr>
        <w:jc w:val="both"/>
        <w:rPr>
          <w:rFonts w:cstheme="minorHAnsi"/>
          <w:sz w:val="24"/>
          <w:szCs w:val="24"/>
          <w:lang w:val="ro-RO"/>
        </w:rPr>
      </w:pPr>
      <w:r w:rsidRPr="009B33B9">
        <w:rPr>
          <w:rFonts w:cstheme="minorHAnsi"/>
          <w:sz w:val="24"/>
          <w:szCs w:val="24"/>
          <w:lang w:val="ro-RO"/>
        </w:rPr>
        <w:t>Durata medie a sejurului</w:t>
      </w:r>
      <w:r w:rsidRPr="009B33B9">
        <w:rPr>
          <w:rStyle w:val="Referinnotdesubsol"/>
          <w:rFonts w:cstheme="minorHAnsi"/>
          <w:sz w:val="24"/>
          <w:szCs w:val="24"/>
        </w:rPr>
        <w:footnoteReference w:id="122"/>
      </w:r>
      <w:r w:rsidRPr="009B33B9">
        <w:rPr>
          <w:rFonts w:cstheme="minorHAnsi"/>
          <w:sz w:val="24"/>
          <w:szCs w:val="24"/>
          <w:lang w:val="ro-RO"/>
        </w:rPr>
        <w:t xml:space="preserve"> turiştilor în regiune în 201</w:t>
      </w:r>
      <w:r>
        <w:rPr>
          <w:rFonts w:cstheme="minorHAnsi"/>
          <w:sz w:val="24"/>
          <w:szCs w:val="24"/>
          <w:lang w:val="ro-RO"/>
        </w:rPr>
        <w:t>5</w:t>
      </w:r>
      <w:r w:rsidRPr="009B33B9">
        <w:rPr>
          <w:rFonts w:cstheme="minorHAnsi"/>
          <w:sz w:val="24"/>
          <w:szCs w:val="24"/>
          <w:lang w:val="ro-RO"/>
        </w:rPr>
        <w:t>, de 2,2 zile, este mai redusă decât la nivel naţional (2,4 zile), înregistrându-se diferenţe notabile între judeţe. Astfel, în judeţul Sibiu dura</w:t>
      </w:r>
      <w:r>
        <w:rPr>
          <w:rFonts w:cstheme="minorHAnsi"/>
          <w:sz w:val="24"/>
          <w:szCs w:val="24"/>
          <w:lang w:val="ro-RO"/>
        </w:rPr>
        <w:t>ta medie a şederii a fost de 1,7</w:t>
      </w:r>
      <w:r w:rsidRPr="009B33B9">
        <w:rPr>
          <w:rFonts w:cstheme="minorHAnsi"/>
          <w:sz w:val="24"/>
          <w:szCs w:val="24"/>
          <w:lang w:val="ro-RO"/>
        </w:rPr>
        <w:t xml:space="preserve"> zile, în timp ce în Covasna, judeţ cu un turism predominant balnear, valoare</w:t>
      </w:r>
      <w:r>
        <w:rPr>
          <w:rFonts w:cstheme="minorHAnsi"/>
          <w:sz w:val="24"/>
          <w:szCs w:val="24"/>
          <w:lang w:val="ro-RO"/>
        </w:rPr>
        <w:t>a acestui indicator a fost de 5</w:t>
      </w:r>
      <w:r w:rsidRPr="009B33B9">
        <w:rPr>
          <w:rFonts w:cstheme="minorHAnsi"/>
          <w:sz w:val="24"/>
          <w:szCs w:val="24"/>
          <w:lang w:val="ro-RO"/>
        </w:rPr>
        <w:t xml:space="preserve"> zile. </w:t>
      </w:r>
    </w:p>
    <w:p w:rsidR="007175F1" w:rsidRDefault="007175F1" w:rsidP="007175F1">
      <w:pPr>
        <w:jc w:val="both"/>
        <w:rPr>
          <w:rFonts w:cstheme="minorHAnsi"/>
          <w:sz w:val="24"/>
          <w:szCs w:val="24"/>
          <w:lang w:val="ro-RO"/>
        </w:rPr>
      </w:pPr>
    </w:p>
    <w:p w:rsidR="007175F1" w:rsidRDefault="007175F1" w:rsidP="007175F1">
      <w:pPr>
        <w:jc w:val="both"/>
        <w:rPr>
          <w:rFonts w:cstheme="minorHAnsi"/>
          <w:sz w:val="24"/>
          <w:szCs w:val="24"/>
          <w:lang w:val="ro-RO"/>
        </w:rPr>
      </w:pPr>
    </w:p>
    <w:p w:rsidR="007175F1" w:rsidRDefault="007175F1" w:rsidP="007175F1">
      <w:pPr>
        <w:spacing w:after="0"/>
        <w:jc w:val="both"/>
        <w:rPr>
          <w:b/>
          <w:sz w:val="24"/>
          <w:szCs w:val="24"/>
          <w:lang w:val="ro-RO"/>
        </w:rPr>
      </w:pPr>
    </w:p>
    <w:p w:rsidR="007175F1" w:rsidRDefault="007175F1" w:rsidP="007175F1">
      <w:pPr>
        <w:spacing w:after="0"/>
        <w:jc w:val="both"/>
        <w:rPr>
          <w:b/>
          <w:bCs/>
          <w:lang w:val="ro-RO"/>
        </w:rPr>
      </w:pPr>
      <w:r w:rsidRPr="007B4896">
        <w:rPr>
          <w:b/>
          <w:sz w:val="24"/>
          <w:szCs w:val="24"/>
          <w:lang w:val="ro-RO"/>
        </w:rPr>
        <w:lastRenderedPageBreak/>
        <w:t xml:space="preserve">Grafic </w:t>
      </w:r>
      <w:r>
        <w:rPr>
          <w:b/>
          <w:sz w:val="24"/>
          <w:szCs w:val="24"/>
          <w:lang w:val="ro-RO"/>
        </w:rPr>
        <w:t>6</w:t>
      </w:r>
      <w:r w:rsidRPr="007B4896">
        <w:rPr>
          <w:b/>
          <w:sz w:val="24"/>
          <w:szCs w:val="24"/>
          <w:lang w:val="ro-RO"/>
        </w:rPr>
        <w:t xml:space="preserve">. </w:t>
      </w:r>
      <w:r w:rsidRPr="007B4896">
        <w:rPr>
          <w:b/>
          <w:bCs/>
          <w:sz w:val="24"/>
          <w:szCs w:val="24"/>
          <w:lang w:val="ro-RO"/>
        </w:rPr>
        <w:t>Durata medie a sejurului</w:t>
      </w:r>
    </w:p>
    <w:p w:rsidR="007175F1" w:rsidRPr="00497055" w:rsidRDefault="007175F1" w:rsidP="007175F1">
      <w:pPr>
        <w:spacing w:after="0"/>
        <w:jc w:val="both"/>
        <w:rPr>
          <w:b/>
          <w:lang w:val="ro-RO"/>
        </w:rPr>
      </w:pPr>
      <w:r w:rsidRPr="000D78BD">
        <w:rPr>
          <w:b/>
          <w:noProof/>
        </w:rPr>
        <w:drawing>
          <wp:inline distT="0" distB="0" distL="0" distR="0">
            <wp:extent cx="5286375" cy="2819400"/>
            <wp:effectExtent l="19050" t="0" r="9525" b="0"/>
            <wp:docPr id="14"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175F1" w:rsidRDefault="007175F1" w:rsidP="007175F1">
      <w:pPr>
        <w:jc w:val="both"/>
        <w:rPr>
          <w:sz w:val="24"/>
          <w:szCs w:val="24"/>
          <w:lang w:val="ro-RO"/>
        </w:rPr>
      </w:pPr>
      <w:r w:rsidRPr="009B33B9">
        <w:rPr>
          <w:b/>
          <w:sz w:val="24"/>
          <w:szCs w:val="24"/>
          <w:lang w:val="ro-RO"/>
        </w:rPr>
        <w:t>Sursa:</w:t>
      </w:r>
      <w:r w:rsidRPr="009B33B9">
        <w:rPr>
          <w:sz w:val="24"/>
          <w:szCs w:val="24"/>
          <w:lang w:val="ro-RO"/>
        </w:rPr>
        <w:t xml:space="preserve"> date prelucrate după Institutul Național de Statistică</w:t>
      </w:r>
    </w:p>
    <w:p w:rsidR="007175F1" w:rsidRDefault="007175F1" w:rsidP="007175F1">
      <w:pPr>
        <w:jc w:val="both"/>
        <w:rPr>
          <w:rFonts w:cstheme="minorHAnsi"/>
          <w:sz w:val="24"/>
          <w:szCs w:val="24"/>
          <w:lang w:val="ro-RO"/>
        </w:rPr>
      </w:pPr>
      <w:r>
        <w:rPr>
          <w:rFonts w:cstheme="minorHAnsi"/>
          <w:sz w:val="24"/>
          <w:szCs w:val="24"/>
          <w:lang w:val="ro-RO"/>
        </w:rPr>
        <w:t>În ceea ce priveşte capacitatea de cazare turistică şi f</w:t>
      </w:r>
      <w:r w:rsidRPr="00D12760">
        <w:rPr>
          <w:rFonts w:cstheme="minorHAnsi"/>
          <w:sz w:val="24"/>
          <w:szCs w:val="24"/>
          <w:lang w:val="ro-RO"/>
        </w:rPr>
        <w:t>luxul de turişti din staţiunile balneare ale Regiunii Centru</w:t>
      </w:r>
      <w:r>
        <w:rPr>
          <w:rFonts w:cstheme="minorHAnsi"/>
          <w:sz w:val="24"/>
          <w:szCs w:val="24"/>
          <w:lang w:val="ro-RO"/>
        </w:rPr>
        <w:t xml:space="preserve"> se vor lua în calcul unităţile de cazare şi turiştii din:</w:t>
      </w:r>
    </w:p>
    <w:p w:rsidR="007175F1" w:rsidRPr="0008761E" w:rsidRDefault="007175F1" w:rsidP="007175F1">
      <w:pPr>
        <w:pStyle w:val="Listparagraf"/>
        <w:numPr>
          <w:ilvl w:val="0"/>
          <w:numId w:val="85"/>
        </w:numPr>
        <w:jc w:val="both"/>
        <w:rPr>
          <w:rFonts w:cstheme="minorHAnsi"/>
          <w:sz w:val="24"/>
          <w:szCs w:val="24"/>
        </w:rPr>
      </w:pPr>
      <w:r w:rsidRPr="0008761E">
        <w:rPr>
          <w:rFonts w:cstheme="minorHAnsi"/>
          <w:sz w:val="24"/>
          <w:szCs w:val="24"/>
        </w:rPr>
        <w:t>Predeal deoarece localităţile Pârâul Rece şi Timişul de Sus aparţin de acest oraş,</w:t>
      </w:r>
    </w:p>
    <w:p w:rsidR="007175F1" w:rsidRPr="0008761E" w:rsidRDefault="007175F1" w:rsidP="007175F1">
      <w:pPr>
        <w:pStyle w:val="Listparagraf"/>
        <w:numPr>
          <w:ilvl w:val="0"/>
          <w:numId w:val="85"/>
        </w:numPr>
        <w:jc w:val="both"/>
        <w:rPr>
          <w:rFonts w:cstheme="minorHAnsi"/>
          <w:sz w:val="24"/>
          <w:szCs w:val="24"/>
        </w:rPr>
      </w:pPr>
      <w:r w:rsidRPr="0008761E">
        <w:rPr>
          <w:rFonts w:cstheme="minorHAnsi"/>
          <w:sz w:val="24"/>
          <w:szCs w:val="24"/>
        </w:rPr>
        <w:t>Vlăhiţa deoarece Băile Homorod aparţin de acest oraş,</w:t>
      </w:r>
    </w:p>
    <w:p w:rsidR="007175F1" w:rsidRPr="0008761E" w:rsidRDefault="007175F1" w:rsidP="007175F1">
      <w:pPr>
        <w:pStyle w:val="Listparagraf"/>
        <w:numPr>
          <w:ilvl w:val="0"/>
          <w:numId w:val="85"/>
        </w:numPr>
        <w:jc w:val="both"/>
        <w:rPr>
          <w:rFonts w:cstheme="minorHAnsi"/>
          <w:sz w:val="24"/>
          <w:szCs w:val="24"/>
        </w:rPr>
      </w:pPr>
      <w:r w:rsidRPr="0008761E">
        <w:rPr>
          <w:rFonts w:cstheme="minorHAnsi"/>
          <w:sz w:val="24"/>
          <w:szCs w:val="24"/>
        </w:rPr>
        <w:t xml:space="preserve">Miercurea – Ciuc deoarece staţiunea Harghita Băi aparţine de acest municipiu, </w:t>
      </w:r>
    </w:p>
    <w:p w:rsidR="007175F1" w:rsidRPr="0008761E" w:rsidRDefault="007175F1" w:rsidP="007175F1">
      <w:pPr>
        <w:pStyle w:val="Listparagraf"/>
        <w:numPr>
          <w:ilvl w:val="0"/>
          <w:numId w:val="85"/>
        </w:numPr>
        <w:jc w:val="both"/>
        <w:rPr>
          <w:rFonts w:cstheme="minorHAnsi"/>
          <w:sz w:val="24"/>
          <w:szCs w:val="24"/>
        </w:rPr>
      </w:pPr>
      <w:r w:rsidRPr="0008761E">
        <w:rPr>
          <w:rFonts w:cstheme="minorHAnsi"/>
          <w:sz w:val="24"/>
          <w:szCs w:val="24"/>
        </w:rPr>
        <w:t xml:space="preserve">Voşlăbeni deoarece staţiunea Izvorul Mureşului aparţine de această comună, </w:t>
      </w:r>
    </w:p>
    <w:p w:rsidR="007175F1" w:rsidRDefault="007175F1" w:rsidP="007175F1">
      <w:pPr>
        <w:pStyle w:val="Listparagraf"/>
        <w:numPr>
          <w:ilvl w:val="0"/>
          <w:numId w:val="85"/>
        </w:numPr>
        <w:jc w:val="both"/>
        <w:rPr>
          <w:rFonts w:cstheme="minorHAnsi"/>
          <w:sz w:val="24"/>
          <w:szCs w:val="24"/>
        </w:rPr>
      </w:pPr>
      <w:r w:rsidRPr="0008761E">
        <w:rPr>
          <w:rFonts w:cstheme="minorHAnsi"/>
          <w:sz w:val="24"/>
          <w:szCs w:val="24"/>
        </w:rPr>
        <w:t>Gheorgheni deoarece Lacul Roşu aparţine de acest municipiu</w:t>
      </w:r>
      <w:r>
        <w:rPr>
          <w:rFonts w:cstheme="minorHAnsi"/>
          <w:sz w:val="24"/>
          <w:szCs w:val="24"/>
        </w:rPr>
        <w:t>,</w:t>
      </w:r>
    </w:p>
    <w:p w:rsidR="007175F1" w:rsidRDefault="007175F1" w:rsidP="007175F1">
      <w:pPr>
        <w:pStyle w:val="Listparagraf"/>
        <w:numPr>
          <w:ilvl w:val="0"/>
          <w:numId w:val="85"/>
        </w:numPr>
        <w:jc w:val="both"/>
        <w:rPr>
          <w:rFonts w:cstheme="minorHAnsi"/>
          <w:sz w:val="24"/>
          <w:szCs w:val="24"/>
        </w:rPr>
      </w:pPr>
      <w:r w:rsidRPr="0008761E">
        <w:rPr>
          <w:rFonts w:cstheme="minorHAnsi"/>
          <w:sz w:val="24"/>
          <w:szCs w:val="24"/>
        </w:rPr>
        <w:t xml:space="preserve">Turia deoarece </w:t>
      </w:r>
      <w:r w:rsidRPr="0008761E">
        <w:rPr>
          <w:rFonts w:eastAsia="Times New Roman" w:cs="Times New Roman"/>
          <w:sz w:val="24"/>
          <w:szCs w:val="24"/>
          <w:lang w:eastAsia="ar-SA"/>
        </w:rPr>
        <w:t>Balvanyos aparţine de această comună.</w:t>
      </w:r>
      <w:r w:rsidRPr="0008761E">
        <w:rPr>
          <w:rFonts w:cstheme="minorHAnsi"/>
          <w:sz w:val="24"/>
          <w:szCs w:val="24"/>
        </w:rPr>
        <w:t xml:space="preserve">  </w:t>
      </w:r>
    </w:p>
    <w:p w:rsidR="007175F1" w:rsidRDefault="007175F1" w:rsidP="007175F1">
      <w:pPr>
        <w:jc w:val="both"/>
        <w:rPr>
          <w:rFonts w:cstheme="minorHAnsi"/>
          <w:sz w:val="24"/>
          <w:szCs w:val="24"/>
          <w:lang w:val="ro-RO"/>
        </w:rPr>
      </w:pPr>
      <w:r>
        <w:rPr>
          <w:rFonts w:cstheme="minorHAnsi"/>
          <w:sz w:val="24"/>
          <w:szCs w:val="24"/>
          <w:lang w:val="ro-RO"/>
        </w:rPr>
        <w:t>Indicatorul capacitatea de cazare turistică</w:t>
      </w:r>
      <w:r w:rsidRPr="00F817EC">
        <w:t xml:space="preserve"> </w:t>
      </w:r>
      <w:r w:rsidRPr="00F817EC">
        <w:rPr>
          <w:rFonts w:cstheme="minorHAnsi"/>
          <w:sz w:val="24"/>
          <w:szCs w:val="24"/>
          <w:lang w:val="ro-RO"/>
        </w:rPr>
        <w:t>în funcţiune</w:t>
      </w:r>
      <w:r>
        <w:rPr>
          <w:rFonts w:cstheme="minorHAnsi"/>
          <w:sz w:val="24"/>
          <w:szCs w:val="24"/>
          <w:lang w:val="ro-RO"/>
        </w:rPr>
        <w:t xml:space="preserve"> din tabelul următor este exprimat locuri-zile</w:t>
      </w:r>
      <w:r w:rsidRPr="00F817EC">
        <w:rPr>
          <w:rFonts w:cstheme="minorHAnsi"/>
          <w:sz w:val="24"/>
          <w:szCs w:val="24"/>
          <w:lang w:val="ro-RO"/>
        </w:rPr>
        <w:t xml:space="preserve"> </w:t>
      </w:r>
      <w:r>
        <w:rPr>
          <w:rFonts w:cstheme="minorHAnsi"/>
          <w:sz w:val="24"/>
          <w:szCs w:val="24"/>
          <w:lang w:val="ro-RO"/>
        </w:rPr>
        <w:t>şi reprezintă numă</w:t>
      </w:r>
      <w:r w:rsidRPr="00F817EC">
        <w:rPr>
          <w:rFonts w:cstheme="minorHAnsi"/>
          <w:sz w:val="24"/>
          <w:szCs w:val="24"/>
          <w:lang w:val="ro-RO"/>
        </w:rPr>
        <w:t>rul de l</w:t>
      </w:r>
      <w:r>
        <w:rPr>
          <w:rFonts w:cstheme="minorHAnsi"/>
          <w:sz w:val="24"/>
          <w:szCs w:val="24"/>
          <w:lang w:val="ro-RO"/>
        </w:rPr>
        <w:t>ocuri de cazare puse la dispoziţia turiştilor de către unităţile de cazare turistică, ţinând cont de numă</w:t>
      </w:r>
      <w:r w:rsidRPr="00F817EC">
        <w:rPr>
          <w:rFonts w:cstheme="minorHAnsi"/>
          <w:sz w:val="24"/>
          <w:szCs w:val="24"/>
          <w:lang w:val="ro-RO"/>
        </w:rPr>
        <w:t xml:space="preserve">rul de zile </w:t>
      </w:r>
      <w:r>
        <w:rPr>
          <w:rFonts w:cstheme="minorHAnsi"/>
          <w:sz w:val="24"/>
          <w:szCs w:val="24"/>
          <w:lang w:val="ro-RO"/>
        </w:rPr>
        <w:t>cat sunt deschise unităţile în perioada considerată</w:t>
      </w:r>
      <w:r w:rsidRPr="00F817EC">
        <w:rPr>
          <w:rFonts w:cstheme="minorHAnsi"/>
          <w:sz w:val="24"/>
          <w:szCs w:val="24"/>
          <w:lang w:val="ro-RO"/>
        </w:rPr>
        <w:t>.</w:t>
      </w:r>
    </w:p>
    <w:p w:rsidR="007175F1" w:rsidRDefault="007175F1" w:rsidP="007175F1">
      <w:pPr>
        <w:jc w:val="both"/>
        <w:rPr>
          <w:sz w:val="24"/>
          <w:szCs w:val="24"/>
          <w:lang w:val="ro-RO"/>
        </w:rPr>
      </w:pPr>
      <w:r>
        <w:rPr>
          <w:rFonts w:cstheme="minorHAnsi"/>
          <w:sz w:val="24"/>
          <w:szCs w:val="24"/>
          <w:lang w:val="ro-RO"/>
        </w:rPr>
        <w:t xml:space="preserve">Pentru localităţile Covasna, Băile Tuşnad, Vlăhiţa, Voşlăbeni, Ideciu de Jos şi Bazna capacitatea de cazare </w:t>
      </w:r>
      <w:r w:rsidRPr="00DA2C1C">
        <w:rPr>
          <w:rFonts w:cstheme="minorHAnsi"/>
          <w:sz w:val="24"/>
          <w:szCs w:val="24"/>
          <w:lang w:val="ro-RO"/>
        </w:rPr>
        <w:t xml:space="preserve">turistică </w:t>
      </w:r>
      <w:r w:rsidRPr="00DA2C1C">
        <w:rPr>
          <w:sz w:val="24"/>
          <w:szCs w:val="24"/>
          <w:lang w:val="ro-RO"/>
        </w:rPr>
        <w:t>în funcţiune</w:t>
      </w:r>
      <w:r>
        <w:rPr>
          <w:sz w:val="24"/>
          <w:szCs w:val="24"/>
          <w:lang w:val="ro-RO"/>
        </w:rPr>
        <w:t xml:space="preserve"> a scăzut în ultimii 15 ani, toate celelalte staţiuni balneare din Regiunea Centru şi-au mărit </w:t>
      </w:r>
      <w:r>
        <w:rPr>
          <w:rFonts w:cstheme="minorHAnsi"/>
          <w:sz w:val="24"/>
          <w:szCs w:val="24"/>
          <w:lang w:val="ro-RO"/>
        </w:rPr>
        <w:t xml:space="preserve">capacitatea de cazare </w:t>
      </w:r>
      <w:r w:rsidRPr="00DA2C1C">
        <w:rPr>
          <w:rFonts w:cstheme="minorHAnsi"/>
          <w:sz w:val="24"/>
          <w:szCs w:val="24"/>
          <w:lang w:val="ro-RO"/>
        </w:rPr>
        <w:t xml:space="preserve">turistică </w:t>
      </w:r>
      <w:r w:rsidRPr="00DA2C1C">
        <w:rPr>
          <w:sz w:val="24"/>
          <w:szCs w:val="24"/>
          <w:lang w:val="ro-RO"/>
        </w:rPr>
        <w:t>în funcţiune</w:t>
      </w:r>
      <w:r>
        <w:rPr>
          <w:sz w:val="24"/>
          <w:szCs w:val="24"/>
          <w:lang w:val="ro-RO"/>
        </w:rPr>
        <w:t xml:space="preserve"> în perioada 2001-2015.</w:t>
      </w: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Pr="00777440" w:rsidRDefault="007175F1" w:rsidP="007175F1">
      <w:pPr>
        <w:spacing w:after="0"/>
        <w:jc w:val="center"/>
        <w:rPr>
          <w:b/>
          <w:sz w:val="24"/>
          <w:szCs w:val="24"/>
          <w:lang w:val="ro-RO"/>
        </w:rPr>
      </w:pPr>
      <w:r>
        <w:rPr>
          <w:b/>
          <w:sz w:val="24"/>
          <w:szCs w:val="24"/>
          <w:lang w:val="ro-RO"/>
        </w:rPr>
        <w:lastRenderedPageBreak/>
        <w:t>Tabel 4 Capacitatea de cazare turistică în funcţiune din staţiunile balneare ale Regiunii Centru în perioada 2001 – 2015</w:t>
      </w:r>
      <w:r>
        <w:rPr>
          <w:b/>
          <w:sz w:val="24"/>
          <w:szCs w:val="24"/>
          <w:lang w:val="ro-RO"/>
        </w:rPr>
        <w:tab/>
      </w:r>
      <w:r>
        <w:rPr>
          <w:b/>
          <w:sz w:val="24"/>
          <w:szCs w:val="24"/>
          <w:lang w:val="ro-RO"/>
        </w:rPr>
        <w:tab/>
      </w:r>
      <w:r>
        <w:rPr>
          <w:b/>
          <w:sz w:val="24"/>
          <w:szCs w:val="24"/>
          <w:lang w:val="ro-RO"/>
        </w:rPr>
        <w:tab/>
      </w:r>
      <w:r>
        <w:rPr>
          <w:b/>
          <w:sz w:val="24"/>
          <w:szCs w:val="24"/>
          <w:lang w:val="ro-RO"/>
        </w:rPr>
        <w:tab/>
      </w:r>
      <w:r>
        <w:rPr>
          <w:b/>
          <w:sz w:val="24"/>
          <w:szCs w:val="24"/>
          <w:lang w:val="ro-RO"/>
        </w:rPr>
        <w:tab/>
      </w:r>
      <w:r>
        <w:rPr>
          <w:b/>
          <w:sz w:val="24"/>
          <w:szCs w:val="24"/>
          <w:lang w:val="ro-RO"/>
        </w:rPr>
        <w:tab/>
      </w:r>
      <w:r>
        <w:rPr>
          <w:rFonts w:cstheme="minorHAnsi"/>
          <w:b/>
          <w:lang w:val="ro-RO"/>
        </w:rPr>
        <w:t xml:space="preserve">UM: </w:t>
      </w:r>
      <w:r w:rsidRPr="00CA3D84">
        <w:rPr>
          <w:rFonts w:cstheme="minorHAnsi"/>
          <w:b/>
          <w:lang w:val="ro-RO"/>
        </w:rPr>
        <w:t xml:space="preserve"> </w:t>
      </w:r>
      <w:r>
        <w:rPr>
          <w:rFonts w:cstheme="minorHAnsi"/>
          <w:b/>
          <w:lang w:val="ro-RO"/>
        </w:rPr>
        <w:t>locuri-zile</w:t>
      </w:r>
    </w:p>
    <w:tbl>
      <w:tblPr>
        <w:tblStyle w:val="Umbriremedie2-Accentuare5"/>
        <w:tblW w:w="8369" w:type="dxa"/>
        <w:jc w:val="center"/>
        <w:tblLook w:val="04A0"/>
      </w:tblPr>
      <w:tblGrid>
        <w:gridCol w:w="1080"/>
        <w:gridCol w:w="2147"/>
        <w:gridCol w:w="1260"/>
        <w:gridCol w:w="1182"/>
        <w:gridCol w:w="1350"/>
        <w:gridCol w:w="1350"/>
      </w:tblGrid>
      <w:tr w:rsidR="007175F1" w:rsidRPr="00843177" w:rsidTr="005F5D09">
        <w:trPr>
          <w:cnfStyle w:val="100000000000"/>
          <w:trHeight w:val="315"/>
          <w:jc w:val="center"/>
        </w:trPr>
        <w:tc>
          <w:tcPr>
            <w:cnfStyle w:val="001000000100"/>
            <w:tcW w:w="1080" w:type="dxa"/>
            <w:noWrap/>
            <w:hideMark/>
          </w:tcPr>
          <w:p w:rsidR="007175F1" w:rsidRPr="00843177" w:rsidRDefault="007175F1" w:rsidP="005F5D09">
            <w:pPr>
              <w:rPr>
                <w:rFonts w:ascii="Calibri" w:eastAsia="Times New Roman" w:hAnsi="Calibri" w:cs="Times New Roman"/>
                <w:color w:val="000000"/>
                <w:lang w:val="ro-RO"/>
              </w:rPr>
            </w:pPr>
            <w:r w:rsidRPr="00843177">
              <w:rPr>
                <w:rFonts w:ascii="Calibri" w:eastAsia="Times New Roman" w:hAnsi="Calibri" w:cs="Times New Roman"/>
                <w:color w:val="000000"/>
                <w:lang w:val="ro-RO"/>
              </w:rPr>
              <w:t>Judeţe</w:t>
            </w:r>
          </w:p>
        </w:tc>
        <w:tc>
          <w:tcPr>
            <w:tcW w:w="2147" w:type="dxa"/>
            <w:noWrap/>
            <w:hideMark/>
          </w:tcPr>
          <w:p w:rsidR="007175F1" w:rsidRPr="00843177" w:rsidRDefault="007175F1" w:rsidP="005F5D09">
            <w:pPr>
              <w:cnfStyle w:val="1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Localităţi</w:t>
            </w:r>
          </w:p>
        </w:tc>
        <w:tc>
          <w:tcPr>
            <w:tcW w:w="1260" w:type="dxa"/>
            <w:noWrap/>
            <w:hideMark/>
          </w:tcPr>
          <w:p w:rsidR="007175F1" w:rsidRPr="00843177" w:rsidRDefault="007175F1" w:rsidP="005F5D09">
            <w:pPr>
              <w:jc w:val="center"/>
              <w:cnfStyle w:val="1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Anul 2001</w:t>
            </w:r>
          </w:p>
        </w:tc>
        <w:tc>
          <w:tcPr>
            <w:tcW w:w="1182" w:type="dxa"/>
            <w:noWrap/>
            <w:hideMark/>
          </w:tcPr>
          <w:p w:rsidR="007175F1" w:rsidRPr="00843177" w:rsidRDefault="007175F1" w:rsidP="005F5D09">
            <w:pPr>
              <w:jc w:val="center"/>
              <w:cnfStyle w:val="1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Anul 2005</w:t>
            </w:r>
          </w:p>
        </w:tc>
        <w:tc>
          <w:tcPr>
            <w:tcW w:w="1350" w:type="dxa"/>
            <w:noWrap/>
            <w:hideMark/>
          </w:tcPr>
          <w:p w:rsidR="007175F1" w:rsidRPr="00843177" w:rsidRDefault="007175F1" w:rsidP="005F5D09">
            <w:pPr>
              <w:jc w:val="center"/>
              <w:cnfStyle w:val="1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Anul 2010</w:t>
            </w:r>
          </w:p>
        </w:tc>
        <w:tc>
          <w:tcPr>
            <w:tcW w:w="1350" w:type="dxa"/>
            <w:noWrap/>
            <w:hideMark/>
          </w:tcPr>
          <w:p w:rsidR="007175F1" w:rsidRPr="00843177" w:rsidRDefault="007175F1" w:rsidP="005F5D09">
            <w:pPr>
              <w:jc w:val="center"/>
              <w:cnfStyle w:val="1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Anul 2015</w:t>
            </w:r>
          </w:p>
        </w:tc>
      </w:tr>
      <w:tr w:rsidR="007175F1" w:rsidRPr="00843177" w:rsidTr="005F5D09">
        <w:trPr>
          <w:cnfStyle w:val="000000100000"/>
          <w:trHeight w:val="269"/>
          <w:jc w:val="center"/>
        </w:trPr>
        <w:tc>
          <w:tcPr>
            <w:cnfStyle w:val="001000000000"/>
            <w:tcW w:w="1080" w:type="dxa"/>
            <w:vMerge w:val="restart"/>
            <w:noWrap/>
            <w:hideMark/>
          </w:tcPr>
          <w:p w:rsidR="007175F1" w:rsidRPr="00843177" w:rsidRDefault="007175F1" w:rsidP="005F5D09">
            <w:pPr>
              <w:rPr>
                <w:rFonts w:ascii="Calibri" w:eastAsia="Times New Roman" w:hAnsi="Calibri" w:cs="Times New Roman"/>
                <w:color w:val="000000"/>
                <w:lang w:val="ro-RO"/>
              </w:rPr>
            </w:pPr>
            <w:r w:rsidRPr="00843177">
              <w:rPr>
                <w:rFonts w:ascii="Calibri" w:eastAsia="Times New Roman" w:hAnsi="Calibri" w:cs="Times New Roman"/>
                <w:color w:val="000000"/>
                <w:lang w:val="ro-RO"/>
              </w:rPr>
              <w:t>Braşov</w:t>
            </w: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Total</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3670286</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4219468</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5341618</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9514304</w:t>
            </w:r>
          </w:p>
        </w:tc>
      </w:tr>
      <w:tr w:rsidR="007175F1" w:rsidRPr="00843177" w:rsidTr="005F5D09">
        <w:trPr>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Predeal</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1431623</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1239401</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1208169</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1734690</w:t>
            </w:r>
          </w:p>
        </w:tc>
      </w:tr>
      <w:tr w:rsidR="007175F1" w:rsidRPr="00843177" w:rsidTr="005F5D09">
        <w:trPr>
          <w:cnfStyle w:val="000000100000"/>
          <w:trHeight w:val="269"/>
          <w:jc w:val="center"/>
        </w:trPr>
        <w:tc>
          <w:tcPr>
            <w:cnfStyle w:val="001000000000"/>
            <w:tcW w:w="1080" w:type="dxa"/>
            <w:vMerge w:val="restart"/>
            <w:noWrap/>
            <w:hideMark/>
          </w:tcPr>
          <w:p w:rsidR="007175F1" w:rsidRPr="00843177" w:rsidRDefault="007175F1" w:rsidP="005F5D09">
            <w:pPr>
              <w:rPr>
                <w:rFonts w:ascii="Calibri" w:eastAsia="Times New Roman" w:hAnsi="Calibri" w:cs="Times New Roman"/>
                <w:color w:val="000000"/>
                <w:lang w:val="ro-RO"/>
              </w:rPr>
            </w:pPr>
            <w:r w:rsidRPr="00843177">
              <w:rPr>
                <w:rFonts w:ascii="Calibri" w:eastAsia="Times New Roman" w:hAnsi="Calibri" w:cs="Times New Roman"/>
                <w:color w:val="000000"/>
                <w:lang w:val="ro-RO"/>
              </w:rPr>
              <w:t>Covasna</w:t>
            </w: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Total</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1041983</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976886</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962646</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1369566</w:t>
            </w:r>
          </w:p>
        </w:tc>
      </w:tr>
      <w:tr w:rsidR="007175F1" w:rsidRPr="00843177" w:rsidTr="005F5D09">
        <w:trPr>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Covasna</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733109</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716197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584787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665638</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Turia</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56563</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12314</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66040</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124810</w:t>
            </w:r>
          </w:p>
        </w:tc>
      </w:tr>
      <w:tr w:rsidR="007175F1" w:rsidRPr="00843177" w:rsidTr="005F5D09">
        <w:trPr>
          <w:trHeight w:val="269"/>
          <w:jc w:val="center"/>
        </w:trPr>
        <w:tc>
          <w:tcPr>
            <w:cnfStyle w:val="001000000000"/>
            <w:tcW w:w="1080" w:type="dxa"/>
            <w:vMerge w:val="restart"/>
            <w:noWrap/>
            <w:hideMark/>
          </w:tcPr>
          <w:p w:rsidR="007175F1" w:rsidRPr="00843177" w:rsidRDefault="007175F1" w:rsidP="005F5D09">
            <w:pPr>
              <w:rPr>
                <w:rFonts w:ascii="Calibri" w:eastAsia="Times New Roman" w:hAnsi="Calibri" w:cs="Times New Roman"/>
                <w:color w:val="000000"/>
                <w:lang w:val="ro-RO"/>
              </w:rPr>
            </w:pPr>
            <w:r w:rsidRPr="00843177">
              <w:rPr>
                <w:rFonts w:ascii="Calibri" w:eastAsia="Times New Roman" w:hAnsi="Calibri" w:cs="Times New Roman"/>
                <w:color w:val="000000"/>
                <w:lang w:val="ro-RO"/>
              </w:rPr>
              <w:t>Harghita</w:t>
            </w: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Total</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1655282</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1130792</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952047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2102799</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Miercurea Ciuc</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208227</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259125</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279248</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342629</w:t>
            </w:r>
          </w:p>
        </w:tc>
      </w:tr>
      <w:tr w:rsidR="007175F1" w:rsidRPr="00843177" w:rsidTr="005F5D09">
        <w:trPr>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Gheorgheni</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87626</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109633</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115925</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284414</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Băile Tuşnad</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454773</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301576</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133702</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377361</w:t>
            </w:r>
          </w:p>
        </w:tc>
      </w:tr>
      <w:tr w:rsidR="007175F1" w:rsidRPr="00843177" w:rsidTr="005F5D09">
        <w:trPr>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Borsec</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86830</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5547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48727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104341</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Vlăhiţa</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313361</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59533</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54670</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84414</w:t>
            </w:r>
          </w:p>
        </w:tc>
      </w:tr>
      <w:tr w:rsidR="007175F1" w:rsidRPr="00843177" w:rsidTr="005F5D09">
        <w:trPr>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Praid</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37575</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36398</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43349</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190277</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Voşlăbeni</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88539</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84282</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77224</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36875</w:t>
            </w:r>
          </w:p>
        </w:tc>
      </w:tr>
      <w:tr w:rsidR="007175F1" w:rsidRPr="00843177" w:rsidTr="005F5D09">
        <w:trPr>
          <w:trHeight w:val="269"/>
          <w:jc w:val="center"/>
        </w:trPr>
        <w:tc>
          <w:tcPr>
            <w:cnfStyle w:val="001000000000"/>
            <w:tcW w:w="1080" w:type="dxa"/>
            <w:vMerge w:val="restart"/>
            <w:noWrap/>
            <w:hideMark/>
          </w:tcPr>
          <w:p w:rsidR="007175F1" w:rsidRPr="00843177" w:rsidRDefault="007175F1" w:rsidP="005F5D09">
            <w:pPr>
              <w:rPr>
                <w:rFonts w:ascii="Calibri" w:eastAsia="Times New Roman" w:hAnsi="Calibri" w:cs="Times New Roman"/>
                <w:color w:val="000000"/>
                <w:lang w:val="ro-RO"/>
              </w:rPr>
            </w:pPr>
            <w:r w:rsidRPr="00843177">
              <w:rPr>
                <w:rFonts w:ascii="Calibri" w:eastAsia="Times New Roman" w:hAnsi="Calibri" w:cs="Times New Roman"/>
                <w:color w:val="000000"/>
                <w:lang w:val="ro-RO"/>
              </w:rPr>
              <w:t>Mureş</w:t>
            </w: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Total</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1355129</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1570361</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1770246</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2999259</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Sovata</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716978</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716814</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736472</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848398</w:t>
            </w:r>
          </w:p>
        </w:tc>
      </w:tr>
      <w:tr w:rsidR="007175F1" w:rsidRPr="00843177" w:rsidTr="005F5D09">
        <w:trPr>
          <w:trHeight w:val="269"/>
          <w:jc w:val="center"/>
        </w:trPr>
        <w:tc>
          <w:tcPr>
            <w:cnfStyle w:val="001000000000"/>
            <w:tcW w:w="1080" w:type="dxa"/>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CA3D84" w:rsidRDefault="007175F1" w:rsidP="005F5D09">
            <w:pPr>
              <w:jc w:val="both"/>
              <w:cnfStyle w:val="000000000000"/>
              <w:rPr>
                <w:rFonts w:ascii="Calibri" w:eastAsia="Times New Roman" w:hAnsi="Calibri" w:cs="Times New Roman"/>
                <w:color w:val="000000"/>
                <w:lang w:val="ro-RO"/>
              </w:rPr>
            </w:pPr>
            <w:r>
              <w:rPr>
                <w:rFonts w:ascii="Calibri" w:eastAsia="Times New Roman" w:hAnsi="Calibri" w:cs="Times New Roman"/>
                <w:color w:val="000000"/>
                <w:lang w:val="ro-RO"/>
              </w:rPr>
              <w:t>Sîngeorgiu de M</w:t>
            </w:r>
            <w:r w:rsidRPr="00864ACC">
              <w:rPr>
                <w:rFonts w:ascii="Calibri" w:eastAsia="Times New Roman" w:hAnsi="Calibri" w:cs="Times New Roman"/>
                <w:color w:val="000000"/>
                <w:lang w:val="ro-RO"/>
              </w:rPr>
              <w:t>ure</w:t>
            </w:r>
            <w:r>
              <w:rPr>
                <w:rFonts w:ascii="Calibri" w:eastAsia="Times New Roman" w:hAnsi="Calibri" w:cs="Times New Roman"/>
                <w:color w:val="000000"/>
                <w:lang w:val="ro-RO"/>
              </w:rPr>
              <w:t>ş</w:t>
            </w:r>
          </w:p>
        </w:tc>
        <w:tc>
          <w:tcPr>
            <w:tcW w:w="1260" w:type="dxa"/>
            <w:noWrap/>
            <w:hideMark/>
          </w:tcPr>
          <w:p w:rsidR="007175F1" w:rsidRPr="00A1716F" w:rsidRDefault="007175F1" w:rsidP="005F5D09">
            <w:pPr>
              <w:cnfStyle w:val="000000000000"/>
              <w:rPr>
                <w:color w:val="000000"/>
              </w:rPr>
            </w:pPr>
            <w:r w:rsidRPr="00A1716F">
              <w:rPr>
                <w:color w:val="000000"/>
              </w:rPr>
              <w:t>32760</w:t>
            </w:r>
          </w:p>
        </w:tc>
        <w:tc>
          <w:tcPr>
            <w:tcW w:w="1182" w:type="dxa"/>
            <w:noWrap/>
            <w:hideMark/>
          </w:tcPr>
          <w:p w:rsidR="007175F1" w:rsidRPr="00A1716F" w:rsidRDefault="007175F1" w:rsidP="005F5D09">
            <w:pPr>
              <w:cnfStyle w:val="000000000000"/>
              <w:rPr>
                <w:color w:val="000000"/>
              </w:rPr>
            </w:pPr>
            <w:r w:rsidRPr="00A1716F">
              <w:rPr>
                <w:color w:val="000000"/>
              </w:rPr>
              <w:t>17060</w:t>
            </w:r>
          </w:p>
        </w:tc>
        <w:tc>
          <w:tcPr>
            <w:tcW w:w="1350" w:type="dxa"/>
            <w:noWrap/>
            <w:hideMark/>
          </w:tcPr>
          <w:p w:rsidR="007175F1" w:rsidRPr="00A1716F" w:rsidRDefault="007175F1" w:rsidP="005F5D09">
            <w:pPr>
              <w:cnfStyle w:val="000000000000"/>
              <w:rPr>
                <w:color w:val="000000"/>
              </w:rPr>
            </w:pPr>
            <w:r w:rsidRPr="00A1716F">
              <w:rPr>
                <w:color w:val="000000"/>
              </w:rPr>
              <w:t>58888</w:t>
            </w:r>
          </w:p>
        </w:tc>
        <w:tc>
          <w:tcPr>
            <w:tcW w:w="1350" w:type="dxa"/>
            <w:noWrap/>
            <w:hideMark/>
          </w:tcPr>
          <w:p w:rsidR="007175F1" w:rsidRPr="00A1716F" w:rsidRDefault="007175F1" w:rsidP="005F5D09">
            <w:pPr>
              <w:cnfStyle w:val="000000000000"/>
              <w:rPr>
                <w:color w:val="000000"/>
              </w:rPr>
            </w:pPr>
            <w:r w:rsidRPr="00A1716F">
              <w:rPr>
                <w:color w:val="000000"/>
              </w:rPr>
              <w:t>70810</w:t>
            </w:r>
          </w:p>
        </w:tc>
      </w:tr>
      <w:tr w:rsidR="007175F1" w:rsidRPr="00843177" w:rsidTr="005F5D09">
        <w:trPr>
          <w:cnfStyle w:val="000000100000"/>
          <w:trHeight w:val="269"/>
          <w:jc w:val="center"/>
        </w:trPr>
        <w:tc>
          <w:tcPr>
            <w:cnfStyle w:val="001000000000"/>
            <w:tcW w:w="1080" w:type="dxa"/>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CA3D84" w:rsidRDefault="007175F1" w:rsidP="005F5D09">
            <w:pPr>
              <w:jc w:val="both"/>
              <w:cnfStyle w:val="000000100000"/>
              <w:rPr>
                <w:rFonts w:ascii="Calibri" w:eastAsia="Times New Roman" w:hAnsi="Calibri" w:cs="Times New Roman"/>
                <w:color w:val="000000"/>
                <w:lang w:val="ro-RO"/>
              </w:rPr>
            </w:pPr>
            <w:r>
              <w:rPr>
                <w:rFonts w:ascii="Calibri" w:eastAsia="Times New Roman" w:hAnsi="Calibri" w:cs="Times New Roman"/>
                <w:color w:val="000000"/>
                <w:lang w:val="ro-RO"/>
              </w:rPr>
              <w:t>Ideciu de J</w:t>
            </w:r>
            <w:r w:rsidRPr="00864ACC">
              <w:rPr>
                <w:rFonts w:ascii="Calibri" w:eastAsia="Times New Roman" w:hAnsi="Calibri" w:cs="Times New Roman"/>
                <w:color w:val="000000"/>
                <w:lang w:val="ro-RO"/>
              </w:rPr>
              <w:t>os</w:t>
            </w:r>
          </w:p>
        </w:tc>
        <w:tc>
          <w:tcPr>
            <w:tcW w:w="1260" w:type="dxa"/>
            <w:noWrap/>
            <w:hideMark/>
          </w:tcPr>
          <w:p w:rsidR="007175F1" w:rsidRPr="00A1716F" w:rsidRDefault="007175F1" w:rsidP="005F5D09">
            <w:pPr>
              <w:cnfStyle w:val="000000100000"/>
              <w:rPr>
                <w:color w:val="000000"/>
              </w:rPr>
            </w:pPr>
            <w:r>
              <w:rPr>
                <w:color w:val="000000"/>
              </w:rPr>
              <w:t>-</w:t>
            </w:r>
          </w:p>
        </w:tc>
        <w:tc>
          <w:tcPr>
            <w:tcW w:w="1182" w:type="dxa"/>
            <w:noWrap/>
            <w:hideMark/>
          </w:tcPr>
          <w:p w:rsidR="007175F1" w:rsidRPr="00A1716F" w:rsidRDefault="007175F1" w:rsidP="005F5D09">
            <w:pPr>
              <w:cnfStyle w:val="000000100000"/>
              <w:rPr>
                <w:color w:val="000000"/>
              </w:rPr>
            </w:pPr>
            <w:r w:rsidRPr="00A1716F">
              <w:rPr>
                <w:color w:val="000000"/>
              </w:rPr>
              <w:t>4380</w:t>
            </w:r>
          </w:p>
        </w:tc>
        <w:tc>
          <w:tcPr>
            <w:tcW w:w="1350" w:type="dxa"/>
            <w:noWrap/>
            <w:hideMark/>
          </w:tcPr>
          <w:p w:rsidR="007175F1" w:rsidRPr="00A1716F" w:rsidRDefault="007175F1" w:rsidP="005F5D09">
            <w:pPr>
              <w:cnfStyle w:val="000000100000"/>
              <w:rPr>
                <w:color w:val="000000"/>
              </w:rPr>
            </w:pPr>
            <w:r w:rsidRPr="00A1716F">
              <w:rPr>
                <w:color w:val="000000"/>
              </w:rPr>
              <w:t>5472</w:t>
            </w:r>
          </w:p>
        </w:tc>
        <w:tc>
          <w:tcPr>
            <w:tcW w:w="1350" w:type="dxa"/>
            <w:noWrap/>
            <w:hideMark/>
          </w:tcPr>
          <w:p w:rsidR="007175F1" w:rsidRPr="00A1716F" w:rsidRDefault="007175F1" w:rsidP="005F5D09">
            <w:pPr>
              <w:cnfStyle w:val="000000100000"/>
              <w:rPr>
                <w:color w:val="000000"/>
              </w:rPr>
            </w:pPr>
            <w:r w:rsidRPr="00A1716F">
              <w:rPr>
                <w:color w:val="000000"/>
              </w:rPr>
              <w:t>2136</w:t>
            </w:r>
          </w:p>
        </w:tc>
      </w:tr>
      <w:tr w:rsidR="007175F1" w:rsidRPr="00843177" w:rsidTr="005F5D09">
        <w:trPr>
          <w:trHeight w:val="269"/>
          <w:jc w:val="center"/>
        </w:trPr>
        <w:tc>
          <w:tcPr>
            <w:cnfStyle w:val="001000000000"/>
            <w:tcW w:w="1080" w:type="dxa"/>
            <w:vMerge w:val="restart"/>
            <w:noWrap/>
            <w:hideMark/>
          </w:tcPr>
          <w:p w:rsidR="007175F1" w:rsidRPr="00843177" w:rsidRDefault="007175F1" w:rsidP="005F5D09">
            <w:pPr>
              <w:rPr>
                <w:rFonts w:ascii="Calibri" w:eastAsia="Times New Roman" w:hAnsi="Calibri" w:cs="Times New Roman"/>
                <w:color w:val="000000"/>
                <w:lang w:val="ro-RO"/>
              </w:rPr>
            </w:pPr>
            <w:r w:rsidRPr="00843177">
              <w:rPr>
                <w:rFonts w:ascii="Calibri" w:eastAsia="Times New Roman" w:hAnsi="Calibri" w:cs="Times New Roman"/>
                <w:color w:val="000000"/>
                <w:lang w:val="ro-RO"/>
              </w:rPr>
              <w:t>Sibiu</w:t>
            </w: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Total</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972877</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1162782</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2018557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2421732</w:t>
            </w:r>
          </w:p>
        </w:tc>
      </w:tr>
      <w:tr w:rsidR="007175F1" w:rsidRPr="00843177" w:rsidTr="005F5D09">
        <w:trPr>
          <w:cnfStyle w:val="000000100000"/>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Ocna Sibiului</w:t>
            </w:r>
          </w:p>
        </w:tc>
        <w:tc>
          <w:tcPr>
            <w:tcW w:w="126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22867</w:t>
            </w:r>
          </w:p>
        </w:tc>
        <w:tc>
          <w:tcPr>
            <w:tcW w:w="1182"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27161</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69723</w:t>
            </w:r>
          </w:p>
        </w:tc>
        <w:tc>
          <w:tcPr>
            <w:tcW w:w="1350" w:type="dxa"/>
            <w:noWrap/>
            <w:hideMark/>
          </w:tcPr>
          <w:p w:rsidR="007175F1" w:rsidRPr="00843177" w:rsidRDefault="007175F1" w:rsidP="005F5D09">
            <w:pPr>
              <w:cnfStyle w:val="000000100000"/>
              <w:rPr>
                <w:rFonts w:ascii="Calibri" w:eastAsia="Times New Roman" w:hAnsi="Calibri" w:cs="Times New Roman"/>
                <w:color w:val="000000"/>
                <w:lang w:val="ro-RO"/>
              </w:rPr>
            </w:pPr>
            <w:r w:rsidRPr="00843177">
              <w:rPr>
                <w:rFonts w:ascii="Calibri" w:eastAsia="Times New Roman" w:hAnsi="Calibri" w:cs="Times New Roman"/>
                <w:color w:val="000000"/>
                <w:lang w:val="ro-RO"/>
              </w:rPr>
              <w:t>55806</w:t>
            </w:r>
          </w:p>
        </w:tc>
      </w:tr>
      <w:tr w:rsidR="007175F1" w:rsidRPr="00843177" w:rsidTr="005F5D09">
        <w:trPr>
          <w:trHeight w:val="269"/>
          <w:jc w:val="center"/>
        </w:trPr>
        <w:tc>
          <w:tcPr>
            <w:cnfStyle w:val="001000000000"/>
            <w:tcW w:w="1080" w:type="dxa"/>
            <w:vMerge/>
            <w:noWrap/>
            <w:hideMark/>
          </w:tcPr>
          <w:p w:rsidR="007175F1" w:rsidRPr="00843177" w:rsidRDefault="007175F1" w:rsidP="005F5D09">
            <w:pPr>
              <w:rPr>
                <w:rFonts w:ascii="Calibri" w:eastAsia="Times New Roman" w:hAnsi="Calibri" w:cs="Times New Roman"/>
                <w:color w:val="000000"/>
                <w:lang w:val="ro-RO"/>
              </w:rPr>
            </w:pPr>
          </w:p>
        </w:tc>
        <w:tc>
          <w:tcPr>
            <w:tcW w:w="2147"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Bazna</w:t>
            </w:r>
          </w:p>
        </w:tc>
        <w:tc>
          <w:tcPr>
            <w:tcW w:w="126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49512</w:t>
            </w:r>
          </w:p>
        </w:tc>
        <w:tc>
          <w:tcPr>
            <w:tcW w:w="1182"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94547</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90688</w:t>
            </w:r>
          </w:p>
        </w:tc>
        <w:tc>
          <w:tcPr>
            <w:tcW w:w="1350" w:type="dxa"/>
            <w:noWrap/>
            <w:hideMark/>
          </w:tcPr>
          <w:p w:rsidR="007175F1" w:rsidRPr="00843177" w:rsidRDefault="007175F1" w:rsidP="005F5D09">
            <w:pPr>
              <w:cnfStyle w:val="000000000000"/>
              <w:rPr>
                <w:rFonts w:ascii="Calibri" w:eastAsia="Times New Roman" w:hAnsi="Calibri" w:cs="Times New Roman"/>
                <w:color w:val="000000"/>
                <w:lang w:val="ro-RO"/>
              </w:rPr>
            </w:pPr>
            <w:r w:rsidRPr="00843177">
              <w:rPr>
                <w:rFonts w:ascii="Calibri" w:eastAsia="Times New Roman" w:hAnsi="Calibri" w:cs="Times New Roman"/>
                <w:color w:val="000000"/>
                <w:lang w:val="ro-RO"/>
              </w:rPr>
              <w:t>44311</w:t>
            </w:r>
          </w:p>
        </w:tc>
      </w:tr>
    </w:tbl>
    <w:p w:rsidR="007175F1" w:rsidRDefault="007175F1" w:rsidP="007175F1">
      <w:pPr>
        <w:jc w:val="both"/>
        <w:rPr>
          <w:sz w:val="24"/>
          <w:szCs w:val="24"/>
          <w:lang w:val="ro-RO"/>
        </w:rPr>
      </w:pPr>
      <w:r w:rsidRPr="009B33B9">
        <w:rPr>
          <w:b/>
          <w:sz w:val="24"/>
          <w:szCs w:val="24"/>
          <w:lang w:val="ro-RO"/>
        </w:rPr>
        <w:t>Sursa:</w:t>
      </w:r>
      <w:r w:rsidRPr="009B33B9">
        <w:rPr>
          <w:sz w:val="24"/>
          <w:szCs w:val="24"/>
          <w:lang w:val="ro-RO"/>
        </w:rPr>
        <w:t xml:space="preserve"> date prelucrate după Institutul Național de Statistică</w:t>
      </w:r>
    </w:p>
    <w:p w:rsidR="007175F1" w:rsidRDefault="007175F1" w:rsidP="007175F1">
      <w:pPr>
        <w:jc w:val="both"/>
        <w:rPr>
          <w:sz w:val="24"/>
          <w:szCs w:val="24"/>
          <w:lang w:val="ro-RO"/>
        </w:rPr>
      </w:pPr>
      <w:r>
        <w:rPr>
          <w:sz w:val="24"/>
          <w:szCs w:val="24"/>
          <w:lang w:val="ro-RO"/>
        </w:rPr>
        <w:t>Analizând fluxul turistic din judeţele Regiunii Centru prin prisma sosirilor şi înnoptărilor turiştilor din staţiunile balneare se observă că în judeţele Harghita şi Covasna staţiunile balneare atrag cea mai mare parte din turişti, în anul 2015, 61% din sosirile în judeţul Covasna au fost în staţiunile balneare iar în judeţul Harghita ponderea acestora a depăşit 73%.</w:t>
      </w:r>
    </w:p>
    <w:p w:rsidR="007175F1" w:rsidRDefault="007175F1" w:rsidP="007175F1">
      <w:pPr>
        <w:jc w:val="both"/>
        <w:rPr>
          <w:sz w:val="24"/>
          <w:szCs w:val="24"/>
          <w:lang w:val="ro-RO"/>
        </w:rPr>
      </w:pPr>
      <w:r>
        <w:rPr>
          <w:sz w:val="24"/>
          <w:szCs w:val="24"/>
          <w:lang w:val="ro-RO"/>
        </w:rPr>
        <w:t xml:space="preserve">Turismul balnear joacă un rol important chiar şi în judeţul Mureş. În staţiunile Sovata, </w:t>
      </w:r>
      <w:r w:rsidRPr="00F61D89">
        <w:rPr>
          <w:sz w:val="24"/>
          <w:szCs w:val="24"/>
          <w:lang w:val="ro-RO"/>
        </w:rPr>
        <w:t>Sîngeorgiu de Mureş</w:t>
      </w:r>
      <w:r>
        <w:rPr>
          <w:sz w:val="24"/>
          <w:szCs w:val="24"/>
          <w:lang w:val="ro-RO"/>
        </w:rPr>
        <w:t xml:space="preserve"> şi </w:t>
      </w:r>
      <w:r>
        <w:rPr>
          <w:rFonts w:ascii="Calibri" w:eastAsia="Times New Roman" w:hAnsi="Calibri" w:cs="Times New Roman"/>
          <w:color w:val="000000"/>
          <w:lang w:val="ro-RO"/>
        </w:rPr>
        <w:t>Ideciu de J</w:t>
      </w:r>
      <w:r w:rsidRPr="00864ACC">
        <w:rPr>
          <w:rFonts w:ascii="Calibri" w:eastAsia="Times New Roman" w:hAnsi="Calibri" w:cs="Times New Roman"/>
          <w:color w:val="000000"/>
          <w:lang w:val="ro-RO"/>
        </w:rPr>
        <w:t>os</w:t>
      </w:r>
      <w:r>
        <w:rPr>
          <w:sz w:val="24"/>
          <w:szCs w:val="24"/>
          <w:lang w:val="ro-RO"/>
        </w:rPr>
        <w:t xml:space="preserve"> au fost înregistrate 1</w:t>
      </w:r>
      <w:r w:rsidRPr="00AA4D51">
        <w:rPr>
          <w:sz w:val="24"/>
          <w:szCs w:val="24"/>
          <w:lang w:val="ro-RO"/>
        </w:rPr>
        <w:t>3</w:t>
      </w:r>
      <w:r>
        <w:rPr>
          <w:sz w:val="24"/>
          <w:szCs w:val="24"/>
          <w:lang w:val="ro-RO"/>
        </w:rPr>
        <w:t xml:space="preserve">1631 sosiri în anul 2015, care reprezintă aproape 41% în totalul sosirilor înregistrate în judeţul Mureş. </w:t>
      </w: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jc w:val="both"/>
        <w:rPr>
          <w:sz w:val="24"/>
          <w:szCs w:val="24"/>
          <w:lang w:val="ro-RO"/>
        </w:rPr>
      </w:pPr>
    </w:p>
    <w:p w:rsidR="007175F1" w:rsidRDefault="007175F1" w:rsidP="007175F1">
      <w:pPr>
        <w:spacing w:after="0"/>
        <w:jc w:val="both"/>
        <w:rPr>
          <w:b/>
          <w:sz w:val="24"/>
          <w:szCs w:val="24"/>
          <w:lang w:val="ro-RO"/>
        </w:rPr>
      </w:pPr>
      <w:r>
        <w:rPr>
          <w:b/>
          <w:sz w:val="24"/>
          <w:szCs w:val="24"/>
          <w:lang w:val="ro-RO"/>
        </w:rPr>
        <w:lastRenderedPageBreak/>
        <w:t>Tabel 5 Fluxul de turişti din staţiunile balneare ale Regiunii Centru în perioada 2001 – 2015</w:t>
      </w:r>
    </w:p>
    <w:p w:rsidR="007175F1" w:rsidRPr="00CA3D84" w:rsidRDefault="007175F1" w:rsidP="007175F1">
      <w:pPr>
        <w:spacing w:after="0"/>
        <w:jc w:val="right"/>
        <w:rPr>
          <w:rFonts w:cstheme="minorHAnsi"/>
          <w:b/>
          <w:lang w:val="ro-RO"/>
        </w:rPr>
      </w:pP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sz w:val="24"/>
          <w:szCs w:val="24"/>
          <w:lang w:val="ro-RO"/>
        </w:rPr>
        <w:tab/>
      </w:r>
      <w:r>
        <w:rPr>
          <w:rFonts w:cstheme="minorHAnsi"/>
          <w:b/>
          <w:lang w:val="ro-RO"/>
        </w:rPr>
        <w:t xml:space="preserve">UM: </w:t>
      </w:r>
      <w:r w:rsidRPr="00CA3D84">
        <w:rPr>
          <w:rFonts w:cstheme="minorHAnsi"/>
          <w:b/>
          <w:lang w:val="ro-RO"/>
        </w:rPr>
        <w:t xml:space="preserve"> număr persoane</w:t>
      </w:r>
    </w:p>
    <w:tbl>
      <w:tblPr>
        <w:tblStyle w:val="Grilcolorat-Accentuare5"/>
        <w:tblW w:w="10120" w:type="dxa"/>
        <w:jc w:val="center"/>
        <w:tblLayout w:type="fixed"/>
        <w:tblLook w:val="04A0"/>
      </w:tblPr>
      <w:tblGrid>
        <w:gridCol w:w="519"/>
        <w:gridCol w:w="1603"/>
        <w:gridCol w:w="955"/>
        <w:gridCol w:w="903"/>
        <w:gridCol w:w="900"/>
        <w:gridCol w:w="990"/>
        <w:gridCol w:w="1080"/>
        <w:gridCol w:w="1022"/>
        <w:gridCol w:w="1080"/>
        <w:gridCol w:w="1068"/>
      </w:tblGrid>
      <w:tr w:rsidR="007175F1" w:rsidRPr="00CA3D84" w:rsidTr="005F5D09">
        <w:trPr>
          <w:cnfStyle w:val="100000000000"/>
          <w:trHeight w:val="300"/>
          <w:jc w:val="center"/>
        </w:trPr>
        <w:tc>
          <w:tcPr>
            <w:cnfStyle w:val="001000000000"/>
            <w:tcW w:w="519" w:type="dxa"/>
            <w:vMerge w:val="restart"/>
            <w:textDirection w:val="btLr"/>
            <w:hideMark/>
          </w:tcPr>
          <w:p w:rsidR="007175F1" w:rsidRPr="005E2DBB" w:rsidRDefault="007175F1" w:rsidP="005F5D09">
            <w:pPr>
              <w:ind w:left="113" w:right="113"/>
              <w:jc w:val="both"/>
              <w:rPr>
                <w:rFonts w:ascii="Calibri" w:eastAsia="Times New Roman" w:hAnsi="Calibri" w:cs="Times New Roman"/>
                <w:color w:val="000000"/>
                <w:lang w:val="ro-RO"/>
              </w:rPr>
            </w:pPr>
          </w:p>
        </w:tc>
        <w:tc>
          <w:tcPr>
            <w:tcW w:w="1603" w:type="dxa"/>
            <w:vMerge w:val="restart"/>
            <w:vAlign w:val="bottom"/>
            <w:hideMark/>
          </w:tcPr>
          <w:p w:rsidR="007175F1" w:rsidRPr="005E2DBB" w:rsidRDefault="007175F1" w:rsidP="005F5D09">
            <w:pPr>
              <w:cnfStyle w:val="1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Localităţ</w:t>
            </w:r>
            <w:r w:rsidRPr="005E2DBB">
              <w:rPr>
                <w:rFonts w:ascii="Calibri" w:eastAsia="Times New Roman" w:hAnsi="Calibri" w:cs="Times New Roman"/>
                <w:color w:val="000000"/>
                <w:lang w:val="ro-RO"/>
              </w:rPr>
              <w:t>i</w:t>
            </w:r>
          </w:p>
        </w:tc>
        <w:tc>
          <w:tcPr>
            <w:tcW w:w="3748" w:type="dxa"/>
            <w:gridSpan w:val="4"/>
            <w:hideMark/>
          </w:tcPr>
          <w:p w:rsidR="007175F1" w:rsidRPr="005E2DBB" w:rsidRDefault="007175F1" w:rsidP="005F5D09">
            <w:pPr>
              <w:jc w:val="center"/>
              <w:cnfStyle w:val="1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Sosiri</w:t>
            </w:r>
          </w:p>
        </w:tc>
        <w:tc>
          <w:tcPr>
            <w:tcW w:w="4250" w:type="dxa"/>
            <w:gridSpan w:val="4"/>
            <w:hideMark/>
          </w:tcPr>
          <w:p w:rsidR="007175F1" w:rsidRPr="005E2DBB" w:rsidRDefault="007175F1" w:rsidP="005F5D09">
            <w:pPr>
              <w:jc w:val="center"/>
              <w:cnfStyle w:val="1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Înnoptă</w:t>
            </w:r>
            <w:r w:rsidRPr="005E2DBB">
              <w:rPr>
                <w:rFonts w:ascii="Calibri" w:eastAsia="Times New Roman" w:hAnsi="Calibri" w:cs="Times New Roman"/>
                <w:color w:val="000000"/>
                <w:lang w:val="ro-RO"/>
              </w:rPr>
              <w:t>ri</w:t>
            </w:r>
          </w:p>
        </w:tc>
      </w:tr>
      <w:tr w:rsidR="007175F1" w:rsidRPr="00CA3D84" w:rsidTr="005F5D09">
        <w:trPr>
          <w:cnfStyle w:val="000000100000"/>
          <w:trHeight w:val="512"/>
          <w:jc w:val="center"/>
        </w:trPr>
        <w:tc>
          <w:tcPr>
            <w:cnfStyle w:val="001000000000"/>
            <w:tcW w:w="519" w:type="dxa"/>
            <w:vMerge/>
            <w:hideMark/>
          </w:tcPr>
          <w:p w:rsidR="007175F1" w:rsidRPr="005E2DBB" w:rsidRDefault="007175F1" w:rsidP="005F5D09">
            <w:pPr>
              <w:jc w:val="both"/>
              <w:rPr>
                <w:rFonts w:ascii="Calibri" w:eastAsia="Times New Roman" w:hAnsi="Calibri" w:cs="Times New Roman"/>
                <w:b/>
                <w:color w:val="000000"/>
                <w:lang w:val="ro-RO"/>
              </w:rPr>
            </w:pPr>
          </w:p>
        </w:tc>
        <w:tc>
          <w:tcPr>
            <w:tcW w:w="1603" w:type="dxa"/>
            <w:vMerge/>
            <w:hideMark/>
          </w:tcPr>
          <w:p w:rsidR="007175F1" w:rsidRPr="005E2DBB" w:rsidRDefault="007175F1" w:rsidP="005F5D09">
            <w:pPr>
              <w:jc w:val="both"/>
              <w:cnfStyle w:val="000000100000"/>
              <w:rPr>
                <w:rFonts w:ascii="Calibri" w:eastAsia="Times New Roman" w:hAnsi="Calibri" w:cs="Times New Roman"/>
                <w:color w:val="000000"/>
                <w:lang w:val="ro-RO"/>
              </w:rPr>
            </w:pPr>
          </w:p>
        </w:tc>
        <w:tc>
          <w:tcPr>
            <w:tcW w:w="955" w:type="dxa"/>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2001</w:t>
            </w:r>
          </w:p>
        </w:tc>
        <w:tc>
          <w:tcPr>
            <w:tcW w:w="903" w:type="dxa"/>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2005</w:t>
            </w:r>
          </w:p>
        </w:tc>
        <w:tc>
          <w:tcPr>
            <w:tcW w:w="900" w:type="dxa"/>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2010</w:t>
            </w:r>
          </w:p>
        </w:tc>
        <w:tc>
          <w:tcPr>
            <w:tcW w:w="990" w:type="dxa"/>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2015</w:t>
            </w:r>
          </w:p>
        </w:tc>
        <w:tc>
          <w:tcPr>
            <w:tcW w:w="1080" w:type="dxa"/>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2001</w:t>
            </w:r>
          </w:p>
        </w:tc>
        <w:tc>
          <w:tcPr>
            <w:tcW w:w="1022" w:type="dxa"/>
            <w:noWrap/>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2005</w:t>
            </w:r>
          </w:p>
        </w:tc>
        <w:tc>
          <w:tcPr>
            <w:tcW w:w="1080" w:type="dxa"/>
            <w:noWrap/>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2010</w:t>
            </w:r>
          </w:p>
        </w:tc>
        <w:tc>
          <w:tcPr>
            <w:tcW w:w="1068" w:type="dxa"/>
            <w:noWrap/>
            <w:hideMark/>
          </w:tcPr>
          <w:p w:rsidR="007175F1" w:rsidRPr="005E2DBB" w:rsidRDefault="007175F1" w:rsidP="005F5D09">
            <w:pPr>
              <w:jc w:val="center"/>
              <w:cnfStyle w:val="000000100000"/>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Anul 2015</w:t>
            </w:r>
          </w:p>
        </w:tc>
      </w:tr>
      <w:tr w:rsidR="007175F1" w:rsidRPr="00CA3D84" w:rsidTr="005F5D09">
        <w:trPr>
          <w:trHeight w:val="440"/>
          <w:jc w:val="center"/>
        </w:trPr>
        <w:tc>
          <w:tcPr>
            <w:cnfStyle w:val="001000000000"/>
            <w:tcW w:w="519" w:type="dxa"/>
            <w:vMerge w:val="restart"/>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r w:rsidRPr="00CA3D84">
              <w:rPr>
                <w:rFonts w:ascii="Calibri" w:eastAsia="Times New Roman" w:hAnsi="Calibri" w:cs="Times New Roman"/>
                <w:b/>
                <w:color w:val="000000"/>
                <w:lang w:val="ro-RO"/>
              </w:rPr>
              <w:t>Braş</w:t>
            </w:r>
            <w:r w:rsidRPr="005E2DBB">
              <w:rPr>
                <w:rFonts w:ascii="Calibri" w:eastAsia="Times New Roman" w:hAnsi="Calibri" w:cs="Times New Roman"/>
                <w:b/>
                <w:color w:val="000000"/>
                <w:lang w:val="ro-RO"/>
              </w:rPr>
              <w:t>ov</w:t>
            </w: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Total</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328303</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448147</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510196</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997601</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884646</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1000318</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1078297</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2060959</w:t>
            </w:r>
          </w:p>
        </w:tc>
      </w:tr>
      <w:tr w:rsidR="007175F1" w:rsidRPr="00CA3D84" w:rsidTr="005F5D09">
        <w:trPr>
          <w:cnfStyle w:val="000000100000"/>
          <w:trHeight w:val="44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Predeal</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121843</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150032</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108022</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179101</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349312</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356177</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221897</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376470</w:t>
            </w:r>
          </w:p>
        </w:tc>
      </w:tr>
      <w:tr w:rsidR="007175F1" w:rsidRPr="00CA3D84" w:rsidTr="005F5D09">
        <w:trPr>
          <w:trHeight w:val="350"/>
          <w:jc w:val="center"/>
        </w:trPr>
        <w:tc>
          <w:tcPr>
            <w:cnfStyle w:val="001000000000"/>
            <w:tcW w:w="519" w:type="dxa"/>
            <w:vMerge w:val="restart"/>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Covasna</w:t>
            </w: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Total</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66477</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53986</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60937</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97422</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541212</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490890</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409180</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481600</w:t>
            </w:r>
          </w:p>
        </w:tc>
      </w:tr>
      <w:tr w:rsidR="007175F1" w:rsidRPr="00CA3D84" w:rsidTr="005F5D09">
        <w:trPr>
          <w:cnfStyle w:val="000000100000"/>
          <w:trHeight w:val="378"/>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Covasna</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33045</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31738</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32836</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48466</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464514</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439021</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353658</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366330</w:t>
            </w:r>
          </w:p>
        </w:tc>
      </w:tr>
      <w:tr w:rsidR="007175F1" w:rsidRPr="00CA3D84" w:rsidTr="005F5D09">
        <w:trPr>
          <w:trHeight w:val="323"/>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Turia</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6600</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591</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5039</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10849</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17956</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1124</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10164</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27013</w:t>
            </w:r>
          </w:p>
        </w:tc>
      </w:tr>
      <w:tr w:rsidR="007175F1" w:rsidRPr="00CA3D84" w:rsidTr="005F5D09">
        <w:trPr>
          <w:cnfStyle w:val="000000100000"/>
          <w:trHeight w:val="300"/>
          <w:jc w:val="center"/>
        </w:trPr>
        <w:tc>
          <w:tcPr>
            <w:cnfStyle w:val="001000000000"/>
            <w:tcW w:w="519" w:type="dxa"/>
            <w:vMerge w:val="restart"/>
            <w:textDirection w:val="btLr"/>
            <w:hideMark/>
          </w:tcPr>
          <w:p w:rsidR="007175F1" w:rsidRPr="005E2DBB" w:rsidRDefault="007175F1" w:rsidP="005F5D09">
            <w:pPr>
              <w:ind w:left="113" w:right="113"/>
              <w:jc w:val="right"/>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Harghita</w:t>
            </w: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Total</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85672</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85207</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76871</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157659</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356905</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311165</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207625</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417129</w:t>
            </w:r>
          </w:p>
        </w:tc>
      </w:tr>
      <w:tr w:rsidR="007175F1" w:rsidRPr="00CA3D84" w:rsidTr="005F5D09">
        <w:trPr>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Miercurea Ciuc</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21352</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26102</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36897</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42171</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48341</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56001</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69229</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81518</w:t>
            </w:r>
          </w:p>
        </w:tc>
      </w:tr>
      <w:tr w:rsidR="007175F1" w:rsidRPr="00CA3D84" w:rsidTr="005F5D09">
        <w:trPr>
          <w:cnfStyle w:val="000000100000"/>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Gheorgheni</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6100</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11536</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7149</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18179</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13639</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20687</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14103</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37374</w:t>
            </w:r>
          </w:p>
        </w:tc>
      </w:tr>
      <w:tr w:rsidR="007175F1" w:rsidRPr="00CA3D84" w:rsidTr="005F5D09">
        <w:trPr>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B</w:t>
            </w:r>
            <w:r>
              <w:rPr>
                <w:rFonts w:ascii="Calibri" w:eastAsia="Times New Roman" w:hAnsi="Calibri" w:cs="Times New Roman"/>
                <w:color w:val="000000"/>
                <w:lang w:val="ro-RO"/>
              </w:rPr>
              <w:t>ă</w:t>
            </w:r>
            <w:r w:rsidRPr="00CA3D84">
              <w:rPr>
                <w:rFonts w:ascii="Calibri" w:eastAsia="Times New Roman" w:hAnsi="Calibri" w:cs="Times New Roman"/>
                <w:color w:val="000000"/>
                <w:lang w:val="ro-RO"/>
              </w:rPr>
              <w:t>ile T</w:t>
            </w:r>
            <w:r>
              <w:rPr>
                <w:rFonts w:ascii="Calibri" w:eastAsia="Times New Roman" w:hAnsi="Calibri" w:cs="Times New Roman"/>
                <w:color w:val="000000"/>
                <w:lang w:val="ro-RO"/>
              </w:rPr>
              <w:t>uş</w:t>
            </w:r>
            <w:r w:rsidRPr="00CA3D84">
              <w:rPr>
                <w:rFonts w:ascii="Calibri" w:eastAsia="Times New Roman" w:hAnsi="Calibri" w:cs="Times New Roman"/>
                <w:color w:val="000000"/>
                <w:lang w:val="ro-RO"/>
              </w:rPr>
              <w:t>nad</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27991</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16752</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10264</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31260</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202580</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146232</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62945</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140422</w:t>
            </w:r>
          </w:p>
        </w:tc>
      </w:tr>
      <w:tr w:rsidR="007175F1" w:rsidRPr="00CA3D84" w:rsidTr="005F5D09">
        <w:trPr>
          <w:cnfStyle w:val="000000100000"/>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Borsec</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4393</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459</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1208</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4990</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36682</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887</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4244</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14331</w:t>
            </w:r>
          </w:p>
        </w:tc>
      </w:tr>
      <w:tr w:rsidR="007175F1" w:rsidRPr="00CA3D84" w:rsidTr="005F5D09">
        <w:trPr>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Vl</w:t>
            </w:r>
            <w:r>
              <w:rPr>
                <w:rFonts w:ascii="Calibri" w:eastAsia="Times New Roman" w:hAnsi="Calibri" w:cs="Times New Roman"/>
                <w:color w:val="000000"/>
                <w:lang w:val="ro-RO"/>
              </w:rPr>
              <w:t>ăhiţ</w:t>
            </w:r>
            <w:r w:rsidRPr="00CA3D84">
              <w:rPr>
                <w:rFonts w:ascii="Calibri" w:eastAsia="Times New Roman" w:hAnsi="Calibri" w:cs="Times New Roman"/>
                <w:color w:val="000000"/>
                <w:lang w:val="ro-RO"/>
              </w:rPr>
              <w:t>a</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12263</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3396</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3069</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4403</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21653</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7686</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9228</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13176</w:t>
            </w:r>
          </w:p>
        </w:tc>
      </w:tr>
      <w:tr w:rsidR="007175F1" w:rsidRPr="00CA3D84" w:rsidTr="005F5D09">
        <w:trPr>
          <w:cnfStyle w:val="000000100000"/>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Praid</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1334</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2281</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2568</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13451</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5822</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8625</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6376</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36059</w:t>
            </w:r>
          </w:p>
        </w:tc>
      </w:tr>
      <w:tr w:rsidR="007175F1" w:rsidRPr="00CA3D84" w:rsidTr="005F5D09">
        <w:trPr>
          <w:trHeight w:val="300"/>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Pr>
                <w:rFonts w:ascii="Calibri" w:eastAsia="Times New Roman" w:hAnsi="Calibri" w:cs="Times New Roman"/>
                <w:color w:val="000000"/>
                <w:lang w:val="ro-RO"/>
              </w:rPr>
              <w:t>Voşlă</w:t>
            </w:r>
            <w:r w:rsidRPr="00CA3D84">
              <w:rPr>
                <w:rFonts w:ascii="Calibri" w:eastAsia="Times New Roman" w:hAnsi="Calibri" w:cs="Times New Roman"/>
                <w:color w:val="000000"/>
                <w:lang w:val="ro-RO"/>
              </w:rPr>
              <w:t>beni</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3109</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5930</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2953</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728</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7635</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20168</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10866</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1687</w:t>
            </w:r>
          </w:p>
        </w:tc>
      </w:tr>
      <w:tr w:rsidR="007175F1" w:rsidRPr="00CA3D84" w:rsidTr="005F5D09">
        <w:trPr>
          <w:cnfStyle w:val="000000100000"/>
          <w:trHeight w:val="482"/>
          <w:jc w:val="center"/>
        </w:trPr>
        <w:tc>
          <w:tcPr>
            <w:cnfStyle w:val="001000000000"/>
            <w:tcW w:w="519" w:type="dxa"/>
            <w:vMerge w:val="restart"/>
            <w:textDirection w:val="btLr"/>
            <w:hideMark/>
          </w:tcPr>
          <w:p w:rsidR="007175F1" w:rsidRPr="005E2DBB" w:rsidRDefault="007175F1" w:rsidP="005F5D09">
            <w:pPr>
              <w:ind w:left="113" w:right="113"/>
              <w:jc w:val="right"/>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Mure</w:t>
            </w:r>
            <w:r w:rsidRPr="00CA3D84">
              <w:rPr>
                <w:rFonts w:ascii="Calibri" w:eastAsia="Times New Roman" w:hAnsi="Calibri" w:cs="Times New Roman"/>
                <w:b/>
                <w:color w:val="000000"/>
                <w:lang w:val="ro-RO"/>
              </w:rPr>
              <w:t>ş</w:t>
            </w:r>
          </w:p>
        </w:tc>
        <w:tc>
          <w:tcPr>
            <w:tcW w:w="16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Total</w:t>
            </w:r>
          </w:p>
        </w:tc>
        <w:tc>
          <w:tcPr>
            <w:tcW w:w="955"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130466</w:t>
            </w:r>
          </w:p>
        </w:tc>
        <w:tc>
          <w:tcPr>
            <w:tcW w:w="903"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202994</w:t>
            </w:r>
          </w:p>
        </w:tc>
        <w:tc>
          <w:tcPr>
            <w:tcW w:w="90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202850</w:t>
            </w:r>
          </w:p>
        </w:tc>
        <w:tc>
          <w:tcPr>
            <w:tcW w:w="99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495481</w:t>
            </w:r>
          </w:p>
        </w:tc>
        <w:tc>
          <w:tcPr>
            <w:tcW w:w="1080" w:type="dxa"/>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402983</w:t>
            </w:r>
          </w:p>
        </w:tc>
        <w:tc>
          <w:tcPr>
            <w:tcW w:w="1022"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516081</w:t>
            </w:r>
          </w:p>
        </w:tc>
        <w:tc>
          <w:tcPr>
            <w:tcW w:w="1080"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521610</w:t>
            </w:r>
          </w:p>
        </w:tc>
        <w:tc>
          <w:tcPr>
            <w:tcW w:w="1068" w:type="dxa"/>
            <w:noWrap/>
            <w:hideMark/>
          </w:tcPr>
          <w:p w:rsidR="007175F1" w:rsidRPr="005E2DBB" w:rsidRDefault="007175F1" w:rsidP="005F5D09">
            <w:pPr>
              <w:jc w:val="both"/>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1028643</w:t>
            </w:r>
          </w:p>
        </w:tc>
      </w:tr>
      <w:tr w:rsidR="007175F1" w:rsidRPr="00CA3D84" w:rsidTr="005F5D09">
        <w:trPr>
          <w:trHeight w:val="482"/>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Sovata</w:t>
            </w:r>
          </w:p>
        </w:tc>
        <w:tc>
          <w:tcPr>
            <w:tcW w:w="955"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41979</w:t>
            </w:r>
          </w:p>
        </w:tc>
        <w:tc>
          <w:tcPr>
            <w:tcW w:w="903"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61801</w:t>
            </w:r>
          </w:p>
        </w:tc>
        <w:tc>
          <w:tcPr>
            <w:tcW w:w="90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66409</w:t>
            </w:r>
          </w:p>
        </w:tc>
        <w:tc>
          <w:tcPr>
            <w:tcW w:w="99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105359</w:t>
            </w:r>
          </w:p>
        </w:tc>
        <w:tc>
          <w:tcPr>
            <w:tcW w:w="1080" w:type="dxa"/>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267181</w:t>
            </w:r>
          </w:p>
        </w:tc>
        <w:tc>
          <w:tcPr>
            <w:tcW w:w="1022"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268882</w:t>
            </w:r>
          </w:p>
        </w:tc>
        <w:tc>
          <w:tcPr>
            <w:tcW w:w="1080"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292503</w:t>
            </w:r>
          </w:p>
        </w:tc>
        <w:tc>
          <w:tcPr>
            <w:tcW w:w="1068" w:type="dxa"/>
            <w:noWrap/>
            <w:hideMark/>
          </w:tcPr>
          <w:p w:rsidR="007175F1" w:rsidRPr="005E2DBB" w:rsidRDefault="007175F1" w:rsidP="005F5D09">
            <w:pPr>
              <w:jc w:val="both"/>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384193</w:t>
            </w:r>
          </w:p>
        </w:tc>
      </w:tr>
      <w:tr w:rsidR="007175F1" w:rsidRPr="00CA3D84" w:rsidTr="005F5D09">
        <w:trPr>
          <w:cnfStyle w:val="000000100000"/>
          <w:trHeight w:val="482"/>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CA3D84" w:rsidRDefault="007175F1" w:rsidP="005F5D09">
            <w:pPr>
              <w:jc w:val="both"/>
              <w:cnfStyle w:val="000000100000"/>
              <w:rPr>
                <w:rFonts w:ascii="Calibri" w:eastAsia="Times New Roman" w:hAnsi="Calibri" w:cs="Times New Roman"/>
                <w:color w:val="000000"/>
                <w:lang w:val="ro-RO"/>
              </w:rPr>
            </w:pPr>
            <w:r>
              <w:rPr>
                <w:rFonts w:ascii="Calibri" w:eastAsia="Times New Roman" w:hAnsi="Calibri" w:cs="Times New Roman"/>
                <w:color w:val="000000"/>
                <w:lang w:val="ro-RO"/>
              </w:rPr>
              <w:t>Sîngeorgiu de M</w:t>
            </w:r>
            <w:r w:rsidRPr="00864ACC">
              <w:rPr>
                <w:rFonts w:ascii="Calibri" w:eastAsia="Times New Roman" w:hAnsi="Calibri" w:cs="Times New Roman"/>
                <w:color w:val="000000"/>
                <w:lang w:val="ro-RO"/>
              </w:rPr>
              <w:t>ure</w:t>
            </w:r>
            <w:r>
              <w:rPr>
                <w:rFonts w:ascii="Calibri" w:eastAsia="Times New Roman" w:hAnsi="Calibri" w:cs="Times New Roman"/>
                <w:color w:val="000000"/>
                <w:lang w:val="ro-RO"/>
              </w:rPr>
              <w:t>ş</w:t>
            </w:r>
          </w:p>
        </w:tc>
        <w:tc>
          <w:tcPr>
            <w:tcW w:w="955" w:type="dxa"/>
            <w:vAlign w:val="center"/>
            <w:hideMark/>
          </w:tcPr>
          <w:p w:rsidR="007175F1" w:rsidRPr="00864ACC" w:rsidRDefault="007175F1" w:rsidP="005F5D09">
            <w:pPr>
              <w:cnfStyle w:val="000000100000"/>
              <w:rPr>
                <w:color w:val="000000"/>
              </w:rPr>
            </w:pPr>
            <w:r w:rsidRPr="00864ACC">
              <w:rPr>
                <w:color w:val="000000"/>
              </w:rPr>
              <w:t>11025</w:t>
            </w:r>
          </w:p>
        </w:tc>
        <w:tc>
          <w:tcPr>
            <w:tcW w:w="903" w:type="dxa"/>
            <w:vAlign w:val="center"/>
            <w:hideMark/>
          </w:tcPr>
          <w:p w:rsidR="007175F1" w:rsidRPr="00864ACC" w:rsidRDefault="007175F1" w:rsidP="005F5D09">
            <w:pPr>
              <w:cnfStyle w:val="000000100000"/>
              <w:rPr>
                <w:color w:val="000000"/>
              </w:rPr>
            </w:pPr>
            <w:r w:rsidRPr="00864ACC">
              <w:rPr>
                <w:color w:val="000000"/>
              </w:rPr>
              <w:t>5494</w:t>
            </w:r>
          </w:p>
        </w:tc>
        <w:tc>
          <w:tcPr>
            <w:tcW w:w="900" w:type="dxa"/>
            <w:vAlign w:val="center"/>
            <w:hideMark/>
          </w:tcPr>
          <w:p w:rsidR="007175F1" w:rsidRPr="00864ACC" w:rsidRDefault="007175F1" w:rsidP="005F5D09">
            <w:pPr>
              <w:cnfStyle w:val="000000100000"/>
              <w:rPr>
                <w:color w:val="000000"/>
              </w:rPr>
            </w:pPr>
            <w:r w:rsidRPr="00864ACC">
              <w:rPr>
                <w:color w:val="000000"/>
              </w:rPr>
              <w:t>10233</w:t>
            </w:r>
          </w:p>
        </w:tc>
        <w:tc>
          <w:tcPr>
            <w:tcW w:w="990" w:type="dxa"/>
            <w:vAlign w:val="center"/>
            <w:hideMark/>
          </w:tcPr>
          <w:p w:rsidR="007175F1" w:rsidRPr="00864ACC" w:rsidRDefault="007175F1" w:rsidP="005F5D09">
            <w:pPr>
              <w:cnfStyle w:val="000000100000"/>
              <w:rPr>
                <w:color w:val="000000"/>
              </w:rPr>
            </w:pPr>
            <w:r w:rsidRPr="00864ACC">
              <w:rPr>
                <w:color w:val="000000"/>
              </w:rPr>
              <w:t>26069</w:t>
            </w:r>
          </w:p>
        </w:tc>
        <w:tc>
          <w:tcPr>
            <w:tcW w:w="1080" w:type="dxa"/>
            <w:vAlign w:val="center"/>
            <w:hideMark/>
          </w:tcPr>
          <w:p w:rsidR="007175F1" w:rsidRPr="00A1716F" w:rsidRDefault="007175F1" w:rsidP="005F5D09">
            <w:pPr>
              <w:cnfStyle w:val="000000100000"/>
              <w:rPr>
                <w:color w:val="000000"/>
              </w:rPr>
            </w:pPr>
            <w:r w:rsidRPr="00A1716F">
              <w:rPr>
                <w:color w:val="000000"/>
              </w:rPr>
              <w:t>14857</w:t>
            </w:r>
          </w:p>
        </w:tc>
        <w:tc>
          <w:tcPr>
            <w:tcW w:w="1022" w:type="dxa"/>
            <w:noWrap/>
            <w:vAlign w:val="center"/>
            <w:hideMark/>
          </w:tcPr>
          <w:p w:rsidR="007175F1" w:rsidRPr="00A1716F" w:rsidRDefault="007175F1" w:rsidP="005F5D09">
            <w:pPr>
              <w:cnfStyle w:val="000000100000"/>
              <w:rPr>
                <w:color w:val="000000"/>
              </w:rPr>
            </w:pPr>
            <w:r w:rsidRPr="00A1716F">
              <w:rPr>
                <w:color w:val="000000"/>
              </w:rPr>
              <w:t>8057</w:t>
            </w:r>
          </w:p>
        </w:tc>
        <w:tc>
          <w:tcPr>
            <w:tcW w:w="1080" w:type="dxa"/>
            <w:noWrap/>
            <w:vAlign w:val="center"/>
            <w:hideMark/>
          </w:tcPr>
          <w:p w:rsidR="007175F1" w:rsidRPr="00A1716F" w:rsidRDefault="007175F1" w:rsidP="005F5D09">
            <w:pPr>
              <w:cnfStyle w:val="000000100000"/>
              <w:rPr>
                <w:color w:val="000000"/>
              </w:rPr>
            </w:pPr>
            <w:r w:rsidRPr="00A1716F">
              <w:rPr>
                <w:color w:val="000000"/>
              </w:rPr>
              <w:t>21030</w:t>
            </w:r>
          </w:p>
        </w:tc>
        <w:tc>
          <w:tcPr>
            <w:tcW w:w="1068" w:type="dxa"/>
            <w:noWrap/>
            <w:vAlign w:val="center"/>
            <w:hideMark/>
          </w:tcPr>
          <w:p w:rsidR="007175F1" w:rsidRPr="00A1716F" w:rsidRDefault="007175F1" w:rsidP="005F5D09">
            <w:pPr>
              <w:cnfStyle w:val="000000100000"/>
              <w:rPr>
                <w:color w:val="000000"/>
              </w:rPr>
            </w:pPr>
            <w:r w:rsidRPr="00A1716F">
              <w:rPr>
                <w:color w:val="000000"/>
              </w:rPr>
              <w:t>48955</w:t>
            </w:r>
          </w:p>
        </w:tc>
      </w:tr>
      <w:tr w:rsidR="007175F1" w:rsidRPr="00CA3D84" w:rsidTr="005F5D09">
        <w:trPr>
          <w:trHeight w:val="287"/>
          <w:jc w:val="center"/>
        </w:trPr>
        <w:tc>
          <w:tcPr>
            <w:cnfStyle w:val="001000000000"/>
            <w:tcW w:w="519" w:type="dxa"/>
            <w:vMerge/>
            <w:textDirection w:val="btLr"/>
            <w:hideMark/>
          </w:tcPr>
          <w:p w:rsidR="007175F1" w:rsidRPr="005E2DBB" w:rsidRDefault="007175F1" w:rsidP="005F5D09">
            <w:pPr>
              <w:ind w:left="113" w:right="113"/>
              <w:jc w:val="both"/>
              <w:rPr>
                <w:rFonts w:ascii="Calibri" w:eastAsia="Times New Roman" w:hAnsi="Calibri" w:cs="Times New Roman"/>
                <w:b/>
                <w:color w:val="000000"/>
                <w:lang w:val="ro-RO"/>
              </w:rPr>
            </w:pPr>
          </w:p>
        </w:tc>
        <w:tc>
          <w:tcPr>
            <w:tcW w:w="1603" w:type="dxa"/>
            <w:hideMark/>
          </w:tcPr>
          <w:p w:rsidR="007175F1" w:rsidRPr="00CA3D84" w:rsidRDefault="007175F1" w:rsidP="005F5D09">
            <w:pPr>
              <w:jc w:val="both"/>
              <w:cnfStyle w:val="000000000000"/>
              <w:rPr>
                <w:rFonts w:ascii="Calibri" w:eastAsia="Times New Roman" w:hAnsi="Calibri" w:cs="Times New Roman"/>
                <w:color w:val="000000"/>
                <w:lang w:val="ro-RO"/>
              </w:rPr>
            </w:pPr>
            <w:r>
              <w:rPr>
                <w:rFonts w:ascii="Calibri" w:eastAsia="Times New Roman" w:hAnsi="Calibri" w:cs="Times New Roman"/>
                <w:color w:val="000000"/>
                <w:lang w:val="ro-RO"/>
              </w:rPr>
              <w:t>Ideciu de J</w:t>
            </w:r>
            <w:r w:rsidRPr="00864ACC">
              <w:rPr>
                <w:rFonts w:ascii="Calibri" w:eastAsia="Times New Roman" w:hAnsi="Calibri" w:cs="Times New Roman"/>
                <w:color w:val="000000"/>
                <w:lang w:val="ro-RO"/>
              </w:rPr>
              <w:t>os</w:t>
            </w:r>
          </w:p>
        </w:tc>
        <w:tc>
          <w:tcPr>
            <w:tcW w:w="955" w:type="dxa"/>
            <w:vAlign w:val="center"/>
            <w:hideMark/>
          </w:tcPr>
          <w:p w:rsidR="007175F1" w:rsidRPr="00864ACC" w:rsidRDefault="007175F1" w:rsidP="005F5D09">
            <w:pPr>
              <w:jc w:val="center"/>
              <w:cnfStyle w:val="000000000000"/>
              <w:rPr>
                <w:color w:val="000000"/>
              </w:rPr>
            </w:pPr>
            <w:r>
              <w:rPr>
                <w:color w:val="000000"/>
              </w:rPr>
              <w:t>-</w:t>
            </w:r>
          </w:p>
        </w:tc>
        <w:tc>
          <w:tcPr>
            <w:tcW w:w="903" w:type="dxa"/>
            <w:vAlign w:val="center"/>
            <w:hideMark/>
          </w:tcPr>
          <w:p w:rsidR="007175F1" w:rsidRPr="00864ACC" w:rsidRDefault="007175F1" w:rsidP="005F5D09">
            <w:pPr>
              <w:cnfStyle w:val="000000000000"/>
              <w:rPr>
                <w:color w:val="000000"/>
              </w:rPr>
            </w:pPr>
            <w:r w:rsidRPr="00864ACC">
              <w:rPr>
                <w:color w:val="000000"/>
              </w:rPr>
              <w:t>153</w:t>
            </w:r>
          </w:p>
        </w:tc>
        <w:tc>
          <w:tcPr>
            <w:tcW w:w="900" w:type="dxa"/>
            <w:vAlign w:val="center"/>
            <w:hideMark/>
          </w:tcPr>
          <w:p w:rsidR="007175F1" w:rsidRPr="00864ACC" w:rsidRDefault="007175F1" w:rsidP="005F5D09">
            <w:pPr>
              <w:cnfStyle w:val="000000000000"/>
              <w:rPr>
                <w:color w:val="000000"/>
              </w:rPr>
            </w:pPr>
            <w:r w:rsidRPr="00864ACC">
              <w:rPr>
                <w:color w:val="000000"/>
              </w:rPr>
              <w:t>45</w:t>
            </w:r>
          </w:p>
        </w:tc>
        <w:tc>
          <w:tcPr>
            <w:tcW w:w="990" w:type="dxa"/>
            <w:vAlign w:val="center"/>
            <w:hideMark/>
          </w:tcPr>
          <w:p w:rsidR="007175F1" w:rsidRPr="00864ACC" w:rsidRDefault="007175F1" w:rsidP="005F5D09">
            <w:pPr>
              <w:cnfStyle w:val="000000000000"/>
              <w:rPr>
                <w:color w:val="000000"/>
              </w:rPr>
            </w:pPr>
            <w:r w:rsidRPr="00864ACC">
              <w:rPr>
                <w:color w:val="000000"/>
              </w:rPr>
              <w:t>203</w:t>
            </w:r>
          </w:p>
        </w:tc>
        <w:tc>
          <w:tcPr>
            <w:tcW w:w="1080" w:type="dxa"/>
            <w:vAlign w:val="center"/>
            <w:hideMark/>
          </w:tcPr>
          <w:p w:rsidR="007175F1" w:rsidRPr="00A1716F" w:rsidRDefault="007175F1" w:rsidP="005F5D09">
            <w:pPr>
              <w:cnfStyle w:val="000000000000"/>
              <w:rPr>
                <w:color w:val="000000"/>
              </w:rPr>
            </w:pPr>
            <w:r>
              <w:rPr>
                <w:color w:val="000000"/>
              </w:rPr>
              <w:t>-</w:t>
            </w:r>
          </w:p>
        </w:tc>
        <w:tc>
          <w:tcPr>
            <w:tcW w:w="1022" w:type="dxa"/>
            <w:noWrap/>
            <w:vAlign w:val="center"/>
            <w:hideMark/>
          </w:tcPr>
          <w:p w:rsidR="007175F1" w:rsidRPr="00A1716F" w:rsidRDefault="007175F1" w:rsidP="005F5D09">
            <w:pPr>
              <w:cnfStyle w:val="000000000000"/>
              <w:rPr>
                <w:color w:val="000000"/>
              </w:rPr>
            </w:pPr>
            <w:r w:rsidRPr="00A1716F">
              <w:rPr>
                <w:color w:val="000000"/>
              </w:rPr>
              <w:t>498</w:t>
            </w:r>
          </w:p>
        </w:tc>
        <w:tc>
          <w:tcPr>
            <w:tcW w:w="1080" w:type="dxa"/>
            <w:noWrap/>
            <w:vAlign w:val="center"/>
            <w:hideMark/>
          </w:tcPr>
          <w:p w:rsidR="007175F1" w:rsidRPr="00A1716F" w:rsidRDefault="007175F1" w:rsidP="005F5D09">
            <w:pPr>
              <w:cnfStyle w:val="000000000000"/>
              <w:rPr>
                <w:color w:val="000000"/>
              </w:rPr>
            </w:pPr>
            <w:r w:rsidRPr="00A1716F">
              <w:rPr>
                <w:color w:val="000000"/>
              </w:rPr>
              <w:t>61</w:t>
            </w:r>
          </w:p>
        </w:tc>
        <w:tc>
          <w:tcPr>
            <w:tcW w:w="1068" w:type="dxa"/>
            <w:noWrap/>
            <w:vAlign w:val="center"/>
            <w:hideMark/>
          </w:tcPr>
          <w:p w:rsidR="007175F1" w:rsidRPr="00A1716F" w:rsidRDefault="007175F1" w:rsidP="005F5D09">
            <w:pPr>
              <w:cnfStyle w:val="000000000000"/>
              <w:rPr>
                <w:color w:val="000000"/>
              </w:rPr>
            </w:pPr>
            <w:r w:rsidRPr="00A1716F">
              <w:rPr>
                <w:color w:val="000000"/>
              </w:rPr>
              <w:t>528</w:t>
            </w:r>
          </w:p>
        </w:tc>
      </w:tr>
      <w:tr w:rsidR="007175F1" w:rsidRPr="00CA3D84" w:rsidTr="005F5D09">
        <w:trPr>
          <w:cnfStyle w:val="000000100000"/>
          <w:trHeight w:val="300"/>
          <w:jc w:val="center"/>
        </w:trPr>
        <w:tc>
          <w:tcPr>
            <w:cnfStyle w:val="001000000000"/>
            <w:tcW w:w="519" w:type="dxa"/>
            <w:vMerge w:val="restart"/>
            <w:textDirection w:val="btLr"/>
            <w:hideMark/>
          </w:tcPr>
          <w:p w:rsidR="007175F1" w:rsidRPr="005E2DBB" w:rsidRDefault="007175F1" w:rsidP="005F5D09">
            <w:pPr>
              <w:ind w:left="113" w:right="113"/>
              <w:rPr>
                <w:rFonts w:ascii="Calibri" w:eastAsia="Times New Roman" w:hAnsi="Calibri" w:cs="Times New Roman"/>
                <w:b/>
                <w:color w:val="000000"/>
                <w:lang w:val="ro-RO"/>
              </w:rPr>
            </w:pPr>
            <w:r w:rsidRPr="005E2DBB">
              <w:rPr>
                <w:rFonts w:ascii="Calibri" w:eastAsia="Times New Roman" w:hAnsi="Calibri" w:cs="Times New Roman"/>
                <w:b/>
                <w:color w:val="000000"/>
                <w:lang w:val="ro-RO"/>
              </w:rPr>
              <w:t>Sibiu</w:t>
            </w:r>
          </w:p>
        </w:tc>
        <w:tc>
          <w:tcPr>
            <w:tcW w:w="1603" w:type="dxa"/>
            <w:hideMark/>
          </w:tcPr>
          <w:p w:rsidR="007175F1" w:rsidRPr="005E2DBB" w:rsidRDefault="007175F1" w:rsidP="005F5D09">
            <w:pPr>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Total</w:t>
            </w:r>
          </w:p>
        </w:tc>
        <w:tc>
          <w:tcPr>
            <w:tcW w:w="955"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165613</w:t>
            </w:r>
          </w:p>
        </w:tc>
        <w:tc>
          <w:tcPr>
            <w:tcW w:w="903"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228627</w:t>
            </w:r>
          </w:p>
        </w:tc>
        <w:tc>
          <w:tcPr>
            <w:tcW w:w="900"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228195</w:t>
            </w:r>
          </w:p>
        </w:tc>
        <w:tc>
          <w:tcPr>
            <w:tcW w:w="990"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438611</w:t>
            </w:r>
          </w:p>
        </w:tc>
        <w:tc>
          <w:tcPr>
            <w:tcW w:w="1080"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309796</w:t>
            </w:r>
          </w:p>
        </w:tc>
        <w:tc>
          <w:tcPr>
            <w:tcW w:w="1022" w:type="dxa"/>
            <w:noWrap/>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369029</w:t>
            </w:r>
          </w:p>
        </w:tc>
        <w:tc>
          <w:tcPr>
            <w:tcW w:w="1080" w:type="dxa"/>
            <w:noWrap/>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401578</w:t>
            </w:r>
          </w:p>
        </w:tc>
        <w:tc>
          <w:tcPr>
            <w:tcW w:w="1068" w:type="dxa"/>
            <w:noWrap/>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740946</w:t>
            </w:r>
          </w:p>
        </w:tc>
      </w:tr>
      <w:tr w:rsidR="007175F1" w:rsidRPr="00CA3D84" w:rsidTr="005F5D09">
        <w:trPr>
          <w:trHeight w:val="300"/>
          <w:jc w:val="center"/>
        </w:trPr>
        <w:tc>
          <w:tcPr>
            <w:cnfStyle w:val="001000000000"/>
            <w:tcW w:w="519" w:type="dxa"/>
            <w:vMerge/>
            <w:hideMark/>
          </w:tcPr>
          <w:p w:rsidR="007175F1" w:rsidRPr="005E2DBB" w:rsidRDefault="007175F1" w:rsidP="005F5D09">
            <w:pPr>
              <w:rPr>
                <w:rFonts w:ascii="Calibri" w:eastAsia="Times New Roman" w:hAnsi="Calibri" w:cs="Times New Roman"/>
                <w:color w:val="000000"/>
                <w:lang w:val="ro-RO"/>
              </w:rPr>
            </w:pPr>
          </w:p>
        </w:tc>
        <w:tc>
          <w:tcPr>
            <w:tcW w:w="1603" w:type="dxa"/>
            <w:hideMark/>
          </w:tcPr>
          <w:p w:rsidR="007175F1" w:rsidRPr="005E2DBB" w:rsidRDefault="007175F1" w:rsidP="005F5D09">
            <w:pPr>
              <w:cnfStyle w:val="000000000000"/>
              <w:rPr>
                <w:rFonts w:ascii="Calibri" w:eastAsia="Times New Roman" w:hAnsi="Calibri" w:cs="Times New Roman"/>
                <w:color w:val="000000"/>
                <w:lang w:val="ro-RO"/>
              </w:rPr>
            </w:pPr>
            <w:r w:rsidRPr="00CA3D84">
              <w:rPr>
                <w:rFonts w:ascii="Calibri" w:eastAsia="Times New Roman" w:hAnsi="Calibri" w:cs="Times New Roman"/>
                <w:color w:val="000000"/>
                <w:lang w:val="ro-RO"/>
              </w:rPr>
              <w:t>Ocna Sibiului</w:t>
            </w:r>
          </w:p>
        </w:tc>
        <w:tc>
          <w:tcPr>
            <w:tcW w:w="955" w:type="dxa"/>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1239</w:t>
            </w:r>
          </w:p>
        </w:tc>
        <w:tc>
          <w:tcPr>
            <w:tcW w:w="903" w:type="dxa"/>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2445</w:t>
            </w:r>
          </w:p>
        </w:tc>
        <w:tc>
          <w:tcPr>
            <w:tcW w:w="900" w:type="dxa"/>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2423</w:t>
            </w:r>
          </w:p>
        </w:tc>
        <w:tc>
          <w:tcPr>
            <w:tcW w:w="990" w:type="dxa"/>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6813</w:t>
            </w:r>
          </w:p>
        </w:tc>
        <w:tc>
          <w:tcPr>
            <w:tcW w:w="1080" w:type="dxa"/>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4426</w:t>
            </w:r>
          </w:p>
        </w:tc>
        <w:tc>
          <w:tcPr>
            <w:tcW w:w="1022" w:type="dxa"/>
            <w:noWrap/>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8686</w:t>
            </w:r>
          </w:p>
        </w:tc>
        <w:tc>
          <w:tcPr>
            <w:tcW w:w="1080" w:type="dxa"/>
            <w:noWrap/>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9303</w:t>
            </w:r>
          </w:p>
        </w:tc>
        <w:tc>
          <w:tcPr>
            <w:tcW w:w="1068" w:type="dxa"/>
            <w:noWrap/>
            <w:vAlign w:val="center"/>
            <w:hideMark/>
          </w:tcPr>
          <w:p w:rsidR="007175F1" w:rsidRPr="005E2DBB" w:rsidRDefault="007175F1" w:rsidP="005F5D09">
            <w:pPr>
              <w:jc w:val="center"/>
              <w:cnfStyle w:val="0000000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17649</w:t>
            </w:r>
          </w:p>
        </w:tc>
      </w:tr>
      <w:tr w:rsidR="007175F1" w:rsidRPr="00CA3D84" w:rsidTr="005F5D09">
        <w:trPr>
          <w:cnfStyle w:val="000000100000"/>
          <w:trHeight w:val="300"/>
          <w:jc w:val="center"/>
        </w:trPr>
        <w:tc>
          <w:tcPr>
            <w:cnfStyle w:val="001000000000"/>
            <w:tcW w:w="519" w:type="dxa"/>
            <w:vMerge/>
            <w:hideMark/>
          </w:tcPr>
          <w:p w:rsidR="007175F1" w:rsidRPr="005E2DBB" w:rsidRDefault="007175F1" w:rsidP="005F5D09">
            <w:pPr>
              <w:rPr>
                <w:rFonts w:ascii="Calibri" w:eastAsia="Times New Roman" w:hAnsi="Calibri" w:cs="Times New Roman"/>
                <w:color w:val="000000"/>
                <w:lang w:val="ro-RO"/>
              </w:rPr>
            </w:pPr>
          </w:p>
        </w:tc>
        <w:tc>
          <w:tcPr>
            <w:tcW w:w="1603" w:type="dxa"/>
            <w:hideMark/>
          </w:tcPr>
          <w:p w:rsidR="007175F1" w:rsidRPr="005E2DBB" w:rsidRDefault="007175F1" w:rsidP="005F5D09">
            <w:pPr>
              <w:cnfStyle w:val="000000100000"/>
              <w:rPr>
                <w:rFonts w:ascii="Calibri" w:eastAsia="Times New Roman" w:hAnsi="Calibri" w:cs="Times New Roman"/>
                <w:color w:val="000000"/>
                <w:lang w:val="ro-RO"/>
              </w:rPr>
            </w:pPr>
            <w:r w:rsidRPr="00CA3D84">
              <w:rPr>
                <w:rFonts w:ascii="Calibri" w:eastAsia="Times New Roman" w:hAnsi="Calibri" w:cs="Times New Roman"/>
                <w:color w:val="000000"/>
                <w:lang w:val="ro-RO"/>
              </w:rPr>
              <w:t>Bazna</w:t>
            </w:r>
          </w:p>
        </w:tc>
        <w:tc>
          <w:tcPr>
            <w:tcW w:w="955"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5593</w:t>
            </w:r>
          </w:p>
        </w:tc>
        <w:tc>
          <w:tcPr>
            <w:tcW w:w="903"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9272</w:t>
            </w:r>
          </w:p>
        </w:tc>
        <w:tc>
          <w:tcPr>
            <w:tcW w:w="900"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9435</w:t>
            </w:r>
          </w:p>
        </w:tc>
        <w:tc>
          <w:tcPr>
            <w:tcW w:w="990"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7118</w:t>
            </w:r>
          </w:p>
        </w:tc>
        <w:tc>
          <w:tcPr>
            <w:tcW w:w="1080" w:type="dxa"/>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25529</w:t>
            </w:r>
          </w:p>
        </w:tc>
        <w:tc>
          <w:tcPr>
            <w:tcW w:w="1022" w:type="dxa"/>
            <w:noWrap/>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37853</w:t>
            </w:r>
          </w:p>
        </w:tc>
        <w:tc>
          <w:tcPr>
            <w:tcW w:w="1080" w:type="dxa"/>
            <w:noWrap/>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29905</w:t>
            </w:r>
          </w:p>
        </w:tc>
        <w:tc>
          <w:tcPr>
            <w:tcW w:w="1068" w:type="dxa"/>
            <w:noWrap/>
            <w:vAlign w:val="center"/>
            <w:hideMark/>
          </w:tcPr>
          <w:p w:rsidR="007175F1" w:rsidRPr="005E2DBB" w:rsidRDefault="007175F1" w:rsidP="005F5D09">
            <w:pPr>
              <w:jc w:val="center"/>
              <w:cnfStyle w:val="000000100000"/>
              <w:rPr>
                <w:rFonts w:ascii="Calibri" w:eastAsia="Times New Roman" w:hAnsi="Calibri" w:cs="Times New Roman"/>
                <w:color w:val="000000"/>
                <w:lang w:val="ro-RO"/>
              </w:rPr>
            </w:pPr>
            <w:r w:rsidRPr="005E2DBB">
              <w:rPr>
                <w:rFonts w:ascii="Calibri" w:eastAsia="Times New Roman" w:hAnsi="Calibri" w:cs="Times New Roman"/>
                <w:color w:val="000000"/>
                <w:lang w:val="ro-RO"/>
              </w:rPr>
              <w:t>13517</w:t>
            </w:r>
          </w:p>
        </w:tc>
      </w:tr>
    </w:tbl>
    <w:p w:rsidR="007175F1" w:rsidRPr="00177A66" w:rsidRDefault="007175F1" w:rsidP="007175F1">
      <w:pPr>
        <w:jc w:val="both"/>
        <w:rPr>
          <w:sz w:val="24"/>
          <w:szCs w:val="24"/>
          <w:lang w:val="ro-RO"/>
        </w:rPr>
      </w:pPr>
      <w:r w:rsidRPr="009B33B9">
        <w:rPr>
          <w:b/>
          <w:sz w:val="24"/>
          <w:szCs w:val="24"/>
          <w:lang w:val="ro-RO"/>
        </w:rPr>
        <w:t>Sursa:</w:t>
      </w:r>
      <w:r w:rsidRPr="009B33B9">
        <w:rPr>
          <w:sz w:val="24"/>
          <w:szCs w:val="24"/>
          <w:lang w:val="ro-RO"/>
        </w:rPr>
        <w:t xml:space="preserve"> date prelucrate după Institutul Național de Statistică</w:t>
      </w:r>
    </w:p>
    <w:p w:rsidR="007175F1" w:rsidRDefault="007175F1" w:rsidP="007175F1">
      <w:pPr>
        <w:jc w:val="both"/>
        <w:rPr>
          <w:rFonts w:cs="Times New Roman"/>
          <w:bCs/>
          <w:sz w:val="24"/>
          <w:szCs w:val="24"/>
          <w:lang w:val="ro-RO"/>
        </w:rPr>
      </w:pPr>
      <w:r>
        <w:rPr>
          <w:rFonts w:cs="Times New Roman"/>
          <w:bCs/>
          <w:sz w:val="24"/>
          <w:szCs w:val="24"/>
          <w:lang w:val="ro-RO"/>
        </w:rPr>
        <w:t>Regiunea Centru deţine un potenţial balnear valoros, dar produsul balnear înseamnă în același ti</w:t>
      </w:r>
      <w:r w:rsidRPr="00260D27">
        <w:rPr>
          <w:rFonts w:cs="Times New Roman"/>
          <w:bCs/>
          <w:sz w:val="24"/>
          <w:szCs w:val="24"/>
          <w:lang w:val="ro-RO"/>
        </w:rPr>
        <w:t>mp</w:t>
      </w:r>
      <w:r>
        <w:rPr>
          <w:rFonts w:cs="Times New Roman"/>
          <w:bCs/>
          <w:sz w:val="24"/>
          <w:szCs w:val="24"/>
          <w:lang w:val="ro-RO"/>
        </w:rPr>
        <w:t xml:space="preserve"> un know-</w:t>
      </w:r>
      <w:r w:rsidRPr="00260D27">
        <w:rPr>
          <w:rFonts w:cs="Times New Roman"/>
          <w:bCs/>
          <w:sz w:val="24"/>
          <w:szCs w:val="24"/>
          <w:lang w:val="ro-RO"/>
        </w:rPr>
        <w:t>how,</w:t>
      </w:r>
      <w:r>
        <w:rPr>
          <w:rFonts w:cs="Times New Roman"/>
          <w:bCs/>
          <w:sz w:val="24"/>
          <w:szCs w:val="24"/>
          <w:lang w:val="ro-RO"/>
        </w:rPr>
        <w:t xml:space="preserve"> o resursă naturală, o bază de tratament, locuri de cazare, un mediu care să determine turiştii să petreacă 10 până la 18 zile fără să se plictisească şi să îi determine pe aceştia să revină.</w:t>
      </w:r>
    </w:p>
    <w:p w:rsidR="007175F1" w:rsidRPr="0043585A" w:rsidRDefault="007175F1" w:rsidP="007175F1">
      <w:pPr>
        <w:jc w:val="both"/>
        <w:rPr>
          <w:rFonts w:cs="Times New Roman"/>
          <w:bCs/>
          <w:sz w:val="24"/>
          <w:szCs w:val="24"/>
          <w:lang w:val="ro-RO"/>
        </w:rPr>
      </w:pPr>
      <w:r w:rsidRPr="00BD7888">
        <w:rPr>
          <w:rFonts w:eastAsia="Times New Roman" w:cs="Times New Roman"/>
          <w:b/>
          <w:sz w:val="28"/>
          <w:szCs w:val="28"/>
          <w:lang w:val="ro-RO" w:eastAsia="ar-SA"/>
        </w:rPr>
        <w:t>Structuri de sprijinire, susţinere şi promovare a turismului balnear</w:t>
      </w:r>
    </w:p>
    <w:p w:rsidR="007175F1" w:rsidRDefault="007175F1" w:rsidP="007175F1">
      <w:pPr>
        <w:spacing w:after="0"/>
        <w:jc w:val="both"/>
        <w:rPr>
          <w:rFonts w:eastAsia="Times New Roman" w:cs="Times New Roman"/>
          <w:sz w:val="24"/>
          <w:szCs w:val="24"/>
          <w:lang w:val="ro-RO" w:eastAsia="ar-SA"/>
        </w:rPr>
      </w:pPr>
      <w:r w:rsidRPr="005C1276">
        <w:rPr>
          <w:rFonts w:eastAsia="Times New Roman" w:cs="Times New Roman"/>
          <w:b/>
          <w:sz w:val="24"/>
          <w:szCs w:val="24"/>
          <w:lang w:val="ro-RO" w:eastAsia="ar-SA"/>
        </w:rPr>
        <w:t xml:space="preserve">Institutul Naţional de Recuperare, Medicină Fizică şi Balneoclimatologie </w:t>
      </w:r>
      <w:r w:rsidRPr="005C1276">
        <w:rPr>
          <w:rFonts w:eastAsia="Times New Roman" w:cs="Times New Roman"/>
          <w:sz w:val="24"/>
          <w:szCs w:val="24"/>
          <w:lang w:val="ro-RO" w:eastAsia="ar-SA"/>
        </w:rPr>
        <w:t>care a fost înfiinţat în anul 2000 în urma Ordonanţei Guvernului 109/02.09.2000, aprobată prin Legea 343/18.06.2002, prin reorganizarea Institutului de Medicină Fizică, Balneoclimatologie şi Recuperare Medicală, institut atestat încă din anul 1924 sub denumirea de „Institut de Balneologie” (</w:t>
      </w:r>
      <w:r w:rsidRPr="005C1276">
        <w:rPr>
          <w:rFonts w:eastAsia="Times New Roman" w:cs="Times New Roman"/>
          <w:b/>
          <w:sz w:val="24"/>
          <w:szCs w:val="24"/>
          <w:lang w:val="ro-RO" w:eastAsia="ar-SA"/>
        </w:rPr>
        <w:t>al doilea institut de profil din Europa, după cel din Franţa</w:t>
      </w:r>
      <w:r w:rsidRPr="005C1276">
        <w:rPr>
          <w:rFonts w:eastAsia="Times New Roman" w:cs="Times New Roman"/>
          <w:sz w:val="24"/>
          <w:szCs w:val="24"/>
          <w:lang w:val="ro-RO" w:eastAsia="ar-SA"/>
        </w:rPr>
        <w:t>).</w:t>
      </w:r>
    </w:p>
    <w:p w:rsidR="007175F1" w:rsidRPr="005C1276" w:rsidRDefault="007175F1" w:rsidP="007175F1">
      <w:pPr>
        <w:jc w:val="both"/>
        <w:rPr>
          <w:rFonts w:eastAsia="Times New Roman" w:cs="Times New Roman"/>
          <w:sz w:val="24"/>
          <w:szCs w:val="24"/>
          <w:lang w:val="ro-RO" w:eastAsia="ar-SA"/>
        </w:rPr>
      </w:pPr>
      <w:r w:rsidRPr="005C1276">
        <w:rPr>
          <w:rFonts w:eastAsia="Times New Roman" w:cs="Times New Roman"/>
          <w:sz w:val="24"/>
          <w:szCs w:val="24"/>
          <w:lang w:val="ro-RO" w:eastAsia="ar-SA"/>
        </w:rPr>
        <w:t>Institutul are că obiectiv principal îmbunătăţirea permanentă a stării de sănătate a populaţiei prin asistenţă medicală de recuperare şi balneară</w:t>
      </w:r>
      <w:r>
        <w:rPr>
          <w:rFonts w:eastAsia="Times New Roman" w:cs="Times New Roman"/>
          <w:sz w:val="24"/>
          <w:szCs w:val="24"/>
          <w:lang w:val="ro-RO" w:eastAsia="ar-SA"/>
        </w:rPr>
        <w:t xml:space="preserve">. </w:t>
      </w:r>
      <w:r w:rsidRPr="005C1276">
        <w:rPr>
          <w:rFonts w:eastAsia="Times New Roman" w:cs="Times New Roman"/>
          <w:sz w:val="24"/>
          <w:szCs w:val="24"/>
          <w:lang w:val="ro-RO" w:eastAsia="ar-SA"/>
        </w:rPr>
        <w:t xml:space="preserve">Pe linie de asistenţă medicală, Institutul </w:t>
      </w:r>
      <w:r w:rsidRPr="005C1276">
        <w:rPr>
          <w:rFonts w:eastAsia="Times New Roman" w:cs="Times New Roman"/>
          <w:sz w:val="24"/>
          <w:szCs w:val="24"/>
          <w:lang w:val="ro-RO" w:eastAsia="ar-SA"/>
        </w:rPr>
        <w:lastRenderedPageBreak/>
        <w:t>asigură tratamentul complex al bolnavilor cu multiple aspecte disfuncţionale în afecţiuni locomotorii (neurologice, post-traumatice, reumatologice, vascular-</w:t>
      </w:r>
      <w:r>
        <w:rPr>
          <w:rFonts w:eastAsia="Times New Roman" w:cs="Times New Roman"/>
          <w:sz w:val="24"/>
          <w:szCs w:val="24"/>
          <w:lang w:val="ro-RO" w:eastAsia="ar-SA"/>
        </w:rPr>
        <w:t xml:space="preserve">periferice, dismetabolice etc) dar de asemenea are şi activitate de cercetare. </w:t>
      </w:r>
      <w:r w:rsidRPr="005C1276">
        <w:rPr>
          <w:rFonts w:eastAsia="Times New Roman" w:cs="Times New Roman"/>
          <w:sz w:val="24"/>
          <w:szCs w:val="24"/>
          <w:lang w:val="ro-RO" w:eastAsia="ar-SA"/>
        </w:rPr>
        <w:t>Temele şi lucrările de cercetare au făcut parte dintr-o paletă variată şi complexă: hidrologie, balneologie, balneo-tehnică, farmacodinamie, biochimie, fizico-chimice, biologice, bacteriologia apelor minerale, bioclimatologice, electroterapie etc.</w:t>
      </w:r>
    </w:p>
    <w:p w:rsidR="007175F1" w:rsidRPr="00BD7888" w:rsidRDefault="007175F1" w:rsidP="007175F1">
      <w:pPr>
        <w:spacing w:after="0"/>
        <w:jc w:val="both"/>
        <w:rPr>
          <w:rFonts w:eastAsia="Times New Roman" w:cs="Times New Roman"/>
          <w:sz w:val="24"/>
          <w:szCs w:val="24"/>
          <w:lang w:val="ro-RO" w:eastAsia="ar-SA"/>
        </w:rPr>
      </w:pPr>
      <w:r w:rsidRPr="00BD7888">
        <w:rPr>
          <w:rFonts w:eastAsia="Times New Roman" w:cs="Times New Roman"/>
          <w:b/>
          <w:sz w:val="24"/>
          <w:szCs w:val="24"/>
          <w:lang w:val="ro-RO" w:eastAsia="ar-SA"/>
        </w:rPr>
        <w:t>Organizaţia Patronală a Turismului Balnear din Romania OPTBR</w:t>
      </w:r>
      <w:r w:rsidRPr="00BD7888">
        <w:rPr>
          <w:rFonts w:eastAsia="Times New Roman" w:cs="Times New Roman"/>
          <w:sz w:val="24"/>
          <w:szCs w:val="24"/>
          <w:lang w:val="ro-RO" w:eastAsia="ar-SA"/>
        </w:rPr>
        <w:t xml:space="preserve"> a fost înfiinţată în 1993 cu scopul principal de susţinere a promovării şi dezvoltării turismului balnear.</w:t>
      </w:r>
      <w:r w:rsidRPr="00BD7888">
        <w:rPr>
          <w:sz w:val="24"/>
          <w:szCs w:val="24"/>
        </w:rPr>
        <w:t xml:space="preserve"> </w:t>
      </w:r>
      <w:r w:rsidRPr="00BD7888">
        <w:rPr>
          <w:rFonts w:eastAsia="Times New Roman" w:cs="Times New Roman"/>
          <w:sz w:val="24"/>
          <w:szCs w:val="24"/>
          <w:lang w:val="ro-RO" w:eastAsia="ar-SA"/>
        </w:rPr>
        <w:t>Obiectivele sale principale fiind următoarele:</w:t>
      </w:r>
    </w:p>
    <w:p w:rsidR="007175F1" w:rsidRPr="00BD7888" w:rsidRDefault="007175F1" w:rsidP="007175F1">
      <w:pPr>
        <w:spacing w:after="0"/>
        <w:jc w:val="both"/>
        <w:rPr>
          <w:rFonts w:eastAsia="Times New Roman" w:cs="Times New Roman"/>
          <w:sz w:val="24"/>
          <w:szCs w:val="24"/>
          <w:lang w:val="ro-RO" w:eastAsia="ar-SA"/>
        </w:rPr>
      </w:pPr>
      <w:r w:rsidRPr="00BD7888">
        <w:rPr>
          <w:rFonts w:eastAsia="Times New Roman" w:cs="Times New Roman"/>
          <w:sz w:val="24"/>
          <w:szCs w:val="24"/>
          <w:lang w:val="ro-RO" w:eastAsia="ar-SA"/>
        </w:rPr>
        <w:t>- promovarea pe plan intern şi internaţional a patrimoniului balnear şi a relaţiilor cu alte structuri asociative, patronale, profesionale, pentru crearea unui climat de concurenţă loială;</w:t>
      </w:r>
    </w:p>
    <w:p w:rsidR="007175F1" w:rsidRPr="00BD7888" w:rsidRDefault="007175F1" w:rsidP="007175F1">
      <w:pPr>
        <w:spacing w:after="0"/>
        <w:jc w:val="both"/>
        <w:rPr>
          <w:rFonts w:eastAsia="Times New Roman" w:cs="Times New Roman"/>
          <w:sz w:val="24"/>
          <w:szCs w:val="24"/>
          <w:lang w:val="ro-RO" w:eastAsia="ar-SA"/>
        </w:rPr>
      </w:pPr>
      <w:r w:rsidRPr="00BD7888">
        <w:rPr>
          <w:rFonts w:eastAsia="Times New Roman" w:cs="Times New Roman"/>
          <w:sz w:val="24"/>
          <w:szCs w:val="24"/>
          <w:lang w:val="ro-RO" w:eastAsia="ar-SA"/>
        </w:rPr>
        <w:t>- reprezentarea membrilor săi în organizaţiile internaţionale de profil şi furnizarea de informaţii utile pentru dezvoltarea activităţii şi investiţiilor;</w:t>
      </w:r>
    </w:p>
    <w:p w:rsidR="007175F1" w:rsidRPr="00BD7888" w:rsidRDefault="007175F1" w:rsidP="007175F1">
      <w:pPr>
        <w:spacing w:after="0"/>
        <w:jc w:val="both"/>
        <w:rPr>
          <w:rFonts w:eastAsia="Times New Roman" w:cs="Times New Roman"/>
          <w:sz w:val="24"/>
          <w:szCs w:val="24"/>
          <w:lang w:val="ro-RO" w:eastAsia="ar-SA"/>
        </w:rPr>
      </w:pPr>
      <w:r w:rsidRPr="00BD7888">
        <w:rPr>
          <w:rFonts w:eastAsia="Times New Roman" w:cs="Times New Roman"/>
          <w:sz w:val="24"/>
          <w:szCs w:val="24"/>
          <w:lang w:val="ro-RO" w:eastAsia="ar-SA"/>
        </w:rPr>
        <w:t>- crearea de parteneriate public - private privind atragerea de fonduri structurale pentru dezvoltarea staţiunilor balneare;</w:t>
      </w:r>
    </w:p>
    <w:p w:rsidR="007175F1" w:rsidRPr="00BD7888" w:rsidRDefault="007175F1" w:rsidP="007175F1">
      <w:pPr>
        <w:spacing w:after="0"/>
        <w:jc w:val="both"/>
        <w:rPr>
          <w:rFonts w:eastAsia="Times New Roman" w:cs="Times New Roman"/>
          <w:sz w:val="24"/>
          <w:szCs w:val="24"/>
          <w:lang w:val="ro-RO" w:eastAsia="ar-SA"/>
        </w:rPr>
      </w:pPr>
      <w:r w:rsidRPr="00BD7888">
        <w:rPr>
          <w:rFonts w:eastAsia="Times New Roman" w:cs="Times New Roman"/>
          <w:sz w:val="24"/>
          <w:szCs w:val="24"/>
          <w:lang w:val="ro-RO" w:eastAsia="ar-SA"/>
        </w:rPr>
        <w:t>- realizarea de programe de dezvoltare şi de protecţie a patrimoniului balneoclimateric naţional;</w:t>
      </w:r>
    </w:p>
    <w:p w:rsidR="007175F1" w:rsidRPr="00BD7888" w:rsidRDefault="007175F1" w:rsidP="007175F1">
      <w:pPr>
        <w:spacing w:after="0"/>
        <w:jc w:val="both"/>
        <w:rPr>
          <w:rFonts w:eastAsia="Times New Roman" w:cs="Times New Roman"/>
          <w:sz w:val="24"/>
          <w:szCs w:val="24"/>
          <w:lang w:val="ro-RO" w:eastAsia="ar-SA"/>
        </w:rPr>
      </w:pPr>
      <w:r w:rsidRPr="00BD7888">
        <w:rPr>
          <w:rFonts w:eastAsia="Times New Roman" w:cs="Times New Roman"/>
          <w:sz w:val="24"/>
          <w:szCs w:val="24"/>
          <w:lang w:val="ro-RO" w:eastAsia="ar-SA"/>
        </w:rPr>
        <w:t>- organizarea de cursuri şi colaborarea la formarea de cadre de înaltă calificare şi/sau perfecţionare profesională şi managerială pentru domeniul turismului balnear;</w:t>
      </w:r>
    </w:p>
    <w:p w:rsidR="007175F1" w:rsidRDefault="007175F1" w:rsidP="007175F1">
      <w:pPr>
        <w:jc w:val="both"/>
        <w:rPr>
          <w:rFonts w:eastAsia="Times New Roman" w:cs="Times New Roman"/>
          <w:sz w:val="24"/>
          <w:szCs w:val="24"/>
          <w:lang w:val="ro-RO" w:eastAsia="ar-SA"/>
        </w:rPr>
      </w:pPr>
      <w:r w:rsidRPr="00BD7888">
        <w:rPr>
          <w:rFonts w:eastAsia="Times New Roman" w:cs="Times New Roman"/>
          <w:sz w:val="24"/>
          <w:szCs w:val="24"/>
          <w:lang w:val="ro-RO" w:eastAsia="ar-SA"/>
        </w:rPr>
        <w:t>- realizarea sau colaborarea la efectuarea de studii şi cercetări de marketing, programe, proiecte.</w:t>
      </w:r>
    </w:p>
    <w:p w:rsidR="007175F1" w:rsidRDefault="007175F1" w:rsidP="007175F1">
      <w:pPr>
        <w:jc w:val="both"/>
        <w:rPr>
          <w:rFonts w:eastAsia="Times New Roman" w:cs="Times New Roman"/>
          <w:sz w:val="24"/>
          <w:szCs w:val="24"/>
          <w:lang w:val="ro-RO" w:eastAsia="ar-SA"/>
        </w:rPr>
      </w:pPr>
      <w:r w:rsidRPr="00AB7680">
        <w:rPr>
          <w:rFonts w:eastAsia="Times New Roman" w:cs="Times New Roman"/>
          <w:sz w:val="24"/>
          <w:szCs w:val="24"/>
          <w:lang w:val="ro-RO" w:eastAsia="ar-SA"/>
        </w:rPr>
        <w:t>Printre membrii Organizaţiei Patronale a Turismului Balnear din Romania se regăsesc 10 membrii din Regiunea Centru.</w:t>
      </w:r>
    </w:p>
    <w:p w:rsidR="007175F1" w:rsidRPr="00C50257" w:rsidRDefault="007175F1" w:rsidP="007175F1">
      <w:pPr>
        <w:jc w:val="both"/>
        <w:rPr>
          <w:rFonts w:eastAsia="Times New Roman" w:cs="Times New Roman"/>
          <w:sz w:val="24"/>
          <w:szCs w:val="24"/>
          <w:lang w:val="ro-RO" w:eastAsia="ar-SA"/>
        </w:rPr>
      </w:pPr>
      <w:r w:rsidRPr="00C50257">
        <w:rPr>
          <w:rFonts w:eastAsia="Times New Roman" w:cs="Times New Roman"/>
          <w:b/>
          <w:sz w:val="24"/>
          <w:szCs w:val="24"/>
          <w:lang w:val="ro-RO" w:eastAsia="ar-SA"/>
        </w:rPr>
        <w:t>Asociația Stațiunilor Balneare și Balneoclimatice din România</w:t>
      </w:r>
      <w:r>
        <w:rPr>
          <w:rFonts w:eastAsia="Times New Roman" w:cs="Times New Roman"/>
          <w:sz w:val="24"/>
          <w:szCs w:val="24"/>
          <w:lang w:val="ro-RO" w:eastAsia="ar-SA"/>
        </w:rPr>
        <w:t xml:space="preserve"> a fost înfiinţată în noiembrie 2013.</w:t>
      </w:r>
      <w:r w:rsidRPr="00C50257">
        <w:rPr>
          <w:rFonts w:eastAsia="Times New Roman" w:cs="Times New Roman"/>
          <w:sz w:val="24"/>
          <w:szCs w:val="24"/>
          <w:lang w:val="ro-RO" w:eastAsia="ar-SA"/>
        </w:rPr>
        <w:t xml:space="preserve"> Principalele obiective ale </w:t>
      </w:r>
      <w:r>
        <w:rPr>
          <w:rFonts w:eastAsia="Times New Roman" w:cs="Times New Roman"/>
          <w:sz w:val="24"/>
          <w:szCs w:val="24"/>
          <w:lang w:val="ro-RO" w:eastAsia="ar-SA"/>
        </w:rPr>
        <w:t>acestei</w:t>
      </w:r>
      <w:r w:rsidRPr="00C50257">
        <w:rPr>
          <w:rFonts w:eastAsia="Times New Roman" w:cs="Times New Roman"/>
          <w:sz w:val="24"/>
          <w:szCs w:val="24"/>
          <w:lang w:val="ro-RO" w:eastAsia="ar-SA"/>
        </w:rPr>
        <w:t xml:space="preserve"> asociații se vor axa pe oferirea de asistență strategică și tehnică acelor stațiuni care vor dori să se integreze unei astfel de rețele. De asemenea, prin intermediul acesteia, stațiunile balneare și balneoclimaterice vor avea mai multe șanse de a găsi finanțările necesare. Asociația Națională a Stațiunilor Balneare și Balneoclimaterice </w:t>
      </w:r>
      <w:r>
        <w:rPr>
          <w:rFonts w:eastAsia="Times New Roman" w:cs="Times New Roman"/>
          <w:sz w:val="24"/>
          <w:szCs w:val="24"/>
          <w:lang w:val="ro-RO" w:eastAsia="ar-SA"/>
        </w:rPr>
        <w:t>va contribui</w:t>
      </w:r>
      <w:r w:rsidRPr="00C50257">
        <w:rPr>
          <w:rFonts w:eastAsia="Times New Roman" w:cs="Times New Roman"/>
          <w:sz w:val="24"/>
          <w:szCs w:val="24"/>
          <w:lang w:val="ro-RO" w:eastAsia="ar-SA"/>
        </w:rPr>
        <w:t xml:space="preserve"> la buna derulare a proiectelor de investiție ce urmează să fie implemetate, precum și la respectarea standardelor urbanistice și turistice elaborate. Tot în sarcina asociației </w:t>
      </w:r>
      <w:r>
        <w:rPr>
          <w:rFonts w:eastAsia="Times New Roman" w:cs="Times New Roman"/>
          <w:sz w:val="24"/>
          <w:szCs w:val="24"/>
          <w:lang w:val="ro-RO" w:eastAsia="ar-SA"/>
        </w:rPr>
        <w:t>intră</w:t>
      </w:r>
      <w:r w:rsidRPr="00C50257">
        <w:rPr>
          <w:rFonts w:eastAsia="Times New Roman" w:cs="Times New Roman"/>
          <w:sz w:val="24"/>
          <w:szCs w:val="24"/>
          <w:lang w:val="ro-RO" w:eastAsia="ar-SA"/>
        </w:rPr>
        <w:t xml:space="preserve"> și acțiunile de promovare și implementare de proiecte noi pentru stațiunile balneare din țară.</w:t>
      </w:r>
    </w:p>
    <w:p w:rsidR="007175F1" w:rsidRPr="00FF7E92" w:rsidRDefault="007175F1" w:rsidP="007175F1">
      <w:pPr>
        <w:jc w:val="both"/>
        <w:rPr>
          <w:rFonts w:eastAsia="Times New Roman" w:cs="Times New Roman"/>
          <w:sz w:val="24"/>
          <w:szCs w:val="24"/>
          <w:lang w:val="ro-RO" w:eastAsia="ar-SA"/>
        </w:rPr>
      </w:pPr>
      <w:r w:rsidRPr="00FF7E92">
        <w:rPr>
          <w:rFonts w:eastAsia="Times New Roman" w:cs="Times New Roman"/>
          <w:b/>
          <w:sz w:val="24"/>
          <w:szCs w:val="24"/>
          <w:lang w:val="ro-RO" w:eastAsia="ar-SA"/>
        </w:rPr>
        <w:t>Asociația Română de Turism Medical</w:t>
      </w:r>
      <w:r w:rsidRPr="00FF7E92">
        <w:rPr>
          <w:b/>
        </w:rPr>
        <w:t xml:space="preserve"> </w:t>
      </w:r>
      <w:r>
        <w:rPr>
          <w:rFonts w:eastAsia="Times New Roman" w:cs="Times New Roman"/>
          <w:sz w:val="24"/>
          <w:szCs w:val="24"/>
          <w:lang w:val="ro-RO" w:eastAsia="ar-SA"/>
        </w:rPr>
        <w:t>este prima asociaţ</w:t>
      </w:r>
      <w:r w:rsidRPr="00FF7E92">
        <w:rPr>
          <w:rFonts w:eastAsia="Times New Roman" w:cs="Times New Roman"/>
          <w:sz w:val="24"/>
          <w:szCs w:val="24"/>
          <w:lang w:val="ro-RO" w:eastAsia="ar-SA"/>
        </w:rPr>
        <w:t>ie non-profit</w:t>
      </w:r>
      <w:r>
        <w:rPr>
          <w:rFonts w:eastAsia="Times New Roman" w:cs="Times New Roman"/>
          <w:sz w:val="24"/>
          <w:szCs w:val="24"/>
          <w:lang w:val="ro-RO" w:eastAsia="ar-SA"/>
        </w:rPr>
        <w:t xml:space="preserve"> de turism medical ce promovează acest concept atât la nivel naţional, cât şi internaţional, şi care încearcă să includă România în rândul ţărilor cu tradiţie î</w:t>
      </w:r>
      <w:r w:rsidRPr="00FF7E92">
        <w:rPr>
          <w:rFonts w:eastAsia="Times New Roman" w:cs="Times New Roman"/>
          <w:sz w:val="24"/>
          <w:szCs w:val="24"/>
          <w:lang w:val="ro-RO" w:eastAsia="ar-SA"/>
        </w:rPr>
        <w:t>n turismul medical.</w:t>
      </w:r>
    </w:p>
    <w:p w:rsidR="007175F1" w:rsidRDefault="007175F1" w:rsidP="007175F1">
      <w:pPr>
        <w:spacing w:after="0"/>
        <w:jc w:val="both"/>
        <w:rPr>
          <w:rFonts w:eastAsia="Times New Roman" w:cs="Times New Roman"/>
          <w:sz w:val="24"/>
          <w:szCs w:val="24"/>
          <w:lang w:val="ro-RO" w:eastAsia="ar-SA"/>
        </w:rPr>
      </w:pPr>
      <w:r>
        <w:rPr>
          <w:rFonts w:eastAsia="Times New Roman" w:cs="Times New Roman"/>
          <w:sz w:val="24"/>
          <w:szCs w:val="24"/>
          <w:lang w:val="ro-RO" w:eastAsia="ar-SA"/>
        </w:rPr>
        <w:t>Din asociaţ</w:t>
      </w:r>
      <w:r w:rsidRPr="00FF7E92">
        <w:rPr>
          <w:rFonts w:eastAsia="Times New Roman" w:cs="Times New Roman"/>
          <w:sz w:val="24"/>
          <w:szCs w:val="24"/>
          <w:lang w:val="ro-RO" w:eastAsia="ar-SA"/>
        </w:rPr>
        <w:t>ie pot face parte spitale, clinici, furni</w:t>
      </w:r>
      <w:r>
        <w:rPr>
          <w:rFonts w:eastAsia="Times New Roman" w:cs="Times New Roman"/>
          <w:sz w:val="24"/>
          <w:szCs w:val="24"/>
          <w:lang w:val="ro-RO" w:eastAsia="ar-SA"/>
        </w:rPr>
        <w:t>zori de servicii medicale, agenţ</w:t>
      </w:r>
      <w:r w:rsidRPr="00FF7E92">
        <w:rPr>
          <w:rFonts w:eastAsia="Times New Roman" w:cs="Times New Roman"/>
          <w:sz w:val="24"/>
          <w:szCs w:val="24"/>
          <w:lang w:val="ro-RO" w:eastAsia="ar-SA"/>
        </w:rPr>
        <w:t>ii de turism, compa</w:t>
      </w:r>
      <w:r>
        <w:rPr>
          <w:rFonts w:eastAsia="Times New Roman" w:cs="Times New Roman"/>
          <w:sz w:val="24"/>
          <w:szCs w:val="24"/>
          <w:lang w:val="ro-RO" w:eastAsia="ar-SA"/>
        </w:rPr>
        <w:t>nii aeriene, companii de asigură</w:t>
      </w:r>
      <w:r w:rsidRPr="00FF7E92">
        <w:rPr>
          <w:rFonts w:eastAsia="Times New Roman" w:cs="Times New Roman"/>
          <w:sz w:val="24"/>
          <w:szCs w:val="24"/>
          <w:lang w:val="ro-RO" w:eastAsia="ar-SA"/>
        </w:rPr>
        <w:t>ri.</w:t>
      </w:r>
      <w:r>
        <w:rPr>
          <w:rFonts w:eastAsia="Times New Roman" w:cs="Times New Roman"/>
          <w:sz w:val="24"/>
          <w:szCs w:val="24"/>
          <w:lang w:val="ro-RO" w:eastAsia="ar-SA"/>
        </w:rPr>
        <w:t xml:space="preserve"> </w:t>
      </w:r>
      <w:r w:rsidRPr="00AB7680">
        <w:rPr>
          <w:rFonts w:eastAsia="Times New Roman" w:cs="Times New Roman"/>
          <w:sz w:val="24"/>
          <w:szCs w:val="24"/>
          <w:lang w:val="ro-RO" w:eastAsia="ar-SA"/>
        </w:rPr>
        <w:t xml:space="preserve">Printre membrii </w:t>
      </w:r>
      <w:r>
        <w:rPr>
          <w:rFonts w:eastAsia="Times New Roman" w:cs="Times New Roman"/>
          <w:sz w:val="24"/>
          <w:szCs w:val="24"/>
          <w:lang w:val="ro-RO" w:eastAsia="ar-SA"/>
        </w:rPr>
        <w:t>Asociației Române</w:t>
      </w:r>
      <w:r w:rsidRPr="00FF7E92">
        <w:rPr>
          <w:rFonts w:eastAsia="Times New Roman" w:cs="Times New Roman"/>
          <w:sz w:val="24"/>
          <w:szCs w:val="24"/>
          <w:lang w:val="ro-RO" w:eastAsia="ar-SA"/>
        </w:rPr>
        <w:t xml:space="preserve"> de Turism Medical </w:t>
      </w:r>
      <w:r w:rsidRPr="00AB7680">
        <w:rPr>
          <w:rFonts w:eastAsia="Times New Roman" w:cs="Times New Roman"/>
          <w:sz w:val="24"/>
          <w:szCs w:val="24"/>
          <w:lang w:val="ro-RO" w:eastAsia="ar-SA"/>
        </w:rPr>
        <w:t xml:space="preserve">se regăsesc </w:t>
      </w:r>
      <w:r>
        <w:rPr>
          <w:rFonts w:eastAsia="Times New Roman" w:cs="Times New Roman"/>
          <w:sz w:val="24"/>
          <w:szCs w:val="24"/>
          <w:lang w:val="ro-RO" w:eastAsia="ar-SA"/>
        </w:rPr>
        <w:t>13</w:t>
      </w:r>
      <w:r w:rsidRPr="00AB7680">
        <w:rPr>
          <w:rFonts w:eastAsia="Times New Roman" w:cs="Times New Roman"/>
          <w:sz w:val="24"/>
          <w:szCs w:val="24"/>
          <w:lang w:val="ro-RO" w:eastAsia="ar-SA"/>
        </w:rPr>
        <w:t xml:space="preserve"> membrii din Regiunea Centru.</w:t>
      </w:r>
    </w:p>
    <w:p w:rsidR="007175F1" w:rsidRDefault="007175F1" w:rsidP="007175F1">
      <w:pPr>
        <w:spacing w:after="0"/>
        <w:jc w:val="both"/>
        <w:rPr>
          <w:rFonts w:eastAsia="Times New Roman" w:cs="Times New Roman"/>
          <w:sz w:val="24"/>
          <w:szCs w:val="24"/>
          <w:lang w:val="ro-RO" w:eastAsia="ar-SA"/>
        </w:rPr>
      </w:pPr>
      <w:r w:rsidRPr="000C238C">
        <w:rPr>
          <w:rFonts w:eastAsia="Times New Roman" w:cs="Times New Roman"/>
          <w:color w:val="FF0000"/>
          <w:sz w:val="24"/>
          <w:szCs w:val="24"/>
          <w:lang w:val="ro-RO" w:eastAsia="ar-SA"/>
        </w:rPr>
        <w:lastRenderedPageBreak/>
        <w:t xml:space="preserve"> </w:t>
      </w:r>
      <w:r w:rsidRPr="00FF7E92">
        <w:rPr>
          <w:rFonts w:eastAsia="Times New Roman" w:cs="Times New Roman"/>
          <w:b/>
          <w:sz w:val="24"/>
          <w:szCs w:val="24"/>
          <w:lang w:val="ro-RO" w:eastAsia="ar-SA"/>
        </w:rPr>
        <w:t>Asociația Română de Balneologie</w:t>
      </w:r>
      <w:r>
        <w:rPr>
          <w:rFonts w:eastAsia="Times New Roman" w:cs="Times New Roman"/>
          <w:b/>
          <w:sz w:val="24"/>
          <w:szCs w:val="24"/>
          <w:lang w:val="ro-RO" w:eastAsia="ar-SA"/>
        </w:rPr>
        <w:t xml:space="preserve"> </w:t>
      </w:r>
      <w:r w:rsidRPr="00995F0E">
        <w:rPr>
          <w:rFonts w:eastAsia="Times New Roman" w:cs="Times New Roman"/>
          <w:sz w:val="24"/>
          <w:szCs w:val="24"/>
          <w:lang w:val="ro-RO" w:eastAsia="ar-SA"/>
        </w:rPr>
        <w:t>este o organizație înființată în anul 2010, având ca scop modernizarea sectorului de turism balnear și dezvoltarea balneologiei prin cercetare șt</w:t>
      </w:r>
      <w:r>
        <w:rPr>
          <w:rFonts w:eastAsia="Times New Roman" w:cs="Times New Roman"/>
          <w:sz w:val="24"/>
          <w:szCs w:val="24"/>
          <w:lang w:val="ro-RO" w:eastAsia="ar-SA"/>
        </w:rPr>
        <w:t>iințifică, educație și activităţ</w:t>
      </w:r>
      <w:r w:rsidRPr="00995F0E">
        <w:rPr>
          <w:rFonts w:eastAsia="Times New Roman" w:cs="Times New Roman"/>
          <w:sz w:val="24"/>
          <w:szCs w:val="24"/>
          <w:lang w:val="ro-RO" w:eastAsia="ar-SA"/>
        </w:rPr>
        <w:t>i de promovare a turismului balnear și de sănătate. Asociația a desfășurat o activitate de formare și perfecționare profesională, deruleaz</w:t>
      </w:r>
      <w:r>
        <w:rPr>
          <w:rFonts w:eastAsia="Times New Roman" w:cs="Times New Roman"/>
          <w:sz w:val="24"/>
          <w:szCs w:val="24"/>
          <w:lang w:val="ro-RO" w:eastAsia="ar-SA"/>
        </w:rPr>
        <w:t>ă</w:t>
      </w:r>
      <w:r w:rsidRPr="00995F0E">
        <w:rPr>
          <w:rFonts w:eastAsia="Times New Roman" w:cs="Times New Roman"/>
          <w:sz w:val="24"/>
          <w:szCs w:val="24"/>
          <w:lang w:val="ro-RO" w:eastAsia="ar-SA"/>
        </w:rPr>
        <w:t xml:space="preserve"> proiecte sociale, de cercetare și educaționale prin care sprijină dezvoltarea</w:t>
      </w:r>
      <w:r>
        <w:rPr>
          <w:rFonts w:eastAsia="Times New Roman" w:cs="Times New Roman"/>
          <w:sz w:val="24"/>
          <w:szCs w:val="24"/>
          <w:lang w:val="ro-RO" w:eastAsia="ar-SA"/>
        </w:rPr>
        <w:t xml:space="preserve"> economiei sociale și promovează</w:t>
      </w:r>
      <w:r w:rsidRPr="00995F0E">
        <w:rPr>
          <w:rFonts w:eastAsia="Times New Roman" w:cs="Times New Roman"/>
          <w:sz w:val="24"/>
          <w:szCs w:val="24"/>
          <w:lang w:val="ro-RO" w:eastAsia="ar-SA"/>
        </w:rPr>
        <w:t xml:space="preserve"> resursele naturale terapeutice.</w:t>
      </w:r>
    </w:p>
    <w:p w:rsidR="007175F1" w:rsidRDefault="007175F1" w:rsidP="007175F1">
      <w:pPr>
        <w:jc w:val="both"/>
        <w:rPr>
          <w:rFonts w:eastAsia="Times New Roman" w:cs="Times New Roman"/>
          <w:sz w:val="24"/>
          <w:szCs w:val="24"/>
          <w:lang w:val="ro-RO" w:eastAsia="ar-SA"/>
        </w:rPr>
      </w:pPr>
      <w:r>
        <w:rPr>
          <w:rFonts w:eastAsia="Times New Roman" w:cs="Times New Roman"/>
          <w:sz w:val="24"/>
          <w:szCs w:val="24"/>
          <w:lang w:val="ro-RO" w:eastAsia="ar-SA"/>
        </w:rPr>
        <w:t>Asociatia Română de Balneologie oferă</w:t>
      </w:r>
      <w:r w:rsidRPr="00995F0E">
        <w:rPr>
          <w:rFonts w:eastAsia="Times New Roman" w:cs="Times New Roman"/>
          <w:sz w:val="24"/>
          <w:szCs w:val="24"/>
          <w:lang w:val="ro-RO" w:eastAsia="ar-SA"/>
        </w:rPr>
        <w:t xml:space="preserve"> servicii de organizare evenimente, pub</w:t>
      </w:r>
      <w:r>
        <w:rPr>
          <w:rFonts w:eastAsia="Times New Roman" w:cs="Times New Roman"/>
          <w:sz w:val="24"/>
          <w:szCs w:val="24"/>
          <w:lang w:val="ro-RO" w:eastAsia="ar-SA"/>
        </w:rPr>
        <w:t>licitate, marketing, promovare ş</w:t>
      </w:r>
      <w:r w:rsidRPr="00995F0E">
        <w:rPr>
          <w:rFonts w:eastAsia="Times New Roman" w:cs="Times New Roman"/>
          <w:sz w:val="24"/>
          <w:szCs w:val="24"/>
          <w:lang w:val="ro-RO" w:eastAsia="ar-SA"/>
        </w:rPr>
        <w:t>i cursuri de formar</w:t>
      </w:r>
      <w:r>
        <w:rPr>
          <w:rFonts w:eastAsia="Times New Roman" w:cs="Times New Roman"/>
          <w:sz w:val="24"/>
          <w:szCs w:val="24"/>
          <w:lang w:val="ro-RO" w:eastAsia="ar-SA"/>
        </w:rPr>
        <w:t>e profesională</w:t>
      </w:r>
      <w:r w:rsidRPr="00995F0E">
        <w:rPr>
          <w:rFonts w:eastAsia="Times New Roman" w:cs="Times New Roman"/>
          <w:sz w:val="24"/>
          <w:szCs w:val="24"/>
          <w:lang w:val="ro-RO" w:eastAsia="ar-SA"/>
        </w:rPr>
        <w:t>.</w:t>
      </w:r>
      <w:r>
        <w:rPr>
          <w:rFonts w:eastAsia="Times New Roman" w:cs="Times New Roman"/>
          <w:sz w:val="24"/>
          <w:szCs w:val="24"/>
          <w:lang w:val="ro-RO" w:eastAsia="ar-SA"/>
        </w:rPr>
        <w:t xml:space="preserve"> De asemenea mai oferă şi servicii de consultanţă, elaborare de proiecte ş</w:t>
      </w:r>
      <w:r w:rsidRPr="00995F0E">
        <w:rPr>
          <w:rFonts w:eastAsia="Times New Roman" w:cs="Times New Roman"/>
          <w:sz w:val="24"/>
          <w:szCs w:val="24"/>
          <w:lang w:val="ro-RO" w:eastAsia="ar-SA"/>
        </w:rPr>
        <w:t>i management al proiectelor</w:t>
      </w:r>
      <w:r>
        <w:rPr>
          <w:rFonts w:eastAsia="Times New Roman" w:cs="Times New Roman"/>
          <w:sz w:val="24"/>
          <w:szCs w:val="24"/>
          <w:lang w:val="ro-RO" w:eastAsia="ar-SA"/>
        </w:rPr>
        <w:t xml:space="preserve"> î</w:t>
      </w:r>
      <w:r w:rsidRPr="00995F0E">
        <w:rPr>
          <w:rFonts w:eastAsia="Times New Roman" w:cs="Times New Roman"/>
          <w:sz w:val="24"/>
          <w:szCs w:val="24"/>
          <w:lang w:val="ro-RO" w:eastAsia="ar-SA"/>
        </w:rPr>
        <w:t>n cadrul Programului Operaţional Regional 2014-2020, Axa Prioritar</w:t>
      </w:r>
      <w:r>
        <w:rPr>
          <w:rFonts w:eastAsia="Times New Roman" w:cs="Times New Roman"/>
          <w:sz w:val="24"/>
          <w:szCs w:val="24"/>
          <w:lang w:val="ro-RO" w:eastAsia="ar-SA"/>
        </w:rPr>
        <w:t>ă 7, Prioritatea De Investiţ</w:t>
      </w:r>
      <w:r w:rsidRPr="00995F0E">
        <w:rPr>
          <w:rFonts w:eastAsia="Times New Roman" w:cs="Times New Roman"/>
          <w:sz w:val="24"/>
          <w:szCs w:val="24"/>
          <w:lang w:val="ro-RO" w:eastAsia="ar-SA"/>
        </w:rPr>
        <w:t>ii 7.1</w:t>
      </w:r>
      <w:r>
        <w:rPr>
          <w:rFonts w:eastAsia="Times New Roman" w:cs="Times New Roman"/>
          <w:sz w:val="24"/>
          <w:szCs w:val="24"/>
          <w:lang w:val="ro-RO" w:eastAsia="ar-SA"/>
        </w:rPr>
        <w:t>.</w:t>
      </w:r>
    </w:p>
    <w:p w:rsidR="007175F1" w:rsidRPr="00BD7888" w:rsidRDefault="007175F1" w:rsidP="007175F1">
      <w:pPr>
        <w:spacing w:after="0"/>
        <w:jc w:val="both"/>
        <w:rPr>
          <w:rFonts w:cs="Arial"/>
          <w:sz w:val="24"/>
          <w:szCs w:val="24"/>
          <w:shd w:val="clear" w:color="auto" w:fill="FFFFFF"/>
          <w:lang w:val="ro-RO"/>
        </w:rPr>
      </w:pPr>
      <w:r w:rsidRPr="00BD7888">
        <w:rPr>
          <w:rFonts w:eastAsia="Times New Roman" w:cs="Times New Roman"/>
          <w:sz w:val="24"/>
          <w:szCs w:val="24"/>
          <w:lang w:val="ro-RO" w:eastAsia="ar-SA"/>
        </w:rPr>
        <w:t xml:space="preserve">În contextul dezvoltării balneo-turismului la nivel regional s-a creat </w:t>
      </w:r>
      <w:r w:rsidRPr="00785504">
        <w:rPr>
          <w:rFonts w:eastAsia="Times New Roman" w:cs="Times New Roman"/>
          <w:b/>
          <w:sz w:val="24"/>
          <w:szCs w:val="24"/>
          <w:lang w:val="ro-RO" w:eastAsia="ar-SA"/>
        </w:rPr>
        <w:t>Clusterul Regional Balneoturistic „Transylvania”</w:t>
      </w:r>
      <w:r w:rsidRPr="00BD7888">
        <w:rPr>
          <w:rFonts w:eastAsia="Times New Roman" w:cs="Times New Roman"/>
          <w:sz w:val="24"/>
          <w:szCs w:val="24"/>
          <w:lang w:val="ro-RO" w:eastAsia="ar-SA"/>
        </w:rPr>
        <w:t xml:space="preserve">, </w:t>
      </w:r>
      <w:r w:rsidRPr="00BD7888">
        <w:rPr>
          <w:rFonts w:cs="Arial"/>
          <w:sz w:val="24"/>
          <w:szCs w:val="24"/>
          <w:shd w:val="clear" w:color="auto" w:fill="FFFFFF"/>
          <w:lang w:val="ro-RO"/>
        </w:rPr>
        <w:t>primul cluster balneo-turistic din ţara noastră</w:t>
      </w:r>
      <w:r w:rsidRPr="00BD7888">
        <w:rPr>
          <w:rFonts w:eastAsia="Times New Roman" w:cs="Times New Roman"/>
          <w:sz w:val="24"/>
          <w:szCs w:val="24"/>
          <w:lang w:val="ro-RO" w:eastAsia="ar-SA"/>
        </w:rPr>
        <w:t xml:space="preserve">. Obiectivele acestui cluster sunt </w:t>
      </w:r>
      <w:r w:rsidRPr="00BD7888">
        <w:rPr>
          <w:rFonts w:cs="Arial"/>
          <w:sz w:val="24"/>
          <w:szCs w:val="24"/>
          <w:shd w:val="clear" w:color="auto" w:fill="FFFFFF"/>
          <w:lang w:val="ro-RO"/>
        </w:rPr>
        <w:t>promovarea, sub un brand comun, a potenţialului turistic şi balnear al judeţelor din Regiunea Centru, crearea unei strategii comune de dezvoltare şi de atragere a turiştilor, precum şi a potenţialilor investitori în domeniu.</w:t>
      </w:r>
    </w:p>
    <w:p w:rsidR="007175F1" w:rsidRDefault="007175F1" w:rsidP="007175F1">
      <w:pPr>
        <w:jc w:val="both"/>
        <w:rPr>
          <w:rFonts w:cs="Arial"/>
          <w:sz w:val="24"/>
          <w:szCs w:val="24"/>
          <w:shd w:val="clear" w:color="auto" w:fill="FFFFFF"/>
          <w:lang w:val="ro-RO"/>
        </w:rPr>
      </w:pPr>
      <w:r w:rsidRPr="00BD7888">
        <w:rPr>
          <w:rFonts w:cs="Arial"/>
          <w:sz w:val="24"/>
          <w:szCs w:val="24"/>
          <w:shd w:val="clear" w:color="auto" w:fill="FFFFFF"/>
          <w:lang w:val="ro-RO"/>
        </w:rPr>
        <w:t>La acest cluster vor putea adera proprietarii de pensiuni, hoteluri şi restaurante, meşteşugarii, agenţiile de turism, autorităţile locale, centrele de cercetare şi inovare, unităţile medicale, instituţiile de învăţământ superior, asociaţiile profesionale, băncile, centrele de consultanţă, etc. dornice să-şi armonizeze interesele şi să conlucreze la nivel regional.</w:t>
      </w:r>
    </w:p>
    <w:p w:rsidR="007175F1" w:rsidRPr="00800060" w:rsidRDefault="007175F1" w:rsidP="007175F1">
      <w:pPr>
        <w:jc w:val="both"/>
        <w:rPr>
          <w:rFonts w:cs="Times New Roman"/>
          <w:b/>
          <w:bCs/>
          <w:sz w:val="28"/>
          <w:szCs w:val="28"/>
          <w:lang w:val="ro-RO"/>
        </w:rPr>
      </w:pPr>
      <w:r w:rsidRPr="00800060">
        <w:rPr>
          <w:rFonts w:cs="Times New Roman"/>
          <w:b/>
          <w:bCs/>
          <w:sz w:val="28"/>
          <w:szCs w:val="28"/>
          <w:lang w:val="ro-RO"/>
        </w:rPr>
        <w:t>Dezvoltarea turismului balnear în Regiunea Centru prin utilizarea fondurilor europene nerambursabile</w:t>
      </w:r>
    </w:p>
    <w:p w:rsidR="007175F1" w:rsidRDefault="007175F1" w:rsidP="007175F1">
      <w:pPr>
        <w:jc w:val="both"/>
        <w:rPr>
          <w:rFonts w:cs="Times New Roman"/>
          <w:sz w:val="24"/>
          <w:szCs w:val="24"/>
          <w:lang w:val="ro-RO"/>
        </w:rPr>
      </w:pPr>
      <w:r>
        <w:rPr>
          <w:rFonts w:cs="Times New Roman"/>
          <w:bCs/>
          <w:sz w:val="24"/>
          <w:szCs w:val="24"/>
          <w:lang w:val="ro-RO"/>
        </w:rPr>
        <w:t xml:space="preserve">Cu toate că judeţele Regiunii Centru stau foarte bine din punctul de vedere al resursei naturale, </w:t>
      </w:r>
      <w:r w:rsidRPr="00C71465">
        <w:rPr>
          <w:rFonts w:cs="Times New Roman"/>
          <w:bCs/>
          <w:sz w:val="24"/>
          <w:szCs w:val="24"/>
          <w:lang w:val="ro-RO"/>
        </w:rPr>
        <w:t>atrac</w:t>
      </w:r>
      <w:r>
        <w:rPr>
          <w:rFonts w:cs="Times New Roman"/>
          <w:bCs/>
          <w:sz w:val="24"/>
          <w:szCs w:val="24"/>
          <w:lang w:val="ro-RO"/>
        </w:rPr>
        <w:t xml:space="preserve">tivitate turistica a fost şi încă mai este influenţată negativ </w:t>
      </w:r>
      <w:r w:rsidRPr="00C71465">
        <w:rPr>
          <w:rFonts w:cs="Times New Roman"/>
          <w:bCs/>
          <w:sz w:val="24"/>
          <w:szCs w:val="24"/>
          <w:lang w:val="ro-RO"/>
        </w:rPr>
        <w:t>de celelalte c</w:t>
      </w:r>
      <w:r>
        <w:rPr>
          <w:rFonts w:cs="Times New Roman"/>
          <w:bCs/>
          <w:sz w:val="24"/>
          <w:szCs w:val="24"/>
          <w:lang w:val="ro-RO"/>
        </w:rPr>
        <w:t xml:space="preserve">omponente ale ofertei turistice, </w:t>
      </w:r>
      <w:r w:rsidRPr="00C71465">
        <w:rPr>
          <w:rFonts w:cs="Times New Roman"/>
          <w:bCs/>
          <w:sz w:val="24"/>
          <w:szCs w:val="24"/>
          <w:lang w:val="ro-RO"/>
        </w:rPr>
        <w:t>cum ar fi: modul defectuos de exp</w:t>
      </w:r>
      <w:r>
        <w:rPr>
          <w:rFonts w:cs="Times New Roman"/>
          <w:bCs/>
          <w:sz w:val="24"/>
          <w:szCs w:val="24"/>
          <w:lang w:val="ro-RO"/>
        </w:rPr>
        <w:t>loatare a resurselor, gradul scăzut de cunoaş</w:t>
      </w:r>
      <w:r w:rsidRPr="00C71465">
        <w:rPr>
          <w:rFonts w:cs="Times New Roman"/>
          <w:bCs/>
          <w:sz w:val="24"/>
          <w:szCs w:val="24"/>
          <w:lang w:val="ro-RO"/>
        </w:rPr>
        <w:t xml:space="preserve">tere </w:t>
      </w:r>
      <w:r>
        <w:rPr>
          <w:rFonts w:cs="Times New Roman"/>
          <w:bCs/>
          <w:sz w:val="24"/>
          <w:szCs w:val="24"/>
          <w:lang w:val="ro-RO"/>
        </w:rPr>
        <w:t>al resurselor naturale, valoarea estetică redusă</w:t>
      </w:r>
      <w:r w:rsidRPr="00C71465">
        <w:rPr>
          <w:rFonts w:cs="Times New Roman"/>
          <w:bCs/>
          <w:sz w:val="24"/>
          <w:szCs w:val="24"/>
          <w:lang w:val="ro-RO"/>
        </w:rPr>
        <w:t xml:space="preserve"> a cadrului natural, gradul ridicat de</w:t>
      </w:r>
      <w:r>
        <w:rPr>
          <w:rFonts w:cs="Times New Roman"/>
          <w:bCs/>
          <w:sz w:val="24"/>
          <w:szCs w:val="24"/>
          <w:lang w:val="ro-RO"/>
        </w:rPr>
        <w:t xml:space="preserve"> uzură fizică şi morală al bazelor de cazare şi tratament, diversitatea redusă a structurilor de alimentaţie publică, densitatea mare a construcţiilor în spaţii publice locuibile, numărul redus, calitatea şi diversitatea necorespunză</w:t>
      </w:r>
      <w:r w:rsidRPr="00C71465">
        <w:rPr>
          <w:rFonts w:cs="Times New Roman"/>
          <w:bCs/>
          <w:sz w:val="24"/>
          <w:szCs w:val="24"/>
          <w:lang w:val="ro-RO"/>
        </w:rPr>
        <w:t>toare a structurilor de</w:t>
      </w:r>
      <w:r>
        <w:rPr>
          <w:rFonts w:cs="Times New Roman"/>
          <w:bCs/>
          <w:sz w:val="24"/>
          <w:szCs w:val="24"/>
          <w:lang w:val="ro-RO"/>
        </w:rPr>
        <w:t xml:space="preserve"> agrement din majoritatea staţiunilor, comerţul general şi specific necorespunzător, calitatea improprie a dotărilor de infrastructură</w:t>
      </w:r>
      <w:r w:rsidRPr="00C71465">
        <w:rPr>
          <w:rFonts w:cs="Times New Roman"/>
          <w:bCs/>
          <w:sz w:val="24"/>
          <w:szCs w:val="24"/>
          <w:lang w:val="ro-RO"/>
        </w:rPr>
        <w:t>.</w:t>
      </w:r>
      <w:r>
        <w:rPr>
          <w:rFonts w:cs="Times New Roman"/>
          <w:bCs/>
          <w:sz w:val="24"/>
          <w:szCs w:val="24"/>
          <w:lang w:val="ro-RO"/>
        </w:rPr>
        <w:t xml:space="preserve"> </w:t>
      </w:r>
      <w:r>
        <w:rPr>
          <w:rFonts w:cs="Times New Roman"/>
          <w:sz w:val="24"/>
          <w:szCs w:val="24"/>
          <w:lang w:val="ro-RO"/>
        </w:rPr>
        <w:t xml:space="preserve">Aceste </w:t>
      </w:r>
      <w:r w:rsidRPr="00260D27">
        <w:rPr>
          <w:rFonts w:cs="Times New Roman"/>
          <w:sz w:val="24"/>
          <w:szCs w:val="24"/>
          <w:lang w:val="ro-RO"/>
        </w:rPr>
        <w:t xml:space="preserve">probleme </w:t>
      </w:r>
      <w:r>
        <w:rPr>
          <w:rFonts w:cs="Times New Roman"/>
          <w:sz w:val="24"/>
          <w:szCs w:val="24"/>
          <w:lang w:val="ro-RO"/>
        </w:rPr>
        <w:t>au încercat să fie depăşite printr-o abordare SMART de creştere a competitivităţ</w:t>
      </w:r>
      <w:r w:rsidRPr="00260D27">
        <w:rPr>
          <w:rFonts w:cs="Times New Roman"/>
          <w:sz w:val="24"/>
          <w:szCs w:val="24"/>
          <w:lang w:val="ro-RO"/>
        </w:rPr>
        <w:t>i</w:t>
      </w:r>
      <w:r>
        <w:rPr>
          <w:rFonts w:cs="Times New Roman"/>
          <w:sz w:val="24"/>
          <w:szCs w:val="24"/>
          <w:lang w:val="ro-RO"/>
        </w:rPr>
        <w:t>i, pentru a ră</w:t>
      </w:r>
      <w:r w:rsidRPr="00260D27">
        <w:rPr>
          <w:rFonts w:cs="Times New Roman"/>
          <w:sz w:val="24"/>
          <w:szCs w:val="24"/>
          <w:lang w:val="ro-RO"/>
        </w:rPr>
        <w:t>spunde obiectivului major, de atragere a unei clientele c</w:t>
      </w:r>
      <w:r>
        <w:rPr>
          <w:rFonts w:cs="Times New Roman"/>
          <w:sz w:val="24"/>
          <w:szCs w:val="24"/>
          <w:lang w:val="ro-RO"/>
        </w:rPr>
        <w:t>ât mai largi, prin distribuţia echilibrată a fondului de investiţii î</w:t>
      </w:r>
      <w:r w:rsidRPr="00260D27">
        <w:rPr>
          <w:rFonts w:cs="Times New Roman"/>
          <w:sz w:val="24"/>
          <w:szCs w:val="24"/>
          <w:lang w:val="ro-RO"/>
        </w:rPr>
        <w:t>n toate comp</w:t>
      </w:r>
      <w:r>
        <w:rPr>
          <w:rFonts w:cs="Times New Roman"/>
          <w:sz w:val="24"/>
          <w:szCs w:val="24"/>
          <w:lang w:val="ro-RO"/>
        </w:rPr>
        <w:t xml:space="preserve">onentele care </w:t>
      </w:r>
      <w:r w:rsidRPr="00477624">
        <w:rPr>
          <w:rFonts w:cs="Times New Roman"/>
          <w:sz w:val="24"/>
          <w:szCs w:val="24"/>
          <w:lang w:val="ro-RO"/>
        </w:rPr>
        <w:t>alcătuiesc produsul balnear.</w:t>
      </w:r>
    </w:p>
    <w:p w:rsidR="007175F1" w:rsidRDefault="007175F1" w:rsidP="007175F1">
      <w:pPr>
        <w:spacing w:after="0"/>
        <w:jc w:val="both"/>
        <w:rPr>
          <w:rFonts w:cs="Times New Roman"/>
          <w:sz w:val="24"/>
          <w:szCs w:val="24"/>
          <w:lang w:val="ro-RO"/>
        </w:rPr>
      </w:pPr>
      <w:r>
        <w:rPr>
          <w:rFonts w:cs="Times New Roman"/>
          <w:sz w:val="24"/>
          <w:szCs w:val="24"/>
          <w:lang w:val="ro-RO"/>
        </w:rPr>
        <w:t>În acest sens încă din anul 2006 s-au utilizat fondurile PHARE pentru reabilitarea ş</w:t>
      </w:r>
      <w:r w:rsidRPr="00C92D55">
        <w:rPr>
          <w:rFonts w:cs="Times New Roman"/>
          <w:sz w:val="24"/>
          <w:szCs w:val="24"/>
          <w:lang w:val="ro-RO"/>
        </w:rPr>
        <w:t>i dezvoltarea infrastructur</w:t>
      </w:r>
      <w:r>
        <w:rPr>
          <w:rFonts w:cs="Times New Roman"/>
          <w:sz w:val="24"/>
          <w:szCs w:val="24"/>
          <w:lang w:val="ro-RO"/>
        </w:rPr>
        <w:t>ii de turism balnear, a facilităţilor de agreement, reabilitarea legă</w:t>
      </w:r>
      <w:r w:rsidRPr="00C92D55">
        <w:rPr>
          <w:rFonts w:cs="Times New Roman"/>
          <w:sz w:val="24"/>
          <w:szCs w:val="24"/>
          <w:lang w:val="ro-RO"/>
        </w:rPr>
        <w:t xml:space="preserve">turii de transport la zonele balneare </w:t>
      </w:r>
      <w:r>
        <w:rPr>
          <w:rFonts w:cs="Times New Roman"/>
          <w:sz w:val="24"/>
          <w:szCs w:val="24"/>
          <w:lang w:val="ro-RO"/>
        </w:rPr>
        <w:t>şi creşterea atractivităţii ariilor cu potenţ</w:t>
      </w:r>
      <w:r w:rsidRPr="00C92D55">
        <w:rPr>
          <w:rFonts w:cs="Times New Roman"/>
          <w:sz w:val="24"/>
          <w:szCs w:val="24"/>
          <w:lang w:val="ro-RO"/>
        </w:rPr>
        <w:t>ial balnear natural.</w:t>
      </w:r>
      <w:r>
        <w:rPr>
          <w:rFonts w:cs="Times New Roman"/>
          <w:sz w:val="24"/>
          <w:szCs w:val="24"/>
          <w:lang w:val="ro-RO"/>
        </w:rPr>
        <w:t xml:space="preserve"> Exemple de astfel de proiecte:</w:t>
      </w:r>
    </w:p>
    <w:p w:rsidR="007175F1" w:rsidRDefault="007175F1" w:rsidP="007175F1">
      <w:pPr>
        <w:pStyle w:val="Listparagraf"/>
        <w:numPr>
          <w:ilvl w:val="0"/>
          <w:numId w:val="87"/>
        </w:numPr>
        <w:spacing w:after="0"/>
        <w:jc w:val="both"/>
        <w:rPr>
          <w:rFonts w:cs="Times New Roman"/>
          <w:sz w:val="24"/>
          <w:szCs w:val="24"/>
        </w:rPr>
      </w:pPr>
      <w:r w:rsidRPr="00C92D55">
        <w:rPr>
          <w:rFonts w:cs="Times New Roman"/>
          <w:sz w:val="24"/>
          <w:szCs w:val="24"/>
        </w:rPr>
        <w:lastRenderedPageBreak/>
        <w:t>“Reab</w:t>
      </w:r>
      <w:r>
        <w:rPr>
          <w:rFonts w:cs="Times New Roman"/>
          <w:sz w:val="24"/>
          <w:szCs w:val="24"/>
        </w:rPr>
        <w:t>ilitarea drumurilor urbane î</w:t>
      </w:r>
      <w:r w:rsidRPr="00C92D55">
        <w:rPr>
          <w:rFonts w:cs="Times New Roman"/>
          <w:sz w:val="24"/>
          <w:szCs w:val="24"/>
        </w:rPr>
        <w:t>n sta</w:t>
      </w:r>
      <w:r>
        <w:rPr>
          <w:rFonts w:cs="Times New Roman"/>
          <w:sz w:val="24"/>
          <w:szCs w:val="24"/>
        </w:rPr>
        <w:t>ţ</w:t>
      </w:r>
      <w:r w:rsidRPr="00C92D55">
        <w:rPr>
          <w:rFonts w:cs="Times New Roman"/>
          <w:sz w:val="24"/>
          <w:szCs w:val="24"/>
        </w:rPr>
        <w:t>iunea Sovata”</w:t>
      </w:r>
      <w:r>
        <w:rPr>
          <w:rFonts w:cs="Times New Roman"/>
          <w:sz w:val="24"/>
          <w:szCs w:val="24"/>
        </w:rPr>
        <w:t>;</w:t>
      </w:r>
    </w:p>
    <w:p w:rsidR="007175F1" w:rsidRDefault="007175F1" w:rsidP="007175F1">
      <w:pPr>
        <w:pStyle w:val="Listparagraf"/>
        <w:numPr>
          <w:ilvl w:val="0"/>
          <w:numId w:val="87"/>
        </w:numPr>
        <w:spacing w:after="0"/>
        <w:jc w:val="both"/>
        <w:rPr>
          <w:rFonts w:cs="Times New Roman"/>
          <w:sz w:val="24"/>
          <w:szCs w:val="24"/>
        </w:rPr>
      </w:pPr>
      <w:r w:rsidRPr="00C92D55">
        <w:rPr>
          <w:rFonts w:cs="Times New Roman"/>
          <w:sz w:val="24"/>
          <w:szCs w:val="24"/>
        </w:rPr>
        <w:t>“Reabilit</w:t>
      </w:r>
      <w:r>
        <w:rPr>
          <w:rFonts w:cs="Times New Roman"/>
          <w:sz w:val="24"/>
          <w:szCs w:val="24"/>
        </w:rPr>
        <w:t>area infrastructurii pentru creşterea atractivităţii staţiunii balneare Ocna Sibiului</w:t>
      </w:r>
      <w:r w:rsidRPr="00C92D55">
        <w:rPr>
          <w:rFonts w:cs="Times New Roman"/>
          <w:sz w:val="24"/>
          <w:szCs w:val="24"/>
        </w:rPr>
        <w:t>”</w:t>
      </w:r>
      <w:r>
        <w:rPr>
          <w:rFonts w:cs="Times New Roman"/>
          <w:sz w:val="24"/>
          <w:szCs w:val="24"/>
        </w:rPr>
        <w:t>;</w:t>
      </w:r>
    </w:p>
    <w:p w:rsidR="007175F1" w:rsidRDefault="007175F1" w:rsidP="007175F1">
      <w:pPr>
        <w:pStyle w:val="Listparagraf"/>
        <w:numPr>
          <w:ilvl w:val="0"/>
          <w:numId w:val="87"/>
        </w:numPr>
        <w:spacing w:after="0"/>
        <w:jc w:val="both"/>
        <w:rPr>
          <w:rFonts w:cs="Times New Roman"/>
          <w:sz w:val="24"/>
          <w:szCs w:val="24"/>
        </w:rPr>
      </w:pPr>
      <w:r w:rsidRPr="00C92D55">
        <w:rPr>
          <w:rFonts w:cs="Times New Roman"/>
          <w:sz w:val="24"/>
          <w:szCs w:val="24"/>
        </w:rPr>
        <w:t>“Drumul apelor minerale” – LOT 1 Covasna</w:t>
      </w:r>
      <w:r>
        <w:rPr>
          <w:rFonts w:cs="Times New Roman"/>
          <w:sz w:val="24"/>
          <w:szCs w:val="24"/>
        </w:rPr>
        <w:t>;</w:t>
      </w:r>
    </w:p>
    <w:p w:rsidR="007175F1" w:rsidRPr="00847E0C" w:rsidRDefault="007175F1" w:rsidP="007175F1">
      <w:pPr>
        <w:pStyle w:val="Listparagraf"/>
        <w:numPr>
          <w:ilvl w:val="0"/>
          <w:numId w:val="87"/>
        </w:numPr>
        <w:jc w:val="both"/>
        <w:rPr>
          <w:rFonts w:cs="Times New Roman"/>
          <w:sz w:val="24"/>
          <w:szCs w:val="24"/>
        </w:rPr>
      </w:pPr>
      <w:r w:rsidRPr="00C92D55">
        <w:rPr>
          <w:rFonts w:cs="Times New Roman"/>
          <w:sz w:val="24"/>
          <w:szCs w:val="24"/>
        </w:rPr>
        <w:t>“Drumul apelor minerale” – LOT 2 Harghita</w:t>
      </w:r>
      <w:r>
        <w:rPr>
          <w:rFonts w:cs="Times New Roman"/>
          <w:sz w:val="24"/>
          <w:szCs w:val="24"/>
        </w:rPr>
        <w:t>.</w:t>
      </w:r>
    </w:p>
    <w:p w:rsidR="007175F1" w:rsidRDefault="007175F1" w:rsidP="007175F1">
      <w:pPr>
        <w:jc w:val="both"/>
        <w:rPr>
          <w:rFonts w:cs="Times New Roman"/>
          <w:sz w:val="24"/>
          <w:szCs w:val="24"/>
          <w:lang w:val="ro-RO"/>
        </w:rPr>
      </w:pPr>
      <w:r>
        <w:rPr>
          <w:rFonts w:cs="Times New Roman"/>
          <w:sz w:val="24"/>
          <w:szCs w:val="24"/>
          <w:lang w:val="ro-RO"/>
        </w:rPr>
        <w:t>De asemenea şi p</w:t>
      </w:r>
      <w:r w:rsidRPr="00477624">
        <w:rPr>
          <w:rFonts w:cs="Times New Roman"/>
          <w:sz w:val="24"/>
          <w:szCs w:val="24"/>
          <w:lang w:val="ro-RO"/>
        </w:rPr>
        <w:t>rin Programul Operaţional Regional 2007 – 2013 au fost implementate mai multe proiecte în zonele (localităţile) cu potenţial balnear care vizau atât reabilitarea infrastructurii rutiere cât şi pentru construirea sau reabilitarea unităţilor</w:t>
      </w:r>
      <w:r>
        <w:rPr>
          <w:rFonts w:cs="Times New Roman"/>
          <w:sz w:val="24"/>
          <w:szCs w:val="24"/>
          <w:lang w:val="ro-RO"/>
        </w:rPr>
        <w:t xml:space="preserve"> de cazare. Exemple de astfel de proiecte:</w:t>
      </w:r>
    </w:p>
    <w:p w:rsidR="007175F1" w:rsidRPr="00ED3F75" w:rsidRDefault="007175F1" w:rsidP="007175F1">
      <w:pPr>
        <w:pStyle w:val="Listparagraf"/>
        <w:numPr>
          <w:ilvl w:val="0"/>
          <w:numId w:val="86"/>
        </w:numPr>
        <w:jc w:val="both"/>
        <w:rPr>
          <w:rFonts w:cs="Times New Roman"/>
          <w:sz w:val="24"/>
          <w:szCs w:val="24"/>
        </w:rPr>
      </w:pPr>
      <w:r w:rsidRPr="00ED3F75">
        <w:rPr>
          <w:rFonts w:cs="Times New Roman"/>
          <w:sz w:val="24"/>
          <w:szCs w:val="24"/>
        </w:rPr>
        <w:t>În judeţul Braşov – proiectul de modernizare a Complexului Hotelier Ciucaş prin amenajarea unei baze de agrement si SPA implementat în localitatea Băile Tuşnad</w:t>
      </w:r>
      <w:r>
        <w:rPr>
          <w:rFonts w:cs="Times New Roman"/>
          <w:sz w:val="24"/>
          <w:szCs w:val="24"/>
        </w:rPr>
        <w:t>;</w:t>
      </w:r>
    </w:p>
    <w:p w:rsidR="007175F1" w:rsidRPr="00ED3F75" w:rsidRDefault="007175F1" w:rsidP="007175F1">
      <w:pPr>
        <w:pStyle w:val="Listparagraf"/>
        <w:numPr>
          <w:ilvl w:val="0"/>
          <w:numId w:val="86"/>
        </w:numPr>
        <w:jc w:val="both"/>
        <w:rPr>
          <w:rFonts w:cs="Times New Roman"/>
          <w:sz w:val="24"/>
          <w:szCs w:val="24"/>
        </w:rPr>
      </w:pPr>
      <w:r w:rsidRPr="00ED3F75">
        <w:rPr>
          <w:rFonts w:cs="Times New Roman"/>
          <w:sz w:val="24"/>
          <w:szCs w:val="24"/>
        </w:rPr>
        <w:t xml:space="preserve">În judeţul Covasna – proiectul de modernizare a străzii Ştefan cel Mare în oraşul Covasna, proiectul de reabilitare a drumului judeţean DJ 121 şi proiectul de creare şi extindere a infrastructurii balneare şi de agrement a hotelului </w:t>
      </w:r>
      <w:r>
        <w:rPr>
          <w:rFonts w:cs="Times New Roman"/>
          <w:sz w:val="24"/>
          <w:szCs w:val="24"/>
        </w:rPr>
        <w:t>Best We</w:t>
      </w:r>
      <w:r w:rsidRPr="00ED3F75">
        <w:rPr>
          <w:rFonts w:cs="Times New Roman"/>
          <w:sz w:val="24"/>
          <w:szCs w:val="24"/>
        </w:rPr>
        <w:t>stern Balvan</w:t>
      </w:r>
      <w:r>
        <w:rPr>
          <w:rFonts w:cs="Times New Roman"/>
          <w:sz w:val="24"/>
          <w:szCs w:val="24"/>
        </w:rPr>
        <w:t>y</w:t>
      </w:r>
      <w:r w:rsidRPr="00ED3F75">
        <w:rPr>
          <w:rFonts w:cs="Times New Roman"/>
          <w:sz w:val="24"/>
          <w:szCs w:val="24"/>
        </w:rPr>
        <w:t>os</w:t>
      </w:r>
      <w:r>
        <w:rPr>
          <w:rFonts w:cs="Times New Roman"/>
          <w:sz w:val="24"/>
          <w:szCs w:val="24"/>
        </w:rPr>
        <w:t>;</w:t>
      </w:r>
    </w:p>
    <w:p w:rsidR="007175F1" w:rsidRPr="00ED3F75" w:rsidRDefault="007175F1" w:rsidP="007175F1">
      <w:pPr>
        <w:pStyle w:val="Listparagraf"/>
        <w:numPr>
          <w:ilvl w:val="0"/>
          <w:numId w:val="86"/>
        </w:numPr>
        <w:jc w:val="both"/>
        <w:rPr>
          <w:rFonts w:cs="Times New Roman"/>
          <w:sz w:val="24"/>
          <w:szCs w:val="24"/>
        </w:rPr>
      </w:pPr>
      <w:r w:rsidRPr="00ED3F75">
        <w:rPr>
          <w:rFonts w:cs="Times New Roman"/>
          <w:sz w:val="24"/>
          <w:szCs w:val="24"/>
        </w:rPr>
        <w:t xml:space="preserve">În judeţul Harghita – proiectul cu titlul “Modernizare reţea străzi în staţiunea turistică Borsec”, proiectul cu titlul “Îmbunătăţirea accesibilităţii şi amenajarea zonei turistice Harghita Băi”, proiectul de </w:t>
      </w:r>
      <w:r>
        <w:rPr>
          <w:rFonts w:cs="Times New Roman"/>
          <w:sz w:val="24"/>
          <w:szCs w:val="24"/>
        </w:rPr>
        <w:t xml:space="preserve">reabilitare a drumului judeţean DJ 123A, proiectul cu titlul </w:t>
      </w:r>
      <w:r w:rsidRPr="00ED3F75">
        <w:rPr>
          <w:rFonts w:cs="Times New Roman"/>
          <w:sz w:val="24"/>
          <w:szCs w:val="24"/>
        </w:rPr>
        <w:t xml:space="preserve">“Îmbunătăţirea accesibilităţii </w:t>
      </w:r>
      <w:r>
        <w:rPr>
          <w:rFonts w:cs="Times New Roman"/>
          <w:sz w:val="24"/>
          <w:szCs w:val="24"/>
        </w:rPr>
        <w:t>în staţiunea turistică Borsec</w:t>
      </w:r>
      <w:r w:rsidRPr="00ED3F75">
        <w:rPr>
          <w:rFonts w:cs="Times New Roman"/>
          <w:sz w:val="24"/>
          <w:szCs w:val="24"/>
        </w:rPr>
        <w:t>”</w:t>
      </w:r>
      <w:r>
        <w:rPr>
          <w:rFonts w:cs="Times New Roman"/>
          <w:sz w:val="24"/>
          <w:szCs w:val="24"/>
        </w:rPr>
        <w:t>;</w:t>
      </w:r>
    </w:p>
    <w:p w:rsidR="007175F1" w:rsidRDefault="007175F1" w:rsidP="007175F1">
      <w:pPr>
        <w:pStyle w:val="Listparagraf"/>
        <w:numPr>
          <w:ilvl w:val="0"/>
          <w:numId w:val="86"/>
        </w:numPr>
        <w:jc w:val="both"/>
        <w:rPr>
          <w:rFonts w:cs="Times New Roman"/>
          <w:sz w:val="24"/>
          <w:szCs w:val="24"/>
        </w:rPr>
      </w:pPr>
      <w:r>
        <w:rPr>
          <w:rFonts w:cs="Times New Roman"/>
          <w:sz w:val="24"/>
          <w:szCs w:val="24"/>
        </w:rPr>
        <w:t xml:space="preserve">În judeţul Mureş – proiectul </w:t>
      </w:r>
      <w:r w:rsidRPr="00ED3F75">
        <w:rPr>
          <w:rFonts w:cs="Times New Roman"/>
          <w:sz w:val="24"/>
          <w:szCs w:val="24"/>
        </w:rPr>
        <w:t>“</w:t>
      </w:r>
      <w:r>
        <w:rPr>
          <w:rFonts w:cs="Times New Roman"/>
          <w:sz w:val="24"/>
          <w:szCs w:val="24"/>
        </w:rPr>
        <w:t>Drumul sării</w:t>
      </w:r>
      <w:r w:rsidRPr="00ED3F75">
        <w:rPr>
          <w:rFonts w:cs="Times New Roman"/>
          <w:sz w:val="24"/>
          <w:szCs w:val="24"/>
        </w:rPr>
        <w:t>”</w:t>
      </w:r>
      <w:r>
        <w:rPr>
          <w:rFonts w:cs="Times New Roman"/>
          <w:sz w:val="24"/>
          <w:szCs w:val="24"/>
        </w:rPr>
        <w:t xml:space="preserve"> Sovata, proiectul cu titlul </w:t>
      </w:r>
      <w:r w:rsidRPr="00ED3F75">
        <w:rPr>
          <w:rFonts w:cs="Times New Roman"/>
          <w:sz w:val="24"/>
          <w:szCs w:val="24"/>
        </w:rPr>
        <w:t>“</w:t>
      </w:r>
      <w:r>
        <w:rPr>
          <w:rFonts w:cs="Times New Roman"/>
          <w:sz w:val="24"/>
          <w:szCs w:val="24"/>
        </w:rPr>
        <w:t>Construire ştrand şi bază de tratament – Lacul Negru - Sovata</w:t>
      </w:r>
      <w:r w:rsidRPr="00ED3F75">
        <w:rPr>
          <w:rFonts w:cs="Times New Roman"/>
          <w:sz w:val="24"/>
          <w:szCs w:val="24"/>
        </w:rPr>
        <w:t>”</w:t>
      </w:r>
      <w:r>
        <w:rPr>
          <w:rFonts w:cs="Times New Roman"/>
          <w:sz w:val="24"/>
          <w:szCs w:val="24"/>
        </w:rPr>
        <w:t>.</w:t>
      </w:r>
    </w:p>
    <w:p w:rsidR="007175F1" w:rsidRDefault="007175F1" w:rsidP="007175F1">
      <w:pPr>
        <w:jc w:val="both"/>
        <w:rPr>
          <w:rFonts w:cs="Times New Roman"/>
          <w:sz w:val="24"/>
          <w:szCs w:val="24"/>
          <w:lang w:val="ro-RO"/>
        </w:rPr>
      </w:pPr>
      <w:r>
        <w:rPr>
          <w:rFonts w:cs="Times New Roman"/>
          <w:sz w:val="24"/>
          <w:szCs w:val="24"/>
          <w:lang w:val="ro-RO"/>
        </w:rPr>
        <w:t xml:space="preserve">Oportunităţile de sprijinire a turismului balnear există şi în prezent prin finanţările din Programul Operaţional Regional 2014 – 2020, axa prioritară 7 </w:t>
      </w:r>
      <w:r w:rsidRPr="00ED3F75">
        <w:rPr>
          <w:rFonts w:cs="Times New Roman"/>
          <w:sz w:val="24"/>
          <w:szCs w:val="24"/>
          <w:lang w:val="ro-RO"/>
        </w:rPr>
        <w:t>“</w:t>
      </w:r>
      <w:r w:rsidRPr="00847E0C">
        <w:rPr>
          <w:rFonts w:cs="Times New Roman"/>
          <w:sz w:val="24"/>
          <w:szCs w:val="24"/>
          <w:lang w:val="ro-RO"/>
        </w:rPr>
        <w:t>Diversificarea economiilor locale prin dezvoltarea durabilă a turismului</w:t>
      </w:r>
      <w:r w:rsidRPr="00ED3F75">
        <w:rPr>
          <w:rFonts w:cs="Times New Roman"/>
          <w:sz w:val="24"/>
          <w:szCs w:val="24"/>
          <w:lang w:val="ro-RO"/>
        </w:rPr>
        <w:t>”</w:t>
      </w:r>
      <w:r>
        <w:rPr>
          <w:rFonts w:cs="Times New Roman"/>
          <w:sz w:val="24"/>
          <w:szCs w:val="24"/>
          <w:lang w:val="ro-RO"/>
        </w:rPr>
        <w:t>. A</w:t>
      </w:r>
      <w:r w:rsidRPr="00847E0C">
        <w:rPr>
          <w:rFonts w:cs="Times New Roman"/>
          <w:sz w:val="24"/>
          <w:szCs w:val="24"/>
          <w:lang w:val="ro-RO"/>
        </w:rPr>
        <w:t>utorități</w:t>
      </w:r>
      <w:r>
        <w:rPr>
          <w:rFonts w:cs="Times New Roman"/>
          <w:sz w:val="24"/>
          <w:szCs w:val="24"/>
          <w:lang w:val="ro-RO"/>
        </w:rPr>
        <w:t>le și instituțiile</w:t>
      </w:r>
      <w:r w:rsidRPr="00847E0C">
        <w:rPr>
          <w:rFonts w:cs="Times New Roman"/>
          <w:sz w:val="24"/>
          <w:szCs w:val="24"/>
          <w:lang w:val="ro-RO"/>
        </w:rPr>
        <w:t xml:space="preserve"> administrației</w:t>
      </w:r>
      <w:r>
        <w:rPr>
          <w:rFonts w:cs="Times New Roman"/>
          <w:sz w:val="24"/>
          <w:szCs w:val="24"/>
          <w:lang w:val="ro-RO"/>
        </w:rPr>
        <w:t xml:space="preserve"> publice locale sau</w:t>
      </w:r>
      <w:r w:rsidRPr="00847E0C">
        <w:rPr>
          <w:rFonts w:cs="Times New Roman"/>
          <w:sz w:val="24"/>
          <w:szCs w:val="24"/>
          <w:lang w:val="ro-RO"/>
        </w:rPr>
        <w:t xml:space="preserve"> parteneriate între acestea</w:t>
      </w:r>
      <w:r>
        <w:rPr>
          <w:rFonts w:cs="Times New Roman"/>
          <w:sz w:val="24"/>
          <w:szCs w:val="24"/>
          <w:lang w:val="ro-RO"/>
        </w:rPr>
        <w:t xml:space="preserve"> atât din mediul rural cât şi din mediul urban pot depune proiecte ce vizează:</w:t>
      </w:r>
    </w:p>
    <w:p w:rsidR="007175F1" w:rsidRDefault="007175F1" w:rsidP="007175F1">
      <w:pPr>
        <w:pStyle w:val="Listparagraf"/>
        <w:numPr>
          <w:ilvl w:val="0"/>
          <w:numId w:val="88"/>
        </w:numPr>
        <w:jc w:val="both"/>
        <w:rPr>
          <w:rFonts w:cs="Times New Roman"/>
          <w:sz w:val="24"/>
          <w:szCs w:val="24"/>
        </w:rPr>
      </w:pPr>
      <w:r w:rsidRPr="00563FF9">
        <w:rPr>
          <w:rFonts w:cs="Times New Roman"/>
          <w:sz w:val="24"/>
          <w:szCs w:val="24"/>
        </w:rPr>
        <w:t>dezvoltarea infrastructurii pentru turismul balnear (infrastructură rutieră, rețele de captare și transport, parcuri balneare, modernizare și creare baze de tratament)</w:t>
      </w:r>
      <w:r>
        <w:rPr>
          <w:rFonts w:cs="Times New Roman"/>
          <w:sz w:val="24"/>
          <w:szCs w:val="24"/>
        </w:rPr>
        <w:t>;</w:t>
      </w:r>
    </w:p>
    <w:p w:rsidR="007175F1" w:rsidRDefault="007175F1" w:rsidP="007175F1">
      <w:pPr>
        <w:pStyle w:val="Listparagraf"/>
        <w:numPr>
          <w:ilvl w:val="0"/>
          <w:numId w:val="88"/>
        </w:numPr>
        <w:jc w:val="both"/>
        <w:rPr>
          <w:rFonts w:cs="Times New Roman"/>
          <w:sz w:val="24"/>
          <w:szCs w:val="24"/>
        </w:rPr>
      </w:pPr>
      <w:r w:rsidRPr="00563FF9">
        <w:rPr>
          <w:rFonts w:cs="Times New Roman"/>
          <w:sz w:val="24"/>
          <w:szCs w:val="24"/>
        </w:rPr>
        <w:t>amenajarea obiectivelor turistice naturale de utilitate publică precum şi crearea/modernizarea infrastructurilor conexe de utilitate publică</w:t>
      </w:r>
      <w:r>
        <w:rPr>
          <w:rFonts w:cs="Times New Roman"/>
          <w:sz w:val="24"/>
          <w:szCs w:val="24"/>
        </w:rPr>
        <w:t>;</w:t>
      </w:r>
    </w:p>
    <w:p w:rsidR="007175F1" w:rsidRDefault="007175F1" w:rsidP="007175F1">
      <w:pPr>
        <w:pStyle w:val="Listparagraf"/>
        <w:numPr>
          <w:ilvl w:val="0"/>
          <w:numId w:val="88"/>
        </w:numPr>
        <w:jc w:val="both"/>
        <w:rPr>
          <w:rFonts w:cs="Times New Roman"/>
          <w:sz w:val="24"/>
          <w:szCs w:val="24"/>
        </w:rPr>
      </w:pPr>
      <w:r>
        <w:rPr>
          <w:rFonts w:cs="Times New Roman"/>
          <w:sz w:val="24"/>
          <w:szCs w:val="24"/>
        </w:rPr>
        <w:t>d</w:t>
      </w:r>
      <w:r w:rsidRPr="00563FF9">
        <w:rPr>
          <w:rFonts w:cs="Times New Roman"/>
          <w:sz w:val="24"/>
          <w:szCs w:val="24"/>
        </w:rPr>
        <w:t>ezvoltarea de infrastructuri publice la scară mică pentru valorificarea atracțiilor turistice</w:t>
      </w:r>
      <w:r>
        <w:rPr>
          <w:rFonts w:cs="Times New Roman"/>
          <w:sz w:val="24"/>
          <w:szCs w:val="24"/>
        </w:rPr>
        <w:t>;</w:t>
      </w:r>
    </w:p>
    <w:p w:rsidR="007175F1" w:rsidRDefault="007175F1" w:rsidP="007175F1">
      <w:pPr>
        <w:pStyle w:val="Listparagraf"/>
        <w:numPr>
          <w:ilvl w:val="0"/>
          <w:numId w:val="88"/>
        </w:numPr>
        <w:jc w:val="both"/>
        <w:rPr>
          <w:rFonts w:cs="Times New Roman"/>
          <w:sz w:val="24"/>
          <w:szCs w:val="24"/>
        </w:rPr>
      </w:pPr>
      <w:r>
        <w:rPr>
          <w:rFonts w:cs="Times New Roman"/>
          <w:sz w:val="24"/>
          <w:szCs w:val="24"/>
        </w:rPr>
        <w:t>a</w:t>
      </w:r>
      <w:r w:rsidRPr="00563FF9">
        <w:rPr>
          <w:rFonts w:cs="Times New Roman"/>
          <w:sz w:val="24"/>
          <w:szCs w:val="24"/>
        </w:rPr>
        <w:t>ctivități de marketing și promovare turistică ale obiectivului finanțat.</w:t>
      </w:r>
    </w:p>
    <w:p w:rsidR="007175F1" w:rsidRPr="001810AB" w:rsidRDefault="007175F1" w:rsidP="007175F1">
      <w:pPr>
        <w:rPr>
          <w:b/>
          <w:sz w:val="28"/>
          <w:szCs w:val="28"/>
          <w:shd w:val="clear" w:color="auto" w:fill="FFFFFF"/>
          <w:lang w:val="ro-RO"/>
        </w:rPr>
      </w:pPr>
      <w:r w:rsidRPr="001810AB">
        <w:rPr>
          <w:b/>
          <w:sz w:val="28"/>
          <w:szCs w:val="28"/>
          <w:shd w:val="clear" w:color="auto" w:fill="FFFFFF"/>
          <w:lang w:val="ro-RO"/>
        </w:rPr>
        <w:t>Formare profesională</w:t>
      </w:r>
    </w:p>
    <w:p w:rsidR="007175F1" w:rsidRDefault="007175F1" w:rsidP="007175F1">
      <w:pPr>
        <w:autoSpaceDE w:val="0"/>
        <w:autoSpaceDN w:val="0"/>
        <w:adjustRightInd w:val="0"/>
        <w:jc w:val="both"/>
        <w:rPr>
          <w:sz w:val="24"/>
          <w:szCs w:val="24"/>
          <w:lang w:val="ro-RO"/>
        </w:rPr>
      </w:pPr>
      <w:r>
        <w:rPr>
          <w:rFonts w:cs="ArialMT"/>
          <w:color w:val="1A1A1A"/>
          <w:sz w:val="24"/>
          <w:szCs w:val="24"/>
          <w:lang w:val="ro-RO"/>
        </w:rPr>
        <w:t>În R</w:t>
      </w:r>
      <w:r w:rsidRPr="00892BA2">
        <w:rPr>
          <w:rFonts w:cs="ArialMT"/>
          <w:color w:val="1A1A1A"/>
          <w:sz w:val="24"/>
          <w:szCs w:val="24"/>
          <w:lang w:val="ro-RO"/>
        </w:rPr>
        <w:t>egiune</w:t>
      </w:r>
      <w:r>
        <w:rPr>
          <w:rFonts w:cs="ArialMT"/>
          <w:color w:val="1A1A1A"/>
          <w:sz w:val="24"/>
          <w:szCs w:val="24"/>
          <w:lang w:val="ro-RO"/>
        </w:rPr>
        <w:t>a Centru</w:t>
      </w:r>
      <w:r w:rsidRPr="00892BA2">
        <w:rPr>
          <w:rFonts w:cs="ArialMT"/>
          <w:color w:val="1A1A1A"/>
          <w:sz w:val="24"/>
          <w:szCs w:val="24"/>
          <w:lang w:val="ro-RO"/>
        </w:rPr>
        <w:t xml:space="preserve"> există oportunităţi de formare profesională </w:t>
      </w:r>
      <w:r>
        <w:rPr>
          <w:rFonts w:cs="ArialMT"/>
          <w:color w:val="1A1A1A"/>
          <w:sz w:val="24"/>
          <w:szCs w:val="24"/>
          <w:lang w:val="ro-RO"/>
        </w:rPr>
        <w:t>iniţială</w:t>
      </w:r>
      <w:r w:rsidRPr="00892BA2">
        <w:rPr>
          <w:rFonts w:cs="ArialMT"/>
          <w:color w:val="1A1A1A"/>
          <w:sz w:val="24"/>
          <w:szCs w:val="24"/>
          <w:lang w:val="ro-RO"/>
        </w:rPr>
        <w:t xml:space="preserve"> şi continuă în </w:t>
      </w:r>
      <w:r>
        <w:rPr>
          <w:rFonts w:cs="ArialMT"/>
          <w:color w:val="1A1A1A"/>
          <w:sz w:val="24"/>
          <w:szCs w:val="24"/>
          <w:lang w:val="ro-RO"/>
        </w:rPr>
        <w:t>turism şi î</w:t>
      </w:r>
      <w:r w:rsidRPr="00892BA2">
        <w:rPr>
          <w:rFonts w:cs="ArialMT"/>
          <w:color w:val="1A1A1A"/>
          <w:sz w:val="24"/>
          <w:szCs w:val="24"/>
          <w:lang w:val="ro-RO"/>
        </w:rPr>
        <w:t>n</w:t>
      </w:r>
      <w:r>
        <w:rPr>
          <w:rFonts w:cs="ArialMT"/>
          <w:color w:val="1A1A1A"/>
          <w:sz w:val="24"/>
          <w:szCs w:val="24"/>
          <w:lang w:val="ro-RO"/>
        </w:rPr>
        <w:t xml:space="preserve"> </w:t>
      </w:r>
      <w:r w:rsidRPr="00892BA2">
        <w:rPr>
          <w:rFonts w:cs="ArialMT"/>
          <w:color w:val="1A1A1A"/>
          <w:sz w:val="24"/>
          <w:szCs w:val="24"/>
          <w:lang w:val="ro-RO"/>
        </w:rPr>
        <w:t>d</w:t>
      </w:r>
      <w:r>
        <w:rPr>
          <w:rFonts w:cs="ArialMT"/>
          <w:color w:val="1A1A1A"/>
          <w:sz w:val="24"/>
          <w:szCs w:val="24"/>
          <w:lang w:val="ro-RO"/>
        </w:rPr>
        <w:t>omeniul medical</w:t>
      </w:r>
      <w:r w:rsidRPr="00892BA2">
        <w:rPr>
          <w:rFonts w:cs="ArialMT"/>
          <w:color w:val="1A1A1A"/>
          <w:sz w:val="24"/>
          <w:szCs w:val="24"/>
          <w:lang w:val="ro-RO"/>
        </w:rPr>
        <w:t>. În fiecare an, universită</w:t>
      </w:r>
      <w:r w:rsidRPr="00892BA2">
        <w:rPr>
          <w:rFonts w:cs="Cambria Math"/>
          <w:color w:val="1A1A1A"/>
          <w:sz w:val="24"/>
          <w:szCs w:val="24"/>
          <w:lang w:val="ro-RO"/>
        </w:rPr>
        <w:t>ț</w:t>
      </w:r>
      <w:r w:rsidRPr="00892BA2">
        <w:rPr>
          <w:rFonts w:cs="ArialMT"/>
          <w:color w:val="1A1A1A"/>
          <w:sz w:val="24"/>
          <w:szCs w:val="24"/>
          <w:lang w:val="ro-RO"/>
        </w:rPr>
        <w:t xml:space="preserve">ile </w:t>
      </w:r>
      <w:r w:rsidRPr="00892BA2">
        <w:rPr>
          <w:rFonts w:cs="Cambria Math"/>
          <w:color w:val="1A1A1A"/>
          <w:sz w:val="24"/>
          <w:szCs w:val="24"/>
          <w:lang w:val="ro-RO"/>
        </w:rPr>
        <w:t>ș</w:t>
      </w:r>
      <w:r w:rsidRPr="00892BA2">
        <w:rPr>
          <w:rFonts w:cs="ArialMT"/>
          <w:color w:val="1A1A1A"/>
          <w:sz w:val="24"/>
          <w:szCs w:val="24"/>
          <w:lang w:val="ro-RO"/>
        </w:rPr>
        <w:t>i institu</w:t>
      </w:r>
      <w:r w:rsidRPr="00892BA2">
        <w:rPr>
          <w:rFonts w:cs="Cambria Math"/>
          <w:color w:val="1A1A1A"/>
          <w:sz w:val="24"/>
          <w:szCs w:val="24"/>
          <w:lang w:val="ro-RO"/>
        </w:rPr>
        <w:t>ț</w:t>
      </w:r>
      <w:r w:rsidRPr="00892BA2">
        <w:rPr>
          <w:rFonts w:cs="ArialMT"/>
          <w:color w:val="1A1A1A"/>
          <w:sz w:val="24"/>
          <w:szCs w:val="24"/>
          <w:lang w:val="ro-RO"/>
        </w:rPr>
        <w:t>iile de învă</w:t>
      </w:r>
      <w:r w:rsidRPr="00892BA2">
        <w:rPr>
          <w:rFonts w:cs="Cambria Math"/>
          <w:color w:val="1A1A1A"/>
          <w:sz w:val="24"/>
          <w:szCs w:val="24"/>
          <w:lang w:val="ro-RO"/>
        </w:rPr>
        <w:t>ț</w:t>
      </w:r>
      <w:r w:rsidRPr="00892BA2">
        <w:rPr>
          <w:rFonts w:cs="Times New Roman"/>
          <w:color w:val="1A1A1A"/>
          <w:sz w:val="24"/>
          <w:szCs w:val="24"/>
          <w:lang w:val="ro-RO"/>
        </w:rPr>
        <w:t>ă</w:t>
      </w:r>
      <w:r w:rsidRPr="00892BA2">
        <w:rPr>
          <w:rFonts w:cs="ArialMT"/>
          <w:color w:val="1A1A1A"/>
          <w:sz w:val="24"/>
          <w:szCs w:val="24"/>
          <w:lang w:val="ro-RO"/>
        </w:rPr>
        <w:t xml:space="preserve">mânt superior din Regiunea Centru </w:t>
      </w:r>
      <w:r>
        <w:rPr>
          <w:rFonts w:cs="ArialMT"/>
          <w:color w:val="1A1A1A"/>
          <w:sz w:val="24"/>
          <w:szCs w:val="24"/>
          <w:lang w:val="ro-RO"/>
        </w:rPr>
        <w:t>pregătesc</w:t>
      </w:r>
      <w:r w:rsidRPr="00892BA2">
        <w:rPr>
          <w:rFonts w:cs="ArialMT"/>
          <w:color w:val="1A1A1A"/>
          <w:sz w:val="24"/>
          <w:szCs w:val="24"/>
          <w:lang w:val="ro-RO"/>
        </w:rPr>
        <w:t xml:space="preserve"> tineri absolvenţi speciali</w:t>
      </w:r>
      <w:r w:rsidRPr="00892BA2">
        <w:rPr>
          <w:rFonts w:cs="Cambria Math"/>
          <w:color w:val="1A1A1A"/>
          <w:sz w:val="24"/>
          <w:szCs w:val="24"/>
          <w:lang w:val="ro-RO"/>
        </w:rPr>
        <w:t>ș</w:t>
      </w:r>
      <w:r>
        <w:rPr>
          <w:rFonts w:cs="ArialMT"/>
          <w:color w:val="1A1A1A"/>
          <w:sz w:val="24"/>
          <w:szCs w:val="24"/>
          <w:lang w:val="ro-RO"/>
        </w:rPr>
        <w:t>ti, r</w:t>
      </w:r>
      <w:r w:rsidRPr="006C4A1D">
        <w:rPr>
          <w:sz w:val="24"/>
          <w:szCs w:val="24"/>
          <w:lang w:val="ro-RO"/>
        </w:rPr>
        <w:t xml:space="preserve">edăm mai jos o listă a instituțiilor de </w:t>
      </w:r>
      <w:r w:rsidRPr="006C4A1D">
        <w:rPr>
          <w:sz w:val="24"/>
          <w:szCs w:val="24"/>
          <w:lang w:val="ro-RO"/>
        </w:rPr>
        <w:lastRenderedPageBreak/>
        <w:t>învățământ din Regiunea Centru care form</w:t>
      </w:r>
      <w:r>
        <w:rPr>
          <w:sz w:val="24"/>
          <w:szCs w:val="24"/>
          <w:lang w:val="ro-RO"/>
        </w:rPr>
        <w:t>ează personal specializat în domeniul turismului sau medicinei</w:t>
      </w:r>
      <w:r w:rsidRPr="006C4A1D">
        <w:rPr>
          <w:sz w:val="24"/>
          <w:szCs w:val="24"/>
          <w:lang w:val="ro-RO"/>
        </w:rPr>
        <w:t>:</w:t>
      </w:r>
    </w:p>
    <w:p w:rsidR="007175F1" w:rsidRPr="006C4A1D" w:rsidRDefault="007175F1" w:rsidP="007175F1">
      <w:pPr>
        <w:pStyle w:val="Listparagraf"/>
        <w:numPr>
          <w:ilvl w:val="0"/>
          <w:numId w:val="18"/>
        </w:numPr>
        <w:autoSpaceDE w:val="0"/>
        <w:spacing w:after="0"/>
        <w:jc w:val="both"/>
        <w:rPr>
          <w:sz w:val="24"/>
          <w:szCs w:val="24"/>
        </w:rPr>
      </w:pPr>
      <w:r w:rsidRPr="00AB16E2">
        <w:rPr>
          <w:b/>
          <w:sz w:val="24"/>
          <w:szCs w:val="24"/>
        </w:rPr>
        <w:t>Instituții de învățământ universitar</w:t>
      </w:r>
      <w:r w:rsidRPr="006C4A1D">
        <w:rPr>
          <w:sz w:val="24"/>
          <w:szCs w:val="24"/>
        </w:rPr>
        <w:t xml:space="preserve">: </w:t>
      </w:r>
    </w:p>
    <w:p w:rsidR="007175F1" w:rsidRPr="00DD0EAC" w:rsidRDefault="007175F1" w:rsidP="007175F1">
      <w:pPr>
        <w:pStyle w:val="Listparagraf"/>
        <w:numPr>
          <w:ilvl w:val="1"/>
          <w:numId w:val="18"/>
        </w:numPr>
        <w:autoSpaceDE w:val="0"/>
        <w:ind w:left="1260"/>
        <w:jc w:val="both"/>
        <w:rPr>
          <w:sz w:val="24"/>
          <w:szCs w:val="24"/>
        </w:rPr>
      </w:pPr>
      <w:r w:rsidRPr="00DD0EAC">
        <w:rPr>
          <w:sz w:val="24"/>
          <w:szCs w:val="24"/>
        </w:rPr>
        <w:t>Facultatea de Medicină „Victor Papilian”</w:t>
      </w:r>
      <w:r>
        <w:rPr>
          <w:sz w:val="24"/>
          <w:szCs w:val="24"/>
        </w:rPr>
        <w:t xml:space="preserve">, Universitatea </w:t>
      </w:r>
      <w:r w:rsidRPr="00D66190">
        <w:rPr>
          <w:rStyle w:val="Robust"/>
          <w:shd w:val="clear" w:color="auto" w:fill="FFFFFF"/>
        </w:rPr>
        <w:t>"</w:t>
      </w:r>
      <w:r>
        <w:rPr>
          <w:sz w:val="24"/>
          <w:szCs w:val="24"/>
        </w:rPr>
        <w:t>Lucian Blaga</w:t>
      </w:r>
      <w:r w:rsidRPr="00D66190">
        <w:rPr>
          <w:rStyle w:val="Robust"/>
          <w:shd w:val="clear" w:color="auto" w:fill="FFFFFF"/>
        </w:rPr>
        <w:t>"</w:t>
      </w:r>
      <w:r>
        <w:rPr>
          <w:sz w:val="24"/>
          <w:szCs w:val="24"/>
        </w:rPr>
        <w:t xml:space="preserve"> din Sibiu</w:t>
      </w:r>
    </w:p>
    <w:p w:rsidR="007175F1" w:rsidRDefault="007175F1" w:rsidP="007175F1">
      <w:pPr>
        <w:pStyle w:val="Listparagraf"/>
        <w:numPr>
          <w:ilvl w:val="1"/>
          <w:numId w:val="18"/>
        </w:numPr>
        <w:autoSpaceDE w:val="0"/>
        <w:spacing w:after="0"/>
        <w:ind w:left="1260"/>
        <w:jc w:val="both"/>
        <w:rPr>
          <w:sz w:val="24"/>
          <w:szCs w:val="24"/>
        </w:rPr>
      </w:pPr>
      <w:r w:rsidRPr="00DE1BED">
        <w:rPr>
          <w:sz w:val="24"/>
          <w:szCs w:val="24"/>
        </w:rPr>
        <w:t>Facultate</w:t>
      </w:r>
      <w:r>
        <w:rPr>
          <w:sz w:val="24"/>
          <w:szCs w:val="24"/>
        </w:rPr>
        <w:t xml:space="preserve">a de Medicină din Târgu-Mureş, </w:t>
      </w:r>
      <w:r w:rsidRPr="00DE1BED">
        <w:rPr>
          <w:sz w:val="24"/>
          <w:szCs w:val="24"/>
        </w:rPr>
        <w:t>Universitatea de Medicină și Farmacie din Târgu-Mureș</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Facultatea de Medicină</w:t>
      </w:r>
      <w:r>
        <w:rPr>
          <w:sz w:val="24"/>
          <w:szCs w:val="24"/>
        </w:rPr>
        <w:t xml:space="preserve">, </w:t>
      </w:r>
      <w:r w:rsidRPr="00DD0EAC">
        <w:rPr>
          <w:sz w:val="24"/>
          <w:szCs w:val="24"/>
        </w:rPr>
        <w:t>Universitatea Transilvania Braşov</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Facultatea de Alimentație și Turism</w:t>
      </w:r>
      <w:r>
        <w:rPr>
          <w:sz w:val="24"/>
          <w:szCs w:val="24"/>
        </w:rPr>
        <w:t xml:space="preserve">, </w:t>
      </w:r>
      <w:r w:rsidRPr="00DD0EAC">
        <w:rPr>
          <w:sz w:val="24"/>
          <w:szCs w:val="24"/>
        </w:rPr>
        <w:t>Universitatea Transilvania Braşov</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Facultatea De Geografia Turismului, Universitatea Creştină „Dimitrie Cantemir” Sibiu</w:t>
      </w:r>
    </w:p>
    <w:p w:rsidR="007175F1" w:rsidRPr="000012E1" w:rsidRDefault="007175F1" w:rsidP="007175F1">
      <w:pPr>
        <w:autoSpaceDE w:val="0"/>
        <w:spacing w:after="0"/>
        <w:jc w:val="both"/>
        <w:rPr>
          <w:sz w:val="24"/>
          <w:szCs w:val="24"/>
          <w:lang w:val="ro-RO"/>
        </w:rPr>
      </w:pPr>
    </w:p>
    <w:p w:rsidR="007175F1" w:rsidRDefault="007175F1" w:rsidP="007175F1">
      <w:pPr>
        <w:pStyle w:val="Listparagraf"/>
        <w:numPr>
          <w:ilvl w:val="0"/>
          <w:numId w:val="18"/>
        </w:numPr>
        <w:autoSpaceDE w:val="0"/>
        <w:spacing w:after="0"/>
        <w:jc w:val="both"/>
        <w:rPr>
          <w:sz w:val="24"/>
          <w:szCs w:val="24"/>
        </w:rPr>
      </w:pPr>
      <w:r w:rsidRPr="00AB16E2">
        <w:rPr>
          <w:b/>
          <w:sz w:val="24"/>
          <w:szCs w:val="24"/>
        </w:rPr>
        <w:t>Instituții de învățământ preuniversitar</w:t>
      </w:r>
      <w:r w:rsidRPr="006C4A1D">
        <w:rPr>
          <w:sz w:val="24"/>
          <w:szCs w:val="24"/>
        </w:rPr>
        <w:t xml:space="preserve">: </w:t>
      </w:r>
    </w:p>
    <w:p w:rsidR="007175F1" w:rsidRDefault="007175F1" w:rsidP="007175F1">
      <w:pPr>
        <w:pStyle w:val="Listparagraf"/>
        <w:autoSpaceDE w:val="0"/>
        <w:spacing w:after="0"/>
        <w:ind w:left="450"/>
        <w:jc w:val="both"/>
        <w:rPr>
          <w:sz w:val="24"/>
          <w:szCs w:val="24"/>
        </w:rPr>
      </w:pPr>
      <w:r>
        <w:rPr>
          <w:b/>
          <w:sz w:val="24"/>
          <w:szCs w:val="24"/>
        </w:rPr>
        <w:t>Specializare: Turism şi alimentaţie</w:t>
      </w:r>
    </w:p>
    <w:p w:rsidR="007175F1" w:rsidRPr="00DD0EAC" w:rsidRDefault="007175F1" w:rsidP="007175F1">
      <w:pPr>
        <w:pStyle w:val="Listparagraf"/>
        <w:numPr>
          <w:ilvl w:val="1"/>
          <w:numId w:val="18"/>
        </w:numPr>
        <w:autoSpaceDE w:val="0"/>
        <w:spacing w:after="0"/>
        <w:ind w:left="1260"/>
        <w:jc w:val="both"/>
        <w:rPr>
          <w:sz w:val="24"/>
          <w:szCs w:val="24"/>
        </w:rPr>
      </w:pPr>
      <w:r w:rsidRPr="00DD0EAC">
        <w:rPr>
          <w:sz w:val="24"/>
          <w:szCs w:val="24"/>
        </w:rPr>
        <w:t>Colegiul Economic "Dionisie Pop Marţian" Alba Iulia, jud. Alba</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 xml:space="preserve">Colegiul "Aurel Vijoli" Făgăraş, jud. Braşov </w:t>
      </w:r>
    </w:p>
    <w:p w:rsidR="007175F1" w:rsidRDefault="007175F1" w:rsidP="007175F1">
      <w:pPr>
        <w:pStyle w:val="Listparagraf"/>
        <w:numPr>
          <w:ilvl w:val="1"/>
          <w:numId w:val="18"/>
        </w:numPr>
        <w:autoSpaceDE w:val="0"/>
        <w:spacing w:after="0"/>
        <w:ind w:left="1260"/>
        <w:jc w:val="both"/>
        <w:rPr>
          <w:sz w:val="24"/>
          <w:szCs w:val="24"/>
        </w:rPr>
      </w:pPr>
      <w:r>
        <w:rPr>
          <w:sz w:val="24"/>
          <w:szCs w:val="24"/>
        </w:rPr>
        <w:t>Colegiul Naţional Economic "Andrei Bârseanu" Braş</w:t>
      </w:r>
      <w:r w:rsidRPr="007D638D">
        <w:rPr>
          <w:sz w:val="24"/>
          <w:szCs w:val="24"/>
        </w:rPr>
        <w:t>ov</w:t>
      </w:r>
      <w:r w:rsidRPr="00DD0EAC">
        <w:rPr>
          <w:sz w:val="24"/>
          <w:szCs w:val="24"/>
        </w:rPr>
        <w:t>, jud. Braşov</w:t>
      </w:r>
    </w:p>
    <w:p w:rsidR="007175F1" w:rsidRDefault="007175F1" w:rsidP="007175F1">
      <w:pPr>
        <w:pStyle w:val="Listparagraf"/>
        <w:numPr>
          <w:ilvl w:val="1"/>
          <w:numId w:val="18"/>
        </w:numPr>
        <w:autoSpaceDE w:val="0"/>
        <w:spacing w:after="0"/>
        <w:ind w:left="1260"/>
        <w:jc w:val="both"/>
        <w:rPr>
          <w:sz w:val="24"/>
          <w:szCs w:val="24"/>
        </w:rPr>
      </w:pPr>
      <w:r w:rsidRPr="007D638D">
        <w:rPr>
          <w:sz w:val="24"/>
          <w:szCs w:val="24"/>
        </w:rPr>
        <w:t xml:space="preserve">Colegiul Tehnic "Maria Baiulescu" </w:t>
      </w:r>
      <w:r>
        <w:rPr>
          <w:sz w:val="24"/>
          <w:szCs w:val="24"/>
        </w:rPr>
        <w:t>Braş</w:t>
      </w:r>
      <w:r w:rsidRPr="007D638D">
        <w:rPr>
          <w:sz w:val="24"/>
          <w:szCs w:val="24"/>
        </w:rPr>
        <w:t>ov</w:t>
      </w:r>
      <w:r w:rsidRPr="00DD0EAC">
        <w:rPr>
          <w:sz w:val="24"/>
          <w:szCs w:val="24"/>
        </w:rPr>
        <w:t>, jud. Braşov</w:t>
      </w:r>
    </w:p>
    <w:p w:rsidR="007175F1" w:rsidRDefault="007175F1" w:rsidP="007175F1">
      <w:pPr>
        <w:pStyle w:val="Listparagraf"/>
        <w:numPr>
          <w:ilvl w:val="1"/>
          <w:numId w:val="18"/>
        </w:numPr>
        <w:autoSpaceDE w:val="0"/>
        <w:spacing w:after="0"/>
        <w:ind w:left="1260"/>
        <w:jc w:val="both"/>
        <w:rPr>
          <w:sz w:val="24"/>
          <w:szCs w:val="24"/>
        </w:rPr>
      </w:pPr>
      <w:r>
        <w:rPr>
          <w:sz w:val="24"/>
          <w:szCs w:val="24"/>
        </w:rPr>
        <w:t>Liceul Tehnologic Râş</w:t>
      </w:r>
      <w:r w:rsidRPr="007D638D">
        <w:rPr>
          <w:sz w:val="24"/>
          <w:szCs w:val="24"/>
        </w:rPr>
        <w:t>nov</w:t>
      </w:r>
      <w:r w:rsidRPr="00DD0EAC">
        <w:rPr>
          <w:sz w:val="24"/>
          <w:szCs w:val="24"/>
        </w:rPr>
        <w:t>, jud. Braşov</w:t>
      </w:r>
    </w:p>
    <w:p w:rsidR="007175F1" w:rsidRPr="00DD0EAC" w:rsidRDefault="007175F1" w:rsidP="007175F1">
      <w:pPr>
        <w:pStyle w:val="Listparagraf"/>
        <w:numPr>
          <w:ilvl w:val="1"/>
          <w:numId w:val="18"/>
        </w:numPr>
        <w:autoSpaceDE w:val="0"/>
        <w:spacing w:after="0"/>
        <w:ind w:left="1260"/>
        <w:jc w:val="both"/>
        <w:rPr>
          <w:sz w:val="24"/>
          <w:szCs w:val="24"/>
        </w:rPr>
      </w:pPr>
      <w:r>
        <w:rPr>
          <w:sz w:val="24"/>
          <w:szCs w:val="24"/>
        </w:rPr>
        <w:t>Colegiul Tehnic "D</w:t>
      </w:r>
      <w:r w:rsidRPr="007D26F9">
        <w:rPr>
          <w:sz w:val="24"/>
          <w:szCs w:val="24"/>
        </w:rPr>
        <w:t xml:space="preserve">r. Alexandru </w:t>
      </w:r>
      <w:r>
        <w:rPr>
          <w:sz w:val="24"/>
          <w:szCs w:val="24"/>
        </w:rPr>
        <w:t>Bărbat" V</w:t>
      </w:r>
      <w:r w:rsidRPr="007D26F9">
        <w:rPr>
          <w:sz w:val="24"/>
          <w:szCs w:val="24"/>
        </w:rPr>
        <w:t>ictoria</w:t>
      </w:r>
      <w:r w:rsidRPr="00DD0EAC">
        <w:rPr>
          <w:sz w:val="24"/>
          <w:szCs w:val="24"/>
        </w:rPr>
        <w:t>, jud. Braşov</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Liceul Tehnologic Economic-administrativ "Berde Aron" Sfântu Gheorghe, jud. Covasna</w:t>
      </w:r>
    </w:p>
    <w:p w:rsidR="007175F1" w:rsidRDefault="007175F1" w:rsidP="007175F1">
      <w:pPr>
        <w:pStyle w:val="Listparagraf"/>
        <w:numPr>
          <w:ilvl w:val="1"/>
          <w:numId w:val="18"/>
        </w:numPr>
        <w:autoSpaceDE w:val="0"/>
        <w:spacing w:after="0"/>
        <w:ind w:left="1260"/>
        <w:jc w:val="both"/>
        <w:rPr>
          <w:sz w:val="24"/>
          <w:szCs w:val="24"/>
        </w:rPr>
      </w:pPr>
      <w:r w:rsidRPr="007D26F9">
        <w:rPr>
          <w:sz w:val="24"/>
          <w:szCs w:val="24"/>
        </w:rPr>
        <w:t>Liceul Tehnologic "Baroti Szabo David" Baraolt</w:t>
      </w:r>
      <w:r w:rsidRPr="00DD0EAC">
        <w:rPr>
          <w:sz w:val="24"/>
          <w:szCs w:val="24"/>
        </w:rPr>
        <w:t>, jud. Covasna</w:t>
      </w:r>
    </w:p>
    <w:p w:rsidR="007175F1" w:rsidRPr="00DD0EAC" w:rsidRDefault="007175F1" w:rsidP="007175F1">
      <w:pPr>
        <w:pStyle w:val="Listparagraf"/>
        <w:numPr>
          <w:ilvl w:val="1"/>
          <w:numId w:val="18"/>
        </w:numPr>
        <w:autoSpaceDE w:val="0"/>
        <w:spacing w:after="0"/>
        <w:ind w:left="1260"/>
        <w:jc w:val="both"/>
        <w:rPr>
          <w:sz w:val="24"/>
          <w:szCs w:val="24"/>
        </w:rPr>
      </w:pPr>
      <w:r w:rsidRPr="007D26F9">
        <w:rPr>
          <w:sz w:val="24"/>
          <w:szCs w:val="24"/>
        </w:rPr>
        <w:t>Liceul Tehnologic "Kos Karoly" Odorheiu Secuiesc</w:t>
      </w:r>
      <w:r w:rsidRPr="00DD0EAC">
        <w:rPr>
          <w:sz w:val="24"/>
          <w:szCs w:val="24"/>
        </w:rPr>
        <w:t>, jud. Harghita</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Liceul Tehnologic "Joannes Kajoni" Miercurea Ciuc, jud. Harghita</w:t>
      </w:r>
    </w:p>
    <w:p w:rsidR="007175F1" w:rsidRDefault="007175F1" w:rsidP="007175F1">
      <w:pPr>
        <w:pStyle w:val="Listparagraf"/>
        <w:numPr>
          <w:ilvl w:val="1"/>
          <w:numId w:val="18"/>
        </w:numPr>
        <w:autoSpaceDE w:val="0"/>
        <w:spacing w:after="0"/>
        <w:ind w:left="1260"/>
        <w:jc w:val="both"/>
        <w:rPr>
          <w:sz w:val="24"/>
          <w:szCs w:val="24"/>
        </w:rPr>
      </w:pPr>
      <w:r w:rsidRPr="007D26F9">
        <w:rPr>
          <w:sz w:val="24"/>
          <w:szCs w:val="24"/>
        </w:rPr>
        <w:t>Colegiul Tehnic "Batthyany Ignac" Gheorgheni</w:t>
      </w:r>
      <w:r w:rsidRPr="00DD0EAC">
        <w:rPr>
          <w:sz w:val="24"/>
          <w:szCs w:val="24"/>
        </w:rPr>
        <w:t>, jud. Harghita</w:t>
      </w:r>
    </w:p>
    <w:p w:rsidR="007175F1" w:rsidRDefault="007175F1" w:rsidP="007175F1">
      <w:pPr>
        <w:pStyle w:val="Listparagraf"/>
        <w:numPr>
          <w:ilvl w:val="1"/>
          <w:numId w:val="18"/>
        </w:numPr>
        <w:autoSpaceDE w:val="0"/>
        <w:spacing w:after="0"/>
        <w:ind w:left="1260"/>
        <w:jc w:val="both"/>
        <w:rPr>
          <w:sz w:val="24"/>
          <w:szCs w:val="24"/>
        </w:rPr>
      </w:pPr>
      <w:r w:rsidRPr="007D26F9">
        <w:rPr>
          <w:sz w:val="24"/>
          <w:szCs w:val="24"/>
        </w:rPr>
        <w:t>Liceul Tehnologic "Tivai Nagy Imre" S</w:t>
      </w:r>
      <w:r>
        <w:rPr>
          <w:sz w:val="24"/>
          <w:szCs w:val="24"/>
        </w:rPr>
        <w:t>â</w:t>
      </w:r>
      <w:r w:rsidRPr="007D26F9">
        <w:rPr>
          <w:sz w:val="24"/>
          <w:szCs w:val="24"/>
        </w:rPr>
        <w:t>nmartin</w:t>
      </w:r>
      <w:r w:rsidRPr="00DD0EAC">
        <w:rPr>
          <w:sz w:val="24"/>
          <w:szCs w:val="24"/>
        </w:rPr>
        <w:t>, jud. Harghita</w:t>
      </w:r>
    </w:p>
    <w:p w:rsidR="007175F1" w:rsidRDefault="007175F1" w:rsidP="007175F1">
      <w:pPr>
        <w:pStyle w:val="Listparagraf"/>
        <w:numPr>
          <w:ilvl w:val="1"/>
          <w:numId w:val="18"/>
        </w:numPr>
        <w:autoSpaceDE w:val="0"/>
        <w:spacing w:after="0"/>
        <w:ind w:left="1260"/>
        <w:jc w:val="both"/>
        <w:rPr>
          <w:sz w:val="24"/>
          <w:szCs w:val="24"/>
        </w:rPr>
      </w:pPr>
      <w:r w:rsidRPr="007D26F9">
        <w:rPr>
          <w:sz w:val="24"/>
          <w:szCs w:val="24"/>
        </w:rPr>
        <w:t>Liceul Tehnologic Corund</w:t>
      </w:r>
      <w:r w:rsidRPr="00DD0EAC">
        <w:rPr>
          <w:sz w:val="24"/>
          <w:szCs w:val="24"/>
        </w:rPr>
        <w:t>, jud. Harghita</w:t>
      </w:r>
    </w:p>
    <w:p w:rsidR="007175F1" w:rsidRPr="00DD0EAC" w:rsidRDefault="007175F1" w:rsidP="007175F1">
      <w:pPr>
        <w:pStyle w:val="Listparagraf"/>
        <w:numPr>
          <w:ilvl w:val="1"/>
          <w:numId w:val="18"/>
        </w:numPr>
        <w:autoSpaceDE w:val="0"/>
        <w:spacing w:after="0"/>
        <w:ind w:left="1260"/>
        <w:jc w:val="both"/>
        <w:rPr>
          <w:sz w:val="24"/>
          <w:szCs w:val="24"/>
        </w:rPr>
      </w:pPr>
      <w:r w:rsidRPr="007D26F9">
        <w:rPr>
          <w:sz w:val="24"/>
          <w:szCs w:val="24"/>
        </w:rPr>
        <w:t>Liceul Tehnologic "Zimmethausen" Borsec</w:t>
      </w:r>
      <w:r w:rsidRPr="00DD0EAC">
        <w:rPr>
          <w:sz w:val="24"/>
          <w:szCs w:val="24"/>
        </w:rPr>
        <w:t>, jud. Harghita</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Liceul Tehnologic "Domokos Kazmer" Sovata, jud. Mureş</w:t>
      </w:r>
    </w:p>
    <w:p w:rsidR="007175F1" w:rsidRDefault="007175F1" w:rsidP="007175F1">
      <w:pPr>
        <w:pStyle w:val="Listparagraf"/>
        <w:numPr>
          <w:ilvl w:val="1"/>
          <w:numId w:val="18"/>
        </w:numPr>
        <w:autoSpaceDE w:val="0"/>
        <w:spacing w:after="0"/>
        <w:ind w:left="1260"/>
        <w:jc w:val="both"/>
        <w:rPr>
          <w:sz w:val="24"/>
          <w:szCs w:val="24"/>
        </w:rPr>
      </w:pPr>
      <w:r w:rsidRPr="007D26F9">
        <w:rPr>
          <w:sz w:val="24"/>
          <w:szCs w:val="24"/>
        </w:rPr>
        <w:t>Colegiul Economic "Transilvania" T</w:t>
      </w:r>
      <w:r>
        <w:rPr>
          <w:sz w:val="24"/>
          <w:szCs w:val="24"/>
        </w:rPr>
        <w:t>âr</w:t>
      </w:r>
      <w:r w:rsidRPr="007D26F9">
        <w:rPr>
          <w:sz w:val="24"/>
          <w:szCs w:val="24"/>
        </w:rPr>
        <w:t>g</w:t>
      </w:r>
      <w:r>
        <w:rPr>
          <w:sz w:val="24"/>
          <w:szCs w:val="24"/>
        </w:rPr>
        <w:t>u Mureş</w:t>
      </w:r>
      <w:r w:rsidRPr="00DD0EAC">
        <w:rPr>
          <w:sz w:val="24"/>
          <w:szCs w:val="24"/>
        </w:rPr>
        <w:t>, jud. Mureş</w:t>
      </w:r>
    </w:p>
    <w:p w:rsidR="007175F1" w:rsidRDefault="007175F1" w:rsidP="007175F1">
      <w:pPr>
        <w:pStyle w:val="Listparagraf"/>
        <w:numPr>
          <w:ilvl w:val="1"/>
          <w:numId w:val="18"/>
        </w:numPr>
        <w:autoSpaceDE w:val="0"/>
        <w:spacing w:after="0"/>
        <w:ind w:left="1260"/>
        <w:jc w:val="both"/>
        <w:rPr>
          <w:sz w:val="24"/>
          <w:szCs w:val="24"/>
        </w:rPr>
      </w:pPr>
      <w:r>
        <w:rPr>
          <w:sz w:val="24"/>
          <w:szCs w:val="24"/>
        </w:rPr>
        <w:t>Liceul Tehnologic "Electromureş</w:t>
      </w:r>
      <w:r w:rsidRPr="007D26F9">
        <w:rPr>
          <w:sz w:val="24"/>
          <w:szCs w:val="24"/>
        </w:rPr>
        <w:t>" T</w:t>
      </w:r>
      <w:r>
        <w:rPr>
          <w:sz w:val="24"/>
          <w:szCs w:val="24"/>
        </w:rPr>
        <w:t>âr</w:t>
      </w:r>
      <w:r w:rsidRPr="007D26F9">
        <w:rPr>
          <w:sz w:val="24"/>
          <w:szCs w:val="24"/>
        </w:rPr>
        <w:t>g</w:t>
      </w:r>
      <w:r>
        <w:rPr>
          <w:sz w:val="24"/>
          <w:szCs w:val="24"/>
        </w:rPr>
        <w:t>u Mureş</w:t>
      </w:r>
      <w:r w:rsidRPr="00DD0EAC">
        <w:rPr>
          <w:sz w:val="24"/>
          <w:szCs w:val="24"/>
        </w:rPr>
        <w:t>, jud. Mureş</w:t>
      </w:r>
    </w:p>
    <w:p w:rsidR="007175F1" w:rsidRPr="00DD0EAC" w:rsidRDefault="007175F1" w:rsidP="007175F1">
      <w:pPr>
        <w:pStyle w:val="Listparagraf"/>
        <w:numPr>
          <w:ilvl w:val="1"/>
          <w:numId w:val="18"/>
        </w:numPr>
        <w:autoSpaceDE w:val="0"/>
        <w:spacing w:after="0"/>
        <w:ind w:left="1260"/>
        <w:jc w:val="both"/>
        <w:rPr>
          <w:sz w:val="24"/>
          <w:szCs w:val="24"/>
        </w:rPr>
      </w:pPr>
      <w:r w:rsidRPr="007D26F9">
        <w:rPr>
          <w:sz w:val="24"/>
          <w:szCs w:val="24"/>
        </w:rPr>
        <w:t>Liceul Tehnologic "Lucian Blaga" Reghin</w:t>
      </w:r>
      <w:r w:rsidRPr="00DD0EAC">
        <w:rPr>
          <w:sz w:val="24"/>
          <w:szCs w:val="24"/>
        </w:rPr>
        <w:t>, jud. Mureş</w:t>
      </w:r>
    </w:p>
    <w:p w:rsidR="007175F1" w:rsidRDefault="007175F1" w:rsidP="007175F1">
      <w:pPr>
        <w:pStyle w:val="Listparagraf"/>
        <w:numPr>
          <w:ilvl w:val="1"/>
          <w:numId w:val="18"/>
        </w:numPr>
        <w:autoSpaceDE w:val="0"/>
        <w:spacing w:after="0"/>
        <w:ind w:left="1260"/>
        <w:jc w:val="both"/>
        <w:rPr>
          <w:sz w:val="24"/>
          <w:szCs w:val="24"/>
        </w:rPr>
      </w:pPr>
      <w:r w:rsidRPr="00DD0EAC">
        <w:rPr>
          <w:sz w:val="24"/>
          <w:szCs w:val="24"/>
        </w:rPr>
        <w:t>Colegiul Economic "G. Bariţiu" Sibiu, jud. Sibiu</w:t>
      </w:r>
    </w:p>
    <w:p w:rsidR="007175F1" w:rsidRDefault="007175F1" w:rsidP="007175F1">
      <w:pPr>
        <w:pStyle w:val="Listparagraf"/>
        <w:numPr>
          <w:ilvl w:val="1"/>
          <w:numId w:val="18"/>
        </w:numPr>
        <w:autoSpaceDE w:val="0"/>
        <w:spacing w:after="0"/>
        <w:ind w:left="1260"/>
        <w:jc w:val="both"/>
        <w:rPr>
          <w:sz w:val="24"/>
          <w:szCs w:val="24"/>
        </w:rPr>
      </w:pPr>
      <w:r>
        <w:rPr>
          <w:sz w:val="24"/>
          <w:szCs w:val="24"/>
        </w:rPr>
        <w:t>Colegiul Tehnic "Independenţ</w:t>
      </w:r>
      <w:r w:rsidRPr="005E42E6">
        <w:rPr>
          <w:sz w:val="24"/>
          <w:szCs w:val="24"/>
        </w:rPr>
        <w:t xml:space="preserve">a" </w:t>
      </w:r>
      <w:r w:rsidRPr="00DD0EAC">
        <w:rPr>
          <w:sz w:val="24"/>
          <w:szCs w:val="24"/>
        </w:rPr>
        <w:t>Sibiu, jud. Sibiu</w:t>
      </w:r>
    </w:p>
    <w:p w:rsidR="007175F1" w:rsidRDefault="007175F1" w:rsidP="007175F1">
      <w:pPr>
        <w:pStyle w:val="Listparagraf"/>
        <w:numPr>
          <w:ilvl w:val="1"/>
          <w:numId w:val="18"/>
        </w:numPr>
        <w:autoSpaceDE w:val="0"/>
        <w:spacing w:after="0"/>
        <w:ind w:left="1260"/>
        <w:jc w:val="both"/>
        <w:rPr>
          <w:sz w:val="24"/>
          <w:szCs w:val="24"/>
        </w:rPr>
      </w:pPr>
      <w:r w:rsidRPr="007D26F9">
        <w:rPr>
          <w:sz w:val="24"/>
          <w:szCs w:val="24"/>
        </w:rPr>
        <w:t>Liceu</w:t>
      </w:r>
      <w:r>
        <w:rPr>
          <w:sz w:val="24"/>
          <w:szCs w:val="24"/>
        </w:rPr>
        <w:t>l Tehnologic "Johannes Lebel" Tă</w:t>
      </w:r>
      <w:r w:rsidRPr="007D26F9">
        <w:rPr>
          <w:sz w:val="24"/>
          <w:szCs w:val="24"/>
        </w:rPr>
        <w:t>lmaciu</w:t>
      </w:r>
      <w:r w:rsidRPr="00DD0EAC">
        <w:rPr>
          <w:sz w:val="24"/>
          <w:szCs w:val="24"/>
        </w:rPr>
        <w:t>, jud. Sibiu</w:t>
      </w:r>
    </w:p>
    <w:p w:rsidR="007175F1" w:rsidRPr="00D423C1" w:rsidRDefault="007175F1" w:rsidP="007175F1">
      <w:pPr>
        <w:jc w:val="both"/>
        <w:rPr>
          <w:sz w:val="24"/>
          <w:szCs w:val="24"/>
          <w:lang w:val="ro-RO"/>
        </w:rPr>
      </w:pPr>
      <w:r>
        <w:rPr>
          <w:b/>
          <w:sz w:val="24"/>
          <w:szCs w:val="24"/>
          <w:lang w:val="ro-RO"/>
        </w:rPr>
        <w:t>Punctele forte ale nivelul</w:t>
      </w:r>
      <w:r w:rsidRPr="00D423C1">
        <w:rPr>
          <w:sz w:val="24"/>
          <w:szCs w:val="24"/>
          <w:lang w:val="ro-RO"/>
        </w:rPr>
        <w:t xml:space="preserve"> </w:t>
      </w:r>
      <w:r w:rsidRPr="00D423C1">
        <w:rPr>
          <w:b/>
          <w:sz w:val="24"/>
          <w:szCs w:val="24"/>
          <w:lang w:val="ro-RO"/>
        </w:rPr>
        <w:t>Regiun</w:t>
      </w:r>
      <w:r>
        <w:rPr>
          <w:b/>
          <w:sz w:val="24"/>
          <w:szCs w:val="24"/>
          <w:lang w:val="ro-RO"/>
        </w:rPr>
        <w:t>ii</w:t>
      </w:r>
      <w:r w:rsidRPr="00D423C1">
        <w:rPr>
          <w:b/>
          <w:sz w:val="24"/>
          <w:szCs w:val="24"/>
          <w:lang w:val="ro-RO"/>
        </w:rPr>
        <w:t xml:space="preserve"> Centru</w:t>
      </w:r>
      <w:r>
        <w:rPr>
          <w:b/>
          <w:sz w:val="24"/>
          <w:szCs w:val="24"/>
          <w:lang w:val="ro-RO"/>
        </w:rPr>
        <w:t xml:space="preserve"> în domeniul turismului balnear</w:t>
      </w:r>
      <w:r w:rsidRPr="00D423C1">
        <w:rPr>
          <w:sz w:val="24"/>
          <w:szCs w:val="24"/>
          <w:lang w:val="ro-RO"/>
        </w:rPr>
        <w:t>:</w:t>
      </w:r>
    </w:p>
    <w:p w:rsidR="007175F1" w:rsidRPr="00182DCB" w:rsidRDefault="007175F1" w:rsidP="007175F1">
      <w:pPr>
        <w:pStyle w:val="Default"/>
        <w:numPr>
          <w:ilvl w:val="0"/>
          <w:numId w:val="27"/>
        </w:numPr>
        <w:spacing w:line="276" w:lineRule="auto"/>
        <w:jc w:val="both"/>
        <w:rPr>
          <w:rFonts w:asciiTheme="minorHAnsi" w:hAnsiTheme="minorHAnsi" w:cs="Arial"/>
          <w:bCs/>
          <w:color w:val="auto"/>
          <w:shd w:val="clear" w:color="auto" w:fill="FFFFFF"/>
        </w:rPr>
      </w:pPr>
      <w:r>
        <w:rPr>
          <w:rFonts w:asciiTheme="minorHAnsi" w:hAnsiTheme="minorHAnsi"/>
        </w:rPr>
        <w:t>pe teritoriul României se afla</w:t>
      </w:r>
      <w:r w:rsidRPr="00D423C1">
        <w:rPr>
          <w:rFonts w:asciiTheme="minorHAnsi" w:hAnsiTheme="minorHAnsi"/>
        </w:rPr>
        <w:t xml:space="preserve"> o treime din apele minerale existe</w:t>
      </w:r>
      <w:r>
        <w:rPr>
          <w:rFonts w:asciiTheme="minorHAnsi" w:hAnsiTheme="minorHAnsi"/>
        </w:rPr>
        <w:t xml:space="preserve">nte în Europa </w:t>
      </w:r>
      <w:r w:rsidRPr="00D423C1">
        <w:rPr>
          <w:rFonts w:asciiTheme="minorHAnsi" w:hAnsiTheme="minorHAnsi"/>
        </w:rPr>
        <w:t xml:space="preserve">dar şi prin cea mai mare diversitate de factori naturali de cură dintre care unii cu valoare de </w:t>
      </w:r>
      <w:r w:rsidRPr="00D423C1">
        <w:rPr>
          <w:rFonts w:asciiTheme="minorHAnsi" w:hAnsiTheme="minorHAnsi"/>
        </w:rPr>
        <w:lastRenderedPageBreak/>
        <w:t>unicat sau puţin răspândiţi în Europa</w:t>
      </w:r>
      <w:r>
        <w:rPr>
          <w:rFonts w:asciiTheme="minorHAnsi" w:hAnsiTheme="minorHAnsi"/>
        </w:rPr>
        <w:t>, iar majoritatea se găsesc pe teritoriul Regiunii Centru;</w:t>
      </w:r>
    </w:p>
    <w:p w:rsidR="007175F1" w:rsidRPr="0025192D" w:rsidRDefault="007175F1" w:rsidP="007175F1">
      <w:pPr>
        <w:pStyle w:val="Default"/>
        <w:numPr>
          <w:ilvl w:val="0"/>
          <w:numId w:val="27"/>
        </w:numPr>
        <w:spacing w:line="276" w:lineRule="auto"/>
        <w:jc w:val="both"/>
        <w:rPr>
          <w:rFonts w:asciiTheme="minorHAnsi" w:hAnsiTheme="minorHAnsi" w:cs="Arial"/>
          <w:bCs/>
          <w:color w:val="auto"/>
          <w:shd w:val="clear" w:color="auto" w:fill="FFFFFF"/>
        </w:rPr>
      </w:pPr>
      <w:r>
        <w:rPr>
          <w:rFonts w:asciiTheme="minorHAnsi" w:hAnsiTheme="minorHAnsi"/>
        </w:rPr>
        <w:t>tradiţie în practicarea turismului balnear pe teritoriul Regiunii Centru, e</w:t>
      </w:r>
      <w:r w:rsidRPr="00182DCB">
        <w:rPr>
          <w:rFonts w:asciiTheme="minorHAnsi" w:hAnsiTheme="minorHAnsi"/>
        </w:rPr>
        <w:t>lementele ale turismului în România sunt atestate documentar în trecut, când a apărut turismul balnear, acesta fiind menţionat în localităţile</w:t>
      </w:r>
      <w:r>
        <w:rPr>
          <w:rFonts w:asciiTheme="minorHAnsi" w:hAnsiTheme="minorHAnsi"/>
        </w:rPr>
        <w:t xml:space="preserve"> Bazna în secolul al XVII-lea şi </w:t>
      </w:r>
      <w:r w:rsidRPr="00182DCB">
        <w:rPr>
          <w:rFonts w:asciiTheme="minorHAnsi" w:hAnsiTheme="minorHAnsi"/>
        </w:rPr>
        <w:t>Borsec în 1770</w:t>
      </w:r>
      <w:r>
        <w:rPr>
          <w:rFonts w:asciiTheme="minorHAnsi" w:hAnsiTheme="minorHAnsi"/>
        </w:rPr>
        <w:t>;</w:t>
      </w:r>
    </w:p>
    <w:p w:rsidR="007175F1" w:rsidRPr="00D423C1" w:rsidRDefault="007175F1" w:rsidP="007175F1">
      <w:pPr>
        <w:pStyle w:val="Default"/>
        <w:numPr>
          <w:ilvl w:val="0"/>
          <w:numId w:val="27"/>
        </w:numPr>
        <w:spacing w:line="276" w:lineRule="auto"/>
        <w:jc w:val="both"/>
        <w:rPr>
          <w:rFonts w:asciiTheme="minorHAnsi" w:hAnsiTheme="minorHAnsi" w:cs="Arial"/>
          <w:bCs/>
          <w:color w:val="auto"/>
          <w:shd w:val="clear" w:color="auto" w:fill="FFFFFF"/>
        </w:rPr>
      </w:pPr>
      <w:r w:rsidRPr="00D423C1">
        <w:rPr>
          <w:rFonts w:asciiTheme="minorHAnsi" w:hAnsiTheme="minorHAnsi"/>
        </w:rPr>
        <w:t>Regiunea Centru este regiunea cu cele mai multe staţiuni balneare din România. Potrivit Notei de Fundamentare HG nr.1072/11.12.2013</w:t>
      </w:r>
      <w:r>
        <w:rPr>
          <w:rFonts w:asciiTheme="minorHAnsi" w:hAnsiTheme="minorHAnsi"/>
        </w:rPr>
        <w:t>, 5</w:t>
      </w:r>
      <w:r w:rsidRPr="00D423C1">
        <w:rPr>
          <w:rFonts w:asciiTheme="minorHAnsi" w:hAnsiTheme="minorHAnsi"/>
        </w:rPr>
        <w:t xml:space="preserve"> din cele 23 de localităţi şi areale ce deţin statutul de staţiune balneară şi balneoclimat</w:t>
      </w:r>
      <w:r>
        <w:rPr>
          <w:rFonts w:asciiTheme="minorHAnsi" w:hAnsiTheme="minorHAnsi"/>
        </w:rPr>
        <w:t>erică, sunt din Regiunea Centru;</w:t>
      </w:r>
    </w:p>
    <w:p w:rsidR="007175F1" w:rsidRDefault="007175F1" w:rsidP="007175F1">
      <w:pPr>
        <w:pStyle w:val="Default"/>
        <w:numPr>
          <w:ilvl w:val="0"/>
          <w:numId w:val="27"/>
        </w:numPr>
        <w:spacing w:line="276" w:lineRule="auto"/>
        <w:jc w:val="both"/>
        <w:rPr>
          <w:rFonts w:asciiTheme="minorHAnsi" w:hAnsiTheme="minorHAnsi" w:cs="Arial"/>
          <w:bCs/>
          <w:color w:val="auto"/>
          <w:shd w:val="clear" w:color="auto" w:fill="FFFFFF"/>
        </w:rPr>
      </w:pPr>
      <w:r>
        <w:rPr>
          <w:rFonts w:asciiTheme="minorHAnsi" w:hAnsiTheme="minorHAnsi" w:cs="Arial"/>
          <w:bCs/>
          <w:color w:val="auto"/>
          <w:shd w:val="clear" w:color="auto" w:fill="FFFFFF"/>
        </w:rPr>
        <w:t>î</w:t>
      </w:r>
      <w:r w:rsidRPr="00D423C1">
        <w:rPr>
          <w:rFonts w:asciiTheme="minorHAnsi" w:hAnsiTheme="minorHAnsi" w:cs="Arial"/>
          <w:bCs/>
          <w:color w:val="auto"/>
          <w:shd w:val="clear" w:color="auto" w:fill="FFFFFF"/>
        </w:rPr>
        <w:t>ncepând cu anul 2010 Regiunea Centru este prima regiune din ţară în ceea ce priveşte numărul turiştilor sosiţi</w:t>
      </w:r>
      <w:r>
        <w:rPr>
          <w:rFonts w:asciiTheme="minorHAnsi" w:hAnsiTheme="minorHAnsi" w:cs="Arial"/>
          <w:bCs/>
          <w:color w:val="auto"/>
          <w:shd w:val="clear" w:color="auto" w:fill="FFFFFF"/>
        </w:rPr>
        <w:t>;</w:t>
      </w:r>
    </w:p>
    <w:p w:rsidR="007175F1" w:rsidRDefault="007175F1" w:rsidP="007175F1">
      <w:pPr>
        <w:pStyle w:val="Default"/>
        <w:numPr>
          <w:ilvl w:val="0"/>
          <w:numId w:val="27"/>
        </w:numPr>
        <w:spacing w:line="276" w:lineRule="auto"/>
        <w:jc w:val="both"/>
        <w:rPr>
          <w:rFonts w:asciiTheme="minorHAnsi" w:hAnsiTheme="minorHAnsi" w:cs="Arial"/>
          <w:bCs/>
          <w:color w:val="auto"/>
          <w:shd w:val="clear" w:color="auto" w:fill="FFFFFF"/>
        </w:rPr>
      </w:pPr>
      <w:r w:rsidRPr="00D423C1">
        <w:rPr>
          <w:rFonts w:asciiTheme="minorHAnsi" w:hAnsiTheme="minorHAnsi" w:cs="Arial"/>
          <w:bCs/>
          <w:color w:val="auto"/>
          <w:shd w:val="clear" w:color="auto" w:fill="FFFFFF"/>
        </w:rPr>
        <w:t>23,6% din sosirile înregistrate în România au fost înregistrate pe teritoriul Regiunii Centru, această pondere fiind în creştere</w:t>
      </w:r>
      <w:r>
        <w:rPr>
          <w:rFonts w:asciiTheme="minorHAnsi" w:hAnsiTheme="minorHAnsi" w:cs="Arial"/>
          <w:bCs/>
          <w:color w:val="auto"/>
          <w:shd w:val="clear" w:color="auto" w:fill="FFFFFF"/>
        </w:rPr>
        <w:t xml:space="preserve"> continuă faţă de 2010 (18,6%);</w:t>
      </w:r>
    </w:p>
    <w:p w:rsidR="007175F1" w:rsidRPr="0025192D" w:rsidRDefault="007175F1" w:rsidP="007175F1">
      <w:pPr>
        <w:pStyle w:val="Default"/>
        <w:numPr>
          <w:ilvl w:val="0"/>
          <w:numId w:val="27"/>
        </w:numPr>
        <w:spacing w:line="276" w:lineRule="auto"/>
        <w:jc w:val="both"/>
        <w:rPr>
          <w:rFonts w:asciiTheme="minorHAnsi" w:hAnsiTheme="minorHAnsi" w:cs="Arial"/>
          <w:bCs/>
          <w:color w:val="auto"/>
          <w:shd w:val="clear" w:color="auto" w:fill="FFFFFF"/>
        </w:rPr>
      </w:pPr>
      <w:r>
        <w:rPr>
          <w:rFonts w:asciiTheme="minorHAnsi" w:hAnsiTheme="minorHAnsi" w:cs="Arial"/>
          <w:bCs/>
          <w:color w:val="auto"/>
          <w:shd w:val="clear" w:color="auto" w:fill="FFFFFF"/>
        </w:rPr>
        <w:t>a</w:t>
      </w:r>
      <w:r w:rsidRPr="00D423C1">
        <w:rPr>
          <w:rFonts w:asciiTheme="minorHAnsi" w:hAnsiTheme="minorHAnsi" w:cs="Arial"/>
          <w:bCs/>
          <w:color w:val="auto"/>
          <w:shd w:val="clear" w:color="auto" w:fill="FFFFFF"/>
        </w:rPr>
        <w:t>nalizând fluxul turistic din judeţele Regiunii Centru prin prisma sosirilor şi înnoptărilor turiştilor din staţiunile balneare</w:t>
      </w:r>
      <w:r>
        <w:rPr>
          <w:rFonts w:asciiTheme="minorHAnsi" w:hAnsiTheme="minorHAnsi" w:cs="Arial"/>
          <w:bCs/>
          <w:color w:val="auto"/>
          <w:shd w:val="clear" w:color="auto" w:fill="FFFFFF"/>
        </w:rPr>
        <w:t>,</w:t>
      </w:r>
      <w:r w:rsidRPr="00D423C1">
        <w:rPr>
          <w:rFonts w:asciiTheme="minorHAnsi" w:hAnsiTheme="minorHAnsi" w:cs="Arial"/>
          <w:bCs/>
          <w:color w:val="auto"/>
          <w:shd w:val="clear" w:color="auto" w:fill="FFFFFF"/>
        </w:rPr>
        <w:t xml:space="preserve"> în judeţele Harghita şi Covasna</w:t>
      </w:r>
      <w:r>
        <w:rPr>
          <w:rFonts w:asciiTheme="minorHAnsi" w:hAnsiTheme="minorHAnsi" w:cs="Arial"/>
          <w:bCs/>
          <w:color w:val="auto"/>
          <w:shd w:val="clear" w:color="auto" w:fill="FFFFFF"/>
        </w:rPr>
        <w:t>,</w:t>
      </w:r>
      <w:r w:rsidRPr="00D423C1">
        <w:rPr>
          <w:rFonts w:asciiTheme="minorHAnsi" w:hAnsiTheme="minorHAnsi" w:cs="Arial"/>
          <w:bCs/>
          <w:color w:val="auto"/>
          <w:shd w:val="clear" w:color="auto" w:fill="FFFFFF"/>
        </w:rPr>
        <w:t xml:space="preserve"> staţiunile balneare atrag cea mai mare parte din turişti, în anul 2015, 61% din sosirile în judeţul Covasna au fost în staţiunile balneare iar în judeţul Harghita </w:t>
      </w:r>
      <w:r>
        <w:rPr>
          <w:rFonts w:asciiTheme="minorHAnsi" w:hAnsiTheme="minorHAnsi" w:cs="Arial"/>
          <w:bCs/>
          <w:color w:val="auto"/>
          <w:shd w:val="clear" w:color="auto" w:fill="FFFFFF"/>
        </w:rPr>
        <w:t>ponderea acestora a depăşit 73%;</w:t>
      </w:r>
    </w:p>
    <w:p w:rsidR="007175F1" w:rsidRDefault="007175F1" w:rsidP="007175F1">
      <w:pPr>
        <w:pStyle w:val="Listparagraf"/>
        <w:numPr>
          <w:ilvl w:val="0"/>
          <w:numId w:val="27"/>
        </w:numPr>
        <w:jc w:val="both"/>
        <w:rPr>
          <w:sz w:val="24"/>
          <w:szCs w:val="24"/>
        </w:rPr>
      </w:pPr>
      <w:r>
        <w:rPr>
          <w:sz w:val="24"/>
          <w:szCs w:val="24"/>
        </w:rPr>
        <w:t>t</w:t>
      </w:r>
      <w:r w:rsidRPr="007F4E08">
        <w:rPr>
          <w:sz w:val="24"/>
          <w:szCs w:val="24"/>
        </w:rPr>
        <w:t>urismul balnear joacă un rol important chiar şi în judeţul Mureş</w:t>
      </w:r>
      <w:r>
        <w:rPr>
          <w:sz w:val="24"/>
          <w:szCs w:val="24"/>
        </w:rPr>
        <w:t>, în staţiunile Sovata, Sâ</w:t>
      </w:r>
      <w:r w:rsidRPr="007F4E08">
        <w:rPr>
          <w:sz w:val="24"/>
          <w:szCs w:val="24"/>
        </w:rPr>
        <w:t xml:space="preserve">ngeorgiu de Mureş şi </w:t>
      </w:r>
      <w:r w:rsidRPr="007F4E08">
        <w:rPr>
          <w:rFonts w:ascii="Calibri" w:eastAsia="Times New Roman" w:hAnsi="Calibri" w:cs="Times New Roman"/>
          <w:color w:val="000000"/>
        </w:rPr>
        <w:t>Ideciu de Jos</w:t>
      </w:r>
      <w:r w:rsidRPr="007F4E08">
        <w:rPr>
          <w:sz w:val="24"/>
          <w:szCs w:val="24"/>
        </w:rPr>
        <w:t xml:space="preserve"> au fost înregistrate 131631 sosiri în anul 2015, care reprezintă aproape 41% în totalul sosirilor înregistrate în judeţul Mureş</w:t>
      </w:r>
      <w:r>
        <w:rPr>
          <w:sz w:val="24"/>
          <w:szCs w:val="24"/>
        </w:rPr>
        <w:t>;</w:t>
      </w:r>
    </w:p>
    <w:p w:rsidR="007175F1" w:rsidRDefault="007175F1" w:rsidP="007175F1">
      <w:pPr>
        <w:pStyle w:val="Listparagraf"/>
        <w:numPr>
          <w:ilvl w:val="0"/>
          <w:numId w:val="27"/>
        </w:numPr>
        <w:jc w:val="both"/>
        <w:rPr>
          <w:sz w:val="24"/>
          <w:szCs w:val="24"/>
        </w:rPr>
      </w:pPr>
      <w:r>
        <w:rPr>
          <w:sz w:val="24"/>
          <w:szCs w:val="24"/>
        </w:rPr>
        <w:t>prezenţa unui cluster activ care sprijină turismul balnear regional;</w:t>
      </w:r>
    </w:p>
    <w:p w:rsidR="007175F1" w:rsidRPr="007F4E08" w:rsidRDefault="007175F1" w:rsidP="007175F1">
      <w:pPr>
        <w:pStyle w:val="Listparagraf"/>
        <w:numPr>
          <w:ilvl w:val="0"/>
          <w:numId w:val="27"/>
        </w:numPr>
        <w:jc w:val="both"/>
        <w:rPr>
          <w:sz w:val="24"/>
          <w:szCs w:val="24"/>
        </w:rPr>
      </w:pPr>
      <w:r>
        <w:rPr>
          <w:rStyle w:val="Accentuat"/>
          <w:sz w:val="24"/>
          <w:szCs w:val="24"/>
        </w:rPr>
        <w:t>dezvoltarea turismului balnear din</w:t>
      </w:r>
      <w:r w:rsidRPr="007F4E08">
        <w:rPr>
          <w:rStyle w:val="Accentuat"/>
          <w:sz w:val="24"/>
          <w:szCs w:val="24"/>
        </w:rPr>
        <w:t xml:space="preserve"> Regiunea Centru prin utilizarea fondurilor europene nerambursabile</w:t>
      </w:r>
      <w:r>
        <w:rPr>
          <w:rStyle w:val="Accentuat"/>
          <w:sz w:val="24"/>
          <w:szCs w:val="24"/>
        </w:rPr>
        <w:t xml:space="preserve"> concretizată prin </w:t>
      </w:r>
      <w:r>
        <w:rPr>
          <w:rFonts w:cs="Times New Roman"/>
          <w:sz w:val="24"/>
          <w:szCs w:val="24"/>
        </w:rPr>
        <w:t>implementarea mai multor</w:t>
      </w:r>
      <w:r w:rsidRPr="00477624">
        <w:rPr>
          <w:rFonts w:cs="Times New Roman"/>
          <w:sz w:val="24"/>
          <w:szCs w:val="24"/>
        </w:rPr>
        <w:t xml:space="preserve"> proiecte în zonele (localităţile) cu potenţial balnear care vizau atât reabilitarea infrastructurii rutiere cât şi pentru construirea sau reabilitarea unităţilor</w:t>
      </w:r>
      <w:r>
        <w:rPr>
          <w:rFonts w:cs="Times New Roman"/>
          <w:sz w:val="24"/>
          <w:szCs w:val="24"/>
        </w:rPr>
        <w:t xml:space="preserve"> de cazare;</w:t>
      </w:r>
    </w:p>
    <w:p w:rsidR="007175F1" w:rsidRPr="007F4E08" w:rsidRDefault="007175F1" w:rsidP="007175F1">
      <w:pPr>
        <w:pStyle w:val="Listparagraf"/>
        <w:numPr>
          <w:ilvl w:val="0"/>
          <w:numId w:val="27"/>
        </w:numPr>
        <w:jc w:val="both"/>
        <w:rPr>
          <w:rStyle w:val="Accentuat"/>
          <w:i w:val="0"/>
          <w:iCs w:val="0"/>
          <w:sz w:val="24"/>
          <w:szCs w:val="24"/>
        </w:rPr>
      </w:pPr>
      <w:r>
        <w:rPr>
          <w:rFonts w:cs="Times New Roman"/>
          <w:sz w:val="24"/>
          <w:szCs w:val="24"/>
        </w:rPr>
        <w:t xml:space="preserve">existenţa şi în prezent a oportunităţilor de sprijinire a turismului balnear prin finanţările din Programul Operaţional Regional 2014 – 2020, axa prioritară 7 </w:t>
      </w:r>
      <w:r w:rsidRPr="00ED3F75">
        <w:rPr>
          <w:rFonts w:cs="Times New Roman"/>
          <w:sz w:val="24"/>
          <w:szCs w:val="24"/>
        </w:rPr>
        <w:t>“</w:t>
      </w:r>
      <w:r w:rsidRPr="00847E0C">
        <w:rPr>
          <w:rFonts w:cs="Times New Roman"/>
          <w:sz w:val="24"/>
          <w:szCs w:val="24"/>
        </w:rPr>
        <w:t>Diversificarea economiilor locale prin dezvoltarea durabilă a turismului</w:t>
      </w:r>
      <w:r w:rsidRPr="00ED3F75">
        <w:rPr>
          <w:rFonts w:cs="Times New Roman"/>
          <w:sz w:val="24"/>
          <w:szCs w:val="24"/>
        </w:rPr>
        <w:t>”</w:t>
      </w:r>
      <w:r>
        <w:rPr>
          <w:rFonts w:cs="Times New Roman"/>
          <w:sz w:val="24"/>
          <w:szCs w:val="24"/>
        </w:rPr>
        <w:t>.</w:t>
      </w:r>
    </w:p>
    <w:p w:rsidR="007175F1" w:rsidRPr="00D423C1" w:rsidRDefault="007175F1" w:rsidP="007175F1">
      <w:pPr>
        <w:jc w:val="both"/>
        <w:rPr>
          <w:rFonts w:cs="Times New Roman"/>
          <w:sz w:val="24"/>
          <w:szCs w:val="24"/>
          <w:lang w:val="ro-RO"/>
        </w:rPr>
      </w:pPr>
    </w:p>
    <w:p w:rsidR="002617A6" w:rsidRPr="002617A6" w:rsidRDefault="002617A6" w:rsidP="007175F1">
      <w:pPr>
        <w:spacing w:line="240" w:lineRule="auto"/>
        <w:rPr>
          <w:rFonts w:ascii="Arial Narrow" w:hAnsi="Arial Narrow"/>
          <w:sz w:val="24"/>
          <w:szCs w:val="24"/>
        </w:rPr>
      </w:pPr>
    </w:p>
    <w:sectPr w:rsidR="002617A6" w:rsidRPr="002617A6" w:rsidSect="00EA5F90">
      <w:footerReference w:type="default" r:id="rId1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502" w:rsidRDefault="00064502" w:rsidP="00EA5F90">
      <w:pPr>
        <w:spacing w:after="0" w:line="240" w:lineRule="auto"/>
      </w:pPr>
      <w:r>
        <w:separator/>
      </w:r>
    </w:p>
  </w:endnote>
  <w:endnote w:type="continuationSeparator" w:id="1">
    <w:p w:rsidR="00064502" w:rsidRDefault="00064502" w:rsidP="00EA5F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MT">
    <w:altName w:val="Times New Roman"/>
    <w:panose1 w:val="00000000000000000000"/>
    <w:charset w:val="00"/>
    <w:family w:val="auto"/>
    <w:notTrueType/>
    <w:pitch w:val="default"/>
    <w:sig w:usb0="00000001"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00022FF" w:usb1="C000205B" w:usb2="00000009" w:usb3="00000000" w:csb0="000001DF" w:csb1="00000000"/>
  </w:font>
  <w:font w:name="Consolas">
    <w:panose1 w:val="020B0609020204030204"/>
    <w:charset w:val="00"/>
    <w:family w:val="modern"/>
    <w:pitch w:val="fixed"/>
    <w:sig w:usb0="A00002EF" w:usb1="4000204B" w:usb2="00000000" w:usb3="00000000" w:csb0="0000009F" w:csb1="00000000"/>
  </w:font>
  <w:font w:name="Arial-Rom">
    <w:altName w:val="Times New Roman"/>
    <w:charset w:val="00"/>
    <w:family w:val="swiss"/>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Italic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aavi">
    <w:panose1 w:val="02000500000000000000"/>
    <w:charset w:val="00"/>
    <w:family w:val="auto"/>
    <w:pitch w:val="variable"/>
    <w:sig w:usb0="00020003" w:usb1="00000000" w:usb2="00000000" w:usb3="00000000" w:csb0="00000001" w:csb1="00000000"/>
  </w:font>
  <w:font w:name="TTEDt00">
    <w:altName w:val="Times New Roman"/>
    <w:panose1 w:val="00000000000000000000"/>
    <w:charset w:val="00"/>
    <w:family w:val="auto"/>
    <w:notTrueType/>
    <w:pitch w:val="default"/>
    <w:sig w:usb0="00000003" w:usb1="00000000" w:usb2="00000000" w:usb3="00000000" w:csb0="00000001" w:csb1="00000000"/>
  </w:font>
  <w:font w:name="TT16Ft00">
    <w:panose1 w:val="00000000000000000000"/>
    <w:charset w:val="EE"/>
    <w:family w:val="auto"/>
    <w:notTrueType/>
    <w:pitch w:val="default"/>
    <w:sig w:usb0="00000005" w:usb1="00000000" w:usb2="00000000" w:usb3="00000000" w:csb0="00000002" w:csb1="00000000"/>
  </w:font>
  <w:font w:name="Roboto">
    <w:altName w:val="Arial Unicode MS"/>
    <w:panose1 w:val="00000000000000000000"/>
    <w:charset w:val="81"/>
    <w:family w:val="auto"/>
    <w:notTrueType/>
    <w:pitch w:val="default"/>
    <w:sig w:usb0="00000000" w:usb1="09060000" w:usb2="00000010" w:usb3="00000000" w:csb0="00080000" w:csb1="00000000"/>
  </w:font>
  <w:font w:name="RomStone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8516"/>
      <w:docPartObj>
        <w:docPartGallery w:val="Page Numbers (Bottom of Page)"/>
        <w:docPartUnique/>
      </w:docPartObj>
    </w:sdtPr>
    <w:sdtContent>
      <w:p w:rsidR="00064502" w:rsidRDefault="00064502">
        <w:pPr>
          <w:pStyle w:val="Subsol"/>
          <w:jc w:val="center"/>
        </w:pPr>
        <w:fldSimple w:instr=" PAGE   \* MERGEFORMAT ">
          <w:r w:rsidR="007175F1">
            <w:rPr>
              <w:noProof/>
            </w:rPr>
            <w:t>203</w:t>
          </w:r>
        </w:fldSimple>
      </w:p>
    </w:sdtContent>
  </w:sdt>
  <w:p w:rsidR="00064502" w:rsidRDefault="0006450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502" w:rsidRDefault="00064502" w:rsidP="00EA5F90">
      <w:pPr>
        <w:spacing w:after="0" w:line="240" w:lineRule="auto"/>
      </w:pPr>
      <w:r>
        <w:separator/>
      </w:r>
    </w:p>
  </w:footnote>
  <w:footnote w:type="continuationSeparator" w:id="1">
    <w:p w:rsidR="00064502" w:rsidRDefault="00064502" w:rsidP="00EA5F90">
      <w:pPr>
        <w:spacing w:after="0" w:line="240" w:lineRule="auto"/>
      </w:pPr>
      <w:r>
        <w:continuationSeparator/>
      </w:r>
    </w:p>
  </w:footnote>
  <w:footnote w:id="2">
    <w:p w:rsidR="00064502" w:rsidRDefault="00064502" w:rsidP="0002155C">
      <w:pPr>
        <w:pStyle w:val="Textnotdesubsol"/>
      </w:pPr>
      <w:r>
        <w:rPr>
          <w:rStyle w:val="Referinnotdesubsol"/>
        </w:rPr>
        <w:footnoteRef/>
      </w:r>
      <w:r>
        <w:t xml:space="preserve"> </w:t>
      </w:r>
      <w:r w:rsidRPr="000B4791">
        <w:t>http://www.acea.be/statistics/tag/category/key-figures</w:t>
      </w:r>
    </w:p>
  </w:footnote>
  <w:footnote w:id="3">
    <w:p w:rsidR="00064502" w:rsidRDefault="00064502" w:rsidP="0002155C">
      <w:pPr>
        <w:pStyle w:val="Textnotdesubsol"/>
      </w:pPr>
      <w:r>
        <w:rPr>
          <w:rStyle w:val="Referinnotdesubsol"/>
        </w:rPr>
        <w:footnoteRef/>
      </w:r>
      <w:r>
        <w:t xml:space="preserve"> </w:t>
      </w:r>
      <w:r w:rsidRPr="000B4791">
        <w:t>http://www.acea.be/statistics/tag/category/employment-trends</w:t>
      </w:r>
    </w:p>
  </w:footnote>
  <w:footnote w:id="4">
    <w:p w:rsidR="00064502" w:rsidRPr="00C448BA" w:rsidRDefault="00064502" w:rsidP="0002155C">
      <w:pPr>
        <w:spacing w:before="240" w:after="240"/>
        <w:jc w:val="both"/>
        <w:rPr>
          <w:sz w:val="18"/>
          <w:szCs w:val="18"/>
        </w:rPr>
      </w:pPr>
      <w:r w:rsidRPr="00C448BA">
        <w:rPr>
          <w:rStyle w:val="Referinnotdesubsol"/>
          <w:sz w:val="18"/>
          <w:szCs w:val="18"/>
        </w:rPr>
        <w:footnoteRef/>
      </w:r>
      <w:r w:rsidRPr="00C448BA">
        <w:rPr>
          <w:sz w:val="18"/>
          <w:szCs w:val="18"/>
        </w:rPr>
        <w:t>Formula de calcul a indicatorului este</w:t>
      </w:r>
      <w:r>
        <w:t xml:space="preserve">: </w:t>
      </w:r>
      <w:r w:rsidRPr="00C448BA">
        <w:rPr>
          <w:b/>
          <w:sz w:val="18"/>
          <w:szCs w:val="18"/>
        </w:rPr>
        <w:t>ISS</w:t>
      </w:r>
      <w:r>
        <w:rPr>
          <w:b/>
          <w:sz w:val="18"/>
          <w:szCs w:val="18"/>
        </w:rPr>
        <w:t>S</w:t>
      </w:r>
      <w:r w:rsidRPr="00C448BA">
        <w:rPr>
          <w:b/>
          <w:sz w:val="18"/>
          <w:szCs w:val="18"/>
        </w:rPr>
        <w:t>= (po</w:t>
      </w:r>
      <w:r w:rsidRPr="00C448BA">
        <w:rPr>
          <w:b/>
          <w:sz w:val="18"/>
          <w:szCs w:val="18"/>
          <w:vertAlign w:val="subscript"/>
        </w:rPr>
        <w:t>ij</w:t>
      </w:r>
      <w:r w:rsidRPr="00C448BA">
        <w:rPr>
          <w:b/>
          <w:sz w:val="18"/>
          <w:szCs w:val="18"/>
        </w:rPr>
        <w:t>/PO</w:t>
      </w:r>
      <w:r w:rsidRPr="00C448BA">
        <w:rPr>
          <w:b/>
          <w:sz w:val="18"/>
          <w:szCs w:val="18"/>
          <w:vertAlign w:val="subscript"/>
        </w:rPr>
        <w:t>it</w:t>
      </w:r>
      <w:r w:rsidRPr="00C448BA">
        <w:rPr>
          <w:b/>
          <w:sz w:val="18"/>
          <w:szCs w:val="18"/>
        </w:rPr>
        <w:t>)/ (po</w:t>
      </w:r>
      <w:r w:rsidRPr="00C448BA">
        <w:rPr>
          <w:b/>
          <w:sz w:val="18"/>
          <w:szCs w:val="18"/>
          <w:vertAlign w:val="subscript"/>
        </w:rPr>
        <w:t>nj</w:t>
      </w:r>
      <w:r w:rsidRPr="00C448BA">
        <w:rPr>
          <w:b/>
          <w:sz w:val="18"/>
          <w:szCs w:val="18"/>
        </w:rPr>
        <w:t>/PO</w:t>
      </w:r>
      <w:r w:rsidRPr="00C448BA">
        <w:rPr>
          <w:b/>
          <w:sz w:val="18"/>
          <w:szCs w:val="18"/>
          <w:vertAlign w:val="subscript"/>
        </w:rPr>
        <w:t>nt</w:t>
      </w:r>
      <w:r w:rsidRPr="00C448BA">
        <w:rPr>
          <w:b/>
          <w:sz w:val="18"/>
          <w:szCs w:val="18"/>
        </w:rPr>
        <w:t xml:space="preserve">), </w:t>
      </w:r>
      <w:r w:rsidRPr="00C448BA">
        <w:rPr>
          <w:sz w:val="18"/>
          <w:szCs w:val="18"/>
        </w:rPr>
        <w:t xml:space="preserve">unde </w:t>
      </w:r>
      <w:r w:rsidRPr="00C448BA">
        <w:rPr>
          <w:b/>
          <w:sz w:val="18"/>
          <w:szCs w:val="18"/>
        </w:rPr>
        <w:t>po</w:t>
      </w:r>
      <w:r w:rsidRPr="00C448BA">
        <w:rPr>
          <w:b/>
          <w:sz w:val="18"/>
          <w:szCs w:val="18"/>
          <w:vertAlign w:val="subscript"/>
        </w:rPr>
        <w:t>ij</w:t>
      </w:r>
      <w:r w:rsidRPr="00C448BA">
        <w:rPr>
          <w:b/>
          <w:sz w:val="18"/>
          <w:szCs w:val="18"/>
        </w:rPr>
        <w:t xml:space="preserve"> </w:t>
      </w:r>
      <w:r w:rsidRPr="00C448BA">
        <w:rPr>
          <w:sz w:val="18"/>
          <w:szCs w:val="18"/>
        </w:rPr>
        <w:t>și</w:t>
      </w:r>
      <w:r w:rsidRPr="00C448BA">
        <w:rPr>
          <w:b/>
          <w:sz w:val="18"/>
          <w:szCs w:val="18"/>
        </w:rPr>
        <w:t xml:space="preserve"> PO</w:t>
      </w:r>
      <w:r w:rsidRPr="00C448BA">
        <w:rPr>
          <w:b/>
          <w:sz w:val="18"/>
          <w:szCs w:val="18"/>
          <w:vertAlign w:val="subscript"/>
        </w:rPr>
        <w:t xml:space="preserve">it </w:t>
      </w:r>
      <w:r w:rsidRPr="00C448BA">
        <w:rPr>
          <w:sz w:val="18"/>
          <w:szCs w:val="18"/>
        </w:rPr>
        <w:t xml:space="preserve">reprezintă populația ocupată la nivelul Regiunii i în sectorul j respectiv populația ocupată la nivelul Regiunii i în toate sectoarele economice, iar </w:t>
      </w:r>
      <w:r w:rsidRPr="00C448BA">
        <w:rPr>
          <w:b/>
          <w:sz w:val="18"/>
          <w:szCs w:val="18"/>
        </w:rPr>
        <w:t>po</w:t>
      </w:r>
      <w:r w:rsidRPr="00C448BA">
        <w:rPr>
          <w:b/>
          <w:sz w:val="18"/>
          <w:szCs w:val="18"/>
          <w:vertAlign w:val="subscript"/>
        </w:rPr>
        <w:t>nj</w:t>
      </w:r>
      <w:r w:rsidRPr="00C448BA">
        <w:rPr>
          <w:b/>
          <w:sz w:val="18"/>
          <w:szCs w:val="18"/>
        </w:rPr>
        <w:t xml:space="preserve"> </w:t>
      </w:r>
      <w:r w:rsidRPr="00C448BA">
        <w:rPr>
          <w:sz w:val="18"/>
          <w:szCs w:val="18"/>
        </w:rPr>
        <w:t>și</w:t>
      </w:r>
      <w:r w:rsidRPr="00C448BA">
        <w:rPr>
          <w:b/>
          <w:sz w:val="18"/>
          <w:szCs w:val="18"/>
        </w:rPr>
        <w:t xml:space="preserve"> PO</w:t>
      </w:r>
      <w:r w:rsidRPr="00C448BA">
        <w:rPr>
          <w:b/>
          <w:sz w:val="18"/>
          <w:szCs w:val="18"/>
          <w:vertAlign w:val="subscript"/>
        </w:rPr>
        <w:t>nt</w:t>
      </w:r>
      <w:r w:rsidRPr="00C448BA">
        <w:rPr>
          <w:b/>
          <w:sz w:val="18"/>
          <w:szCs w:val="18"/>
        </w:rPr>
        <w:t xml:space="preserve"> </w:t>
      </w:r>
      <w:r w:rsidRPr="00C448BA">
        <w:rPr>
          <w:sz w:val="18"/>
          <w:szCs w:val="18"/>
        </w:rPr>
        <w:t>reprezintă populația ocupată la nivel național în sectorul j respectiv populația ocupată la nivelul național în toate sectoarele economice</w:t>
      </w:r>
    </w:p>
    <w:p w:rsidR="00064502" w:rsidRDefault="00064502" w:rsidP="0002155C">
      <w:pPr>
        <w:pStyle w:val="Textnotdesubsol"/>
      </w:pPr>
    </w:p>
  </w:footnote>
  <w:footnote w:id="5">
    <w:p w:rsidR="00064502" w:rsidRDefault="00064502" w:rsidP="0002155C">
      <w:pPr>
        <w:pStyle w:val="Textnotdesubsol"/>
      </w:pPr>
      <w:r>
        <w:rPr>
          <w:rStyle w:val="Referinnotdesubsol"/>
        </w:rPr>
        <w:footnoteRef/>
      </w:r>
      <w:r>
        <w:t xml:space="preserve"> Descrierea domeniului ”mecatronica” a fost preluată de pe website-ul Departamentului de Mecatronică și Dinamica Mașinilor din cadrul Universității Tehnice Cluj Napoca </w:t>
      </w:r>
      <w:hyperlink r:id="rId1" w:history="1">
        <w:r w:rsidRPr="00F14A06">
          <w:rPr>
            <w:rStyle w:val="Hyperlink"/>
          </w:rPr>
          <w:t>http://mdm.utcluj.ro/mecatronica.html</w:t>
        </w:r>
      </w:hyperlink>
    </w:p>
    <w:p w:rsidR="00064502" w:rsidRDefault="00064502" w:rsidP="0002155C">
      <w:pPr>
        <w:pStyle w:val="Textnotdesubsol"/>
      </w:pPr>
    </w:p>
  </w:footnote>
  <w:footnote w:id="6">
    <w:p w:rsidR="00064502" w:rsidRPr="00E47620" w:rsidRDefault="00064502" w:rsidP="00064502">
      <w:pPr>
        <w:pStyle w:val="Textnotdesubsol"/>
        <w:rPr>
          <w:sz w:val="16"/>
          <w:szCs w:val="16"/>
        </w:rPr>
      </w:pPr>
      <w:r w:rsidRPr="00E47620">
        <w:rPr>
          <w:rStyle w:val="Referinnotdesubsol"/>
          <w:sz w:val="16"/>
          <w:szCs w:val="16"/>
        </w:rPr>
        <w:footnoteRef/>
      </w:r>
      <w:r w:rsidRPr="00E47620">
        <w:rPr>
          <w:sz w:val="16"/>
          <w:szCs w:val="16"/>
        </w:rPr>
        <w:t xml:space="preserve"> http://www.zf.ro/zf-24/componentele-auto-reprezinta-punctul-forte-al-exporturilor-romanesti-iar-industria-alimentara-are-cel-mai-mare-potential-de-crestere-11342094</w:t>
      </w:r>
    </w:p>
  </w:footnote>
  <w:footnote w:id="7">
    <w:p w:rsidR="00064502" w:rsidRPr="00987224" w:rsidRDefault="00064502" w:rsidP="00064502">
      <w:pPr>
        <w:pStyle w:val="Textnotdesubsol"/>
      </w:pPr>
      <w:r w:rsidRPr="00E47620">
        <w:rPr>
          <w:rStyle w:val="Referinnotdesubsol"/>
          <w:sz w:val="16"/>
          <w:szCs w:val="16"/>
        </w:rPr>
        <w:footnoteRef/>
      </w:r>
      <w:r w:rsidRPr="00E47620">
        <w:rPr>
          <w:sz w:val="16"/>
          <w:szCs w:val="16"/>
        </w:rPr>
        <w:t xml:space="preserve"> Valoarea exporturilor (FOB) de produse agroalimentare a fost calculată prin însumarea secţiunilor I, II, III şi IV conform Nomenclatorului Combinat</w:t>
      </w:r>
    </w:p>
  </w:footnote>
  <w:footnote w:id="8">
    <w:p w:rsidR="00064502" w:rsidRPr="009D22FA" w:rsidRDefault="00064502" w:rsidP="00064502">
      <w:pPr>
        <w:pStyle w:val="Textnotdesubsol"/>
      </w:pPr>
      <w:r w:rsidRPr="0026368D">
        <w:rPr>
          <w:rStyle w:val="Referinnotdesubsol"/>
          <w:sz w:val="18"/>
          <w:szCs w:val="18"/>
        </w:rPr>
        <w:footnoteRef/>
      </w:r>
      <w:r w:rsidRPr="0026368D">
        <w:rPr>
          <w:sz w:val="18"/>
          <w:szCs w:val="18"/>
        </w:rPr>
        <w:t xml:space="preserve"> Datele privind populaţia ocupată preluate de la Institutul Național de Statistică nu tratează doar domeniul agriculturii separat ci împreună cu domeniile silvicultură şi pescuit</w:t>
      </w:r>
    </w:p>
  </w:footnote>
  <w:footnote w:id="9">
    <w:p w:rsidR="00064502" w:rsidRPr="0026368D" w:rsidRDefault="00064502" w:rsidP="00064502">
      <w:pPr>
        <w:pStyle w:val="Textnotdesubsol"/>
        <w:rPr>
          <w:sz w:val="18"/>
          <w:szCs w:val="18"/>
        </w:rPr>
      </w:pPr>
      <w:r w:rsidRPr="0026368D">
        <w:rPr>
          <w:rStyle w:val="Referinnotdesubsol"/>
          <w:sz w:val="18"/>
          <w:szCs w:val="18"/>
        </w:rPr>
        <w:footnoteRef/>
      </w:r>
      <w:r w:rsidRPr="0026368D">
        <w:rPr>
          <w:sz w:val="18"/>
          <w:szCs w:val="18"/>
        </w:rPr>
        <w:t xml:space="preserve"> http://ec.europa.eu/agriculture/cap-indicators/context/2015/c23_en.pdf</w:t>
      </w:r>
    </w:p>
  </w:footnote>
  <w:footnote w:id="10">
    <w:p w:rsidR="00064502" w:rsidRPr="00BF6601" w:rsidRDefault="00064502" w:rsidP="00064502">
      <w:pPr>
        <w:pStyle w:val="Textnotdesubsol"/>
      </w:pPr>
      <w:r>
        <w:rPr>
          <w:rStyle w:val="Referinnotdesubsol"/>
        </w:rPr>
        <w:footnoteRef/>
      </w:r>
      <w:r>
        <w:t xml:space="preserve"> </w:t>
      </w:r>
      <w:r w:rsidRPr="00BF6601">
        <w:t>http://ec.europa.eu/agriculture/cap-indicators/context/2015/c24_en.pdf</w:t>
      </w:r>
    </w:p>
  </w:footnote>
  <w:footnote w:id="11">
    <w:p w:rsidR="00064502" w:rsidRPr="00340EC9" w:rsidRDefault="00064502" w:rsidP="00064502">
      <w:pPr>
        <w:pStyle w:val="Textnotdefinal"/>
        <w:rPr>
          <w:sz w:val="16"/>
          <w:szCs w:val="16"/>
        </w:rPr>
      </w:pPr>
      <w:r w:rsidRPr="00340EC9">
        <w:rPr>
          <w:rStyle w:val="Referinnotdesubsol"/>
          <w:sz w:val="16"/>
          <w:szCs w:val="16"/>
        </w:rPr>
        <w:footnoteRef/>
      </w:r>
      <w:r w:rsidRPr="00340EC9">
        <w:rPr>
          <w:sz w:val="16"/>
          <w:szCs w:val="16"/>
        </w:rPr>
        <w:t xml:space="preserve"> </w:t>
      </w:r>
      <w:r w:rsidRPr="00340EC9">
        <w:rPr>
          <w:sz w:val="16"/>
          <w:szCs w:val="16"/>
          <w:lang w:val="ro-RO"/>
        </w:rPr>
        <w:t>În calculul exportului pentru industria alimentară s-a însumat exportul FOB pe secţiuni/capitole ale Nomenclatorului Combinat şi anume: din secţiunea I s-au luat în calcul doar capitolele 01, 02, 03 şi 04 iar secţiunea IV a fost luată în totalitate.</w:t>
      </w:r>
    </w:p>
  </w:footnote>
  <w:footnote w:id="12">
    <w:p w:rsidR="00064502" w:rsidRDefault="00064502" w:rsidP="00064502">
      <w:pPr>
        <w:pStyle w:val="Textnotdesubsol"/>
      </w:pPr>
      <w:r>
        <w:rPr>
          <w:rStyle w:val="Referinnotdesubsol"/>
        </w:rPr>
        <w:footnoteRef/>
      </w:r>
      <w:r>
        <w:t xml:space="preserve"> </w:t>
      </w:r>
      <w:r w:rsidRPr="00E47620">
        <w:rPr>
          <w:sz w:val="16"/>
          <w:szCs w:val="16"/>
        </w:rPr>
        <w:t>Valoarea exporturilor (FOB) de produse agroalimentare a fost calculată prin însumarea secţiunilor I, II, III şi IV conform Nomenclatorului Combinat</w:t>
      </w:r>
    </w:p>
  </w:footnote>
  <w:footnote w:id="13">
    <w:p w:rsidR="00852F75" w:rsidRDefault="00852F75" w:rsidP="00852F75">
      <w:pPr>
        <w:pStyle w:val="Textnotdesubsol"/>
      </w:pPr>
      <w:r>
        <w:rPr>
          <w:rStyle w:val="Referinnotdesubsol"/>
        </w:rPr>
        <w:footnoteRef/>
      </w:r>
      <w:r>
        <w:t xml:space="preserve"> </w:t>
      </w:r>
      <w:r w:rsidRPr="008B408B">
        <w:t>http://www.ilo.org/global/industries-and-sectors/textiles-clothing-leather-footwear/lang--en/index.htm</w:t>
      </w:r>
    </w:p>
  </w:footnote>
  <w:footnote w:id="14">
    <w:p w:rsidR="00852F75" w:rsidRPr="00186C03" w:rsidRDefault="00852F75" w:rsidP="00852F75">
      <w:pPr>
        <w:pStyle w:val="Default"/>
        <w:jc w:val="both"/>
        <w:rPr>
          <w:rFonts w:asciiTheme="minorHAnsi" w:hAnsiTheme="minorHAnsi"/>
          <w:b/>
          <w:bCs/>
          <w:sz w:val="20"/>
          <w:szCs w:val="20"/>
        </w:rPr>
      </w:pPr>
      <w:r w:rsidRPr="00186C03">
        <w:rPr>
          <w:rStyle w:val="Referinnotdesubsol"/>
          <w:rFonts w:asciiTheme="minorHAnsi" w:hAnsiTheme="minorHAnsi"/>
          <w:sz w:val="20"/>
          <w:szCs w:val="20"/>
        </w:rPr>
        <w:footnoteRef/>
      </w:r>
      <w:r w:rsidRPr="00186C03">
        <w:rPr>
          <w:rFonts w:asciiTheme="minorHAnsi" w:hAnsiTheme="minorHAnsi"/>
          <w:sz w:val="20"/>
          <w:szCs w:val="20"/>
        </w:rPr>
        <w:t xml:space="preserve"> “</w:t>
      </w:r>
      <w:r w:rsidRPr="00186C03">
        <w:rPr>
          <w:rFonts w:asciiTheme="minorHAnsi" w:hAnsiTheme="minorHAnsi"/>
          <w:b/>
          <w:bCs/>
          <w:sz w:val="20"/>
          <w:szCs w:val="20"/>
        </w:rPr>
        <w:t>The development of productive structures of EU Member States and their international competitiveness” – November 2012, WIFI – Austrian Institute of Economic Resea</w:t>
      </w:r>
      <w:r>
        <w:rPr>
          <w:rFonts w:asciiTheme="minorHAnsi" w:hAnsiTheme="minorHAnsi"/>
          <w:b/>
          <w:bCs/>
          <w:sz w:val="20"/>
          <w:szCs w:val="20"/>
        </w:rPr>
        <w:t>r</w:t>
      </w:r>
      <w:r w:rsidRPr="00186C03">
        <w:rPr>
          <w:rFonts w:asciiTheme="minorHAnsi" w:hAnsiTheme="minorHAnsi"/>
          <w:b/>
          <w:bCs/>
          <w:sz w:val="20"/>
          <w:szCs w:val="20"/>
        </w:rPr>
        <w:t xml:space="preserve">ch,  </w:t>
      </w:r>
      <w:r w:rsidRPr="00186C03">
        <w:rPr>
          <w:rFonts w:asciiTheme="minorHAnsi" w:hAnsiTheme="minorHAnsi"/>
          <w:sz w:val="20"/>
          <w:szCs w:val="20"/>
        </w:rPr>
        <w:t>Publisher: European Commission, DG Enterprise and Industry</w:t>
      </w:r>
    </w:p>
  </w:footnote>
  <w:footnote w:id="15">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Planificarea urbană se referă la utilizarea efectivă a loturilor virane și a pământului urban, implicând designul urban, infrastuctura transporturilor și integrarea armonioasă a clădirilor deja existente cu cele viitoare. Sursa: http://www.wikiwand.com/ro/Planificare_urban%C4%83</w:t>
      </w:r>
    </w:p>
  </w:footnote>
  <w:footnote w:id="16">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Aceste investiții includ lucrările de construcții, instalaţiile, utilajele, echipamentele, mjloacele de transport și alte cheltuieli destinate creării de noi mijloace fixe pentru dezvoltarea, modernizarea, reconstrucţia celor existente, cu scopul de protecţie a mediului. Ele includ, de asemenea, valoarea serviciilor legate de transferul de proprietăţi al mijloacelor fixe existente şi al terenurilor (taxe, materiale, comisioane, cheltuieli de transport, de încărcare - descărcare).</w:t>
      </w:r>
    </w:p>
  </w:footnote>
  <w:footnote w:id="17">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În sectorul materialelor de construcții au fost incluse activitățile economice corespunzătoare următoarelor coduri CAEN: 0811, 0812, 1621, 1622, 1623, 2030, 2311, 2331, 2332, 2351, 2352, 2361, 2362, 2363, 2364, 2365, 2369.</w:t>
      </w:r>
    </w:p>
  </w:footnote>
  <w:footnote w:id="18">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w:t>
      </w:r>
      <w:hyperlink r:id="rId2" w:history="1">
        <w:r w:rsidRPr="0097367F">
          <w:rPr>
            <w:rStyle w:val="Hyperlink"/>
            <w:rFonts w:ascii="Arial Narrow" w:hAnsi="Arial Narrow"/>
            <w:sz w:val="14"/>
            <w:szCs w:val="14"/>
          </w:rPr>
          <w:t>www.anaf.ro/indicatori/indfinanciari.html</w:t>
        </w:r>
      </w:hyperlink>
    </w:p>
  </w:footnote>
  <w:footnote w:id="19">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Conform datelor publicate de Ministerul Finanțelor pe </w:t>
      </w:r>
      <w:hyperlink r:id="rId3" w:history="1">
        <w:r w:rsidRPr="0097367F">
          <w:rPr>
            <w:rStyle w:val="Hyperlink"/>
            <w:rFonts w:ascii="Arial Narrow" w:hAnsi="Arial Narrow"/>
            <w:sz w:val="14"/>
            <w:szCs w:val="14"/>
          </w:rPr>
          <w:t>www.anaf.ro/indicatori/indfinanciari.html</w:t>
        </w:r>
      </w:hyperlink>
      <w:r w:rsidRPr="0097367F">
        <w:rPr>
          <w:rFonts w:ascii="Arial Narrow" w:hAnsi="Arial Narrow"/>
          <w:sz w:val="14"/>
          <w:szCs w:val="14"/>
        </w:rPr>
        <w:t xml:space="preserve">  Kronospan Sebeș   are în 2015 a doua cifra de afaceri cu o cifră de afaceri  247,85 mil. de euro)</w:t>
      </w:r>
    </w:p>
  </w:footnote>
  <w:footnote w:id="20">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Sursa:INS (</w:t>
      </w:r>
      <w:hyperlink r:id="rId4" w:history="1">
        <w:r w:rsidRPr="0097367F">
          <w:rPr>
            <w:rStyle w:val="Hyperlink"/>
            <w:rFonts w:ascii="Arial Narrow" w:hAnsi="Arial Narrow"/>
            <w:sz w:val="14"/>
            <w:szCs w:val="14"/>
          </w:rPr>
          <w:t>www.edemos.insse.ro</w:t>
        </w:r>
      </w:hyperlink>
      <w:r w:rsidRPr="0097367F">
        <w:rPr>
          <w:rFonts w:ascii="Arial Narrow" w:hAnsi="Arial Narrow"/>
          <w:sz w:val="14"/>
          <w:szCs w:val="14"/>
        </w:rPr>
        <w:t>)</w:t>
      </w:r>
    </w:p>
  </w:footnote>
  <w:footnote w:id="21">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Sursă: </w:t>
      </w:r>
      <w:hyperlink r:id="rId5" w:history="1">
        <w:r w:rsidRPr="0097367F">
          <w:rPr>
            <w:rStyle w:val="Hyperlink"/>
            <w:rFonts w:ascii="Arial Narrow" w:hAnsi="Arial Narrow"/>
            <w:sz w:val="14"/>
            <w:szCs w:val="14"/>
          </w:rPr>
          <w:t>www.insse.ro</w:t>
        </w:r>
      </w:hyperlink>
      <w:r w:rsidRPr="0097367F">
        <w:rPr>
          <w:rFonts w:ascii="Arial Narrow" w:hAnsi="Arial Narrow"/>
          <w:sz w:val="14"/>
          <w:szCs w:val="14"/>
        </w:rPr>
        <w:t xml:space="preserve">, </w:t>
      </w:r>
      <w:hyperlink r:id="rId6" w:history="1">
        <w:r w:rsidRPr="0097367F">
          <w:rPr>
            <w:rStyle w:val="Hyperlink"/>
            <w:rFonts w:ascii="Arial Narrow" w:hAnsi="Arial Narrow"/>
            <w:sz w:val="14"/>
            <w:szCs w:val="14"/>
          </w:rPr>
          <w:t>www.eurostat.ro</w:t>
        </w:r>
      </w:hyperlink>
    </w:p>
  </w:footnote>
  <w:footnote w:id="22">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Prelucare date ANAF disponibile la mfinante.ro</w:t>
      </w:r>
    </w:p>
  </w:footnote>
  <w:footnote w:id="23">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Prin impactul asupra mediului și activitățile de decontaminare realizate (Ex. reabilitare sit poluat Iaz Batal Mureș – platformă Azomureș), activitatea acestei întreprinderi contribuie la sustenabilitatea acestui domeniu.</w:t>
      </w:r>
    </w:p>
  </w:footnote>
  <w:footnote w:id="24">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Coform datelor publicate pe site-ul companiei www.caparol.ro, preocuparea acordată inovației a condus la producerea unor sisteme temoizolante care să asigure eficiență energetică sporită, vopsele exterioare și interioare durabile,  precum și a altor produse similare. În cadrul Târgului European 2010 de conservare, restaurare și renovare a clădirilor monumente istorice, unul din produsele firmei a fost premiat cu medalia de aur</w:t>
      </w:r>
    </w:p>
  </w:footnote>
  <w:footnote w:id="25">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Prelucrare date financiare publicate pe </w:t>
      </w:r>
      <w:hyperlink r:id="rId7" w:history="1">
        <w:r w:rsidRPr="0097367F">
          <w:rPr>
            <w:rStyle w:val="Hyperlink"/>
            <w:rFonts w:ascii="Arial Narrow" w:hAnsi="Arial Narrow"/>
            <w:sz w:val="14"/>
            <w:szCs w:val="14"/>
          </w:rPr>
          <w:t>www.mfinante.ro</w:t>
        </w:r>
      </w:hyperlink>
      <w:r w:rsidRPr="0097367F">
        <w:rPr>
          <w:rFonts w:ascii="Arial Narrow" w:hAnsi="Arial Narrow"/>
          <w:sz w:val="14"/>
          <w:szCs w:val="14"/>
        </w:rPr>
        <w:t xml:space="preserve">, date publicate pe </w:t>
      </w:r>
      <w:hyperlink r:id="rId8" w:history="1">
        <w:r w:rsidRPr="0097367F">
          <w:rPr>
            <w:rStyle w:val="Hyperlink"/>
            <w:rFonts w:ascii="Arial Narrow" w:hAnsi="Arial Narrow"/>
            <w:sz w:val="14"/>
            <w:szCs w:val="14"/>
          </w:rPr>
          <w:t>www.transelectrica.ro</w:t>
        </w:r>
      </w:hyperlink>
      <w:r w:rsidRPr="0097367F">
        <w:rPr>
          <w:rFonts w:ascii="Arial Narrow" w:hAnsi="Arial Narrow"/>
          <w:sz w:val="14"/>
          <w:szCs w:val="14"/>
        </w:rPr>
        <w:t xml:space="preserve">  </w:t>
      </w:r>
    </w:p>
  </w:footnote>
  <w:footnote w:id="26">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Domeniile economice analizate sunt: sectorul materialelor de constr</w:t>
      </w:r>
      <w:r>
        <w:rPr>
          <w:rFonts w:ascii="Arial Narrow" w:hAnsi="Arial Narrow"/>
          <w:sz w:val="14"/>
          <w:szCs w:val="14"/>
        </w:rPr>
        <w:t>uctii (clase CAEN 08, 16, 20, 23</w:t>
      </w:r>
      <w:r w:rsidRPr="0097367F">
        <w:rPr>
          <w:rFonts w:ascii="Arial Narrow" w:hAnsi="Arial Narrow"/>
          <w:sz w:val="14"/>
          <w:szCs w:val="14"/>
        </w:rPr>
        <w:t>), producția de energie (35), distribuția apei, salubrizare, gestiune deșeuri și decontaminări (CAEN 36,37, 38, 39) și execuția lucrărilor de construcții (CAEN 41, 42, 43)</w:t>
      </w:r>
    </w:p>
  </w:footnote>
  <w:footnote w:id="27">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Fabrica clinchet ciment Hozghiz, fabrica prefabricate Teiuș, fabrica de aditivi pentru betoane și mortare din Brașov, fabrică de cărămidă Sibiu etc.</w:t>
      </w:r>
    </w:p>
  </w:footnote>
  <w:footnote w:id="28">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Fabrica de materiale termoizolante și membrane bituminoase din Sfântu Gheorghe</w:t>
      </w:r>
    </w:p>
  </w:footnote>
  <w:footnote w:id="29">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în domeniul fabricării de membrane bituminoase cu elastoplastomeri pentru hidroizolaţii, se remarcă  o societate din Covasna (Arcon SRL  – o întreprindere cu peste 150 de angajați și o CA în 2015 de 124.968.490 lei); reprezentativă în sectorul fabricării produselor metalice obținute prin deformare plastică, metalurgia pulberilor este o firmă din Brașov (Bilka Steel- cu o CA în 2015 de 191.686.468 și peste 100 de angajați), care produce de țigle metalice și accesorii pentru acoperiș.</w:t>
      </w:r>
    </w:p>
  </w:footnote>
  <w:footnote w:id="30">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De exemplu, la nivel regional, CHR Ciment deține cariere pentru exploatarea andezitului, bazaltului, calcarului și calcarului cristalin, precum și pentru dacit și scorie, având totodată și balastiere și o instalație de producerea clincherului de ciment în Hoghiz</w:t>
      </w:r>
    </w:p>
  </w:footnote>
  <w:footnote w:id="31">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Raportul privind competitivitatea în perioada 2015-2016 elaborat de Forumul Economic Mondial reprezintă o analiză a 12 domenii relevante (Institutiile; Infrastructura; Mediul macroeconomic; Invatamantul primar si sanatatea; Invatamantul superior si cursuri de formare; Eficienta pietei bunurilor; Eficienta pietei muncii; Dezvoltarea pietei financiare; Disponibilitatea tehnologiei; Dimensiunea pietei; Sofisticarea afacerilor; Inovatia)  realizată în 140 de țări.  Conform raportului, din punct de vedere global, România se află pe locul 53/140 cu un scor mediu de 4,32/7.</w:t>
      </w:r>
    </w:p>
  </w:footnote>
  <w:footnote w:id="32">
    <w:p w:rsidR="00064502" w:rsidRPr="002862FA" w:rsidRDefault="00064502" w:rsidP="00EA5F90">
      <w:pPr>
        <w:pStyle w:val="Textnotdesubsol"/>
        <w:jc w:val="both"/>
        <w:rPr>
          <w:rFonts w:ascii="Arial Narrow" w:hAnsi="Arial Narrow"/>
          <w:sz w:val="14"/>
          <w:szCs w:val="14"/>
        </w:rPr>
      </w:pPr>
      <w:r w:rsidRPr="002862FA">
        <w:rPr>
          <w:rStyle w:val="Referinnotdesubsol"/>
          <w:rFonts w:ascii="Arial Narrow" w:hAnsi="Arial Narrow"/>
          <w:sz w:val="14"/>
          <w:szCs w:val="14"/>
        </w:rPr>
        <w:footnoteRef/>
      </w:r>
      <w:r w:rsidRPr="002862FA">
        <w:rPr>
          <w:rFonts w:ascii="Arial Narrow" w:hAnsi="Arial Narrow"/>
          <w:sz w:val="14"/>
          <w:szCs w:val="14"/>
        </w:rPr>
        <w:t>În această analiză temenul „</w:t>
      </w:r>
      <w:r>
        <w:rPr>
          <w:rFonts w:ascii="Arial Narrow" w:hAnsi="Arial Narrow"/>
          <w:sz w:val="14"/>
          <w:szCs w:val="14"/>
        </w:rPr>
        <w:t xml:space="preserve">asezări durabile </w:t>
      </w:r>
      <w:r w:rsidRPr="002862FA">
        <w:rPr>
          <w:rFonts w:ascii="Arial Narrow" w:hAnsi="Arial Narrow"/>
          <w:sz w:val="14"/>
          <w:szCs w:val="14"/>
        </w:rPr>
        <w:t xml:space="preserve">” se referă în prinicipal la </w:t>
      </w:r>
      <w:r>
        <w:rPr>
          <w:rFonts w:ascii="Arial Narrow" w:hAnsi="Arial Narrow"/>
          <w:sz w:val="14"/>
          <w:szCs w:val="14"/>
        </w:rPr>
        <w:t>spațiile urbane</w:t>
      </w:r>
      <w:r w:rsidRPr="002862FA">
        <w:rPr>
          <w:rFonts w:ascii="Arial Narrow" w:hAnsi="Arial Narrow"/>
          <w:sz w:val="14"/>
          <w:szCs w:val="14"/>
        </w:rPr>
        <w:t xml:space="preserve"> </w:t>
      </w:r>
      <w:r>
        <w:rPr>
          <w:rFonts w:ascii="Arial Narrow" w:hAnsi="Arial Narrow"/>
          <w:sz w:val="14"/>
          <w:szCs w:val="14"/>
        </w:rPr>
        <w:t>care au în vedere creșterea eficienței energetice, asigurarea măsurilor necesare pentru consumul</w:t>
      </w:r>
      <w:r w:rsidRPr="002862FA">
        <w:rPr>
          <w:rFonts w:ascii="Arial Narrow" w:hAnsi="Arial Narrow"/>
          <w:sz w:val="14"/>
          <w:szCs w:val="14"/>
        </w:rPr>
        <w:t xml:space="preserve"> rațional </w:t>
      </w:r>
      <w:r>
        <w:rPr>
          <w:rFonts w:ascii="Arial Narrow" w:hAnsi="Arial Narrow"/>
          <w:sz w:val="14"/>
          <w:szCs w:val="14"/>
        </w:rPr>
        <w:t>de</w:t>
      </w:r>
      <w:r w:rsidRPr="002862FA">
        <w:rPr>
          <w:rFonts w:ascii="Arial Narrow" w:hAnsi="Arial Narrow"/>
          <w:sz w:val="14"/>
          <w:szCs w:val="14"/>
        </w:rPr>
        <w:t xml:space="preserve"> resurse</w:t>
      </w:r>
      <w:r>
        <w:rPr>
          <w:rFonts w:ascii="Arial Narrow" w:hAnsi="Arial Narrow"/>
          <w:sz w:val="14"/>
          <w:szCs w:val="14"/>
        </w:rPr>
        <w:t xml:space="preserve"> </w:t>
      </w:r>
      <w:r w:rsidRPr="002862FA">
        <w:rPr>
          <w:rFonts w:ascii="Arial Narrow" w:hAnsi="Arial Narrow"/>
          <w:sz w:val="14"/>
          <w:szCs w:val="14"/>
        </w:rPr>
        <w:t xml:space="preserve">existente și îmbunătățirea condițiilor de viață și de muncă ale locuitorilor regiunii. </w:t>
      </w:r>
    </w:p>
  </w:footnote>
  <w:footnote w:id="33">
    <w:p w:rsidR="00064502" w:rsidRPr="002862FA" w:rsidRDefault="00064502" w:rsidP="00EA5F90">
      <w:pPr>
        <w:pStyle w:val="Textnotdesubsol"/>
        <w:jc w:val="both"/>
        <w:rPr>
          <w:rFonts w:ascii="Arial Narrow" w:hAnsi="Arial Narrow"/>
          <w:sz w:val="14"/>
          <w:szCs w:val="14"/>
        </w:rPr>
      </w:pPr>
      <w:r w:rsidRPr="002862FA">
        <w:rPr>
          <w:rStyle w:val="Referinnotdesubsol"/>
          <w:rFonts w:ascii="Arial Narrow" w:hAnsi="Arial Narrow"/>
          <w:sz w:val="14"/>
          <w:szCs w:val="14"/>
        </w:rPr>
        <w:footnoteRef/>
      </w:r>
      <w:r w:rsidRPr="002862FA">
        <w:rPr>
          <w:rFonts w:ascii="Arial Narrow" w:hAnsi="Arial Narrow"/>
          <w:sz w:val="14"/>
          <w:szCs w:val="14"/>
        </w:rPr>
        <w:t xml:space="preserve"> Potrivit insse.ro indicele de urbanizare din regiunea Centru în 2013, 2014 și 2015 a fost de peste 57,7% cu aproape patru puncte procentuale peste media națională (53,8%). </w:t>
      </w:r>
    </w:p>
  </w:footnote>
  <w:footnote w:id="34">
    <w:p w:rsidR="00064502" w:rsidRPr="002862FA" w:rsidRDefault="00064502" w:rsidP="00EA5F90">
      <w:pPr>
        <w:pStyle w:val="Textnotdesubsol"/>
        <w:jc w:val="both"/>
        <w:rPr>
          <w:rFonts w:ascii="Arial Narrow" w:hAnsi="Arial Narrow"/>
          <w:sz w:val="14"/>
          <w:szCs w:val="14"/>
        </w:rPr>
      </w:pPr>
      <w:r w:rsidRPr="002862FA">
        <w:rPr>
          <w:rStyle w:val="Referinnotdesubsol"/>
          <w:rFonts w:ascii="Arial Narrow" w:hAnsi="Arial Narrow"/>
          <w:sz w:val="14"/>
          <w:szCs w:val="14"/>
        </w:rPr>
        <w:footnoteRef/>
      </w:r>
      <w:r w:rsidRPr="002862FA">
        <w:rPr>
          <w:rFonts w:ascii="Arial Narrow" w:hAnsi="Arial Narrow"/>
          <w:sz w:val="14"/>
          <w:szCs w:val="14"/>
        </w:rPr>
        <w:t xml:space="preserve"> </w:t>
      </w:r>
      <w:hyperlink r:id="rId9" w:history="1">
        <w:r w:rsidRPr="002862FA">
          <w:rPr>
            <w:rStyle w:val="Hyperlink"/>
            <w:rFonts w:ascii="Arial Narrow" w:hAnsi="Arial Narrow"/>
            <w:sz w:val="14"/>
            <w:szCs w:val="14"/>
          </w:rPr>
          <w:t>www.folex.ro</w:t>
        </w:r>
      </w:hyperlink>
    </w:p>
  </w:footnote>
  <w:footnote w:id="35">
    <w:p w:rsidR="00064502" w:rsidRPr="0097367F" w:rsidRDefault="00064502" w:rsidP="00EA5F90">
      <w:pPr>
        <w:pStyle w:val="Textnotdesubsol"/>
        <w:rPr>
          <w:rFonts w:ascii="Arial Narrow" w:hAnsi="Arial Narrow"/>
          <w:sz w:val="14"/>
          <w:szCs w:val="14"/>
        </w:rPr>
      </w:pPr>
      <w:r w:rsidRPr="002862FA">
        <w:rPr>
          <w:rStyle w:val="Referinnotdesubsol"/>
          <w:rFonts w:ascii="Arial Narrow" w:hAnsi="Arial Narrow"/>
          <w:sz w:val="14"/>
          <w:szCs w:val="14"/>
        </w:rPr>
        <w:footnoteRef/>
      </w:r>
      <w:r w:rsidRPr="002862FA">
        <w:rPr>
          <w:rFonts w:ascii="Arial Narrow" w:hAnsi="Arial Narrow"/>
          <w:sz w:val="14"/>
          <w:szCs w:val="14"/>
        </w:rPr>
        <w:t xml:space="preserve"> Sursa: </w:t>
      </w:r>
      <w:hyperlink r:id="rId10" w:history="1">
        <w:r w:rsidRPr="002862FA">
          <w:rPr>
            <w:rStyle w:val="Hyperlink"/>
            <w:rFonts w:ascii="Arial Narrow" w:hAnsi="Arial Narrow"/>
            <w:sz w:val="14"/>
            <w:szCs w:val="14"/>
          </w:rPr>
          <w:t>www.poscce.research.ro</w:t>
        </w:r>
      </w:hyperlink>
      <w:r w:rsidRPr="002862FA">
        <w:rPr>
          <w:rFonts w:ascii="Arial Narrow" w:hAnsi="Arial Narrow"/>
          <w:sz w:val="14"/>
          <w:szCs w:val="14"/>
        </w:rPr>
        <w:t xml:space="preserve"> și hărțile cunoașterii disponibile la </w:t>
      </w:r>
      <w:hyperlink r:id="rId11" w:history="1">
        <w:r w:rsidRPr="002862FA">
          <w:rPr>
            <w:rStyle w:val="Hyperlink"/>
            <w:rFonts w:ascii="Arial Narrow" w:hAnsi="Arial Narrow"/>
            <w:sz w:val="14"/>
            <w:szCs w:val="14"/>
          </w:rPr>
          <w:t>www.cdi2020.ro</w:t>
        </w:r>
      </w:hyperlink>
      <w:r w:rsidRPr="0097367F">
        <w:rPr>
          <w:rFonts w:ascii="Arial Narrow" w:hAnsi="Arial Narrow"/>
          <w:sz w:val="14"/>
          <w:szCs w:val="14"/>
        </w:rPr>
        <w:t xml:space="preserve"> </w:t>
      </w:r>
    </w:p>
  </w:footnote>
  <w:footnote w:id="36">
    <w:p w:rsidR="00064502" w:rsidRPr="0097367F" w:rsidRDefault="00064502" w:rsidP="00EA5F90">
      <w:pPr>
        <w:pStyle w:val="Listparagraf"/>
        <w:tabs>
          <w:tab w:val="left" w:pos="284"/>
        </w:tabs>
        <w:spacing w:after="0" w:line="240" w:lineRule="auto"/>
        <w:ind w:left="0"/>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De exemplu, Institutul De Cercetari Produse Auxiliare Organice SA, o societate comercială pe acțiuni cu capital integral de stat, cu vastă activitate în domeniul cercetării, are implmentate proiecte care să contribuie la crearea unor produse avansate (de exemplu proiectul finanțat prin Programul Inovare „</w:t>
      </w:r>
      <w:r w:rsidRPr="0097367F">
        <w:rPr>
          <w:rFonts w:ascii="Arial Narrow" w:hAnsi="Arial Narrow"/>
          <w:i/>
          <w:sz w:val="14"/>
          <w:szCs w:val="14"/>
        </w:rPr>
        <w:t>Nanodispersie apoasa acrilo-vinilica, liant pentru vopsele pigmentate utilizate ca acoperiri in construcții</w:t>
      </w:r>
      <w:r w:rsidRPr="0097367F">
        <w:rPr>
          <w:rFonts w:ascii="Arial Narrow" w:hAnsi="Arial Narrow"/>
          <w:sz w:val="14"/>
          <w:szCs w:val="14"/>
        </w:rPr>
        <w:t xml:space="preserve">”).Lista proiectelor derulate de ICPAO se găsește aici: </w:t>
      </w:r>
      <w:hyperlink r:id="rId12" w:history="1">
        <w:r w:rsidRPr="0097367F">
          <w:rPr>
            <w:rStyle w:val="Hyperlink"/>
            <w:rFonts w:ascii="Arial Narrow" w:hAnsi="Arial Narrow"/>
            <w:sz w:val="14"/>
            <w:szCs w:val="14"/>
          </w:rPr>
          <w:t>www.icpaomedias.ro</w:t>
        </w:r>
      </w:hyperlink>
    </w:p>
  </w:footnote>
  <w:footnote w:id="37">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La nivelul regiunii există centre universitare unde produsele și materialele avansate și , dezvoltarea durabilă a mediului sunt priorități de cercetare: </w:t>
      </w:r>
      <w:hyperlink r:id="rId13" w:history="1">
        <w:r w:rsidRPr="0097367F">
          <w:rPr>
            <w:rStyle w:val="Hyperlink"/>
            <w:rFonts w:ascii="Arial Narrow" w:hAnsi="Arial Narrow"/>
            <w:sz w:val="14"/>
            <w:szCs w:val="14"/>
          </w:rPr>
          <w:t>Universitatea Transilvania din Brașov</w:t>
        </w:r>
      </w:hyperlink>
      <w:r w:rsidRPr="0097367F">
        <w:rPr>
          <w:rFonts w:ascii="Arial Narrow" w:hAnsi="Arial Narrow"/>
          <w:sz w:val="14"/>
          <w:szCs w:val="14"/>
        </w:rPr>
        <w:t xml:space="preserve">, </w:t>
      </w:r>
      <w:hyperlink r:id="rId14" w:history="1">
        <w:r w:rsidRPr="0097367F">
          <w:rPr>
            <w:rStyle w:val="Hyperlink"/>
            <w:rFonts w:ascii="Arial Narrow" w:hAnsi="Arial Narrow"/>
            <w:sz w:val="14"/>
            <w:szCs w:val="14"/>
          </w:rPr>
          <w:t>Universitatea „Petru Maior” Tîrgu Mureș</w:t>
        </w:r>
      </w:hyperlink>
      <w:r w:rsidRPr="0097367F">
        <w:rPr>
          <w:rFonts w:ascii="Arial Narrow" w:hAnsi="Arial Narrow"/>
          <w:sz w:val="14"/>
          <w:szCs w:val="14"/>
        </w:rPr>
        <w:t xml:space="preserve">, </w:t>
      </w:r>
      <w:hyperlink r:id="rId15" w:history="1">
        <w:r w:rsidRPr="0097367F">
          <w:rPr>
            <w:rStyle w:val="Hyperlink"/>
            <w:rFonts w:ascii="Arial Narrow" w:hAnsi="Arial Narrow"/>
            <w:sz w:val="14"/>
            <w:szCs w:val="14"/>
          </w:rPr>
          <w:t>Universitatea „Lucian Blaga” Sibiu</w:t>
        </w:r>
      </w:hyperlink>
      <w:r w:rsidRPr="0097367F">
        <w:rPr>
          <w:rFonts w:ascii="Arial Narrow" w:hAnsi="Arial Narrow"/>
          <w:sz w:val="14"/>
          <w:szCs w:val="14"/>
        </w:rPr>
        <w:t xml:space="preserve">, </w:t>
      </w:r>
      <w:hyperlink r:id="rId16" w:history="1">
        <w:r w:rsidRPr="0097367F">
          <w:rPr>
            <w:rStyle w:val="Hyperlink"/>
            <w:rFonts w:ascii="Arial Narrow" w:hAnsi="Arial Narrow"/>
            <w:sz w:val="14"/>
            <w:szCs w:val="14"/>
          </w:rPr>
          <w:t>Universitatea „1 DECEMBRIE 1918" Alba Iulia</w:t>
        </w:r>
      </w:hyperlink>
      <w:r w:rsidRPr="0097367F">
        <w:rPr>
          <w:rFonts w:ascii="Arial Narrow" w:hAnsi="Arial Narrow"/>
          <w:sz w:val="14"/>
          <w:szCs w:val="14"/>
        </w:rPr>
        <w:t xml:space="preserve">, </w:t>
      </w:r>
      <w:hyperlink r:id="rId17" w:history="1">
        <w:r w:rsidRPr="0097367F">
          <w:rPr>
            <w:rStyle w:val="Hyperlink"/>
            <w:rFonts w:ascii="Arial Narrow" w:hAnsi="Arial Narrow"/>
            <w:sz w:val="14"/>
            <w:szCs w:val="14"/>
          </w:rPr>
          <w:t>Centrul de Cercetări de Biochimie și Biotechnologii BIBIRC</w:t>
        </w:r>
      </w:hyperlink>
      <w:r w:rsidRPr="0097367F">
        <w:rPr>
          <w:rFonts w:ascii="Arial Narrow" w:hAnsi="Arial Narrow"/>
          <w:sz w:val="14"/>
          <w:szCs w:val="14"/>
        </w:rPr>
        <w:t xml:space="preserve"> Miercurea Ciuc (Universitatea Sapienta). </w:t>
      </w:r>
    </w:p>
  </w:footnote>
  <w:footnote w:id="38">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www.insse.ro</w:t>
      </w:r>
    </w:p>
  </w:footnote>
  <w:footnote w:id="39">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Agentia Nationala pentru Resurse Minerale, www.namr.ro</w:t>
      </w:r>
    </w:p>
  </w:footnote>
  <w:footnote w:id="40">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Date prelucrate după informațiile publicate de Transelectrica, iunie 2016.</w:t>
      </w:r>
    </w:p>
  </w:footnote>
  <w:footnote w:id="41">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Style w:val="Referinnotdesubsol"/>
          <w:rFonts w:ascii="Arial Narrow" w:hAnsi="Arial Narrow"/>
          <w:sz w:val="14"/>
          <w:szCs w:val="14"/>
        </w:rPr>
        <w:footnoteRef/>
      </w:r>
      <w:r w:rsidRPr="0097367F">
        <w:rPr>
          <w:rFonts w:ascii="Arial Narrow" w:hAnsi="Arial Narrow"/>
          <w:sz w:val="14"/>
          <w:szCs w:val="14"/>
        </w:rPr>
        <w:t xml:space="preserve"> Datele prezentate sunt cele inregistrate dupa anul 2009, dupa aplicare a ordinului ANRE 59/2009. In sectiunea hidro sunt inscrise doar  microhidrocentralele aparute dupa anul 2009.</w:t>
      </w:r>
    </w:p>
  </w:footnote>
  <w:footnote w:id="42">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Agenția Europeană de Mediu</w:t>
      </w:r>
      <w:r w:rsidRPr="0097367F">
        <w:rPr>
          <w:rFonts w:ascii="Arial Narrow" w:hAnsi="Arial Narrow"/>
          <w:i/>
          <w:sz w:val="14"/>
          <w:szCs w:val="14"/>
        </w:rPr>
        <w:t>-„EU bioenergy potential from a resource efficiency perspective</w:t>
      </w:r>
      <w:r w:rsidRPr="0097367F">
        <w:rPr>
          <w:rFonts w:ascii="Arial Narrow" w:hAnsi="Arial Narrow"/>
          <w:sz w:val="14"/>
          <w:szCs w:val="14"/>
        </w:rPr>
        <w:t>”, 2013</w:t>
      </w:r>
    </w:p>
  </w:footnote>
  <w:footnote w:id="43">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w:t>
      </w:r>
      <w:hyperlink r:id="rId18" w:history="1">
        <w:r w:rsidRPr="0097367F">
          <w:rPr>
            <w:rStyle w:val="Hyperlink"/>
            <w:rFonts w:ascii="Arial Narrow" w:hAnsi="Arial Narrow"/>
            <w:sz w:val="14"/>
            <w:szCs w:val="14"/>
          </w:rPr>
          <w:t>Planul de Actiune pentru bioenergie/biomasă al regiunii Centru 2014-2020</w:t>
        </w:r>
      </w:hyperlink>
    </w:p>
  </w:footnote>
  <w:footnote w:id="44">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Date preluate din Raportul privind evaluarea potențialului național de punere în aplicare a cogenerării de înaltă eficiență și a termoficării termoficării și răcirii centralizate eficiente elaborat de MDRAP, Dep. Energie, decembrie 2015</w:t>
      </w:r>
    </w:p>
  </w:footnote>
  <w:footnote w:id="45">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A se vedea </w:t>
      </w:r>
      <w:hyperlink r:id="rId19" w:history="1">
        <w:r w:rsidRPr="0097367F">
          <w:rPr>
            <w:rStyle w:val="Hyperlink"/>
            <w:rFonts w:ascii="Arial Narrow" w:hAnsi="Arial Narrow"/>
            <w:sz w:val="14"/>
            <w:szCs w:val="14"/>
          </w:rPr>
          <w:t>lista proiectelor</w:t>
        </w:r>
      </w:hyperlink>
      <w:r w:rsidRPr="0097367F">
        <w:rPr>
          <w:rFonts w:ascii="Arial Narrow" w:hAnsi="Arial Narrow"/>
          <w:sz w:val="14"/>
          <w:szCs w:val="14"/>
        </w:rPr>
        <w:t xml:space="preserve"> elaborate de Facultatea de Design de Produs  și Mediu din cadrul Universității Transilvania Brașov, </w:t>
      </w:r>
      <w:hyperlink r:id="rId20" w:history="1">
        <w:r w:rsidRPr="0097367F">
          <w:rPr>
            <w:rStyle w:val="Hyperlink"/>
            <w:rFonts w:ascii="Arial Narrow" w:hAnsi="Arial Narrow"/>
            <w:sz w:val="14"/>
            <w:szCs w:val="14"/>
          </w:rPr>
          <w:t>lista proiectelor</w:t>
        </w:r>
      </w:hyperlink>
      <w:r w:rsidRPr="0097367F">
        <w:rPr>
          <w:rFonts w:ascii="Arial Narrow" w:hAnsi="Arial Narrow"/>
          <w:sz w:val="14"/>
          <w:szCs w:val="14"/>
        </w:rPr>
        <w:t xml:space="preserve"> elaborate de Institutul de Produse Auxiliare Organice Mediaş etc. </w:t>
      </w:r>
    </w:p>
  </w:footnote>
  <w:footnote w:id="46">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t>
      </w:r>
      <w:hyperlink r:id="rId21" w:history="1">
        <w:r w:rsidRPr="0097367F">
          <w:rPr>
            <w:rStyle w:val="Hyperlink"/>
            <w:rFonts w:ascii="Arial Narrow" w:hAnsi="Arial Narrow"/>
            <w:sz w:val="14"/>
            <w:szCs w:val="14"/>
          </w:rPr>
          <w:t>www.uefiscdi.gov.ro</w:t>
        </w:r>
      </w:hyperlink>
    </w:p>
  </w:footnote>
  <w:footnote w:id="47">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BIO4ECO are în vedere îmbunătăţirea procesului de stabilire a politicilor naţionale şi regionale, implementarea acestora şi aplicarea lor în ceea ce priveşte tranziţia către o economie cu emisii scăzute de CO</w:t>
      </w:r>
      <w:r w:rsidRPr="0097367F">
        <w:rPr>
          <w:rFonts w:ascii="Arial Narrow" w:hAnsi="Arial Narrow"/>
          <w:sz w:val="14"/>
          <w:szCs w:val="14"/>
          <w:vertAlign w:val="subscript"/>
        </w:rPr>
        <w:t>2</w:t>
      </w:r>
      <w:r w:rsidRPr="0097367F">
        <w:rPr>
          <w:rFonts w:ascii="Arial Narrow" w:hAnsi="Arial Narrow"/>
          <w:sz w:val="14"/>
          <w:szCs w:val="14"/>
        </w:rPr>
        <w:t>, utilizarea surselor de energie regenerabilă, eficienţa energetică în clădiri, biomasa forestieră şi agricolă. Prin proiect se are în vedere transferul de cunoștinte și schimbul de bune practici între partenerii regionali  (Regiunea Centru România, Regiunia Catalunia Spania, Regiunea Abruzzo Italia, Regiunea Karelia de Nord Finlanda, regiuni din Letonia, Bulgaria și Franța).</w:t>
      </w:r>
    </w:p>
  </w:footnote>
  <w:footnote w:id="48">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la Brașov există un centru ce cuprinde două staţii meteo, standuri pentru testarea sistemelor fotovoltaice, solar-termice, hibride incluzând pompe de căldură, echipamente de testare tribologică, sisteme de depunere a straturilor subţiri, de caracterizare avansată a (nano)materialelor şi de evaluare a calităţii apelor. Acest centru este dedicat dezvoltării de noi soluţii şi implementării sistemelor de conversie a energiilor regenerabile şi valorificarea deşeurilor ca materii prime secundare sunt domenii abordate dinamic. Utilizarea eficientă a energiei, reţelele inteligente de energie, resursele regenerabile de energie și calitatea energiei sunt preocupări și ale </w:t>
      </w:r>
      <w:hyperlink r:id="rId22" w:anchor="s" w:history="1">
        <w:r w:rsidRPr="0097367F">
          <w:rPr>
            <w:rStyle w:val="Hyperlink"/>
            <w:rFonts w:ascii="Arial Narrow" w:hAnsi="Arial Narrow"/>
            <w:sz w:val="14"/>
            <w:szCs w:val="14"/>
          </w:rPr>
          <w:t>Centrului de Cercetare Managementul Energiei şi Electrotehnologiilor</w:t>
        </w:r>
      </w:hyperlink>
      <w:r w:rsidRPr="0097367F">
        <w:rPr>
          <w:rFonts w:ascii="Arial Narrow" w:hAnsi="Arial Narrow"/>
          <w:sz w:val="14"/>
          <w:szCs w:val="14"/>
        </w:rPr>
        <w:t xml:space="preserve"> -Universitatea Petru Maior, Tîrgu Mureș. Pentru informații suplimentare consultați Registrului Naţional de Infrastructuri de Cercetare disponibil la </w:t>
      </w:r>
      <w:hyperlink r:id="rId23" w:history="1">
        <w:r w:rsidRPr="0097367F">
          <w:rPr>
            <w:rStyle w:val="Hyperlink"/>
            <w:rFonts w:ascii="Arial Narrow" w:hAnsi="Arial Narrow"/>
            <w:sz w:val="14"/>
            <w:szCs w:val="14"/>
          </w:rPr>
          <w:t>www.erris.gov.ro</w:t>
        </w:r>
      </w:hyperlink>
    </w:p>
  </w:footnote>
  <w:footnote w:id="49">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Conform Cerințelor fundamentale aplicabile construcțiilor prevăzute în Regulamentul UE 305/2011 , acestea trebuie să corespundă, atât în ansamblu, cât și pe părți separate, utilizării preconizate, ținând seama mai ales de sănătatea și siguranța persoanelor implicate de-a lungul întregului ciclu de viață al construcțiilor, respectiv acestea trebuie să îndeplinească o serie de cerințe fundamentale: să asigure rezistență mecanică și stabilitate, securitate la incendiu, îndeplinirea normelor de igienă, sănătate și mediu, siguranță și accesibilitate în exploatare, protecție împotriva zgomotui, economie de energie și izolare termică și utilizarea sustenabilă a resurselor.</w:t>
      </w:r>
    </w:p>
  </w:footnote>
  <w:footnote w:id="50">
    <w:p w:rsidR="00064502" w:rsidRPr="0097367F" w:rsidRDefault="00064502" w:rsidP="00EA5F90">
      <w:pPr>
        <w:pStyle w:val="Listparagraf"/>
        <w:spacing w:after="0" w:line="240" w:lineRule="auto"/>
        <w:ind w:left="0"/>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w:t>
      </w:r>
      <w:r w:rsidRPr="0097367F">
        <w:rPr>
          <w:rFonts w:ascii="Arial Narrow" w:hAnsi="Arial Narrow" w:cs="Calibri"/>
          <w:color w:val="000000"/>
          <w:sz w:val="14"/>
          <w:szCs w:val="14"/>
        </w:rPr>
        <w:t xml:space="preserve">Spre exemplu, performanţele termice ale unei clădiri, respectiv eficienţa energetică are impact economic, social, cât şi asupra mediului. În acest  context, proiectarea unei construcţii pentru o durată de viaţă, stabilită prin normele de proiectare la 50-100 ani, trebuie realizată având în vedere impactul acesteia asupra mediului, atât prin consumul de resurse şi efectele sale în faza de construcţie, cât şi pe parcursul operării/funcționării. </w:t>
      </w:r>
    </w:p>
  </w:footnote>
  <w:footnote w:id="51">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A se consulta baza de date ENTRANZE disponibilă la </w:t>
      </w:r>
      <w:hyperlink r:id="rId24" w:history="1">
        <w:r w:rsidRPr="0097367F">
          <w:rPr>
            <w:rStyle w:val="Hyperlink"/>
            <w:rFonts w:ascii="Arial Narrow" w:hAnsi="Arial Narrow"/>
            <w:sz w:val="14"/>
            <w:szCs w:val="14"/>
          </w:rPr>
          <w:t>www.entranze.eu</w:t>
        </w:r>
      </w:hyperlink>
    </w:p>
  </w:footnote>
  <w:footnote w:id="52">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În august 2014 a intrat în vigoare Legea nr. 121/2014 privind eficiența energetică; aceasta transpune reglementările europene prevăzute în Directiva CE 27/2012 privind eficiența energetică. Prin această lege s-au stabilit măsurile privind eficiența energetică și modul de aplicare a acestora.</w:t>
      </w:r>
    </w:p>
  </w:footnote>
  <w:footnote w:id="53">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Date preluate din baza de date www.odyssee-mure.eu</w:t>
      </w:r>
    </w:p>
  </w:footnote>
  <w:footnote w:id="54">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insse.ro, Balanța energetică și structura utilajlui </w:t>
      </w:r>
    </w:p>
  </w:footnote>
  <w:footnote w:id="55">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Energy Efficiency trends and policies in ROMANIA, 2015, disponibil la </w:t>
      </w:r>
      <w:hyperlink r:id="rId25" w:history="1">
        <w:r w:rsidRPr="0097367F">
          <w:rPr>
            <w:rStyle w:val="Hyperlink"/>
            <w:rFonts w:ascii="Arial Narrow" w:hAnsi="Arial Narrow"/>
            <w:sz w:val="14"/>
            <w:szCs w:val="14"/>
          </w:rPr>
          <w:t>www.odyssee-mure.eu</w:t>
        </w:r>
      </w:hyperlink>
    </w:p>
  </w:footnote>
  <w:footnote w:id="56">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w:t>
      </w:r>
      <w:hyperlink r:id="rId26" w:history="1">
        <w:r w:rsidRPr="0097367F">
          <w:rPr>
            <w:rStyle w:val="Hyperlink"/>
            <w:rFonts w:ascii="Arial Narrow" w:hAnsi="Arial Narrow"/>
            <w:sz w:val="14"/>
            <w:szCs w:val="14"/>
          </w:rPr>
          <w:t>Programul de reabilitare termica a blocurilor de locuinte</w:t>
        </w:r>
      </w:hyperlink>
    </w:p>
  </w:footnote>
  <w:footnote w:id="57">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t>
      </w:r>
      <w:hyperlink r:id="rId27" w:history="1">
        <w:r w:rsidRPr="0097367F">
          <w:rPr>
            <w:rStyle w:val="Hyperlink"/>
            <w:rFonts w:ascii="Arial Narrow" w:hAnsi="Arial Narrow"/>
            <w:sz w:val="14"/>
            <w:szCs w:val="14"/>
          </w:rPr>
          <w:t>www.mdrap.ro</w:t>
        </w:r>
      </w:hyperlink>
      <w:r w:rsidRPr="0097367F">
        <w:rPr>
          <w:rFonts w:ascii="Arial Narrow" w:hAnsi="Arial Narrow"/>
          <w:sz w:val="14"/>
          <w:szCs w:val="14"/>
        </w:rPr>
        <w:t>, Lista blocurilor incluse în program - perioada 2005-2013</w:t>
      </w:r>
    </w:p>
  </w:footnote>
  <w:footnote w:id="58">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Romania - Climate change and low carbon green growth program : component B sector report - energy sector rapid assessment: Romania - Programul privind schimbarile climatice si o crestere economica verde, cu emisii reduse de carbon : componenta B raport sectorial - evaluarea rapida a sectorului energetic (Romanian)</w:t>
      </w:r>
    </w:p>
  </w:footnote>
  <w:footnote w:id="59">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a se consulta </w:t>
      </w:r>
      <w:hyperlink r:id="rId28" w:history="1">
        <w:r w:rsidRPr="0097367F">
          <w:rPr>
            <w:rStyle w:val="Hyperlink"/>
            <w:rFonts w:ascii="Arial Narrow" w:hAnsi="Arial Narrow"/>
            <w:sz w:val="14"/>
            <w:szCs w:val="14"/>
          </w:rPr>
          <w:t>broșura</w:t>
        </w:r>
      </w:hyperlink>
      <w:r w:rsidRPr="0097367F">
        <w:rPr>
          <w:rFonts w:ascii="Arial Narrow" w:hAnsi="Arial Narrow"/>
          <w:sz w:val="14"/>
          <w:szCs w:val="14"/>
        </w:rPr>
        <w:t xml:space="preserve"> Centrului de Proiectare şi Cercetare pentru Construcţii şi Instalaţii din cadrul Universității Transilvania Brașov</w:t>
      </w:r>
    </w:p>
  </w:footnote>
  <w:footnote w:id="60">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firma Arcon SRL din Sfântu Gheorghe </w:t>
      </w:r>
    </w:p>
  </w:footnote>
  <w:footnote w:id="61">
    <w:p w:rsidR="00064502" w:rsidRPr="0097367F" w:rsidRDefault="00064502" w:rsidP="00EA5F90">
      <w:pPr>
        <w:pStyle w:val="Listparagraf"/>
        <w:spacing w:after="0" w:line="240" w:lineRule="auto"/>
        <w:ind w:left="0"/>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ecaph.com/constructie-casa-cu-un-consum-redus-de-energie-in-brasov-proiectata-dupa-standardul-de-casa-pasiva</w:t>
      </w:r>
    </w:p>
  </w:footnote>
  <w:footnote w:id="62">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www.certcraft.eu</w:t>
      </w:r>
    </w:p>
  </w:footnote>
  <w:footnote w:id="63">
    <w:p w:rsidR="00064502" w:rsidRPr="00381008"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în cazul unui hotel din Brașov se are în vedere ca în urma implementării tuturor măsurilor propuse prin proiect, consumul de energie să fie de 95 kWh/mp/an, iar costurile </w:t>
      </w:r>
      <w:r w:rsidRPr="00381008">
        <w:rPr>
          <w:rFonts w:ascii="Arial Narrow" w:hAnsi="Arial Narrow"/>
          <w:sz w:val="14"/>
          <w:szCs w:val="14"/>
        </w:rPr>
        <w:t xml:space="preserve">cu utilitățile să scadă de la 38000 de euro/an la 8000 de euro/an. Pentru informații suplimentare consultați </w:t>
      </w:r>
      <w:hyperlink r:id="rId29" w:history="1">
        <w:r w:rsidRPr="00381008">
          <w:rPr>
            <w:rStyle w:val="Hyperlink"/>
            <w:rFonts w:ascii="Arial Narrow" w:hAnsi="Arial Narrow"/>
            <w:sz w:val="14"/>
            <w:szCs w:val="14"/>
          </w:rPr>
          <w:t>www.nezeh.eu</w:t>
        </w:r>
      </w:hyperlink>
    </w:p>
  </w:footnote>
  <w:footnote w:id="64">
    <w:p w:rsidR="00064502" w:rsidRDefault="00064502" w:rsidP="00EA5F90">
      <w:pPr>
        <w:pStyle w:val="Textnotdesubsol"/>
      </w:pPr>
      <w:r w:rsidRPr="00381008">
        <w:rPr>
          <w:rStyle w:val="Referinnotdesubsol"/>
          <w:rFonts w:ascii="Arial Narrow" w:hAnsi="Arial Narrow"/>
          <w:sz w:val="14"/>
          <w:szCs w:val="14"/>
        </w:rPr>
        <w:footnoteRef/>
      </w:r>
      <w:r w:rsidRPr="00381008">
        <w:rPr>
          <w:rFonts w:ascii="Arial Narrow" w:hAnsi="Arial Narrow"/>
          <w:sz w:val="14"/>
          <w:szCs w:val="14"/>
        </w:rPr>
        <w:t xml:space="preserve"> De exemplu, firma Natural Paint SRL, Harghita</w:t>
      </w:r>
      <w:r>
        <w:rPr>
          <w:rFonts w:ascii="Arial Narrow" w:hAnsi="Arial Narrow"/>
          <w:sz w:val="24"/>
          <w:szCs w:val="24"/>
        </w:rPr>
        <w:t xml:space="preserve"> </w:t>
      </w:r>
    </w:p>
  </w:footnote>
  <w:footnote w:id="65">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Firma Gescat Târnăveni se găsește în topul național al  firmelor din domeniul materialelor de construcții și izolații, având în 2015  o CA de 25.715.876 lei și 49 angajați</w:t>
      </w:r>
    </w:p>
  </w:footnote>
  <w:footnote w:id="66">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t>
      </w:r>
      <w:hyperlink r:id="rId30" w:history="1">
        <w:r w:rsidRPr="0097367F">
          <w:rPr>
            <w:rStyle w:val="Hyperlink"/>
            <w:rFonts w:ascii="Arial Narrow" w:hAnsi="Arial Narrow"/>
            <w:sz w:val="14"/>
            <w:szCs w:val="14"/>
          </w:rPr>
          <w:t>Compania Națională de Autostrăzi și Drumuri Naționale Din România</w:t>
        </w:r>
      </w:hyperlink>
    </w:p>
  </w:footnote>
  <w:footnote w:id="67">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insse.ro</w:t>
      </w:r>
    </w:p>
  </w:footnote>
  <w:footnote w:id="68">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Raportul anual de implementare POS MEDIU, disponibil la </w:t>
      </w:r>
      <w:hyperlink r:id="rId31" w:history="1">
        <w:r w:rsidRPr="0097367F">
          <w:rPr>
            <w:rStyle w:val="Hyperlink"/>
            <w:rFonts w:ascii="Arial Narrow" w:hAnsi="Arial Narrow"/>
            <w:sz w:val="14"/>
            <w:szCs w:val="14"/>
          </w:rPr>
          <w:t>www.posmediu.ro</w:t>
        </w:r>
      </w:hyperlink>
    </w:p>
  </w:footnote>
  <w:footnote w:id="69">
    <w:p w:rsidR="00064502" w:rsidRPr="0097367F" w:rsidRDefault="00064502" w:rsidP="00EA5F90">
      <w:pPr>
        <w:pStyle w:val="Textnotdesubsol"/>
        <w:tabs>
          <w:tab w:val="left" w:pos="7470"/>
        </w:tabs>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t>
      </w:r>
      <w:hyperlink r:id="rId32" w:history="1">
        <w:r w:rsidRPr="0097367F">
          <w:rPr>
            <w:rFonts w:ascii="Arial Narrow" w:hAnsi="Arial Narrow"/>
            <w:color w:val="0000FF"/>
            <w:sz w:val="14"/>
            <w:szCs w:val="14"/>
            <w:u w:val="single"/>
          </w:rPr>
          <w:t>Starea serviciilor energetice</w:t>
        </w:r>
      </w:hyperlink>
      <w:r w:rsidRPr="0097367F">
        <w:rPr>
          <w:rFonts w:ascii="Arial Narrow" w:hAnsi="Arial Narrow"/>
          <w:sz w:val="14"/>
          <w:szCs w:val="14"/>
        </w:rPr>
        <w:t>, Autoritatea Națională de Reglementare pentru Serviciile Comunitare de Utilități Publice – A.N.R.S.C.</w:t>
      </w:r>
    </w:p>
  </w:footnote>
  <w:footnote w:id="70">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Sursa: Potrivit anexelor la </w:t>
      </w:r>
      <w:hyperlink r:id="rId33" w:history="1">
        <w:r w:rsidRPr="0097367F">
          <w:rPr>
            <w:rStyle w:val="Hyperlink"/>
            <w:rFonts w:ascii="Arial Narrow" w:hAnsi="Arial Narrow"/>
            <w:sz w:val="14"/>
            <w:szCs w:val="14"/>
          </w:rPr>
          <w:t>Programul ''Termoficare 2006-2020 - caldura si confort''</w:t>
        </w:r>
      </w:hyperlink>
      <w:r w:rsidRPr="0097367F">
        <w:rPr>
          <w:rFonts w:ascii="Arial Narrow" w:hAnsi="Arial Narrow"/>
          <w:sz w:val="14"/>
          <w:szCs w:val="14"/>
        </w:rPr>
        <w:t>, cele mai multe investiții au fost realizate în județele Bașov și Harghita;</w:t>
      </w:r>
    </w:p>
  </w:footnote>
  <w:footnote w:id="71">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Date privind situatia serviciilor publice de alimentare cu energie termica la 30 iunie 2016 publicată de  Autoritatea Națională de Reglementare pentru Serviciile Comunitare de Utilități Publice – A.N.R.S.C., informații disponibile la www.anrsc.ro</w:t>
      </w:r>
    </w:p>
  </w:footnote>
  <w:footnote w:id="72">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Ibidem </w:t>
      </w:r>
      <w:r w:rsidRPr="0097367F">
        <w:rPr>
          <w:rFonts w:ascii="Arial Narrow" w:hAnsi="Arial Narrow"/>
          <w:sz w:val="14"/>
          <w:szCs w:val="14"/>
          <w:vertAlign w:val="superscript"/>
        </w:rPr>
        <w:t>27</w:t>
      </w:r>
    </w:p>
  </w:footnote>
  <w:footnote w:id="73">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în vederea atingerii ţintelor şi obiectivelor prevăzute la nivel județean, regional și național, în Braşov s-au implementat, prin PHARE CES 2003-2006,  patru proiecte de colectare şi transport al deşeurilor. Ulterior prin asistența nerambursabilă acordată prin Programul Operational Sectorial (POS) Mediu, județul Brașov a beneficiat de asistență tehnică în vederea pregătirii și implementării proiectului „Sistem de Management Integrat al Deseurilor” (SMID) la nivelul judetului Brașov. Prin SMID s-a avut în vedere informarea şi conştientizarea publicului, îmbunătăţirea sistemului de colectare, prelucrare şi validare a datelor privind gestionarea deşeurilor, modernizarea şi extinderea sistemelor de colectare şi transport astfel încât să se asigurare un grad de acoperire cu servicii de salubrizare de 100 % în mediul urban şi în mediul rural. După implementarea SMID Brașov,  în perioada de programare 2014-2020, se are în vedere construirea  unei  stații de tratare deșeuri și valorificarea energetică a acestora. De asemenea, în funcție de tipul deșeurilor, în următoarea perioadă se are în vedere și valorificarea termică a acestora în special în acele localități unde există SACET.</w:t>
      </w:r>
    </w:p>
  </w:footnote>
  <w:footnote w:id="74">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Penru mai multe detalii consultați </w:t>
      </w:r>
      <w:hyperlink r:id="rId34" w:history="1">
        <w:r w:rsidRPr="0097367F">
          <w:rPr>
            <w:rStyle w:val="Hyperlink"/>
            <w:rFonts w:ascii="Arial Narrow" w:hAnsi="Arial Narrow"/>
            <w:sz w:val="14"/>
            <w:szCs w:val="14"/>
          </w:rPr>
          <w:t>www.gestiunedeseuri.ro</w:t>
        </w:r>
      </w:hyperlink>
    </w:p>
  </w:footnote>
  <w:footnote w:id="75">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www.edemos.insse.ro</w:t>
      </w:r>
    </w:p>
  </w:footnote>
  <w:footnote w:id="76">
    <w:p w:rsidR="00064502" w:rsidRPr="0097367F" w:rsidRDefault="00064502" w:rsidP="00EA5F90">
      <w:pPr>
        <w:pStyle w:val="Textnotdesubsol"/>
        <w:rPr>
          <w:rFonts w:ascii="Arial Narrow" w:hAnsi="Arial Narrow" w:cs="Raavi"/>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w:t>
      </w:r>
      <w:r w:rsidRPr="0097367F">
        <w:rPr>
          <w:rFonts w:ascii="Arial Narrow" w:hAnsi="Arial Narrow" w:cs="Raavi"/>
          <w:sz w:val="14"/>
          <w:szCs w:val="14"/>
        </w:rPr>
        <w:t>Sursa: Analiz</w:t>
      </w:r>
      <w:r w:rsidRPr="0097367F">
        <w:rPr>
          <w:rFonts w:ascii="Arial Narrow" w:hAnsi="Arial Narrow" w:cs="Calibri"/>
          <w:sz w:val="14"/>
          <w:szCs w:val="14"/>
        </w:rPr>
        <w:t>ă</w:t>
      </w:r>
      <w:r w:rsidRPr="0097367F">
        <w:rPr>
          <w:rFonts w:ascii="Arial Narrow" w:hAnsi="Arial Narrow" w:cs="Raavi"/>
          <w:sz w:val="14"/>
          <w:szCs w:val="14"/>
        </w:rPr>
        <w:t xml:space="preserve"> teritorial</w:t>
      </w:r>
      <w:r w:rsidRPr="0097367F">
        <w:rPr>
          <w:rFonts w:ascii="Arial Narrow" w:hAnsi="Arial Narrow" w:cs="Calibri"/>
          <w:sz w:val="14"/>
          <w:szCs w:val="14"/>
        </w:rPr>
        <w:t>ă</w:t>
      </w:r>
      <w:r w:rsidRPr="0097367F">
        <w:rPr>
          <w:rFonts w:ascii="Arial Narrow" w:hAnsi="Arial Narrow" w:cs="Raavi"/>
          <w:sz w:val="14"/>
          <w:szCs w:val="14"/>
        </w:rPr>
        <w:t xml:space="preserve"> pentru fundamentarea Acordului de Parteneriat 2014-2020, decembrie 2013, disponibil</w:t>
      </w:r>
      <w:r w:rsidRPr="0097367F">
        <w:rPr>
          <w:rFonts w:ascii="Arial Narrow" w:hAnsi="Arial Narrow" w:cs="Calibri"/>
          <w:sz w:val="14"/>
          <w:szCs w:val="14"/>
        </w:rPr>
        <w:t>ă</w:t>
      </w:r>
      <w:r w:rsidRPr="0097367F">
        <w:rPr>
          <w:rFonts w:ascii="Arial Narrow" w:hAnsi="Arial Narrow" w:cs="Raavi"/>
          <w:sz w:val="14"/>
          <w:szCs w:val="14"/>
        </w:rPr>
        <w:t xml:space="preserve"> la  www.mdrap.ro</w:t>
      </w:r>
    </w:p>
  </w:footnote>
  <w:footnote w:id="77">
    <w:p w:rsidR="00064502" w:rsidRPr="0097367F" w:rsidRDefault="00064502" w:rsidP="00EA5F90">
      <w:pPr>
        <w:pStyle w:val="Textnotdesubsol"/>
        <w:jc w:val="both"/>
        <w:rPr>
          <w:rFonts w:ascii="Arial Narrow" w:hAnsi="Arial Narrow" w:cs="Raavi"/>
          <w:sz w:val="14"/>
          <w:szCs w:val="14"/>
        </w:rPr>
      </w:pPr>
      <w:r w:rsidRPr="0097367F">
        <w:rPr>
          <w:rStyle w:val="Referinnotdesubsol"/>
          <w:rFonts w:ascii="Arial Narrow" w:hAnsi="Arial Narrow" w:cs="Raavi"/>
          <w:sz w:val="14"/>
          <w:szCs w:val="14"/>
        </w:rPr>
        <w:footnoteRef/>
      </w:r>
      <w:r w:rsidRPr="0097367F">
        <w:rPr>
          <w:rFonts w:ascii="Arial Narrow" w:hAnsi="Arial Narrow" w:cs="Raavi"/>
          <w:sz w:val="14"/>
          <w:szCs w:val="14"/>
        </w:rPr>
        <w:t xml:space="preserve"> Spre exemplu, </w:t>
      </w:r>
      <w:r w:rsidRPr="0097367F">
        <w:rPr>
          <w:rFonts w:ascii="Arial Narrow" w:hAnsi="Arial Narrow" w:cs="Raavi"/>
          <w:color w:val="000000"/>
          <w:sz w:val="14"/>
          <w:szCs w:val="14"/>
        </w:rPr>
        <w:t>cel pu</w:t>
      </w:r>
      <w:r w:rsidRPr="0097367F">
        <w:rPr>
          <w:rFonts w:ascii="Arial Narrow" w:hAnsi="Arial Narrow" w:cs="Calibri"/>
          <w:color w:val="000000"/>
          <w:sz w:val="14"/>
          <w:szCs w:val="14"/>
        </w:rPr>
        <w:t>ț</w:t>
      </w:r>
      <w:r>
        <w:rPr>
          <w:rFonts w:ascii="Arial Narrow" w:hAnsi="Arial Narrow" w:cs="Raavi"/>
          <w:color w:val="000000"/>
          <w:sz w:val="14"/>
          <w:szCs w:val="14"/>
        </w:rPr>
        <w:t>in 50</w:t>
      </w:r>
      <w:r w:rsidRPr="0097367F">
        <w:rPr>
          <w:rFonts w:ascii="Arial Narrow" w:hAnsi="Arial Narrow" w:cs="Raavi"/>
          <w:color w:val="000000"/>
          <w:sz w:val="14"/>
          <w:szCs w:val="14"/>
        </w:rPr>
        <w:t>% din resursele FEDR pentru perioada  2014-2020 vor fi investite în zonele urbane. La nivel na</w:t>
      </w:r>
      <w:r w:rsidRPr="0097367F">
        <w:rPr>
          <w:rFonts w:ascii="Arial Narrow" w:hAnsi="Arial Narrow" w:cs="Calibri"/>
          <w:color w:val="000000"/>
          <w:sz w:val="14"/>
          <w:szCs w:val="14"/>
        </w:rPr>
        <w:t>ț</w:t>
      </w:r>
      <w:r w:rsidRPr="0097367F">
        <w:rPr>
          <w:rFonts w:ascii="Arial Narrow" w:hAnsi="Arial Narrow" w:cs="Raavi"/>
          <w:color w:val="000000"/>
          <w:sz w:val="14"/>
          <w:szCs w:val="14"/>
        </w:rPr>
        <w:t>ional, circa 1108 milioane euro  din FEDR vor fi direct alocate investi</w:t>
      </w:r>
      <w:r w:rsidRPr="0097367F">
        <w:rPr>
          <w:rFonts w:ascii="Arial Narrow" w:hAnsi="Arial Narrow" w:cs="Calibri"/>
          <w:color w:val="000000"/>
          <w:sz w:val="14"/>
          <w:szCs w:val="14"/>
        </w:rPr>
        <w:t>ț</w:t>
      </w:r>
      <w:r w:rsidRPr="0097367F">
        <w:rPr>
          <w:rFonts w:ascii="Arial Narrow" w:hAnsi="Arial Narrow" w:cs="Raavi"/>
          <w:color w:val="000000"/>
          <w:sz w:val="14"/>
          <w:szCs w:val="14"/>
        </w:rPr>
        <w:t>iilor privind dezvoltarea urban</w:t>
      </w:r>
      <w:r w:rsidRPr="0097367F">
        <w:rPr>
          <w:rFonts w:ascii="Arial Narrow" w:hAnsi="Arial Narrow" w:cs="Calibri"/>
          <w:color w:val="000000"/>
          <w:sz w:val="14"/>
          <w:szCs w:val="14"/>
        </w:rPr>
        <w:t>ă</w:t>
      </w:r>
      <w:r w:rsidRPr="0097367F">
        <w:rPr>
          <w:rFonts w:ascii="Arial Narrow" w:hAnsi="Arial Narrow" w:cs="Raavi"/>
          <w:color w:val="000000"/>
          <w:sz w:val="14"/>
          <w:szCs w:val="14"/>
        </w:rPr>
        <w:t xml:space="preserve"> durabil</w:t>
      </w:r>
      <w:r w:rsidRPr="0097367F">
        <w:rPr>
          <w:rFonts w:ascii="Arial Narrow" w:hAnsi="Arial Narrow" w:cs="Calibri"/>
          <w:color w:val="000000"/>
          <w:sz w:val="14"/>
          <w:szCs w:val="14"/>
        </w:rPr>
        <w:t>ă</w:t>
      </w:r>
      <w:r w:rsidRPr="0097367F">
        <w:rPr>
          <w:rFonts w:ascii="Arial Narrow" w:hAnsi="Arial Narrow" w:cs="Raavi"/>
          <w:color w:val="000000"/>
          <w:sz w:val="14"/>
          <w:szCs w:val="14"/>
        </w:rPr>
        <w:t>, din aceast</w:t>
      </w:r>
      <w:r w:rsidRPr="0097367F">
        <w:rPr>
          <w:rFonts w:ascii="Arial Narrow" w:hAnsi="Arial Narrow" w:cs="Calibri"/>
          <w:color w:val="000000"/>
          <w:sz w:val="14"/>
          <w:szCs w:val="14"/>
        </w:rPr>
        <w:t>ă</w:t>
      </w:r>
      <w:r w:rsidRPr="0097367F">
        <w:rPr>
          <w:rFonts w:ascii="Arial Narrow" w:hAnsi="Arial Narrow" w:cs="Raavi"/>
          <w:color w:val="000000"/>
          <w:sz w:val="14"/>
          <w:szCs w:val="14"/>
        </w:rPr>
        <w:t xml:space="preserve"> sum</w:t>
      </w:r>
      <w:r w:rsidRPr="0097367F">
        <w:rPr>
          <w:rFonts w:ascii="Arial Narrow" w:hAnsi="Arial Narrow" w:cs="Calibri"/>
          <w:color w:val="000000"/>
          <w:sz w:val="14"/>
          <w:szCs w:val="14"/>
        </w:rPr>
        <w:t>ă</w:t>
      </w:r>
      <w:r w:rsidRPr="0097367F">
        <w:rPr>
          <w:rFonts w:ascii="Arial Narrow" w:hAnsi="Arial Narrow" w:cs="Raavi"/>
          <w:color w:val="000000"/>
          <w:sz w:val="14"/>
          <w:szCs w:val="14"/>
        </w:rPr>
        <w:t xml:space="preserve"> circa 153 milioane euro vor  fi direc</w:t>
      </w:r>
      <w:r w:rsidRPr="0097367F">
        <w:rPr>
          <w:rFonts w:ascii="Arial Narrow" w:hAnsi="Arial Narrow" w:cs="Calibri"/>
          <w:color w:val="000000"/>
          <w:sz w:val="14"/>
          <w:szCs w:val="14"/>
        </w:rPr>
        <w:t>ț</w:t>
      </w:r>
      <w:r w:rsidRPr="0097367F">
        <w:rPr>
          <w:rFonts w:ascii="Arial Narrow" w:hAnsi="Arial Narrow" w:cs="Raavi"/>
          <w:color w:val="000000"/>
          <w:sz w:val="14"/>
          <w:szCs w:val="14"/>
        </w:rPr>
        <w:t>ionate proiectelor din regiunea Centru. Acest buget va fi completat cu fondurile alocate ora</w:t>
      </w:r>
      <w:r w:rsidRPr="0097367F">
        <w:rPr>
          <w:rFonts w:ascii="Arial Narrow" w:hAnsi="Arial Narrow" w:cs="Calibri"/>
          <w:color w:val="000000"/>
          <w:sz w:val="14"/>
          <w:szCs w:val="14"/>
        </w:rPr>
        <w:t>ș</w:t>
      </w:r>
      <w:r w:rsidRPr="0097367F">
        <w:rPr>
          <w:rFonts w:ascii="Arial Narrow" w:hAnsi="Arial Narrow" w:cs="Raavi"/>
          <w:color w:val="000000"/>
          <w:sz w:val="14"/>
          <w:szCs w:val="14"/>
        </w:rPr>
        <w:t>elor/municipiilor din zona func</w:t>
      </w:r>
      <w:r w:rsidRPr="0097367F">
        <w:rPr>
          <w:rFonts w:ascii="Arial Narrow" w:hAnsi="Arial Narrow" w:cs="Calibri"/>
          <w:color w:val="000000"/>
          <w:sz w:val="14"/>
          <w:szCs w:val="14"/>
        </w:rPr>
        <w:t>ț</w:t>
      </w:r>
      <w:r w:rsidRPr="0097367F">
        <w:rPr>
          <w:rFonts w:ascii="Arial Narrow" w:hAnsi="Arial Narrow" w:cs="Raavi"/>
          <w:color w:val="000000"/>
          <w:sz w:val="14"/>
          <w:szCs w:val="14"/>
        </w:rPr>
        <w:t>ional</w:t>
      </w:r>
      <w:r w:rsidRPr="0097367F">
        <w:rPr>
          <w:rFonts w:ascii="Arial Narrow" w:hAnsi="Arial Narrow" w:cs="Calibri"/>
          <w:color w:val="000000"/>
          <w:sz w:val="14"/>
          <w:szCs w:val="14"/>
        </w:rPr>
        <w:t>ă</w:t>
      </w:r>
      <w:r w:rsidRPr="0097367F">
        <w:rPr>
          <w:rFonts w:ascii="Arial Narrow" w:hAnsi="Arial Narrow" w:cs="Raavi"/>
          <w:color w:val="000000"/>
          <w:sz w:val="14"/>
          <w:szCs w:val="14"/>
        </w:rPr>
        <w:t xml:space="preserve"> urban</w:t>
      </w:r>
      <w:r w:rsidRPr="0097367F">
        <w:rPr>
          <w:rFonts w:ascii="Arial Narrow" w:hAnsi="Arial Narrow" w:cs="Calibri"/>
          <w:color w:val="000000"/>
          <w:sz w:val="14"/>
          <w:szCs w:val="14"/>
        </w:rPr>
        <w:t>ă</w:t>
      </w:r>
      <w:r w:rsidRPr="0097367F">
        <w:rPr>
          <w:rFonts w:ascii="Arial Narrow" w:hAnsi="Arial Narrow" w:cs="Raavi"/>
          <w:color w:val="000000"/>
          <w:sz w:val="14"/>
          <w:szCs w:val="14"/>
        </w:rPr>
        <w:t>, care au Planuri de Mobilitate Urban</w:t>
      </w:r>
      <w:r w:rsidRPr="0097367F">
        <w:rPr>
          <w:rFonts w:ascii="Arial Narrow" w:hAnsi="Arial Narrow" w:cs="Calibri"/>
          <w:color w:val="000000"/>
          <w:sz w:val="14"/>
          <w:szCs w:val="14"/>
        </w:rPr>
        <w:t>ă</w:t>
      </w:r>
      <w:r w:rsidRPr="0097367F">
        <w:rPr>
          <w:rFonts w:ascii="Arial Narrow" w:hAnsi="Arial Narrow" w:cs="Raavi"/>
          <w:color w:val="000000"/>
          <w:sz w:val="14"/>
          <w:szCs w:val="14"/>
        </w:rPr>
        <w:t xml:space="preserve"> Durabil</w:t>
      </w:r>
      <w:r w:rsidRPr="0097367F">
        <w:rPr>
          <w:rFonts w:ascii="Arial Narrow" w:hAnsi="Arial Narrow" w:cs="Calibri"/>
          <w:color w:val="000000"/>
          <w:sz w:val="14"/>
          <w:szCs w:val="14"/>
        </w:rPr>
        <w:t>ă</w:t>
      </w:r>
      <w:r w:rsidRPr="0097367F">
        <w:rPr>
          <w:rFonts w:ascii="Arial Narrow" w:hAnsi="Arial Narrow" w:cs="Raavi"/>
          <w:color w:val="000000"/>
          <w:sz w:val="14"/>
          <w:szCs w:val="14"/>
        </w:rPr>
        <w:t xml:space="preserve"> individuale sau sunt incluse in PMUD-urile municipiilor re</w:t>
      </w:r>
      <w:r w:rsidRPr="0097367F">
        <w:rPr>
          <w:rFonts w:ascii="Arial Narrow" w:hAnsi="Arial Narrow" w:cs="Calibri"/>
          <w:color w:val="000000"/>
          <w:sz w:val="14"/>
          <w:szCs w:val="14"/>
        </w:rPr>
        <w:t>ș</w:t>
      </w:r>
      <w:r w:rsidRPr="0097367F">
        <w:rPr>
          <w:rFonts w:ascii="Arial Narrow" w:hAnsi="Arial Narrow" w:cs="Raavi"/>
          <w:color w:val="000000"/>
          <w:sz w:val="14"/>
          <w:szCs w:val="14"/>
        </w:rPr>
        <w:t>edin</w:t>
      </w:r>
      <w:r w:rsidRPr="0097367F">
        <w:rPr>
          <w:rFonts w:ascii="Arial Narrow" w:hAnsi="Arial Narrow" w:cs="Calibri"/>
          <w:color w:val="000000"/>
          <w:sz w:val="14"/>
          <w:szCs w:val="14"/>
        </w:rPr>
        <w:t>ță</w:t>
      </w:r>
      <w:r w:rsidRPr="0097367F">
        <w:rPr>
          <w:rFonts w:ascii="Arial Narrow" w:hAnsi="Arial Narrow" w:cs="Raavi"/>
          <w:color w:val="000000"/>
          <w:sz w:val="14"/>
          <w:szCs w:val="14"/>
        </w:rPr>
        <w:t xml:space="preserve"> de jude</w:t>
      </w:r>
      <w:r w:rsidRPr="0097367F">
        <w:rPr>
          <w:rFonts w:ascii="Arial Narrow" w:hAnsi="Arial Narrow" w:cs="Calibri"/>
          <w:color w:val="000000"/>
          <w:sz w:val="14"/>
          <w:szCs w:val="14"/>
        </w:rPr>
        <w:t>ț</w:t>
      </w:r>
      <w:r w:rsidRPr="0097367F">
        <w:rPr>
          <w:rFonts w:ascii="Arial Narrow" w:hAnsi="Arial Narrow" w:cs="Raavi"/>
          <w:color w:val="000000"/>
          <w:sz w:val="14"/>
          <w:szCs w:val="14"/>
        </w:rPr>
        <w:t>, eligibile pentru finan</w:t>
      </w:r>
      <w:r w:rsidRPr="0097367F">
        <w:rPr>
          <w:rFonts w:ascii="Arial Narrow" w:hAnsi="Arial Narrow" w:cs="Calibri"/>
          <w:color w:val="000000"/>
          <w:sz w:val="14"/>
          <w:szCs w:val="14"/>
        </w:rPr>
        <w:t>ț</w:t>
      </w:r>
      <w:r w:rsidRPr="0097367F">
        <w:rPr>
          <w:rFonts w:ascii="Arial Narrow" w:hAnsi="Arial Narrow" w:cs="Raavi"/>
          <w:color w:val="000000"/>
          <w:sz w:val="14"/>
          <w:szCs w:val="14"/>
        </w:rPr>
        <w:t>are în cadrul priorit</w:t>
      </w:r>
      <w:r w:rsidRPr="0097367F">
        <w:rPr>
          <w:rFonts w:ascii="Arial Narrow" w:hAnsi="Arial Narrow" w:cs="Calibri"/>
          <w:color w:val="000000"/>
          <w:sz w:val="14"/>
          <w:szCs w:val="14"/>
        </w:rPr>
        <w:t>ăț</w:t>
      </w:r>
      <w:r w:rsidRPr="0097367F">
        <w:rPr>
          <w:rFonts w:ascii="Arial Narrow" w:hAnsi="Arial Narrow" w:cs="Raavi"/>
          <w:color w:val="000000"/>
          <w:sz w:val="14"/>
          <w:szCs w:val="14"/>
        </w:rPr>
        <w:t>ii de investi</w:t>
      </w:r>
      <w:r w:rsidRPr="0097367F">
        <w:rPr>
          <w:rFonts w:ascii="Arial Narrow" w:hAnsi="Arial Narrow" w:cs="Calibri"/>
          <w:color w:val="000000"/>
          <w:sz w:val="14"/>
          <w:szCs w:val="14"/>
        </w:rPr>
        <w:t>ț</w:t>
      </w:r>
      <w:r w:rsidRPr="0097367F">
        <w:rPr>
          <w:rFonts w:ascii="Arial Narrow" w:hAnsi="Arial Narrow" w:cs="Raavi"/>
          <w:color w:val="000000"/>
          <w:sz w:val="14"/>
          <w:szCs w:val="14"/>
        </w:rPr>
        <w:t>ie 3.2 a POR 2014-2020.</w:t>
      </w:r>
    </w:p>
  </w:footnote>
  <w:footnote w:id="78">
    <w:p w:rsidR="00064502" w:rsidRPr="0097367F" w:rsidRDefault="00064502" w:rsidP="00EA5F90">
      <w:pPr>
        <w:pStyle w:val="Textnotdesubsol"/>
        <w:jc w:val="both"/>
        <w:rPr>
          <w:rFonts w:ascii="Arial Narrow" w:hAnsi="Arial Narrow" w:cs="Raavi"/>
          <w:sz w:val="14"/>
          <w:szCs w:val="14"/>
        </w:rPr>
      </w:pPr>
      <w:r w:rsidRPr="0097367F">
        <w:rPr>
          <w:rStyle w:val="Referinnotdesubsol"/>
          <w:rFonts w:ascii="Arial Narrow" w:hAnsi="Arial Narrow" w:cs="Raavi"/>
          <w:sz w:val="14"/>
          <w:szCs w:val="14"/>
        </w:rPr>
        <w:footnoteRef/>
      </w:r>
      <w:r w:rsidRPr="0097367F">
        <w:rPr>
          <w:rFonts w:ascii="Arial Narrow" w:hAnsi="Arial Narrow" w:cs="Raavi"/>
          <w:sz w:val="14"/>
          <w:szCs w:val="14"/>
        </w:rPr>
        <w:t xml:space="preserve"> </w:t>
      </w:r>
      <w:hyperlink r:id="rId35" w:history="1">
        <w:r w:rsidRPr="0097367F">
          <w:rPr>
            <w:rStyle w:val="Hyperlink"/>
            <w:rFonts w:ascii="Arial Narrow" w:hAnsi="Arial Narrow" w:cs="Raavi"/>
            <w:sz w:val="14"/>
            <w:szCs w:val="14"/>
          </w:rPr>
          <w:t>http://intelilight.eu</w:t>
        </w:r>
      </w:hyperlink>
      <w:r w:rsidRPr="0097367F">
        <w:rPr>
          <w:rFonts w:ascii="Arial Narrow" w:hAnsi="Arial Narrow" w:cs="Raavi"/>
          <w:sz w:val="14"/>
          <w:szCs w:val="14"/>
        </w:rPr>
        <w:t xml:space="preserve">, </w:t>
      </w:r>
      <w:hyperlink r:id="rId36" w:history="1">
        <w:r w:rsidRPr="0097367F">
          <w:rPr>
            <w:rStyle w:val="Hyperlink"/>
            <w:rFonts w:ascii="Arial Narrow" w:hAnsi="Arial Narrow" w:cs="Raavi"/>
            <w:sz w:val="14"/>
            <w:szCs w:val="14"/>
          </w:rPr>
          <w:t>Caz de Studiu - Bra</w:t>
        </w:r>
        <w:r w:rsidRPr="0097367F">
          <w:rPr>
            <w:rStyle w:val="Hyperlink"/>
            <w:rFonts w:ascii="Arial Narrow" w:hAnsi="Arial Narrow" w:cs="Calibri"/>
            <w:sz w:val="14"/>
            <w:szCs w:val="14"/>
          </w:rPr>
          <w:t>ș</w:t>
        </w:r>
        <w:r w:rsidRPr="0097367F">
          <w:rPr>
            <w:rStyle w:val="Hyperlink"/>
            <w:rFonts w:ascii="Arial Narrow" w:hAnsi="Arial Narrow" w:cs="Raavi"/>
            <w:sz w:val="14"/>
            <w:szCs w:val="14"/>
          </w:rPr>
          <w:t>ov</w:t>
        </w:r>
      </w:hyperlink>
      <w:r w:rsidRPr="0097367F">
        <w:rPr>
          <w:rFonts w:ascii="Arial Narrow" w:hAnsi="Arial Narrow" w:cs="Raavi"/>
          <w:sz w:val="14"/>
          <w:szCs w:val="14"/>
        </w:rPr>
        <w:t xml:space="preserve"> </w:t>
      </w:r>
    </w:p>
  </w:footnote>
  <w:footnote w:id="79">
    <w:p w:rsidR="00064502" w:rsidRPr="0097367F" w:rsidRDefault="00064502" w:rsidP="00EA5F90">
      <w:pPr>
        <w:pStyle w:val="Textnotdesubsol"/>
        <w:rPr>
          <w:rFonts w:ascii="Arial Narrow" w:hAnsi="Arial Narrow" w:cs="Raavi"/>
          <w:sz w:val="14"/>
          <w:szCs w:val="14"/>
        </w:rPr>
      </w:pPr>
      <w:r w:rsidRPr="0097367F">
        <w:rPr>
          <w:rStyle w:val="Referinnotdesubsol"/>
          <w:rFonts w:ascii="Arial Narrow" w:hAnsi="Arial Narrow" w:cs="Raavi"/>
          <w:sz w:val="14"/>
          <w:szCs w:val="14"/>
        </w:rPr>
        <w:footnoteRef/>
      </w:r>
      <w:r w:rsidRPr="0097367F">
        <w:rPr>
          <w:rFonts w:ascii="Arial Narrow" w:hAnsi="Arial Narrow" w:cs="Raavi"/>
          <w:sz w:val="14"/>
          <w:szCs w:val="14"/>
        </w:rPr>
        <w:t xml:space="preserve"> Proiect pilot „Alba Iulia Smart City 2018”, </w:t>
      </w:r>
      <w:hyperlink r:id="rId37" w:history="1">
        <w:r w:rsidRPr="0097367F">
          <w:rPr>
            <w:rStyle w:val="Hyperlink"/>
            <w:rFonts w:ascii="Arial Narrow" w:hAnsi="Arial Narrow" w:cs="Raavi"/>
            <w:sz w:val="14"/>
            <w:szCs w:val="14"/>
          </w:rPr>
          <w:t>www.comunicatii.gov.ro</w:t>
        </w:r>
      </w:hyperlink>
    </w:p>
  </w:footnote>
  <w:footnote w:id="80">
    <w:p w:rsidR="00064502" w:rsidRPr="00FC61E7" w:rsidRDefault="00064502" w:rsidP="00EA5F90">
      <w:pPr>
        <w:pStyle w:val="Listparagraf"/>
        <w:tabs>
          <w:tab w:val="left" w:pos="284"/>
        </w:tabs>
        <w:spacing w:after="0" w:line="240" w:lineRule="auto"/>
        <w:ind w:left="0"/>
        <w:jc w:val="both"/>
        <w:rPr>
          <w:rFonts w:ascii="Arial Narrow" w:hAnsi="Arial Narrow"/>
          <w:sz w:val="14"/>
          <w:szCs w:val="14"/>
        </w:rPr>
      </w:pPr>
      <w:r w:rsidRPr="00FC61E7">
        <w:rPr>
          <w:rStyle w:val="Referinnotdesubsol"/>
          <w:rFonts w:ascii="Arial Narrow" w:hAnsi="Arial Narrow"/>
          <w:sz w:val="14"/>
          <w:szCs w:val="14"/>
        </w:rPr>
        <w:footnoteRef/>
      </w:r>
      <w:r w:rsidRPr="00FC61E7">
        <w:rPr>
          <w:rFonts w:ascii="Arial Narrow" w:hAnsi="Arial Narrow"/>
          <w:sz w:val="14"/>
          <w:szCs w:val="14"/>
        </w:rPr>
        <w:t xml:space="preserve"> </w:t>
      </w:r>
      <w:r>
        <w:rPr>
          <w:rFonts w:ascii="Arial Narrow" w:hAnsi="Arial Narrow" w:cs="Arial"/>
          <w:color w:val="000000"/>
          <w:sz w:val="14"/>
          <w:szCs w:val="14"/>
        </w:rPr>
        <w:t xml:space="preserve">OER </w:t>
      </w:r>
      <w:r w:rsidRPr="00FC61E7">
        <w:rPr>
          <w:rFonts w:ascii="Arial Narrow" w:hAnsi="Arial Narrow" w:cs="Arial"/>
          <w:color w:val="000000"/>
          <w:sz w:val="14"/>
          <w:szCs w:val="14"/>
        </w:rPr>
        <w:t xml:space="preserve">a colaborat cu instituții de profil de la nivel național și european și a participat la implementarea unor proiecte de interes pentru regiunea Centru, dintre care menționăm: </w:t>
      </w:r>
      <w:hyperlink r:id="rId38" w:history="1">
        <w:r w:rsidRPr="00FC61E7">
          <w:rPr>
            <w:rStyle w:val="Hyperlink"/>
            <w:rFonts w:ascii="Arial Narrow" w:hAnsi="Arial Narrow" w:cs="Arial"/>
            <w:sz w:val="14"/>
            <w:szCs w:val="14"/>
          </w:rPr>
          <w:t>STRATEGO</w:t>
        </w:r>
      </w:hyperlink>
      <w:r w:rsidRPr="00FC61E7">
        <w:rPr>
          <w:rFonts w:ascii="Arial Narrow" w:hAnsi="Arial Narrow" w:cs="Arial"/>
          <w:color w:val="000000"/>
          <w:sz w:val="14"/>
          <w:szCs w:val="14"/>
        </w:rPr>
        <w:t xml:space="preserve"> un proiect privind implementarea unor acțiuni specifice pentru îmbunătățirea planurilor de încălzire și răcire la nivel național, regional și local, </w:t>
      </w:r>
      <w:hyperlink r:id="rId39" w:history="1">
        <w:r w:rsidRPr="00FC61E7">
          <w:rPr>
            <w:rStyle w:val="Hyperlink"/>
            <w:rFonts w:ascii="Arial Narrow" w:hAnsi="Arial Narrow" w:cs="Arial"/>
            <w:sz w:val="14"/>
            <w:szCs w:val="14"/>
          </w:rPr>
          <w:t>ENDURANCE</w:t>
        </w:r>
      </w:hyperlink>
      <w:r w:rsidRPr="00FC61E7">
        <w:rPr>
          <w:rFonts w:ascii="Arial Narrow" w:hAnsi="Arial Narrow" w:cs="Arial"/>
          <w:color w:val="000000"/>
          <w:sz w:val="14"/>
          <w:szCs w:val="14"/>
        </w:rPr>
        <w:t xml:space="preserve"> (rețea de sprijin pentru dezvoltarea planurilor de mobilitate urbană),  </w:t>
      </w:r>
      <w:hyperlink r:id="rId40" w:anchor="results" w:history="1">
        <w:r w:rsidRPr="00FC61E7">
          <w:rPr>
            <w:rStyle w:val="Hyperlink"/>
            <w:rFonts w:ascii="Arial Narrow" w:hAnsi="Arial Narrow" w:cs="Arial"/>
            <w:sz w:val="14"/>
            <w:szCs w:val="14"/>
          </w:rPr>
          <w:t>MODEL</w:t>
        </w:r>
      </w:hyperlink>
      <w:r>
        <w:rPr>
          <w:rFonts w:ascii="Arial Narrow" w:hAnsi="Arial Narrow" w:cs="Arial"/>
          <w:color w:val="000000"/>
          <w:sz w:val="14"/>
          <w:szCs w:val="14"/>
        </w:rPr>
        <w:t xml:space="preserve"> –un proiect</w:t>
      </w:r>
      <w:r w:rsidRPr="00FC61E7">
        <w:rPr>
          <w:rFonts w:ascii="Arial Narrow" w:hAnsi="Arial Narrow" w:cs="Arial"/>
          <w:color w:val="000000"/>
          <w:sz w:val="14"/>
          <w:szCs w:val="14"/>
        </w:rPr>
        <w:t xml:space="preserve"> implementat în 43 de municipalităţi pilot Europa,  inclusiv Brașov și Aiud</w:t>
      </w:r>
      <w:r>
        <w:rPr>
          <w:rFonts w:ascii="Arial Narrow" w:hAnsi="Arial Narrow" w:cs="Arial"/>
          <w:color w:val="000000"/>
          <w:sz w:val="14"/>
          <w:szCs w:val="14"/>
        </w:rPr>
        <w:t xml:space="preserve">, prin care </w:t>
      </w:r>
      <w:r w:rsidRPr="00FC61E7">
        <w:rPr>
          <w:rFonts w:ascii="Arial Narrow" w:hAnsi="Arial Narrow" w:cs="Arial"/>
          <w:color w:val="000000"/>
          <w:sz w:val="14"/>
          <w:szCs w:val="14"/>
        </w:rPr>
        <w:t>s-a avut în vedere încurajarea municipalităţilor să devină modele pentru cetăţeni şi actori locali în domeniul folosirii raţionale a energiei</w:t>
      </w:r>
      <w:r>
        <w:rPr>
          <w:rFonts w:ascii="Arial Narrow" w:hAnsi="Arial Narrow" w:cs="Arial"/>
          <w:color w:val="000000"/>
          <w:sz w:val="14"/>
          <w:szCs w:val="14"/>
        </w:rPr>
        <w:t xml:space="preserve">, </w:t>
      </w:r>
      <w:hyperlink r:id="rId41" w:history="1">
        <w:r w:rsidRPr="00FC61E7">
          <w:rPr>
            <w:rStyle w:val="Hyperlink"/>
            <w:rFonts w:ascii="Arial Narrow" w:hAnsi="Arial Narrow" w:cs="Arial"/>
            <w:sz w:val="14"/>
            <w:szCs w:val="14"/>
          </w:rPr>
          <w:t>Campania Traffic Snake Game</w:t>
        </w:r>
      </w:hyperlink>
      <w:r w:rsidRPr="00FC61E7">
        <w:rPr>
          <w:rFonts w:ascii="Arial Narrow" w:hAnsi="Arial Narrow" w:cs="Arial"/>
          <w:color w:val="000000"/>
          <w:sz w:val="14"/>
          <w:szCs w:val="14"/>
        </w:rPr>
        <w:t xml:space="preserve">, derulată în mai multe orașe de la nivel regional (Aiud, Alba Iulia, Brașov, Făgăraș, Odorheiu Secuiesc și Târgu Mureș) etc. </w:t>
      </w:r>
    </w:p>
  </w:footnote>
  <w:footnote w:id="81">
    <w:p w:rsidR="00064502" w:rsidRPr="00FC61E7" w:rsidRDefault="00064502" w:rsidP="00EA5F90">
      <w:pPr>
        <w:pStyle w:val="Listparagraf"/>
        <w:spacing w:after="0" w:line="240" w:lineRule="auto"/>
        <w:ind w:left="0"/>
        <w:jc w:val="both"/>
        <w:rPr>
          <w:rFonts w:ascii="Arial Narrow" w:hAnsi="Arial Narrow"/>
          <w:sz w:val="14"/>
          <w:szCs w:val="14"/>
        </w:rPr>
      </w:pPr>
      <w:r w:rsidRPr="00FC61E7">
        <w:rPr>
          <w:rStyle w:val="Referinnotdesubsol"/>
          <w:rFonts w:ascii="Arial Narrow" w:hAnsi="Arial Narrow"/>
          <w:sz w:val="14"/>
          <w:szCs w:val="14"/>
        </w:rPr>
        <w:footnoteRef/>
      </w:r>
      <w:r w:rsidRPr="00FC61E7">
        <w:rPr>
          <w:rFonts w:ascii="Arial Narrow" w:hAnsi="Arial Narrow"/>
          <w:sz w:val="14"/>
          <w:szCs w:val="14"/>
        </w:rPr>
        <w:t xml:space="preserve"> </w:t>
      </w:r>
      <w:r w:rsidRPr="00FC61E7">
        <w:rPr>
          <w:rFonts w:ascii="Arial Narrow" w:hAnsi="Arial Narrow" w:cs="TTEDt00"/>
          <w:sz w:val="14"/>
          <w:szCs w:val="14"/>
        </w:rPr>
        <w:t>Decizia de a extinde minele din zonă a produs în anii 1960-1989 o s</w:t>
      </w:r>
      <w:r>
        <w:rPr>
          <w:rFonts w:ascii="Arial Narrow" w:hAnsi="Arial Narrow" w:cs="TTEDt00"/>
          <w:sz w:val="14"/>
          <w:szCs w:val="14"/>
        </w:rPr>
        <w:t>porire masiva de populației în localitățile monoindustriale; s</w:t>
      </w:r>
      <w:r w:rsidRPr="00FC61E7">
        <w:rPr>
          <w:rFonts w:ascii="Arial Narrow" w:hAnsi="Arial Narrow" w:cs="TTEDt00"/>
          <w:sz w:val="14"/>
          <w:szCs w:val="14"/>
        </w:rPr>
        <w:t>pre exemplu, în localitatea B</w:t>
      </w:r>
      <w:r w:rsidRPr="00FC61E7">
        <w:rPr>
          <w:rFonts w:ascii="Arial Narrow" w:hAnsi="Arial Narrow"/>
          <w:spacing w:val="4"/>
          <w:sz w:val="14"/>
          <w:szCs w:val="14"/>
          <w:shd w:val="clear" w:color="auto" w:fill="FFFFFF"/>
        </w:rPr>
        <w:t xml:space="preserve">ălan (Harghita), deschiderea minei de cărbune a însemnat un exdod de populație din regiunea Moldova, înregistrându-se în 1977 peste 12000 de locuitori. Mina de cărbune era singura industrie, astfel că peste 80% din populaţia activă lucra aici ori derulau </w:t>
      </w:r>
      <w:r w:rsidRPr="00FC61E7">
        <w:rPr>
          <w:rFonts w:ascii="Arial Narrow" w:hAnsi="Arial Narrow" w:cs="TTEDt00"/>
          <w:sz w:val="14"/>
          <w:szCs w:val="14"/>
        </w:rPr>
        <w:t>activitați legate indirect de mină.</w:t>
      </w:r>
      <w:r w:rsidRPr="00FC61E7">
        <w:rPr>
          <w:rFonts w:ascii="Arial Narrow" w:hAnsi="Arial Narrow"/>
          <w:spacing w:val="4"/>
          <w:sz w:val="14"/>
          <w:szCs w:val="14"/>
          <w:shd w:val="clear" w:color="auto" w:fill="FFFFFF"/>
        </w:rPr>
        <w:t xml:space="preserve"> </w:t>
      </w:r>
      <w:r w:rsidRPr="00FC61E7">
        <w:rPr>
          <w:rFonts w:ascii="Arial Narrow" w:hAnsi="Arial Narrow" w:cs="TTEDt00"/>
          <w:sz w:val="14"/>
          <w:szCs w:val="14"/>
        </w:rPr>
        <w:t xml:space="preserve">Închiderea exploatării a avut un efect catastrofal, populația reducându-se la jumătate. </w:t>
      </w:r>
    </w:p>
  </w:footnote>
  <w:footnote w:id="82">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Spre exemplu, poluarea istorică a solului şi apelor subterane, din zona Zlatna (județul Alba) datorată, atât emisiilor în atmosferă, provenite de la S.C. Ampelum S.A., cât şi a depozitelor de steril aparţinând Filialei Zlatmin S.A. Zlatna a Minvest Deva, a impus ecologizarea zonelor afectate, în vederea reducerii poluării solului. În acest sens, autoritățile locale, susținute de Ministerul Mediului şi Dezvoltării Durabile au obţinut o finanţare, prin Banca Mondială, de circa 60 de milioane de Euro. Prin progamele pilot de reabilitare, subprogramul „Reabilitarea zonelor fierbinţi Zlatna”, au fost realizate investiții de utilitate publică precum: extinderea reţelei de apă potabilă, reabilitarea şi extinderea reţelei de canalizare, reabilitarea sistemului de salubrizare a oraşului şi construirea staţiei de sortare şi transfer a deşeurilor menajere, menajarea râului Ampoi şi a afluenţilor săi, reabilitarea fostei albii a râului Ampoi, ecologizarea şi înlăturarea efectelor poluării, în zona industrială dezafectată,  reabilitarea ecosistemului în zonele grav afectate de poluare.</w:t>
      </w:r>
    </w:p>
  </w:footnote>
  <w:footnote w:id="83">
    <w:p w:rsidR="00064502" w:rsidRPr="0097367F" w:rsidRDefault="00064502" w:rsidP="00EA5F90">
      <w:pPr>
        <w:pStyle w:val="Textnotdesubsol"/>
        <w:jc w:val="both"/>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Siturile industriale reabilitate prin POR 2007-2013, DMI 4.2 sunt:  SMIS 13357 – „</w:t>
      </w:r>
      <w:r w:rsidRPr="0097367F">
        <w:rPr>
          <w:rFonts w:ascii="Arial Narrow" w:hAnsi="Arial Narrow"/>
          <w:i/>
          <w:sz w:val="14"/>
          <w:szCs w:val="14"/>
        </w:rPr>
        <w:t xml:space="preserve">Dezvoltarea mediului de afaceri in Municipiul Sfantu Gheorghe prin reabilitarea sitului industrial poluat si crearea unei structuri de sprijinire a afacerilor ”- </w:t>
      </w:r>
      <w:r w:rsidRPr="0097367F">
        <w:rPr>
          <w:rFonts w:ascii="Arial Narrow" w:hAnsi="Arial Narrow"/>
          <w:sz w:val="14"/>
          <w:szCs w:val="14"/>
        </w:rPr>
        <w:t>suprafață sit 16,3 ha, SMIS 21181 – „</w:t>
      </w:r>
      <w:r w:rsidRPr="0097367F">
        <w:rPr>
          <w:rFonts w:ascii="Arial Narrow" w:hAnsi="Arial Narrow"/>
          <w:i/>
          <w:sz w:val="14"/>
          <w:szCs w:val="14"/>
        </w:rPr>
        <w:t>Amenajare sit industrial în municipiul Tîrgu Secuiesc pe platforma unei foste fabrici de prelucrare si industrializare a lemnului</w:t>
      </w:r>
      <w:r w:rsidRPr="0097367F">
        <w:rPr>
          <w:rFonts w:ascii="Arial Narrow" w:hAnsi="Arial Narrow"/>
          <w:sz w:val="14"/>
          <w:szCs w:val="14"/>
        </w:rPr>
        <w:t xml:space="preserve"> ”- suprafață sit 7,28 ha, SMIS 37733 – „</w:t>
      </w:r>
      <w:r w:rsidRPr="0097367F">
        <w:rPr>
          <w:rFonts w:ascii="Arial Narrow" w:hAnsi="Arial Narrow"/>
          <w:i/>
          <w:sz w:val="14"/>
          <w:szCs w:val="14"/>
        </w:rPr>
        <w:t>Amenajare sit industrial in Municipiul Tîrgu Secuiesc prin reabilitarea unei statii de epurate poluate si abandonate”</w:t>
      </w:r>
      <w:r w:rsidRPr="0097367F">
        <w:rPr>
          <w:rFonts w:ascii="Arial Narrow" w:hAnsi="Arial Narrow"/>
          <w:sz w:val="14"/>
          <w:szCs w:val="14"/>
        </w:rPr>
        <w:t>- suprafață sit 6,49 ha și SMIS 28053 – „</w:t>
      </w:r>
      <w:r w:rsidRPr="0097367F">
        <w:rPr>
          <w:rFonts w:ascii="Arial Narrow" w:hAnsi="Arial Narrow"/>
          <w:i/>
          <w:sz w:val="14"/>
          <w:szCs w:val="14"/>
        </w:rPr>
        <w:t>Centru inovativ de dezvoltare economică în judeţul Harghita – Harghita Business Center – incubator de afaceri</w:t>
      </w:r>
      <w:r w:rsidRPr="0097367F">
        <w:rPr>
          <w:rFonts w:ascii="Arial Narrow" w:hAnsi="Arial Narrow"/>
          <w:sz w:val="14"/>
          <w:szCs w:val="14"/>
        </w:rPr>
        <w:t xml:space="preserve"> ”- suprafață sit 0,32 ha.</w:t>
      </w:r>
    </w:p>
  </w:footnote>
  <w:footnote w:id="84">
    <w:p w:rsidR="00064502" w:rsidRPr="0097367F" w:rsidRDefault="00064502" w:rsidP="00EA5F90">
      <w:pPr>
        <w:pStyle w:val="Textnotdesubsol"/>
        <w:rPr>
          <w:rFonts w:ascii="Arial Narrow" w:hAnsi="Arial Narrow"/>
          <w:sz w:val="14"/>
          <w:szCs w:val="14"/>
        </w:rPr>
      </w:pPr>
      <w:r w:rsidRPr="0097367F">
        <w:rPr>
          <w:rStyle w:val="Referinnotdesubsol"/>
          <w:rFonts w:ascii="Arial Narrow" w:hAnsi="Arial Narrow"/>
          <w:sz w:val="14"/>
          <w:szCs w:val="14"/>
        </w:rPr>
        <w:footnoteRef/>
      </w:r>
      <w:r w:rsidRPr="0097367F">
        <w:rPr>
          <w:rFonts w:ascii="Arial Narrow" w:hAnsi="Arial Narrow"/>
          <w:sz w:val="14"/>
          <w:szCs w:val="14"/>
        </w:rPr>
        <w:t xml:space="preserve"> Sursa: www.iazbatal.ro</w:t>
      </w:r>
    </w:p>
  </w:footnote>
  <w:footnote w:id="85">
    <w:p w:rsidR="00064502" w:rsidRPr="00D5505A" w:rsidRDefault="00064502" w:rsidP="00EA5F90">
      <w:pPr>
        <w:pStyle w:val="Listparagraf"/>
        <w:spacing w:after="0" w:line="240" w:lineRule="auto"/>
        <w:ind w:left="0"/>
        <w:jc w:val="both"/>
        <w:rPr>
          <w:rFonts w:ascii="Arial Narrow" w:hAnsi="Arial Narrow"/>
          <w:sz w:val="14"/>
          <w:szCs w:val="14"/>
        </w:rPr>
      </w:pPr>
      <w:r w:rsidRPr="00D5505A">
        <w:rPr>
          <w:rStyle w:val="Referinnotdesubsol"/>
          <w:rFonts w:ascii="Arial Narrow" w:hAnsi="Arial Narrow"/>
          <w:sz w:val="14"/>
          <w:szCs w:val="14"/>
        </w:rPr>
        <w:footnoteRef/>
      </w:r>
      <w:r w:rsidRPr="00D5505A">
        <w:rPr>
          <w:rFonts w:ascii="Arial Narrow" w:hAnsi="Arial Narrow"/>
          <w:sz w:val="14"/>
          <w:szCs w:val="14"/>
        </w:rPr>
        <w:t xml:space="preserve"> </w:t>
      </w:r>
      <w:r w:rsidRPr="00D5505A">
        <w:rPr>
          <w:rFonts w:ascii="Arial Narrow" w:hAnsi="Arial Narrow"/>
          <w:noProof/>
          <w:sz w:val="14"/>
          <w:szCs w:val="14"/>
        </w:rPr>
        <w:t xml:space="preserve">Un exemplu de bună practică este dat de localitatea Rîmetea, județul Alba, unde Fundația Transylvaia Trust cu sprijin din partea </w:t>
      </w:r>
      <w:r w:rsidRPr="00D5505A">
        <w:rPr>
          <w:rFonts w:ascii="Arial Narrow" w:hAnsi="Arial Narrow"/>
          <w:sz w:val="14"/>
          <w:szCs w:val="14"/>
        </w:rPr>
        <w:t xml:space="preserve">Districtului al V-lea din Budapesta au implementat un </w:t>
      </w:r>
      <w:hyperlink r:id="rId42" w:history="1">
        <w:r w:rsidRPr="00D5505A">
          <w:rPr>
            <w:rStyle w:val="Hyperlink"/>
            <w:rFonts w:ascii="Arial Narrow" w:hAnsi="Arial Narrow"/>
            <w:sz w:val="14"/>
            <w:szCs w:val="14"/>
          </w:rPr>
          <w:t>program de protecţie a patrimoniului</w:t>
        </w:r>
      </w:hyperlink>
      <w:r w:rsidRPr="00D5505A">
        <w:rPr>
          <w:rFonts w:ascii="Arial Narrow" w:hAnsi="Arial Narrow"/>
          <w:sz w:val="14"/>
          <w:szCs w:val="14"/>
        </w:rPr>
        <w:t xml:space="preserve"> din localitate. Scopul programului este de a acorda fonduri proprietarilor de clădiri/locuințe în vederea conservării valorilor arhitecturale și tradiționale  ale localităţii.  Programul se bazează pe colaborarea cu proprietarii monumentelor şi cu consiliul local. Prin program, proprietarii primesc sprijin financiar pentru întreținerea și reabilitarea clădirilor. Pentru a menține în stare corespunzătoare clădirile, pe lângă fondurile obținute prin program, în anumite cazuri proprietarii dublează sau triplează această sumă. Rîmetea este singurul sat european care a primit medalia de argint „Europa Noastră”, în anul 1999, din partea Uniunii Europene. Prin aspectul plăcut, Rîmetea a fost inclusă în</w:t>
      </w:r>
      <w:hyperlink r:id="rId43" w:history="1">
        <w:r w:rsidRPr="002B4515">
          <w:rPr>
            <w:rStyle w:val="Hyperlink"/>
            <w:rFonts w:ascii="Arial Narrow" w:hAnsi="Arial Narrow"/>
            <w:sz w:val="14"/>
            <w:szCs w:val="14"/>
          </w:rPr>
          <w:t xml:space="preserve"> topul celor mai frumoase 10 sate din România</w:t>
        </w:r>
      </w:hyperlink>
      <w:r w:rsidRPr="00D5505A">
        <w:rPr>
          <w:rFonts w:ascii="Arial Narrow" w:hAnsi="Arial Narrow"/>
          <w:sz w:val="14"/>
          <w:szCs w:val="14"/>
        </w:rPr>
        <w:t xml:space="preserve">, fiind vizitat de numeroși turiști, asigurând astfel venituri pentru locuitori. </w:t>
      </w:r>
    </w:p>
    <w:p w:rsidR="00064502" w:rsidRDefault="00064502" w:rsidP="00EA5F90">
      <w:pPr>
        <w:pStyle w:val="Textnotdesubsol"/>
      </w:pPr>
    </w:p>
  </w:footnote>
  <w:footnote w:id="86">
    <w:p w:rsidR="00064502" w:rsidRPr="0009594F" w:rsidRDefault="00064502" w:rsidP="00EA5F90">
      <w:pPr>
        <w:pStyle w:val="Textnotdesubsol"/>
        <w:jc w:val="both"/>
        <w:rPr>
          <w:rFonts w:ascii="Arial Narrow" w:hAnsi="Arial Narrow"/>
          <w:sz w:val="14"/>
          <w:szCs w:val="14"/>
        </w:rPr>
      </w:pPr>
      <w:r>
        <w:rPr>
          <w:rStyle w:val="Referinnotdesubsol"/>
        </w:rPr>
        <w:footnoteRef/>
      </w:r>
      <w:r>
        <w:t xml:space="preserve"> </w:t>
      </w:r>
      <w:r w:rsidRPr="0009594F">
        <w:rPr>
          <w:rFonts w:ascii="Arial Narrow" w:hAnsi="Arial Narrow"/>
          <w:sz w:val="14"/>
          <w:szCs w:val="14"/>
        </w:rPr>
        <w:t>Demarat în 2008, prin proiectul de regenerare a zonei Tractorul Brașov se are în vedere  construirea unui cartier, centre comericale, spații de birou, inclusiv realizarea unei infrastructuri de transport moderne care va ţine cont atât de cerinţele actuale ale traficului din zonă cât şi de perspectivele de dezvoltare ale reţelor de transport adiacente.</w:t>
      </w:r>
    </w:p>
  </w:footnote>
  <w:footnote w:id="87">
    <w:p w:rsidR="00064502" w:rsidRDefault="00064502" w:rsidP="00EA5F90">
      <w:pPr>
        <w:pStyle w:val="Textnotdesubsol"/>
        <w:jc w:val="both"/>
      </w:pPr>
      <w:r w:rsidRPr="0009594F">
        <w:rPr>
          <w:rStyle w:val="Referinnotdesubsol"/>
          <w:rFonts w:ascii="Arial Narrow" w:hAnsi="Arial Narrow"/>
          <w:sz w:val="14"/>
          <w:szCs w:val="14"/>
        </w:rPr>
        <w:footnoteRef/>
      </w:r>
      <w:r w:rsidRPr="0009594F">
        <w:rPr>
          <w:rFonts w:ascii="Arial Narrow" w:hAnsi="Arial Narrow"/>
          <w:sz w:val="14"/>
          <w:szCs w:val="14"/>
        </w:rPr>
        <w:t xml:space="preserve"> Spre exemplu, Universitatea Transilvania din Brașov a identificat Dezvoltarea Durabilă ca prioritate majoră in Cercetare – Dezvoltare – Educație. Institutul de Cercetare-Dezvoltare al Universității Transilvania din Brașov (ICDT) are deja implementate numeroase soluții pentru eficiența energetică in mediul construit și o gamă largă de mixuri energetice bazate pe energii regenerabile. Astfel ICDT reprezintă o unitate nucleu pentru cercetarea și dezvoltarea de soluții noi și pentru transferul acestora către mediul economic.  Celelalte universități din Regiunea Centru au preocupări in domeniu, axate pe optimizarea diferitelor sisteme de energii regenerabile.</w:t>
      </w:r>
    </w:p>
  </w:footnote>
  <w:footnote w:id="88">
    <w:p w:rsidR="00064502" w:rsidRPr="00D018F1" w:rsidRDefault="00064502" w:rsidP="00EA5F90">
      <w:pPr>
        <w:pStyle w:val="Titlu1"/>
        <w:shd w:val="clear" w:color="auto" w:fill="FFFFFF"/>
        <w:spacing w:before="0"/>
        <w:rPr>
          <w:rFonts w:ascii="Arial Narrow" w:hAnsi="Arial Narrow"/>
          <w:color w:val="auto"/>
          <w:sz w:val="14"/>
          <w:szCs w:val="14"/>
        </w:rPr>
      </w:pPr>
      <w:r w:rsidRPr="00D018F1">
        <w:rPr>
          <w:rStyle w:val="Referinnotdesubsol"/>
          <w:rFonts w:ascii="Arial Narrow" w:hAnsi="Arial Narrow"/>
          <w:color w:val="auto"/>
          <w:sz w:val="14"/>
          <w:szCs w:val="14"/>
        </w:rPr>
        <w:footnoteRef/>
      </w:r>
      <w:r w:rsidRPr="00D018F1">
        <w:rPr>
          <w:rFonts w:ascii="Arial Narrow" w:hAnsi="Arial Narrow"/>
          <w:color w:val="auto"/>
          <w:sz w:val="14"/>
          <w:szCs w:val="14"/>
        </w:rPr>
        <w:t xml:space="preserve"> Sursa: www.uefiscdi.gov.ro</w:t>
      </w:r>
    </w:p>
  </w:footnote>
  <w:footnote w:id="89">
    <w:p w:rsidR="00064502" w:rsidRDefault="00064502" w:rsidP="00EA5F90">
      <w:pPr>
        <w:pStyle w:val="Textnotdesubsol"/>
      </w:pPr>
      <w:r w:rsidRPr="00D018F1">
        <w:rPr>
          <w:rStyle w:val="Referinnotdesubsol"/>
          <w:rFonts w:ascii="Arial Narrow" w:hAnsi="Arial Narrow"/>
          <w:sz w:val="14"/>
          <w:szCs w:val="14"/>
        </w:rPr>
        <w:footnoteRef/>
      </w:r>
      <w:r w:rsidRPr="00D018F1">
        <w:rPr>
          <w:rFonts w:ascii="Arial Narrow" w:hAnsi="Arial Narrow"/>
          <w:sz w:val="14"/>
          <w:szCs w:val="14"/>
        </w:rPr>
        <w:t xml:space="preserve"> Sursa: Listă contracte beneficiari </w:t>
      </w:r>
      <w:hyperlink r:id="rId44" w:history="1">
        <w:r w:rsidRPr="00D018F1">
          <w:rPr>
            <w:rStyle w:val="Hyperlink"/>
            <w:rFonts w:ascii="Arial Narrow" w:hAnsi="Arial Narrow"/>
            <w:sz w:val="14"/>
            <w:szCs w:val="14"/>
          </w:rPr>
          <w:t xml:space="preserve">Contracte operaţiunea O.2.1.1 - competiţie 2009 şi 2010 </w:t>
        </w:r>
      </w:hyperlink>
      <w:r>
        <w:rPr>
          <w:rFonts w:ascii="Arial Narrow" w:hAnsi="Arial Narrow"/>
          <w:sz w:val="14"/>
          <w:szCs w:val="14"/>
        </w:rPr>
        <w:t xml:space="preserve"> </w:t>
      </w:r>
      <w:r w:rsidRPr="00D018F1">
        <w:rPr>
          <w:rFonts w:ascii="Arial Narrow" w:hAnsi="Arial Narrow"/>
          <w:sz w:val="14"/>
          <w:szCs w:val="14"/>
        </w:rPr>
        <w:t>disponibilă la</w:t>
      </w:r>
      <w:r>
        <w:rPr>
          <w:rFonts w:ascii="Arial Narrow" w:hAnsi="Arial Narrow"/>
          <w:sz w:val="14"/>
          <w:szCs w:val="14"/>
        </w:rPr>
        <w:t xml:space="preserve"> </w:t>
      </w:r>
      <w:r w:rsidRPr="00D018F1">
        <w:rPr>
          <w:rFonts w:ascii="Arial Narrow" w:hAnsi="Arial Narrow"/>
          <w:sz w:val="14"/>
          <w:szCs w:val="14"/>
        </w:rPr>
        <w:t>www.poscce.research.ro</w:t>
      </w:r>
    </w:p>
  </w:footnote>
  <w:footnote w:id="90">
    <w:p w:rsidR="00305726" w:rsidRDefault="00305726" w:rsidP="00305726">
      <w:pPr>
        <w:pStyle w:val="Textnotdesubsol"/>
      </w:pPr>
      <w:r>
        <w:rPr>
          <w:rStyle w:val="Referinnotdesubsol"/>
        </w:rPr>
        <w:footnoteRef/>
      </w:r>
      <w:r>
        <w:t xml:space="preserve"> Nr. mediu de salariați cuprins între 50 și 249</w:t>
      </w:r>
    </w:p>
  </w:footnote>
  <w:footnote w:id="91">
    <w:p w:rsidR="00305726" w:rsidRDefault="00305726" w:rsidP="00305726">
      <w:pPr>
        <w:pStyle w:val="Textnotdesubsol"/>
      </w:pPr>
      <w:r>
        <w:rPr>
          <w:rStyle w:val="Referinnotdesubsol"/>
        </w:rPr>
        <w:footnoteRef/>
      </w:r>
      <w:r>
        <w:t xml:space="preserve"> Nr. mediu de salariați depășește 250</w:t>
      </w:r>
    </w:p>
  </w:footnote>
  <w:footnote w:id="92">
    <w:p w:rsidR="00305726" w:rsidRDefault="00305726" w:rsidP="00305726">
      <w:pPr>
        <w:pStyle w:val="Textnotdesubsol"/>
      </w:pPr>
      <w:r>
        <w:rPr>
          <w:rStyle w:val="Referinnotdesubsol"/>
        </w:rPr>
        <w:footnoteRef/>
      </w:r>
      <w:r>
        <w:t xml:space="preserve"> Nr. mediu de salariați cuprins între 10 și 49</w:t>
      </w:r>
    </w:p>
  </w:footnote>
  <w:footnote w:id="93">
    <w:p w:rsidR="00305726" w:rsidRDefault="00305726" w:rsidP="00305726">
      <w:pPr>
        <w:pStyle w:val="Textnotdesubsol"/>
      </w:pPr>
      <w:r>
        <w:rPr>
          <w:rStyle w:val="Referinnotdesubsol"/>
        </w:rPr>
        <w:footnoteRef/>
      </w:r>
      <w:r>
        <w:t xml:space="preserve"> Nr. mediu de salariați cuprins între 0 și 9</w:t>
      </w:r>
    </w:p>
  </w:footnote>
  <w:footnote w:id="94">
    <w:p w:rsidR="00064502" w:rsidRDefault="00064502" w:rsidP="0003549E">
      <w:pPr>
        <w:pStyle w:val="Textnotdesubsol"/>
      </w:pPr>
      <w:r>
        <w:rPr>
          <w:rStyle w:val="Referinnotdesubsol"/>
        </w:rPr>
        <w:footnoteRef/>
      </w:r>
      <w:r>
        <w:t xml:space="preserve"> </w:t>
      </w:r>
      <w:r w:rsidRPr="00C26AF2">
        <w:t>Cultural times. The first global map of cultural and creative indust</w:t>
      </w:r>
      <w:r>
        <w:t>r</w:t>
      </w:r>
      <w:r w:rsidRPr="00C26AF2">
        <w:t>ies</w:t>
      </w:r>
      <w:r>
        <w:t>,</w:t>
      </w:r>
      <w:r w:rsidRPr="00C26AF2">
        <w:t xml:space="preserve"> Ernst and Young</w:t>
      </w:r>
      <w:r>
        <w:t xml:space="preserve">, December 2015, disponibil la </w:t>
      </w:r>
      <w:hyperlink r:id="rId45" w:history="1">
        <w:r w:rsidRPr="00665286">
          <w:rPr>
            <w:rStyle w:val="Hyperlink"/>
          </w:rPr>
          <w:t>http://www.ey.com/Publication/vwLUAssets/ey-cultural-times-2015/$FILE/ey-cultural-times-2015.pdf</w:t>
        </w:r>
      </w:hyperlink>
      <w:r>
        <w:t xml:space="preserve"> (consultat in August 2016)</w:t>
      </w:r>
    </w:p>
  </w:footnote>
  <w:footnote w:id="95">
    <w:p w:rsidR="00064502" w:rsidRDefault="00064502" w:rsidP="0003549E">
      <w:pPr>
        <w:pStyle w:val="Textnotdesubsol"/>
      </w:pPr>
      <w:r>
        <w:rPr>
          <w:rStyle w:val="Referinnotdesubsol"/>
        </w:rPr>
        <w:footnoteRef/>
      </w:r>
      <w:r>
        <w:t xml:space="preserve"> EY, studiul citat, pagina 19. </w:t>
      </w:r>
    </w:p>
  </w:footnote>
  <w:footnote w:id="96">
    <w:p w:rsidR="00064502" w:rsidRDefault="00064502" w:rsidP="0003549E">
      <w:pPr>
        <w:pStyle w:val="Textnotdesubsol"/>
      </w:pPr>
      <w:r>
        <w:rPr>
          <w:rStyle w:val="Referinnotdesubsol"/>
        </w:rPr>
        <w:footnoteRef/>
      </w:r>
      <w:r>
        <w:t xml:space="preserve"> idem</w:t>
      </w:r>
    </w:p>
  </w:footnote>
  <w:footnote w:id="97">
    <w:p w:rsidR="00064502" w:rsidRDefault="00064502" w:rsidP="0003549E">
      <w:pPr>
        <w:pStyle w:val="Textnotdesubsol"/>
      </w:pPr>
      <w:r>
        <w:rPr>
          <w:rStyle w:val="Referinnotdesubsol"/>
        </w:rPr>
        <w:footnoteRef/>
      </w:r>
      <w:r>
        <w:t xml:space="preserve"> Disponibil la </w:t>
      </w:r>
      <w:hyperlink r:id="rId46" w:history="1">
        <w:r w:rsidRPr="00162EDB">
          <w:rPr>
            <w:rStyle w:val="Hyperlink"/>
          </w:rPr>
          <w:t>http://eur-lex.europa.eu/legal-content/RO/TXT/?uri=uriserv:OJ.C_.2015.172.01.0013.01.RON&amp;toc=OJ:C:2015:172:TOC</w:t>
        </w:r>
      </w:hyperlink>
      <w:r>
        <w:t xml:space="preserve"> </w:t>
      </w:r>
    </w:p>
  </w:footnote>
  <w:footnote w:id="98">
    <w:p w:rsidR="00064502" w:rsidRPr="00111E17" w:rsidRDefault="00064502" w:rsidP="0003549E">
      <w:pPr>
        <w:pStyle w:val="Textnotdesubsol"/>
        <w:rPr>
          <w:sz w:val="18"/>
          <w:szCs w:val="18"/>
        </w:rPr>
      </w:pPr>
      <w:r w:rsidRPr="00111E17">
        <w:rPr>
          <w:rStyle w:val="Referinnotdesubsol"/>
          <w:sz w:val="18"/>
          <w:szCs w:val="18"/>
        </w:rPr>
        <w:footnoteRef/>
      </w:r>
      <w:r w:rsidRPr="00111E17">
        <w:rPr>
          <w:sz w:val="18"/>
          <w:szCs w:val="18"/>
        </w:rPr>
        <w:t xml:space="preserve"> Technology Research | Gartner Inc., </w:t>
      </w:r>
      <w:r w:rsidRPr="00111E17">
        <w:rPr>
          <w:color w:val="0000FF"/>
          <w:sz w:val="18"/>
          <w:szCs w:val="18"/>
        </w:rPr>
        <w:t>http://www.gartner.com/</w:t>
      </w:r>
      <w:r>
        <w:rPr>
          <w:sz w:val="18"/>
          <w:szCs w:val="18"/>
        </w:rPr>
        <w:t>,</w:t>
      </w:r>
    </w:p>
  </w:footnote>
  <w:footnote w:id="99">
    <w:p w:rsidR="00064502" w:rsidRPr="00C43F0A" w:rsidRDefault="00064502" w:rsidP="0003549E">
      <w:pPr>
        <w:pStyle w:val="Textnotdesubsol"/>
      </w:pPr>
      <w:r w:rsidRPr="00111E17">
        <w:rPr>
          <w:rStyle w:val="Referinnotdesubsol"/>
          <w:sz w:val="18"/>
          <w:szCs w:val="18"/>
        </w:rPr>
        <w:footnoteRef/>
      </w:r>
      <w:r w:rsidRPr="00111E17">
        <w:rPr>
          <w:sz w:val="18"/>
          <w:szCs w:val="18"/>
        </w:rPr>
        <w:t xml:space="preserve"> Bloomberg - Business, Financial &amp; Economic News, Stock Quotes, </w:t>
      </w:r>
      <w:r w:rsidRPr="00111E17">
        <w:rPr>
          <w:color w:val="0000FF"/>
          <w:sz w:val="18"/>
          <w:szCs w:val="18"/>
        </w:rPr>
        <w:t>http://www.bloomberg.com</w:t>
      </w:r>
      <w:r>
        <w:rPr>
          <w:sz w:val="18"/>
          <w:szCs w:val="18"/>
        </w:rPr>
        <w:t>/</w:t>
      </w:r>
    </w:p>
  </w:footnote>
  <w:footnote w:id="100">
    <w:p w:rsidR="00064502" w:rsidRPr="007E472D" w:rsidRDefault="00064502" w:rsidP="0003549E">
      <w:pPr>
        <w:rPr>
          <w:sz w:val="20"/>
          <w:szCs w:val="20"/>
        </w:rPr>
      </w:pPr>
      <w:r w:rsidRPr="007E472D">
        <w:rPr>
          <w:rStyle w:val="Referinnotdesubsol"/>
        </w:rPr>
        <w:footnoteRef/>
      </w:r>
      <w:r w:rsidRPr="007E472D">
        <w:rPr>
          <w:sz w:val="20"/>
          <w:szCs w:val="20"/>
        </w:rPr>
        <w:t xml:space="preserve"> KeysFin, ”</w:t>
      </w:r>
      <w:r w:rsidRPr="005A7958">
        <w:rPr>
          <w:i/>
          <w:sz w:val="20"/>
          <w:szCs w:val="20"/>
        </w:rPr>
        <w:t>Analiza din seria Companii la Raport: IT-ul, sectorul care ne poate scoate din criză</w:t>
      </w:r>
      <w:r w:rsidRPr="005A7958">
        <w:rPr>
          <w:sz w:val="20"/>
          <w:szCs w:val="20"/>
        </w:rPr>
        <w:t>!</w:t>
      </w:r>
      <w:r w:rsidRPr="007E472D">
        <w:rPr>
          <w:sz w:val="20"/>
          <w:szCs w:val="20"/>
        </w:rPr>
        <w:t xml:space="preserve">”, 8 mai 2014, </w:t>
      </w:r>
      <w:hyperlink r:id="rId47" w:history="1">
        <w:r w:rsidRPr="007E472D">
          <w:rPr>
            <w:rStyle w:val="Hyperlink"/>
            <w:sz w:val="20"/>
            <w:szCs w:val="20"/>
            <w:shd w:val="clear" w:color="auto" w:fill="FFFFFF"/>
          </w:rPr>
          <w:t>http://www.keysfin.com/#!/Pages/IT_domeniul_momentului</w:t>
        </w:r>
      </w:hyperlink>
    </w:p>
  </w:footnote>
  <w:footnote w:id="101">
    <w:p w:rsidR="00064502" w:rsidRPr="001308B8" w:rsidRDefault="00064502" w:rsidP="0003549E">
      <w:pPr>
        <w:rPr>
          <w:sz w:val="20"/>
          <w:szCs w:val="20"/>
          <w:shd w:val="clear" w:color="auto" w:fill="FFFFFF"/>
        </w:rPr>
      </w:pPr>
      <w:r w:rsidRPr="007E472D">
        <w:rPr>
          <w:rStyle w:val="Referinnotdesubsol"/>
        </w:rPr>
        <w:footnoteRef/>
      </w:r>
      <w:r w:rsidRPr="007E472D">
        <w:rPr>
          <w:sz w:val="20"/>
          <w:szCs w:val="20"/>
        </w:rPr>
        <w:t xml:space="preserve"> </w:t>
      </w:r>
      <w:hyperlink r:id="rId48" w:history="1">
        <w:r w:rsidRPr="007E472D">
          <w:rPr>
            <w:rStyle w:val="Hyperlink"/>
            <w:sz w:val="20"/>
            <w:szCs w:val="20"/>
            <w:shd w:val="clear" w:color="auto" w:fill="FFFFFF"/>
          </w:rPr>
          <w:t>http://www.keysfin.com/</w:t>
        </w:r>
      </w:hyperlink>
    </w:p>
  </w:footnote>
  <w:footnote w:id="102">
    <w:p w:rsidR="00064502" w:rsidRPr="00C47A68" w:rsidRDefault="00064502" w:rsidP="0003549E">
      <w:pPr>
        <w:pStyle w:val="Textnotdesubsol"/>
      </w:pPr>
      <w:r>
        <w:rPr>
          <w:rStyle w:val="Referinnotdesubsol"/>
        </w:rPr>
        <w:footnoteRef/>
      </w:r>
      <w:r w:rsidRPr="00C47A68">
        <w:t xml:space="preserve"> </w:t>
      </w:r>
      <w:r w:rsidRPr="00C47A68">
        <w:rPr>
          <w:color w:val="0000FF"/>
        </w:rPr>
        <w:t>http://www.romanialibera.ro/economie/finante-banci/sectorul-it--singurul-in-care-nu-s-au-facut-concedieri-in-ultimii-4-ani-251697</w:t>
      </w:r>
      <w:r>
        <w:t xml:space="preserve"> </w:t>
      </w:r>
    </w:p>
  </w:footnote>
  <w:footnote w:id="103">
    <w:p w:rsidR="00064502" w:rsidRDefault="00064502" w:rsidP="0003549E">
      <w:pPr>
        <w:pStyle w:val="Textnotdesubsol"/>
      </w:pPr>
      <w:r>
        <w:rPr>
          <w:rStyle w:val="Referinnotdesubsol"/>
        </w:rPr>
        <w:footnoteRef/>
      </w:r>
      <w:r>
        <w:t xml:space="preserve"> </w:t>
      </w:r>
      <w:hyperlink r:id="rId49" w:history="1">
        <w:r w:rsidRPr="00E64399">
          <w:rPr>
            <w:rStyle w:val="Hyperlink"/>
          </w:rPr>
          <w:t>http://www.bnr.ro/Comer%C8%9Bul-interna%C8%9Bional-cu-servicii-12112.aspx</w:t>
        </w:r>
      </w:hyperlink>
      <w:r>
        <w:t xml:space="preserve"> </w:t>
      </w:r>
    </w:p>
  </w:footnote>
  <w:footnote w:id="104">
    <w:p w:rsidR="00064502" w:rsidRPr="00F0015E" w:rsidRDefault="00064502" w:rsidP="0003549E">
      <w:pPr>
        <w:pStyle w:val="Textnotdesubsol"/>
      </w:pPr>
      <w:r>
        <w:rPr>
          <w:rStyle w:val="Referinnotdesubsol"/>
        </w:rPr>
        <w:footnoteRef/>
      </w:r>
      <w:r>
        <w:t xml:space="preserve"> </w:t>
      </w:r>
      <w:r w:rsidRPr="001C15C4">
        <w:t xml:space="preserve">Studiu asupra stadiului de dezvoltare a industriei de software și servicii IT în România în 2013, Software și servicii IT în România, ANIS - Asociația Patronală a Industriei de Software și Servicii, București, </w:t>
      </w:r>
      <w:hyperlink r:id="rId50" w:history="1">
        <w:r w:rsidRPr="001C15C4">
          <w:rPr>
            <w:rStyle w:val="Hyperlink"/>
          </w:rPr>
          <w:t>http://www.anis.ro/wp-content/uploads/2013/11/Software-si-servicii-IT-in-Romania_Rezumat_RO.pdf</w:t>
        </w:r>
      </w:hyperlink>
    </w:p>
  </w:footnote>
  <w:footnote w:id="105">
    <w:p w:rsidR="00064502" w:rsidRPr="00647EE9" w:rsidRDefault="00064502" w:rsidP="0003549E">
      <w:pPr>
        <w:pStyle w:val="Textnotdesubsol"/>
        <w:tabs>
          <w:tab w:val="left" w:pos="0"/>
        </w:tabs>
      </w:pPr>
      <w:r>
        <w:rPr>
          <w:rStyle w:val="Referinnotdesubsol"/>
        </w:rPr>
        <w:footnoteRef/>
      </w:r>
      <w:hyperlink r:id="rId51" w:history="1">
        <w:r w:rsidRPr="005107AD">
          <w:rPr>
            <w:rStyle w:val="Hyperlink"/>
          </w:rPr>
          <w:t>http://www.ziare.com/internet-si-tehnologie/tehnologie/forbes-romania-poate-deveni-o-adevarata-forta-in-industria-it-1290443</w:t>
        </w:r>
      </w:hyperlink>
    </w:p>
  </w:footnote>
  <w:footnote w:id="106">
    <w:p w:rsidR="00064502" w:rsidRDefault="00064502" w:rsidP="0003549E">
      <w:pPr>
        <w:pStyle w:val="Textnotdesubsol"/>
      </w:pPr>
      <w:r>
        <w:rPr>
          <w:rStyle w:val="Referinnotdesubsol"/>
        </w:rPr>
        <w:footnoteRef/>
      </w:r>
      <w:r>
        <w:t xml:space="preserve"> </w:t>
      </w:r>
      <w:hyperlink r:id="rId52" w:history="1">
        <w:r w:rsidRPr="00C700A5">
          <w:rPr>
            <w:rStyle w:val="Hyperlink"/>
          </w:rPr>
          <w:t>http://investromania.gov.ro/web/business-in-romania/itc/</w:t>
        </w:r>
      </w:hyperlink>
      <w:r>
        <w:t>, consultat la data de 06.09.2016</w:t>
      </w:r>
    </w:p>
  </w:footnote>
  <w:footnote w:id="107">
    <w:p w:rsidR="00064502" w:rsidRDefault="00064502" w:rsidP="0003549E">
      <w:pPr>
        <w:pStyle w:val="Textnotdesubsol"/>
      </w:pPr>
      <w:r>
        <w:rPr>
          <w:rStyle w:val="Referinnotdesubsol"/>
        </w:rPr>
        <w:footnoteRef/>
      </w:r>
      <w:r>
        <w:t xml:space="preserve"> Institutul European din Romania, Industriile creative: potential de crestere in Romania si in context european, Valentin Cojocare, Dragos Nicoale Paslaru, Elena Botezatu, in seria SPOS 2015, nr.3, Bucuresti 2016, disponibil la </w:t>
      </w:r>
      <w:hyperlink r:id="rId53" w:history="1">
        <w:r w:rsidRPr="00F90DE5">
          <w:rPr>
            <w:rStyle w:val="Hyperlink"/>
          </w:rPr>
          <w:t>http://www.ier.ro/sites/default/files/pdf/St%203_Industrii%20creative_final_curat.pdf</w:t>
        </w:r>
      </w:hyperlink>
    </w:p>
  </w:footnote>
  <w:footnote w:id="108">
    <w:p w:rsidR="00064502" w:rsidRDefault="00064502" w:rsidP="0003549E">
      <w:pPr>
        <w:pStyle w:val="Textnotdesubsol"/>
      </w:pPr>
      <w:r>
        <w:rPr>
          <w:rStyle w:val="Referinnotdesubsol"/>
        </w:rPr>
        <w:footnoteRef/>
      </w:r>
      <w:r>
        <w:t xml:space="preserve"> Institutul European din Romania, Industriile creative: potential de crestere in Romania si in context european, Valentin Cojocare, Dragos Nicoale Paslaru, Elena Botezatu, in seria SPOS 2015, nr.3, Bucuresti 2016, disponibil la </w:t>
      </w:r>
      <w:hyperlink r:id="rId54" w:history="1">
        <w:r w:rsidRPr="00F90DE5">
          <w:rPr>
            <w:rStyle w:val="Hyperlink"/>
          </w:rPr>
          <w:t>http://www.ier.ro/sites/default/files/pdf/St%203_Industrii%20creative_final_curat.pdf</w:t>
        </w:r>
      </w:hyperlink>
      <w:r>
        <w:t xml:space="preserve"> </w:t>
      </w:r>
    </w:p>
  </w:footnote>
  <w:footnote w:id="109">
    <w:p w:rsidR="00064502" w:rsidRDefault="00064502" w:rsidP="0003549E">
      <w:pPr>
        <w:pStyle w:val="Textnotdesubsol"/>
      </w:pPr>
      <w:r>
        <w:rPr>
          <w:rStyle w:val="Referinnotdesubsol"/>
        </w:rPr>
        <w:footnoteRef/>
      </w:r>
      <w:r>
        <w:t xml:space="preserve"> </w:t>
      </w:r>
      <w:hyperlink r:id="rId55" w:history="1">
        <w:r w:rsidRPr="00F90DE5">
          <w:rPr>
            <w:rStyle w:val="Hyperlink"/>
          </w:rPr>
          <w:t>http://investromania.gov.ro/web/wp-content/uploads/2016/07/ITC_BPO-SSC_EN.pdf</w:t>
        </w:r>
      </w:hyperlink>
      <w:r>
        <w:t>, consultat la dat de 16.08.2016</w:t>
      </w:r>
    </w:p>
  </w:footnote>
  <w:footnote w:id="110">
    <w:p w:rsidR="00064502" w:rsidRDefault="00064502" w:rsidP="0003549E">
      <w:pPr>
        <w:pStyle w:val="Textnotdesubsol"/>
      </w:pPr>
      <w:r>
        <w:rPr>
          <w:rStyle w:val="Referinnotdesubsol"/>
        </w:rPr>
        <w:footnoteRef/>
      </w:r>
      <w:r>
        <w:t xml:space="preserve"> Disponibil online la adresa</w:t>
      </w:r>
    </w:p>
    <w:p w:rsidR="00064502" w:rsidRDefault="00064502" w:rsidP="0003549E">
      <w:pPr>
        <w:pStyle w:val="Textnotdesubsol"/>
      </w:pPr>
      <w:r>
        <w:t>http://www.clusterobservatory.eu/index.html#!view=regionalmapping;i=V16140;y=2011;r=CR10-</w:t>
      </w:r>
    </w:p>
    <w:p w:rsidR="00064502" w:rsidRDefault="00064502" w:rsidP="0003549E">
      <w:pPr>
        <w:pStyle w:val="Textnotdesubsol"/>
      </w:pPr>
      <w:r>
        <w:t xml:space="preserve">EU27;rsl=2;rp=CR10-EU27;s=CC20-CREA;sp=CC20-CREA;p=table (accesat la 07.09.2016) </w:t>
      </w:r>
    </w:p>
  </w:footnote>
  <w:footnote w:id="111">
    <w:p w:rsidR="00064502" w:rsidRPr="00E60354" w:rsidRDefault="00064502" w:rsidP="0003549E">
      <w:pPr>
        <w:rPr>
          <w:sz w:val="20"/>
          <w:szCs w:val="20"/>
        </w:rPr>
      </w:pPr>
      <w:r w:rsidRPr="00E60354">
        <w:rPr>
          <w:rStyle w:val="Referinnotdesubsol"/>
        </w:rPr>
        <w:footnoteRef/>
      </w:r>
      <w:r w:rsidRPr="00E60354">
        <w:rPr>
          <w:sz w:val="20"/>
          <w:szCs w:val="20"/>
        </w:rPr>
        <w:t xml:space="preserve"> </w:t>
      </w:r>
      <w:r w:rsidRPr="00E3611B">
        <w:rPr>
          <w:sz w:val="20"/>
          <w:szCs w:val="20"/>
        </w:rPr>
        <w:t>GEA Strategy&amp;Consulting</w:t>
      </w:r>
      <w:r>
        <w:rPr>
          <w:sz w:val="20"/>
          <w:szCs w:val="20"/>
        </w:rPr>
        <w:t xml:space="preserve">, </w:t>
      </w:r>
      <w:r w:rsidRPr="00E60354">
        <w:rPr>
          <w:sz w:val="20"/>
          <w:szCs w:val="20"/>
        </w:rPr>
        <w:t>Studiul ”Importanța economică a industriilor creative: o perspectivă teri</w:t>
      </w:r>
      <w:r>
        <w:rPr>
          <w:sz w:val="20"/>
          <w:szCs w:val="20"/>
        </w:rPr>
        <w:t>torială”, Versiunea 30.10.2011</w:t>
      </w:r>
    </w:p>
  </w:footnote>
  <w:footnote w:id="112">
    <w:p w:rsidR="00064502" w:rsidRDefault="00064502" w:rsidP="0003549E">
      <w:pPr>
        <w:pStyle w:val="Textnotdesubsol"/>
      </w:pPr>
      <w:r>
        <w:rPr>
          <w:rStyle w:val="Referinnotdesubsol"/>
        </w:rPr>
        <w:footnoteRef/>
      </w:r>
      <w:r>
        <w:t xml:space="preserve"> </w:t>
      </w:r>
      <w:r>
        <w:rPr>
          <w:rFonts w:ascii="Arial Narrow" w:hAnsi="Arial Narrow"/>
        </w:rPr>
        <w:t xml:space="preserve">Vitalitatea culturala a oraselor din Romania, Centrul de Cercetare si Consultanta in Domeniul Culturii, pag 3, disponibil la </w:t>
      </w:r>
      <w:r w:rsidRPr="008B21C9">
        <w:rPr>
          <w:rFonts w:ascii="Arial Narrow" w:hAnsi="Arial Narrow"/>
        </w:rPr>
        <w:t>http://www.culturadata.ro/wp-content/uploads/2014/05/3_Vitalitatea_Culturala_a_Oraselor_2010.pdf</w:t>
      </w:r>
    </w:p>
  </w:footnote>
  <w:footnote w:id="113">
    <w:p w:rsidR="00064502" w:rsidRPr="00651069" w:rsidRDefault="00064502" w:rsidP="0003549E">
      <w:pPr>
        <w:pStyle w:val="Textnotdesubsol"/>
        <w:rPr>
          <w:rFonts w:ascii="Arial Narrow" w:hAnsi="Arial Narrow"/>
        </w:rPr>
      </w:pPr>
      <w:r w:rsidRPr="00651069">
        <w:rPr>
          <w:rStyle w:val="Referinnotdesubsol"/>
          <w:rFonts w:ascii="Arial Narrow" w:hAnsi="Arial Narrow"/>
        </w:rPr>
        <w:footnoteRef/>
      </w:r>
      <w:r w:rsidRPr="00651069">
        <w:rPr>
          <w:rFonts w:ascii="Arial Narrow" w:hAnsi="Arial Narrow"/>
        </w:rPr>
        <w:t xml:space="preserve"> Idem, pag. 22, 23</w:t>
      </w:r>
    </w:p>
  </w:footnote>
  <w:footnote w:id="114">
    <w:p w:rsidR="00064502" w:rsidRDefault="00064502" w:rsidP="0003549E">
      <w:pPr>
        <w:pStyle w:val="Textnotdesubsol"/>
      </w:pPr>
      <w:r>
        <w:rPr>
          <w:rStyle w:val="Referinnotdesubsol"/>
        </w:rPr>
        <w:footnoteRef/>
      </w:r>
      <w:r>
        <w:t xml:space="preserve"> disponibil la </w:t>
      </w:r>
      <w:hyperlink r:id="rId56" w:history="1">
        <w:r w:rsidRPr="002576DA">
          <w:rPr>
            <w:rStyle w:val="Hyperlink"/>
          </w:rPr>
          <w:t>http://www.culturadata.ro/wp-content/uploads/2016/03/RegistrulArteleSpectacolului.pdf</w:t>
        </w:r>
      </w:hyperlink>
      <w:r>
        <w:t xml:space="preserve"> (consultat in data de 19.09.2016)</w:t>
      </w:r>
    </w:p>
  </w:footnote>
  <w:footnote w:id="115">
    <w:p w:rsidR="00064502" w:rsidRDefault="00064502" w:rsidP="0003549E">
      <w:pPr>
        <w:pStyle w:val="Textnotdesubsol"/>
      </w:pPr>
      <w:r>
        <w:rPr>
          <w:rStyle w:val="Referinnotdesubsol"/>
        </w:rPr>
        <w:footnoteRef/>
      </w:r>
      <w:r>
        <w:t xml:space="preserve"> Eurostat, Culture Statistics, 2016 Edition, disponibila la  </w:t>
      </w:r>
      <w:hyperlink r:id="rId57" w:history="1">
        <w:r w:rsidRPr="00E64399">
          <w:rPr>
            <w:rStyle w:val="Hyperlink"/>
          </w:rPr>
          <w:t>http://ec.europa.eu/eurostat/documents/3217494/7551543/KS-04-15-737-EN-N.pdf/648072f3-63c4-47d8-905a-6fdc742b8605</w:t>
        </w:r>
      </w:hyperlink>
      <w:r>
        <w:t>, pag 41</w:t>
      </w:r>
    </w:p>
  </w:footnote>
  <w:footnote w:id="116">
    <w:p w:rsidR="00064502" w:rsidRDefault="00064502" w:rsidP="0003549E">
      <w:pPr>
        <w:pStyle w:val="Textnotdesubsol"/>
      </w:pPr>
      <w:r>
        <w:rPr>
          <w:rStyle w:val="Referinnotdesubsol"/>
        </w:rPr>
        <w:footnoteRef/>
      </w:r>
      <w:r>
        <w:t xml:space="preserve"> idem, pag. 46</w:t>
      </w:r>
    </w:p>
  </w:footnote>
  <w:footnote w:id="117">
    <w:p w:rsidR="00064502" w:rsidRDefault="00064502" w:rsidP="0003549E">
      <w:pPr>
        <w:pStyle w:val="Textnotdesubsol"/>
      </w:pPr>
      <w:r>
        <w:rPr>
          <w:rStyle w:val="Referinnotdesubsol"/>
        </w:rPr>
        <w:footnoteRef/>
      </w:r>
      <w:r>
        <w:t xml:space="preserve"> idem, pag. 81</w:t>
      </w:r>
    </w:p>
  </w:footnote>
  <w:footnote w:id="118">
    <w:p w:rsidR="00064502" w:rsidRDefault="00064502" w:rsidP="0003549E">
      <w:pPr>
        <w:pStyle w:val="Textnotdesubsol"/>
      </w:pPr>
      <w:r>
        <w:rPr>
          <w:rStyle w:val="Referinnotdesubsol"/>
        </w:rPr>
        <w:footnoteRef/>
      </w:r>
      <w:r>
        <w:t xml:space="preserve"> idem, pag. 108 - 109</w:t>
      </w:r>
    </w:p>
  </w:footnote>
  <w:footnote w:id="119">
    <w:p w:rsidR="00064502" w:rsidRPr="00F90094" w:rsidRDefault="00064502" w:rsidP="002617A6">
      <w:pPr>
        <w:spacing w:after="0"/>
        <w:jc w:val="both"/>
        <w:rPr>
          <w:rFonts w:eastAsia="Times New Roman" w:cs="Times New Roman"/>
          <w:b/>
          <w:sz w:val="24"/>
          <w:szCs w:val="24"/>
          <w:lang w:val="ro-RO" w:eastAsia="ar-SA"/>
        </w:rPr>
      </w:pPr>
      <w:r>
        <w:rPr>
          <w:rStyle w:val="Referinnotdesubsol"/>
        </w:rPr>
        <w:footnoteRef/>
      </w:r>
      <w:r>
        <w:t xml:space="preserve"> </w:t>
      </w:r>
      <w:r w:rsidRPr="000C7694">
        <w:rPr>
          <w:color w:val="000000"/>
          <w:sz w:val="18"/>
          <w:szCs w:val="18"/>
          <w:shd w:val="clear" w:color="auto" w:fill="FAFAFA"/>
          <w:lang w:val="ro-RO"/>
        </w:rPr>
        <w:t>Capacitatea de cazare turistică</w:t>
      </w:r>
      <w:r w:rsidRPr="000C7694">
        <w:rPr>
          <w:rStyle w:val="apple-converted-space"/>
          <w:color w:val="000000"/>
          <w:sz w:val="18"/>
          <w:szCs w:val="18"/>
          <w:shd w:val="clear" w:color="auto" w:fill="FAFAFA"/>
          <w:lang w:val="ro-RO"/>
        </w:rPr>
        <w:t> </w:t>
      </w:r>
      <w:r w:rsidRPr="000C7694">
        <w:rPr>
          <w:color w:val="000000"/>
          <w:sz w:val="18"/>
          <w:szCs w:val="18"/>
          <w:shd w:val="clear" w:color="auto" w:fill="FAFAFA"/>
          <w:lang w:val="ro-RO"/>
        </w:rPr>
        <w:t>reprezintă numărul de locuri de cazare de folosinţă turistică înscrise în ultimul act de recepţie, omologare, clasificare al unităţii de cazare turistică, exclusiv paturile suplimentare care se pot instala în caz de necesitate.</w:t>
      </w:r>
    </w:p>
  </w:footnote>
  <w:footnote w:id="120">
    <w:p w:rsidR="00064502" w:rsidRPr="00BE7122" w:rsidRDefault="00064502" w:rsidP="002617A6">
      <w:pPr>
        <w:pStyle w:val="Textnotdesubsol"/>
        <w:jc w:val="both"/>
        <w:rPr>
          <w:color w:val="000000"/>
          <w:sz w:val="16"/>
          <w:szCs w:val="16"/>
          <w:shd w:val="clear" w:color="auto" w:fill="FAFAFA"/>
        </w:rPr>
      </w:pPr>
      <w:r w:rsidRPr="00F84574">
        <w:rPr>
          <w:rStyle w:val="Referinnotdesubsol"/>
          <w:sz w:val="18"/>
          <w:szCs w:val="18"/>
        </w:rPr>
        <w:footnoteRef/>
      </w:r>
      <w:r w:rsidRPr="00F84574">
        <w:rPr>
          <w:sz w:val="18"/>
          <w:szCs w:val="18"/>
        </w:rPr>
        <w:t xml:space="preserve"> </w:t>
      </w:r>
      <w:r w:rsidRPr="00BE7122">
        <w:rPr>
          <w:color w:val="000000"/>
          <w:sz w:val="16"/>
          <w:szCs w:val="16"/>
          <w:shd w:val="clear" w:color="auto" w:fill="FAFAFA"/>
        </w:rPr>
        <w:t xml:space="preserve">În numărul turiştilor cazaţi în unităţile de cazare turistică se cuprind toate persoanele (români şi străini) care călătoresc în afara localităţilor în care îşi au domiciliul stabil, pentru o perioadă mai mică de 12 luni şi stau cel puţin o noapte într-o unitate de cazare turistică </w:t>
      </w:r>
    </w:p>
  </w:footnote>
  <w:footnote w:id="121">
    <w:p w:rsidR="00064502" w:rsidRPr="00F90094" w:rsidRDefault="00064502" w:rsidP="002617A6">
      <w:pPr>
        <w:pStyle w:val="Textnotdesubsol"/>
        <w:jc w:val="both"/>
      </w:pPr>
      <w:r w:rsidRPr="00F84574">
        <w:rPr>
          <w:rStyle w:val="Referinnotdesubsol"/>
          <w:sz w:val="18"/>
          <w:szCs w:val="18"/>
        </w:rPr>
        <w:footnoteRef/>
      </w:r>
      <w:r w:rsidRPr="00F84574">
        <w:rPr>
          <w:sz w:val="18"/>
          <w:szCs w:val="18"/>
        </w:rPr>
        <w:t xml:space="preserve"> </w:t>
      </w:r>
      <w:r w:rsidRPr="00BE7122">
        <w:rPr>
          <w:color w:val="000000"/>
          <w:sz w:val="16"/>
          <w:szCs w:val="16"/>
          <w:shd w:val="clear" w:color="auto" w:fill="FAFAFA"/>
        </w:rPr>
        <w:t>Înnoptarea reprezintă fiecare noapte pentru care o persoană este înregistrată într-o unitate de cazare turistică, indiferent dacă fizic este sau nu prezenta în cameră.</w:t>
      </w:r>
      <w:r w:rsidRPr="00F84574">
        <w:rPr>
          <w:rStyle w:val="apple-converted-space"/>
          <w:rFonts w:ascii="Verdana" w:hAnsi="Verdana"/>
          <w:color w:val="000000"/>
          <w:sz w:val="18"/>
          <w:szCs w:val="18"/>
          <w:shd w:val="clear" w:color="auto" w:fill="FAFAFA"/>
        </w:rPr>
        <w:t> </w:t>
      </w:r>
    </w:p>
  </w:footnote>
  <w:footnote w:id="122">
    <w:p w:rsidR="007175F1" w:rsidRPr="005C3F2E" w:rsidRDefault="007175F1" w:rsidP="007175F1">
      <w:pPr>
        <w:jc w:val="both"/>
        <w:rPr>
          <w:sz w:val="18"/>
          <w:szCs w:val="18"/>
        </w:rPr>
      </w:pPr>
      <w:r w:rsidRPr="005C3F2E">
        <w:rPr>
          <w:rStyle w:val="Referinnotdesubsol"/>
          <w:sz w:val="18"/>
          <w:szCs w:val="18"/>
        </w:rPr>
        <w:footnoteRef/>
      </w:r>
      <w:r w:rsidRPr="005C3F2E">
        <w:rPr>
          <w:sz w:val="18"/>
          <w:szCs w:val="18"/>
        </w:rPr>
        <w:t xml:space="preserve"> </w:t>
      </w:r>
      <w:r w:rsidRPr="009B33B9">
        <w:rPr>
          <w:b/>
          <w:sz w:val="18"/>
          <w:szCs w:val="18"/>
          <w:lang w:val="ro-RO"/>
        </w:rPr>
        <w:t>Durata medie a sejurului</w:t>
      </w:r>
      <w:r w:rsidRPr="009B33B9">
        <w:rPr>
          <w:sz w:val="18"/>
          <w:szCs w:val="18"/>
          <w:lang w:val="ro-RO"/>
        </w:rPr>
        <w:t xml:space="preserve"> se calculează prin împărțirea numărului de înnoptări realizate la numărul de sosiri ale turiștilor. </w:t>
      </w:r>
      <w:r w:rsidRPr="009B33B9">
        <w:rPr>
          <w:rFonts w:cstheme="minorHAnsi"/>
          <w:sz w:val="18"/>
          <w:szCs w:val="18"/>
          <w:lang w:val="ro-RO"/>
        </w:rPr>
        <w:t>(definiția Institutului Național de Statistică)</w:t>
      </w:r>
    </w:p>
    <w:p w:rsidR="007175F1" w:rsidRPr="00EB6C77" w:rsidRDefault="007175F1" w:rsidP="007175F1">
      <w:pPr>
        <w:pStyle w:val="Textnotdesubsol"/>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1410"/>
        </w:tabs>
        <w:ind w:left="1410" w:firstLine="0"/>
      </w:pPr>
    </w:lvl>
    <w:lvl w:ilvl="1">
      <w:start w:val="1"/>
      <w:numFmt w:val="none"/>
      <w:suff w:val="nothing"/>
      <w:lvlText w:val=""/>
      <w:lvlJc w:val="left"/>
      <w:pPr>
        <w:tabs>
          <w:tab w:val="num" w:pos="1410"/>
        </w:tabs>
        <w:ind w:left="1410" w:firstLine="0"/>
      </w:pPr>
    </w:lvl>
    <w:lvl w:ilvl="2">
      <w:start w:val="1"/>
      <w:numFmt w:val="none"/>
      <w:suff w:val="nothing"/>
      <w:lvlText w:val=""/>
      <w:lvlJc w:val="left"/>
      <w:pPr>
        <w:tabs>
          <w:tab w:val="num" w:pos="1410"/>
        </w:tabs>
        <w:ind w:left="1410" w:firstLine="0"/>
      </w:pPr>
    </w:lvl>
    <w:lvl w:ilvl="3">
      <w:start w:val="1"/>
      <w:numFmt w:val="none"/>
      <w:suff w:val="nothing"/>
      <w:lvlText w:val=""/>
      <w:lvlJc w:val="left"/>
      <w:pPr>
        <w:tabs>
          <w:tab w:val="num" w:pos="1410"/>
        </w:tabs>
        <w:ind w:left="1410" w:firstLine="0"/>
      </w:pPr>
    </w:lvl>
    <w:lvl w:ilvl="4">
      <w:start w:val="1"/>
      <w:numFmt w:val="none"/>
      <w:suff w:val="nothing"/>
      <w:lvlText w:val=""/>
      <w:lvlJc w:val="left"/>
      <w:pPr>
        <w:tabs>
          <w:tab w:val="num" w:pos="1410"/>
        </w:tabs>
        <w:ind w:left="1410" w:firstLine="0"/>
      </w:pPr>
    </w:lvl>
    <w:lvl w:ilvl="5">
      <w:start w:val="1"/>
      <w:numFmt w:val="none"/>
      <w:suff w:val="nothing"/>
      <w:lvlText w:val=""/>
      <w:lvlJc w:val="left"/>
      <w:pPr>
        <w:tabs>
          <w:tab w:val="num" w:pos="1410"/>
        </w:tabs>
        <w:ind w:left="1410" w:firstLine="0"/>
      </w:pPr>
    </w:lvl>
    <w:lvl w:ilvl="6">
      <w:start w:val="1"/>
      <w:numFmt w:val="none"/>
      <w:suff w:val="nothing"/>
      <w:lvlText w:val=""/>
      <w:lvlJc w:val="left"/>
      <w:pPr>
        <w:tabs>
          <w:tab w:val="num" w:pos="1410"/>
        </w:tabs>
        <w:ind w:left="1410" w:firstLine="0"/>
      </w:pPr>
    </w:lvl>
    <w:lvl w:ilvl="7">
      <w:start w:val="1"/>
      <w:numFmt w:val="none"/>
      <w:suff w:val="nothing"/>
      <w:lvlText w:val=""/>
      <w:lvlJc w:val="left"/>
      <w:pPr>
        <w:tabs>
          <w:tab w:val="num" w:pos="1410"/>
        </w:tabs>
        <w:ind w:left="1410" w:firstLine="0"/>
      </w:pPr>
    </w:lvl>
    <w:lvl w:ilvl="8">
      <w:start w:val="1"/>
      <w:numFmt w:val="none"/>
      <w:suff w:val="nothing"/>
      <w:lvlText w:val=""/>
      <w:lvlJc w:val="left"/>
      <w:pPr>
        <w:tabs>
          <w:tab w:val="num" w:pos="1410"/>
        </w:tabs>
        <w:ind w:left="1410" w:firstLine="0"/>
      </w:pPr>
    </w:lvl>
  </w:abstractNum>
  <w:abstractNum w:abstractNumId="1">
    <w:nsid w:val="00000004"/>
    <w:multiLevelType w:val="multilevel"/>
    <w:tmpl w:val="00000004"/>
    <w:name w:val="WW8Num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180"/>
      </w:pPr>
      <w:rPr>
        <w:rFonts w:ascii="Wingdings" w:hAnsi="Wingdings"/>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CB2B70"/>
    <w:multiLevelType w:val="hybridMultilevel"/>
    <w:tmpl w:val="4356B49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5193B60"/>
    <w:multiLevelType w:val="hybridMultilevel"/>
    <w:tmpl w:val="280E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9F4E32"/>
    <w:multiLevelType w:val="hybridMultilevel"/>
    <w:tmpl w:val="925417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B18D7"/>
    <w:multiLevelType w:val="hybridMultilevel"/>
    <w:tmpl w:val="42B6A724"/>
    <w:lvl w:ilvl="0" w:tplc="F1E44FE2">
      <w:start w:val="1"/>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6A33BC8"/>
    <w:multiLevelType w:val="hybridMultilevel"/>
    <w:tmpl w:val="7242AEF4"/>
    <w:lvl w:ilvl="0" w:tplc="594E6332">
      <w:start w:val="1"/>
      <w:numFmt w:val="bullet"/>
      <w:lvlText w:val="-"/>
      <w:lvlJc w:val="left"/>
      <w:pPr>
        <w:tabs>
          <w:tab w:val="num" w:pos="720"/>
        </w:tabs>
        <w:ind w:left="720" w:hanging="360"/>
      </w:pPr>
      <w:rPr>
        <w:rFonts w:ascii="Times New Roman" w:hAnsi="Times New Roman" w:hint="default"/>
      </w:rPr>
    </w:lvl>
    <w:lvl w:ilvl="1" w:tplc="F80C7DD6" w:tentative="1">
      <w:start w:val="1"/>
      <w:numFmt w:val="bullet"/>
      <w:lvlText w:val="-"/>
      <w:lvlJc w:val="left"/>
      <w:pPr>
        <w:tabs>
          <w:tab w:val="num" w:pos="1440"/>
        </w:tabs>
        <w:ind w:left="1440" w:hanging="360"/>
      </w:pPr>
      <w:rPr>
        <w:rFonts w:ascii="Times New Roman" w:hAnsi="Times New Roman" w:hint="default"/>
      </w:rPr>
    </w:lvl>
    <w:lvl w:ilvl="2" w:tplc="F7725C02" w:tentative="1">
      <w:start w:val="1"/>
      <w:numFmt w:val="bullet"/>
      <w:lvlText w:val="-"/>
      <w:lvlJc w:val="left"/>
      <w:pPr>
        <w:tabs>
          <w:tab w:val="num" w:pos="2160"/>
        </w:tabs>
        <w:ind w:left="2160" w:hanging="360"/>
      </w:pPr>
      <w:rPr>
        <w:rFonts w:ascii="Times New Roman" w:hAnsi="Times New Roman" w:hint="default"/>
      </w:rPr>
    </w:lvl>
    <w:lvl w:ilvl="3" w:tplc="44BEAEF2" w:tentative="1">
      <w:start w:val="1"/>
      <w:numFmt w:val="bullet"/>
      <w:lvlText w:val="-"/>
      <w:lvlJc w:val="left"/>
      <w:pPr>
        <w:tabs>
          <w:tab w:val="num" w:pos="2880"/>
        </w:tabs>
        <w:ind w:left="2880" w:hanging="360"/>
      </w:pPr>
      <w:rPr>
        <w:rFonts w:ascii="Times New Roman" w:hAnsi="Times New Roman" w:hint="default"/>
      </w:rPr>
    </w:lvl>
    <w:lvl w:ilvl="4" w:tplc="07384B28" w:tentative="1">
      <w:start w:val="1"/>
      <w:numFmt w:val="bullet"/>
      <w:lvlText w:val="-"/>
      <w:lvlJc w:val="left"/>
      <w:pPr>
        <w:tabs>
          <w:tab w:val="num" w:pos="3600"/>
        </w:tabs>
        <w:ind w:left="3600" w:hanging="360"/>
      </w:pPr>
      <w:rPr>
        <w:rFonts w:ascii="Times New Roman" w:hAnsi="Times New Roman" w:hint="default"/>
      </w:rPr>
    </w:lvl>
    <w:lvl w:ilvl="5" w:tplc="BCE05D2E" w:tentative="1">
      <w:start w:val="1"/>
      <w:numFmt w:val="bullet"/>
      <w:lvlText w:val="-"/>
      <w:lvlJc w:val="left"/>
      <w:pPr>
        <w:tabs>
          <w:tab w:val="num" w:pos="4320"/>
        </w:tabs>
        <w:ind w:left="4320" w:hanging="360"/>
      </w:pPr>
      <w:rPr>
        <w:rFonts w:ascii="Times New Roman" w:hAnsi="Times New Roman" w:hint="default"/>
      </w:rPr>
    </w:lvl>
    <w:lvl w:ilvl="6" w:tplc="439C176E" w:tentative="1">
      <w:start w:val="1"/>
      <w:numFmt w:val="bullet"/>
      <w:lvlText w:val="-"/>
      <w:lvlJc w:val="left"/>
      <w:pPr>
        <w:tabs>
          <w:tab w:val="num" w:pos="5040"/>
        </w:tabs>
        <w:ind w:left="5040" w:hanging="360"/>
      </w:pPr>
      <w:rPr>
        <w:rFonts w:ascii="Times New Roman" w:hAnsi="Times New Roman" w:hint="default"/>
      </w:rPr>
    </w:lvl>
    <w:lvl w:ilvl="7" w:tplc="48381AAC" w:tentative="1">
      <w:start w:val="1"/>
      <w:numFmt w:val="bullet"/>
      <w:lvlText w:val="-"/>
      <w:lvlJc w:val="left"/>
      <w:pPr>
        <w:tabs>
          <w:tab w:val="num" w:pos="5760"/>
        </w:tabs>
        <w:ind w:left="5760" w:hanging="360"/>
      </w:pPr>
      <w:rPr>
        <w:rFonts w:ascii="Times New Roman" w:hAnsi="Times New Roman" w:hint="default"/>
      </w:rPr>
    </w:lvl>
    <w:lvl w:ilvl="8" w:tplc="8CA0510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6A87A13"/>
    <w:multiLevelType w:val="hybridMultilevel"/>
    <w:tmpl w:val="417E12AA"/>
    <w:lvl w:ilvl="0" w:tplc="B486318E">
      <w:start w:val="1"/>
      <w:numFmt w:val="bullet"/>
      <w:lvlText w:val=""/>
      <w:lvlJc w:val="left"/>
      <w:pPr>
        <w:ind w:left="720" w:hanging="360"/>
      </w:pPr>
      <w:rPr>
        <w:rFonts w:ascii="Wingdings" w:hAnsi="Wingdings" w:hint="default"/>
      </w:rPr>
    </w:lvl>
    <w:lvl w:ilvl="1" w:tplc="E23CAE58">
      <w:numFmt w:val="bullet"/>
      <w:lvlText w:val="-"/>
      <w:lvlJc w:val="left"/>
      <w:pPr>
        <w:ind w:left="1440" w:hanging="360"/>
      </w:pPr>
      <w:rPr>
        <w:rFonts w:ascii="Calibri" w:eastAsiaTheme="minorEastAsia" w:hAnsi="Calibri" w:cstheme="minorBidi" w:hint="default"/>
        <w:color w:val="auto"/>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9193F71"/>
    <w:multiLevelType w:val="hybridMultilevel"/>
    <w:tmpl w:val="27740010"/>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0A5473F6"/>
    <w:multiLevelType w:val="hybridMultilevel"/>
    <w:tmpl w:val="EEC0DE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AC08BB"/>
    <w:multiLevelType w:val="hybridMultilevel"/>
    <w:tmpl w:val="40A2DF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BCE22AC"/>
    <w:multiLevelType w:val="hybridMultilevel"/>
    <w:tmpl w:val="B34ACF62"/>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0BD05338"/>
    <w:multiLevelType w:val="hybridMultilevel"/>
    <w:tmpl w:val="C204CCA8"/>
    <w:lvl w:ilvl="0" w:tplc="04090009">
      <w:start w:val="1"/>
      <w:numFmt w:val="bullet"/>
      <w:lvlText w:val=""/>
      <w:lvlJc w:val="left"/>
      <w:pPr>
        <w:ind w:left="64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3E6565"/>
    <w:multiLevelType w:val="hybridMultilevel"/>
    <w:tmpl w:val="12FC9D4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nsid w:val="0C967EC9"/>
    <w:multiLevelType w:val="multilevel"/>
    <w:tmpl w:val="1FD818B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numFmt w:val="bullet"/>
      <w:lvlText w:val="-"/>
      <w:lvlJc w:val="left"/>
      <w:pPr>
        <w:ind w:left="1710" w:hanging="360"/>
      </w:pPr>
      <w:rPr>
        <w:rFonts w:ascii="ArialMT" w:eastAsiaTheme="minorEastAsia" w:hAnsi="ArialMT" w:cs="ArialMT" w:hint="default"/>
        <w:color w:val="1A1A1A"/>
        <w:sz w:val="19"/>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DB21406"/>
    <w:multiLevelType w:val="hybridMultilevel"/>
    <w:tmpl w:val="D816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C4174D"/>
    <w:multiLevelType w:val="hybridMultilevel"/>
    <w:tmpl w:val="40FA36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C42009"/>
    <w:multiLevelType w:val="hybridMultilevel"/>
    <w:tmpl w:val="485424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0D0307C"/>
    <w:multiLevelType w:val="hybridMultilevel"/>
    <w:tmpl w:val="828A5F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2BA1460"/>
    <w:multiLevelType w:val="hybridMultilevel"/>
    <w:tmpl w:val="C220DD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12FD1E29"/>
    <w:multiLevelType w:val="hybridMultilevel"/>
    <w:tmpl w:val="D646F21A"/>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1">
    <w:nsid w:val="13002A20"/>
    <w:multiLevelType w:val="hybridMultilevel"/>
    <w:tmpl w:val="CA90A50C"/>
    <w:lvl w:ilvl="0" w:tplc="E3D61644">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137F1DB1"/>
    <w:multiLevelType w:val="hybridMultilevel"/>
    <w:tmpl w:val="EB3ACE2E"/>
    <w:lvl w:ilvl="0" w:tplc="5B36B1AC">
      <w:numFmt w:val="bullet"/>
      <w:lvlText w:val="-"/>
      <w:lvlJc w:val="left"/>
      <w:pPr>
        <w:ind w:left="1890" w:hanging="360"/>
      </w:pPr>
      <w:rPr>
        <w:rFonts w:ascii="ArialMT" w:eastAsiaTheme="minorEastAsia" w:hAnsi="ArialMT" w:cs="ArialMT" w:hint="default"/>
        <w:color w:val="1A1A1A"/>
        <w:sz w:val="19"/>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154F1A68"/>
    <w:multiLevelType w:val="hybridMultilevel"/>
    <w:tmpl w:val="986294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6B13556"/>
    <w:multiLevelType w:val="hybridMultilevel"/>
    <w:tmpl w:val="D31A270A"/>
    <w:lvl w:ilvl="0" w:tplc="04180003">
      <w:start w:val="1"/>
      <w:numFmt w:val="bullet"/>
      <w:lvlText w:val="o"/>
      <w:lvlJc w:val="left"/>
      <w:pPr>
        <w:ind w:left="578" w:hanging="360"/>
      </w:pPr>
      <w:rPr>
        <w:rFonts w:ascii="Courier New" w:hAnsi="Courier New" w:cs="Courier New" w:hint="default"/>
      </w:rPr>
    </w:lvl>
    <w:lvl w:ilvl="1" w:tplc="04180003" w:tentative="1">
      <w:start w:val="1"/>
      <w:numFmt w:val="bullet"/>
      <w:lvlText w:val="o"/>
      <w:lvlJc w:val="left"/>
      <w:pPr>
        <w:ind w:left="1298" w:hanging="360"/>
      </w:pPr>
      <w:rPr>
        <w:rFonts w:ascii="Courier New" w:hAnsi="Courier New" w:cs="Courier New" w:hint="default"/>
      </w:rPr>
    </w:lvl>
    <w:lvl w:ilvl="2" w:tplc="04180005" w:tentative="1">
      <w:start w:val="1"/>
      <w:numFmt w:val="bullet"/>
      <w:lvlText w:val=""/>
      <w:lvlJc w:val="left"/>
      <w:pPr>
        <w:ind w:left="2018" w:hanging="360"/>
      </w:pPr>
      <w:rPr>
        <w:rFonts w:ascii="Wingdings" w:hAnsi="Wingdings" w:hint="default"/>
      </w:rPr>
    </w:lvl>
    <w:lvl w:ilvl="3" w:tplc="04180001" w:tentative="1">
      <w:start w:val="1"/>
      <w:numFmt w:val="bullet"/>
      <w:lvlText w:val=""/>
      <w:lvlJc w:val="left"/>
      <w:pPr>
        <w:ind w:left="2738" w:hanging="360"/>
      </w:pPr>
      <w:rPr>
        <w:rFonts w:ascii="Symbol" w:hAnsi="Symbol" w:hint="default"/>
      </w:rPr>
    </w:lvl>
    <w:lvl w:ilvl="4" w:tplc="04180003" w:tentative="1">
      <w:start w:val="1"/>
      <w:numFmt w:val="bullet"/>
      <w:lvlText w:val="o"/>
      <w:lvlJc w:val="left"/>
      <w:pPr>
        <w:ind w:left="3458" w:hanging="360"/>
      </w:pPr>
      <w:rPr>
        <w:rFonts w:ascii="Courier New" w:hAnsi="Courier New" w:cs="Courier New" w:hint="default"/>
      </w:rPr>
    </w:lvl>
    <w:lvl w:ilvl="5" w:tplc="04180005" w:tentative="1">
      <w:start w:val="1"/>
      <w:numFmt w:val="bullet"/>
      <w:lvlText w:val=""/>
      <w:lvlJc w:val="left"/>
      <w:pPr>
        <w:ind w:left="4178" w:hanging="360"/>
      </w:pPr>
      <w:rPr>
        <w:rFonts w:ascii="Wingdings" w:hAnsi="Wingdings" w:hint="default"/>
      </w:rPr>
    </w:lvl>
    <w:lvl w:ilvl="6" w:tplc="04180001" w:tentative="1">
      <w:start w:val="1"/>
      <w:numFmt w:val="bullet"/>
      <w:lvlText w:val=""/>
      <w:lvlJc w:val="left"/>
      <w:pPr>
        <w:ind w:left="4898" w:hanging="360"/>
      </w:pPr>
      <w:rPr>
        <w:rFonts w:ascii="Symbol" w:hAnsi="Symbol" w:hint="default"/>
      </w:rPr>
    </w:lvl>
    <w:lvl w:ilvl="7" w:tplc="04180003" w:tentative="1">
      <w:start w:val="1"/>
      <w:numFmt w:val="bullet"/>
      <w:lvlText w:val="o"/>
      <w:lvlJc w:val="left"/>
      <w:pPr>
        <w:ind w:left="5618" w:hanging="360"/>
      </w:pPr>
      <w:rPr>
        <w:rFonts w:ascii="Courier New" w:hAnsi="Courier New" w:cs="Courier New" w:hint="default"/>
      </w:rPr>
    </w:lvl>
    <w:lvl w:ilvl="8" w:tplc="04180005" w:tentative="1">
      <w:start w:val="1"/>
      <w:numFmt w:val="bullet"/>
      <w:lvlText w:val=""/>
      <w:lvlJc w:val="left"/>
      <w:pPr>
        <w:ind w:left="6338" w:hanging="360"/>
      </w:pPr>
      <w:rPr>
        <w:rFonts w:ascii="Wingdings" w:hAnsi="Wingdings" w:hint="default"/>
      </w:rPr>
    </w:lvl>
  </w:abstractNum>
  <w:abstractNum w:abstractNumId="25">
    <w:nsid w:val="18EE23A7"/>
    <w:multiLevelType w:val="hybridMultilevel"/>
    <w:tmpl w:val="013E09B0"/>
    <w:lvl w:ilvl="0" w:tplc="0409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1AB432F1"/>
    <w:multiLevelType w:val="hybridMultilevel"/>
    <w:tmpl w:val="2B861B74"/>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7">
    <w:nsid w:val="1D0337E1"/>
    <w:multiLevelType w:val="hybridMultilevel"/>
    <w:tmpl w:val="CD167C26"/>
    <w:lvl w:ilvl="0" w:tplc="5B36B1AC">
      <w:numFmt w:val="bullet"/>
      <w:lvlText w:val="-"/>
      <w:lvlJc w:val="left"/>
      <w:pPr>
        <w:ind w:left="720" w:hanging="360"/>
      </w:pPr>
      <w:rPr>
        <w:rFonts w:ascii="ArialMT" w:eastAsiaTheme="minorEastAsia" w:hAnsi="ArialMT" w:cs="ArialMT" w:hint="default"/>
        <w:color w:val="1A1A1A"/>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665D0A"/>
    <w:multiLevelType w:val="hybridMultilevel"/>
    <w:tmpl w:val="4266A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1F45446A"/>
    <w:multiLevelType w:val="hybridMultilevel"/>
    <w:tmpl w:val="F61E70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4895361"/>
    <w:multiLevelType w:val="hybridMultilevel"/>
    <w:tmpl w:val="4C92CC66"/>
    <w:lvl w:ilvl="0" w:tplc="A0DA79B8">
      <w:numFmt w:val="bullet"/>
      <w:lvlText w:val="-"/>
      <w:lvlJc w:val="left"/>
      <w:pPr>
        <w:ind w:left="720" w:hanging="360"/>
      </w:pPr>
      <w:rPr>
        <w:rFonts w:ascii="Arial Narrow" w:eastAsia="Calibri"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25893B7A"/>
    <w:multiLevelType w:val="hybridMultilevel"/>
    <w:tmpl w:val="DE66991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27A65148"/>
    <w:multiLevelType w:val="hybridMultilevel"/>
    <w:tmpl w:val="2D86DD28"/>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nsid w:val="28F45099"/>
    <w:multiLevelType w:val="hybridMultilevel"/>
    <w:tmpl w:val="A51E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3800CF"/>
    <w:multiLevelType w:val="hybridMultilevel"/>
    <w:tmpl w:val="65F61100"/>
    <w:lvl w:ilvl="0" w:tplc="A0DA79B8">
      <w:numFmt w:val="bullet"/>
      <w:lvlText w:val="-"/>
      <w:lvlJc w:val="left"/>
      <w:pPr>
        <w:ind w:left="1145" w:hanging="360"/>
      </w:pPr>
      <w:rPr>
        <w:rFonts w:ascii="Arial Narrow" w:eastAsia="Calibri" w:hAnsi="Arial Narrow" w:cs="Times New Roman" w:hint="default"/>
      </w:rPr>
    </w:lvl>
    <w:lvl w:ilvl="1" w:tplc="04180003" w:tentative="1">
      <w:start w:val="1"/>
      <w:numFmt w:val="bullet"/>
      <w:lvlText w:val="o"/>
      <w:lvlJc w:val="left"/>
      <w:pPr>
        <w:ind w:left="1865" w:hanging="360"/>
      </w:pPr>
      <w:rPr>
        <w:rFonts w:ascii="Courier New" w:hAnsi="Courier New" w:cs="Courier New" w:hint="default"/>
      </w:rPr>
    </w:lvl>
    <w:lvl w:ilvl="2" w:tplc="04180005" w:tentative="1">
      <w:start w:val="1"/>
      <w:numFmt w:val="bullet"/>
      <w:lvlText w:val=""/>
      <w:lvlJc w:val="left"/>
      <w:pPr>
        <w:ind w:left="2585" w:hanging="360"/>
      </w:pPr>
      <w:rPr>
        <w:rFonts w:ascii="Wingdings" w:hAnsi="Wingdings" w:hint="default"/>
      </w:rPr>
    </w:lvl>
    <w:lvl w:ilvl="3" w:tplc="04180001" w:tentative="1">
      <w:start w:val="1"/>
      <w:numFmt w:val="bullet"/>
      <w:lvlText w:val=""/>
      <w:lvlJc w:val="left"/>
      <w:pPr>
        <w:ind w:left="3305" w:hanging="360"/>
      </w:pPr>
      <w:rPr>
        <w:rFonts w:ascii="Symbol" w:hAnsi="Symbol" w:hint="default"/>
      </w:rPr>
    </w:lvl>
    <w:lvl w:ilvl="4" w:tplc="04180003" w:tentative="1">
      <w:start w:val="1"/>
      <w:numFmt w:val="bullet"/>
      <w:lvlText w:val="o"/>
      <w:lvlJc w:val="left"/>
      <w:pPr>
        <w:ind w:left="4025" w:hanging="360"/>
      </w:pPr>
      <w:rPr>
        <w:rFonts w:ascii="Courier New" w:hAnsi="Courier New" w:cs="Courier New" w:hint="default"/>
      </w:rPr>
    </w:lvl>
    <w:lvl w:ilvl="5" w:tplc="04180005" w:tentative="1">
      <w:start w:val="1"/>
      <w:numFmt w:val="bullet"/>
      <w:lvlText w:val=""/>
      <w:lvlJc w:val="left"/>
      <w:pPr>
        <w:ind w:left="4745" w:hanging="360"/>
      </w:pPr>
      <w:rPr>
        <w:rFonts w:ascii="Wingdings" w:hAnsi="Wingdings" w:hint="default"/>
      </w:rPr>
    </w:lvl>
    <w:lvl w:ilvl="6" w:tplc="04180001" w:tentative="1">
      <w:start w:val="1"/>
      <w:numFmt w:val="bullet"/>
      <w:lvlText w:val=""/>
      <w:lvlJc w:val="left"/>
      <w:pPr>
        <w:ind w:left="5465" w:hanging="360"/>
      </w:pPr>
      <w:rPr>
        <w:rFonts w:ascii="Symbol" w:hAnsi="Symbol" w:hint="default"/>
      </w:rPr>
    </w:lvl>
    <w:lvl w:ilvl="7" w:tplc="04180003" w:tentative="1">
      <w:start w:val="1"/>
      <w:numFmt w:val="bullet"/>
      <w:lvlText w:val="o"/>
      <w:lvlJc w:val="left"/>
      <w:pPr>
        <w:ind w:left="6185" w:hanging="360"/>
      </w:pPr>
      <w:rPr>
        <w:rFonts w:ascii="Courier New" w:hAnsi="Courier New" w:cs="Courier New" w:hint="default"/>
      </w:rPr>
    </w:lvl>
    <w:lvl w:ilvl="8" w:tplc="04180005" w:tentative="1">
      <w:start w:val="1"/>
      <w:numFmt w:val="bullet"/>
      <w:lvlText w:val=""/>
      <w:lvlJc w:val="left"/>
      <w:pPr>
        <w:ind w:left="6905" w:hanging="360"/>
      </w:pPr>
      <w:rPr>
        <w:rFonts w:ascii="Wingdings" w:hAnsi="Wingdings" w:hint="default"/>
      </w:rPr>
    </w:lvl>
  </w:abstractNum>
  <w:abstractNum w:abstractNumId="35">
    <w:nsid w:val="2E1B71CC"/>
    <w:multiLevelType w:val="hybridMultilevel"/>
    <w:tmpl w:val="DFAC682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2F200A29"/>
    <w:multiLevelType w:val="hybridMultilevel"/>
    <w:tmpl w:val="E1DE839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31705C33"/>
    <w:multiLevelType w:val="hybridMultilevel"/>
    <w:tmpl w:val="AB9C2BD8"/>
    <w:lvl w:ilvl="0" w:tplc="B486318E">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nsid w:val="330220DA"/>
    <w:multiLevelType w:val="multilevel"/>
    <w:tmpl w:val="C6683C56"/>
    <w:lvl w:ilvl="0">
      <w:start w:val="1"/>
      <w:numFmt w:val="bullet"/>
      <w:lvlText w:val=""/>
      <w:lvlJc w:val="left"/>
      <w:pPr>
        <w:tabs>
          <w:tab w:val="num" w:pos="360"/>
        </w:tabs>
        <w:ind w:left="360" w:hanging="360"/>
      </w:pPr>
      <w:rPr>
        <w:rFonts w:ascii="Symbol" w:hAnsi="Symbol" w:hint="default"/>
        <w:sz w:val="20"/>
      </w:rPr>
    </w:lvl>
    <w:lvl w:ilvl="1">
      <w:start w:val="3250"/>
      <w:numFmt w:val="bullet"/>
      <w:lvlText w:val="-"/>
      <w:lvlJc w:val="left"/>
      <w:pPr>
        <w:ind w:left="1080" w:hanging="360"/>
      </w:pPr>
      <w:rPr>
        <w:rFonts w:ascii="Arial Narrow" w:eastAsia="Calibri" w:hAnsi="Arial Narrow"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33D124FB"/>
    <w:multiLevelType w:val="hybridMultilevel"/>
    <w:tmpl w:val="AF942F00"/>
    <w:lvl w:ilvl="0" w:tplc="0409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34C3502C"/>
    <w:multiLevelType w:val="hybridMultilevel"/>
    <w:tmpl w:val="56C89CB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nsid w:val="370274FD"/>
    <w:multiLevelType w:val="hybridMultilevel"/>
    <w:tmpl w:val="CFD84936"/>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9C03B7F"/>
    <w:multiLevelType w:val="hybridMultilevel"/>
    <w:tmpl w:val="67E2AE5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3B683947"/>
    <w:multiLevelType w:val="hybridMultilevel"/>
    <w:tmpl w:val="E682CA2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3DCC7663"/>
    <w:multiLevelType w:val="hybridMultilevel"/>
    <w:tmpl w:val="264A5B2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5">
    <w:nsid w:val="3E917783"/>
    <w:multiLevelType w:val="hybridMultilevel"/>
    <w:tmpl w:val="491287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3F350AF5"/>
    <w:multiLevelType w:val="hybridMultilevel"/>
    <w:tmpl w:val="0AE203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406B02E5"/>
    <w:multiLevelType w:val="hybridMultilevel"/>
    <w:tmpl w:val="8CBCA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7342D3"/>
    <w:multiLevelType w:val="hybridMultilevel"/>
    <w:tmpl w:val="EFBEDBA4"/>
    <w:lvl w:ilvl="0" w:tplc="0409000F">
      <w:start w:val="1"/>
      <w:numFmt w:val="decimal"/>
      <w:lvlText w:val="%1."/>
      <w:lvlJc w:val="left"/>
      <w:pPr>
        <w:ind w:left="644" w:hanging="360"/>
      </w:pPr>
      <w:rPr>
        <w:rFonts w:hint="default"/>
      </w:rPr>
    </w:lvl>
    <w:lvl w:ilvl="1" w:tplc="A4886166">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962E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42DC27D9"/>
    <w:multiLevelType w:val="hybridMultilevel"/>
    <w:tmpl w:val="B67651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45CA2032"/>
    <w:multiLevelType w:val="hybridMultilevel"/>
    <w:tmpl w:val="8B14FA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45F03E78"/>
    <w:multiLevelType w:val="hybridMultilevel"/>
    <w:tmpl w:val="A8A2FD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3479EE"/>
    <w:multiLevelType w:val="hybridMultilevel"/>
    <w:tmpl w:val="AD785B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47AE2F33"/>
    <w:multiLevelType w:val="hybridMultilevel"/>
    <w:tmpl w:val="C5200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DD25CA"/>
    <w:multiLevelType w:val="hybridMultilevel"/>
    <w:tmpl w:val="FEE4198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6">
    <w:nsid w:val="496E564B"/>
    <w:multiLevelType w:val="hybridMultilevel"/>
    <w:tmpl w:val="620CD106"/>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7">
    <w:nsid w:val="4A345F26"/>
    <w:multiLevelType w:val="hybridMultilevel"/>
    <w:tmpl w:val="FAF678E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4B4E2F8F"/>
    <w:multiLevelType w:val="hybridMultilevel"/>
    <w:tmpl w:val="535A1CF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9">
    <w:nsid w:val="4BFA74A7"/>
    <w:multiLevelType w:val="hybridMultilevel"/>
    <w:tmpl w:val="DA0A3C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4C203B5A"/>
    <w:multiLevelType w:val="hybridMultilevel"/>
    <w:tmpl w:val="6DE0A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C2A2AAC"/>
    <w:multiLevelType w:val="hybridMultilevel"/>
    <w:tmpl w:val="D0C499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nsid w:val="50370DFE"/>
    <w:multiLevelType w:val="hybridMultilevel"/>
    <w:tmpl w:val="B34ACF62"/>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52B069CF"/>
    <w:multiLevelType w:val="hybridMultilevel"/>
    <w:tmpl w:val="BFA4968C"/>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537F71C8"/>
    <w:multiLevelType w:val="hybridMultilevel"/>
    <w:tmpl w:val="BD32A6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5">
    <w:nsid w:val="54366D71"/>
    <w:multiLevelType w:val="hybridMultilevel"/>
    <w:tmpl w:val="BDA2875E"/>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6">
    <w:nsid w:val="55073C76"/>
    <w:multiLevelType w:val="hybridMultilevel"/>
    <w:tmpl w:val="5F827C06"/>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7">
    <w:nsid w:val="5593336B"/>
    <w:multiLevelType w:val="multilevel"/>
    <w:tmpl w:val="4C9440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numFmt w:val="bullet"/>
      <w:lvlText w:val="-"/>
      <w:lvlJc w:val="left"/>
      <w:pPr>
        <w:ind w:left="1710" w:hanging="360"/>
      </w:pPr>
      <w:rPr>
        <w:rFonts w:ascii="ArialMT" w:eastAsiaTheme="minorEastAsia" w:hAnsi="ArialMT" w:cs="ArialMT" w:hint="default"/>
        <w:color w:val="1A1A1A"/>
        <w:sz w:val="19"/>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nsid w:val="55C64723"/>
    <w:multiLevelType w:val="hybridMultilevel"/>
    <w:tmpl w:val="49DCE8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E62B46"/>
    <w:multiLevelType w:val="hybridMultilevel"/>
    <w:tmpl w:val="B636C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DF3CFA"/>
    <w:multiLevelType w:val="hybridMultilevel"/>
    <w:tmpl w:val="2ABCC358"/>
    <w:lvl w:ilvl="0" w:tplc="5B36B1AC">
      <w:numFmt w:val="bullet"/>
      <w:lvlText w:val="-"/>
      <w:lvlJc w:val="left"/>
      <w:pPr>
        <w:ind w:left="720" w:hanging="360"/>
      </w:pPr>
      <w:rPr>
        <w:rFonts w:ascii="ArialMT" w:eastAsiaTheme="minorEastAsia" w:hAnsi="ArialMT" w:cs="ArialMT" w:hint="default"/>
        <w:color w:val="1A1A1A"/>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AA64E06"/>
    <w:multiLevelType w:val="hybridMultilevel"/>
    <w:tmpl w:val="BC5EFA3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B3B24E6"/>
    <w:multiLevelType w:val="hybridMultilevel"/>
    <w:tmpl w:val="722A4432"/>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73">
    <w:nsid w:val="5B8C40A7"/>
    <w:multiLevelType w:val="hybridMultilevel"/>
    <w:tmpl w:val="63CE34F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4">
    <w:nsid w:val="5C7656A3"/>
    <w:multiLevelType w:val="hybridMultilevel"/>
    <w:tmpl w:val="1038ADB0"/>
    <w:lvl w:ilvl="0" w:tplc="5AE6AF28">
      <w:start w:val="1"/>
      <w:numFmt w:val="decimal"/>
      <w:lvlText w:val="%1."/>
      <w:lvlJc w:val="left"/>
      <w:pPr>
        <w:ind w:left="1080" w:hanging="360"/>
      </w:pPr>
      <w:rPr>
        <w:rFonts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1426376"/>
    <w:multiLevelType w:val="multilevel"/>
    <w:tmpl w:val="D028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277031"/>
    <w:multiLevelType w:val="hybridMultilevel"/>
    <w:tmpl w:val="CDC6C19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6439372A"/>
    <w:multiLevelType w:val="hybridMultilevel"/>
    <w:tmpl w:val="08980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4D04E18"/>
    <w:multiLevelType w:val="hybridMultilevel"/>
    <w:tmpl w:val="5DAE46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7741447"/>
    <w:multiLevelType w:val="hybridMultilevel"/>
    <w:tmpl w:val="35DA7E1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nsid w:val="68B824E3"/>
    <w:multiLevelType w:val="hybridMultilevel"/>
    <w:tmpl w:val="7D84A1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6975740C"/>
    <w:multiLevelType w:val="hybridMultilevel"/>
    <w:tmpl w:val="A2089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AD24FA7"/>
    <w:multiLevelType w:val="hybridMultilevel"/>
    <w:tmpl w:val="1292C4CA"/>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83">
    <w:nsid w:val="6D693489"/>
    <w:multiLevelType w:val="hybridMultilevel"/>
    <w:tmpl w:val="639235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4">
    <w:nsid w:val="6F597DFA"/>
    <w:multiLevelType w:val="hybridMultilevel"/>
    <w:tmpl w:val="C3809C14"/>
    <w:lvl w:ilvl="0" w:tplc="DF3245E4">
      <w:numFmt w:val="bullet"/>
      <w:lvlText w:val="-"/>
      <w:lvlJc w:val="left"/>
      <w:pPr>
        <w:ind w:left="1080" w:hanging="360"/>
      </w:pPr>
      <w:rPr>
        <w:rFonts w:ascii="Calibri" w:eastAsiaTheme="minorEastAsia"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3403705"/>
    <w:multiLevelType w:val="hybridMultilevel"/>
    <w:tmpl w:val="FDDA4BDC"/>
    <w:lvl w:ilvl="0" w:tplc="B1EC4CC4">
      <w:start w:val="1"/>
      <w:numFmt w:val="decimal"/>
      <w:lvlText w:val="%1."/>
      <w:lvlJc w:val="left"/>
      <w:pPr>
        <w:ind w:left="1080" w:hanging="360"/>
      </w:pPr>
      <w:rPr>
        <w:rFonts w:hint="default"/>
        <w:b/>
        <w:color w:val="70AD47"/>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6">
    <w:nsid w:val="747D372E"/>
    <w:multiLevelType w:val="hybridMultilevel"/>
    <w:tmpl w:val="2980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549353F"/>
    <w:multiLevelType w:val="hybridMultilevel"/>
    <w:tmpl w:val="4DD0AFE6"/>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8">
    <w:nsid w:val="79B86788"/>
    <w:multiLevelType w:val="hybridMultilevel"/>
    <w:tmpl w:val="E8D28028"/>
    <w:lvl w:ilvl="0" w:tplc="04180003">
      <w:start w:val="1"/>
      <w:numFmt w:val="bullet"/>
      <w:lvlText w:val="o"/>
      <w:lvlJc w:val="left"/>
      <w:pPr>
        <w:ind w:left="450" w:hanging="360"/>
      </w:pPr>
      <w:rPr>
        <w:rFonts w:ascii="Courier New" w:hAnsi="Courier New" w:cs="Courier New" w:hint="default"/>
      </w:rPr>
    </w:lvl>
    <w:lvl w:ilvl="1" w:tplc="04180001">
      <w:start w:val="1"/>
      <w:numFmt w:val="bullet"/>
      <w:lvlText w:val=""/>
      <w:lvlJc w:val="left"/>
      <w:pPr>
        <w:ind w:left="1170" w:hanging="360"/>
      </w:pPr>
      <w:rPr>
        <w:rFonts w:ascii="Symbol" w:hAnsi="Symbol"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89">
    <w:nsid w:val="7A276AD5"/>
    <w:multiLevelType w:val="hybridMultilevel"/>
    <w:tmpl w:val="6BD2F3A0"/>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nsid w:val="7A2A66F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1">
    <w:nsid w:val="7B2B6370"/>
    <w:multiLevelType w:val="hybridMultilevel"/>
    <w:tmpl w:val="F7B2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897308"/>
    <w:multiLevelType w:val="hybridMultilevel"/>
    <w:tmpl w:val="7D2453A6"/>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3">
    <w:nsid w:val="7D531BFC"/>
    <w:multiLevelType w:val="hybridMultilevel"/>
    <w:tmpl w:val="B20C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EB37C07"/>
    <w:multiLevelType w:val="hybridMultilevel"/>
    <w:tmpl w:val="EFCE390E"/>
    <w:lvl w:ilvl="0" w:tplc="B486318E">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5">
    <w:nsid w:val="7F216C64"/>
    <w:multiLevelType w:val="hybridMultilevel"/>
    <w:tmpl w:val="2EA010C2"/>
    <w:lvl w:ilvl="0" w:tplc="04180005">
      <w:start w:val="1"/>
      <w:numFmt w:val="bullet"/>
      <w:lvlText w:val=""/>
      <w:lvlJc w:val="left"/>
      <w:pPr>
        <w:ind w:left="3600" w:hanging="360"/>
      </w:pPr>
      <w:rPr>
        <w:rFonts w:ascii="Wingdings" w:hAnsi="Wingdings" w:hint="default"/>
      </w:rPr>
    </w:lvl>
    <w:lvl w:ilvl="1" w:tplc="04180003" w:tentative="1">
      <w:start w:val="1"/>
      <w:numFmt w:val="bullet"/>
      <w:lvlText w:val="o"/>
      <w:lvlJc w:val="left"/>
      <w:pPr>
        <w:ind w:left="4320" w:hanging="360"/>
      </w:pPr>
      <w:rPr>
        <w:rFonts w:ascii="Courier New" w:hAnsi="Courier New" w:cs="Courier New" w:hint="default"/>
      </w:rPr>
    </w:lvl>
    <w:lvl w:ilvl="2" w:tplc="04180005" w:tentative="1">
      <w:start w:val="1"/>
      <w:numFmt w:val="bullet"/>
      <w:lvlText w:val=""/>
      <w:lvlJc w:val="left"/>
      <w:pPr>
        <w:ind w:left="5040" w:hanging="360"/>
      </w:pPr>
      <w:rPr>
        <w:rFonts w:ascii="Wingdings" w:hAnsi="Wingdings" w:hint="default"/>
      </w:rPr>
    </w:lvl>
    <w:lvl w:ilvl="3" w:tplc="04180001" w:tentative="1">
      <w:start w:val="1"/>
      <w:numFmt w:val="bullet"/>
      <w:lvlText w:val=""/>
      <w:lvlJc w:val="left"/>
      <w:pPr>
        <w:ind w:left="5760" w:hanging="360"/>
      </w:pPr>
      <w:rPr>
        <w:rFonts w:ascii="Symbol" w:hAnsi="Symbol" w:hint="default"/>
      </w:rPr>
    </w:lvl>
    <w:lvl w:ilvl="4" w:tplc="04180003" w:tentative="1">
      <w:start w:val="1"/>
      <w:numFmt w:val="bullet"/>
      <w:lvlText w:val="o"/>
      <w:lvlJc w:val="left"/>
      <w:pPr>
        <w:ind w:left="6480" w:hanging="360"/>
      </w:pPr>
      <w:rPr>
        <w:rFonts w:ascii="Courier New" w:hAnsi="Courier New" w:cs="Courier New" w:hint="default"/>
      </w:rPr>
    </w:lvl>
    <w:lvl w:ilvl="5" w:tplc="04180005" w:tentative="1">
      <w:start w:val="1"/>
      <w:numFmt w:val="bullet"/>
      <w:lvlText w:val=""/>
      <w:lvlJc w:val="left"/>
      <w:pPr>
        <w:ind w:left="7200" w:hanging="360"/>
      </w:pPr>
      <w:rPr>
        <w:rFonts w:ascii="Wingdings" w:hAnsi="Wingdings" w:hint="default"/>
      </w:rPr>
    </w:lvl>
    <w:lvl w:ilvl="6" w:tplc="04180001" w:tentative="1">
      <w:start w:val="1"/>
      <w:numFmt w:val="bullet"/>
      <w:lvlText w:val=""/>
      <w:lvlJc w:val="left"/>
      <w:pPr>
        <w:ind w:left="7920" w:hanging="360"/>
      </w:pPr>
      <w:rPr>
        <w:rFonts w:ascii="Symbol" w:hAnsi="Symbol" w:hint="default"/>
      </w:rPr>
    </w:lvl>
    <w:lvl w:ilvl="7" w:tplc="04180003" w:tentative="1">
      <w:start w:val="1"/>
      <w:numFmt w:val="bullet"/>
      <w:lvlText w:val="o"/>
      <w:lvlJc w:val="left"/>
      <w:pPr>
        <w:ind w:left="8640" w:hanging="360"/>
      </w:pPr>
      <w:rPr>
        <w:rFonts w:ascii="Courier New" w:hAnsi="Courier New" w:cs="Courier New" w:hint="default"/>
      </w:rPr>
    </w:lvl>
    <w:lvl w:ilvl="8" w:tplc="04180005" w:tentative="1">
      <w:start w:val="1"/>
      <w:numFmt w:val="bullet"/>
      <w:lvlText w:val=""/>
      <w:lvlJc w:val="left"/>
      <w:pPr>
        <w:ind w:left="9360" w:hanging="360"/>
      </w:pPr>
      <w:rPr>
        <w:rFonts w:ascii="Wingdings" w:hAnsi="Wingdings" w:hint="default"/>
      </w:rPr>
    </w:lvl>
  </w:abstractNum>
  <w:num w:numId="1">
    <w:abstractNumId w:val="66"/>
  </w:num>
  <w:num w:numId="2">
    <w:abstractNumId w:val="20"/>
  </w:num>
  <w:num w:numId="3">
    <w:abstractNumId w:val="32"/>
  </w:num>
  <w:num w:numId="4">
    <w:abstractNumId w:val="72"/>
  </w:num>
  <w:num w:numId="5">
    <w:abstractNumId w:val="87"/>
  </w:num>
  <w:num w:numId="6">
    <w:abstractNumId w:val="82"/>
  </w:num>
  <w:num w:numId="7">
    <w:abstractNumId w:val="26"/>
  </w:num>
  <w:num w:numId="8">
    <w:abstractNumId w:val="57"/>
  </w:num>
  <w:num w:numId="9">
    <w:abstractNumId w:val="65"/>
  </w:num>
  <w:num w:numId="10">
    <w:abstractNumId w:val="36"/>
  </w:num>
  <w:num w:numId="11">
    <w:abstractNumId w:val="42"/>
  </w:num>
  <w:num w:numId="12">
    <w:abstractNumId w:val="55"/>
  </w:num>
  <w:num w:numId="13">
    <w:abstractNumId w:val="73"/>
  </w:num>
  <w:num w:numId="14">
    <w:abstractNumId w:val="51"/>
  </w:num>
  <w:num w:numId="15">
    <w:abstractNumId w:val="23"/>
  </w:num>
  <w:num w:numId="16">
    <w:abstractNumId w:val="80"/>
  </w:num>
  <w:num w:numId="17">
    <w:abstractNumId w:val="74"/>
  </w:num>
  <w:num w:numId="18">
    <w:abstractNumId w:val="88"/>
  </w:num>
  <w:num w:numId="19">
    <w:abstractNumId w:val="41"/>
  </w:num>
  <w:num w:numId="20">
    <w:abstractNumId w:val="14"/>
  </w:num>
  <w:num w:numId="21">
    <w:abstractNumId w:val="67"/>
  </w:num>
  <w:num w:numId="22">
    <w:abstractNumId w:val="93"/>
  </w:num>
  <w:num w:numId="23">
    <w:abstractNumId w:val="64"/>
  </w:num>
  <w:num w:numId="24">
    <w:abstractNumId w:val="22"/>
  </w:num>
  <w:num w:numId="25">
    <w:abstractNumId w:val="52"/>
  </w:num>
  <w:num w:numId="26">
    <w:abstractNumId w:val="19"/>
  </w:num>
  <w:num w:numId="27">
    <w:abstractNumId w:val="70"/>
  </w:num>
  <w:num w:numId="28">
    <w:abstractNumId w:val="27"/>
  </w:num>
  <w:num w:numId="29">
    <w:abstractNumId w:val="84"/>
  </w:num>
  <w:num w:numId="30">
    <w:abstractNumId w:val="15"/>
  </w:num>
  <w:num w:numId="31">
    <w:abstractNumId w:val="58"/>
  </w:num>
  <w:num w:numId="32">
    <w:abstractNumId w:val="40"/>
  </w:num>
  <w:num w:numId="33">
    <w:abstractNumId w:val="44"/>
  </w:num>
  <w:num w:numId="34">
    <w:abstractNumId w:val="63"/>
  </w:num>
  <w:num w:numId="35">
    <w:abstractNumId w:val="53"/>
  </w:num>
  <w:num w:numId="36">
    <w:abstractNumId w:val="85"/>
  </w:num>
  <w:num w:numId="37">
    <w:abstractNumId w:val="24"/>
  </w:num>
  <w:num w:numId="38">
    <w:abstractNumId w:val="43"/>
  </w:num>
  <w:num w:numId="39">
    <w:abstractNumId w:val="13"/>
  </w:num>
  <w:num w:numId="40">
    <w:abstractNumId w:val="95"/>
  </w:num>
  <w:num w:numId="41">
    <w:abstractNumId w:val="59"/>
  </w:num>
  <w:num w:numId="42">
    <w:abstractNumId w:val="5"/>
  </w:num>
  <w:num w:numId="43">
    <w:abstractNumId w:val="92"/>
  </w:num>
  <w:num w:numId="44">
    <w:abstractNumId w:val="21"/>
  </w:num>
  <w:num w:numId="45">
    <w:abstractNumId w:val="11"/>
  </w:num>
  <w:num w:numId="46">
    <w:abstractNumId w:val="62"/>
  </w:num>
  <w:num w:numId="47">
    <w:abstractNumId w:val="89"/>
  </w:num>
  <w:num w:numId="48">
    <w:abstractNumId w:val="35"/>
  </w:num>
  <w:num w:numId="49">
    <w:abstractNumId w:val="76"/>
  </w:num>
  <w:num w:numId="50">
    <w:abstractNumId w:val="30"/>
  </w:num>
  <w:num w:numId="51">
    <w:abstractNumId w:val="79"/>
  </w:num>
  <w:num w:numId="52">
    <w:abstractNumId w:val="46"/>
  </w:num>
  <w:num w:numId="53">
    <w:abstractNumId w:val="18"/>
  </w:num>
  <w:num w:numId="54">
    <w:abstractNumId w:val="34"/>
  </w:num>
  <w:num w:numId="55">
    <w:abstractNumId w:val="7"/>
  </w:num>
  <w:num w:numId="56">
    <w:abstractNumId w:val="8"/>
  </w:num>
  <w:num w:numId="57">
    <w:abstractNumId w:val="37"/>
  </w:num>
  <w:num w:numId="58">
    <w:abstractNumId w:val="94"/>
  </w:num>
  <w:num w:numId="59">
    <w:abstractNumId w:val="56"/>
  </w:num>
  <w:num w:numId="60">
    <w:abstractNumId w:val="10"/>
  </w:num>
  <w:num w:numId="61">
    <w:abstractNumId w:val="77"/>
  </w:num>
  <w:num w:numId="62">
    <w:abstractNumId w:val="28"/>
  </w:num>
  <w:num w:numId="63">
    <w:abstractNumId w:val="2"/>
  </w:num>
  <w:num w:numId="64">
    <w:abstractNumId w:val="48"/>
  </w:num>
  <w:num w:numId="65">
    <w:abstractNumId w:val="12"/>
  </w:num>
  <w:num w:numId="66">
    <w:abstractNumId w:val="17"/>
  </w:num>
  <w:num w:numId="67">
    <w:abstractNumId w:val="29"/>
  </w:num>
  <w:num w:numId="68">
    <w:abstractNumId w:val="60"/>
  </w:num>
  <w:num w:numId="69">
    <w:abstractNumId w:val="78"/>
  </w:num>
  <w:num w:numId="70">
    <w:abstractNumId w:val="75"/>
  </w:num>
  <w:num w:numId="71">
    <w:abstractNumId w:val="38"/>
  </w:num>
  <w:num w:numId="72">
    <w:abstractNumId w:val="71"/>
  </w:num>
  <w:num w:numId="73">
    <w:abstractNumId w:val="16"/>
  </w:num>
  <w:num w:numId="74">
    <w:abstractNumId w:val="4"/>
  </w:num>
  <w:num w:numId="75">
    <w:abstractNumId w:val="47"/>
  </w:num>
  <w:num w:numId="76">
    <w:abstractNumId w:val="9"/>
  </w:num>
  <w:num w:numId="77">
    <w:abstractNumId w:val="68"/>
  </w:num>
  <w:num w:numId="78">
    <w:abstractNumId w:val="45"/>
  </w:num>
  <w:num w:numId="79">
    <w:abstractNumId w:val="3"/>
  </w:num>
  <w:num w:numId="80">
    <w:abstractNumId w:val="69"/>
  </w:num>
  <w:num w:numId="81">
    <w:abstractNumId w:val="25"/>
  </w:num>
  <w:num w:numId="82">
    <w:abstractNumId w:val="39"/>
  </w:num>
  <w:num w:numId="83">
    <w:abstractNumId w:val="81"/>
  </w:num>
  <w:num w:numId="84">
    <w:abstractNumId w:val="83"/>
  </w:num>
  <w:num w:numId="85">
    <w:abstractNumId w:val="61"/>
  </w:num>
  <w:num w:numId="86">
    <w:abstractNumId w:val="91"/>
  </w:num>
  <w:num w:numId="87">
    <w:abstractNumId w:val="31"/>
  </w:num>
  <w:num w:numId="88">
    <w:abstractNumId w:val="50"/>
  </w:num>
  <w:num w:numId="89">
    <w:abstractNumId w:val="0"/>
  </w:num>
  <w:num w:numId="90">
    <w:abstractNumId w:val="49"/>
  </w:num>
  <w:num w:numId="91">
    <w:abstractNumId w:val="90"/>
  </w:num>
  <w:num w:numId="92">
    <w:abstractNumId w:val="6"/>
  </w:num>
  <w:num w:numId="93">
    <w:abstractNumId w:val="54"/>
  </w:num>
  <w:num w:numId="94">
    <w:abstractNumId w:val="86"/>
  </w:num>
  <w:num w:numId="95">
    <w:abstractNumId w:val="33"/>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A5F90"/>
    <w:rsid w:val="0002155C"/>
    <w:rsid w:val="0003549E"/>
    <w:rsid w:val="00064502"/>
    <w:rsid w:val="000865B4"/>
    <w:rsid w:val="000A6A0D"/>
    <w:rsid w:val="001F1152"/>
    <w:rsid w:val="002617A6"/>
    <w:rsid w:val="00305726"/>
    <w:rsid w:val="003D1904"/>
    <w:rsid w:val="00643600"/>
    <w:rsid w:val="0066147D"/>
    <w:rsid w:val="007175F1"/>
    <w:rsid w:val="007659C3"/>
    <w:rsid w:val="00852F75"/>
    <w:rsid w:val="008C5B99"/>
    <w:rsid w:val="00981E9F"/>
    <w:rsid w:val="00B45835"/>
    <w:rsid w:val="00BD7229"/>
    <w:rsid w:val="00EA5F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rules v:ext="edit">
        <o:r id="V:Rule2" type="connector" idref="#_x0000_s1030"/>
        <o:r id="V:Rule3"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9C3"/>
  </w:style>
  <w:style w:type="paragraph" w:styleId="Titlu1">
    <w:name w:val="heading 1"/>
    <w:basedOn w:val="Normal"/>
    <w:next w:val="Normal"/>
    <w:link w:val="Titlu1Caracter"/>
    <w:qFormat/>
    <w:rsid w:val="00EA5F90"/>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ro-RO"/>
    </w:rPr>
  </w:style>
  <w:style w:type="paragraph" w:styleId="Titlu2">
    <w:name w:val="heading 2"/>
    <w:basedOn w:val="Normal"/>
    <w:next w:val="Normal"/>
    <w:link w:val="Titlu2Caracter"/>
    <w:uiPriority w:val="9"/>
    <w:unhideWhenUsed/>
    <w:qFormat/>
    <w:rsid w:val="00EA5F90"/>
    <w:pPr>
      <w:keepNext/>
      <w:keepLines/>
      <w:spacing w:before="200" w:after="0"/>
      <w:outlineLvl w:val="1"/>
    </w:pPr>
    <w:rPr>
      <w:rFonts w:asciiTheme="majorHAnsi" w:eastAsiaTheme="majorEastAsia" w:hAnsiTheme="majorHAnsi" w:cstheme="majorBidi"/>
      <w:b/>
      <w:bCs/>
      <w:color w:val="4F81BD" w:themeColor="accent1"/>
      <w:sz w:val="26"/>
      <w:szCs w:val="26"/>
      <w:lang w:val="ro-RO" w:eastAsia="ro-RO"/>
    </w:rPr>
  </w:style>
  <w:style w:type="paragraph" w:styleId="Titlu3">
    <w:name w:val="heading 3"/>
    <w:basedOn w:val="Normal"/>
    <w:next w:val="Normal"/>
    <w:link w:val="Titlu3Caracter"/>
    <w:uiPriority w:val="9"/>
    <w:unhideWhenUsed/>
    <w:qFormat/>
    <w:rsid w:val="00EA5F90"/>
    <w:pPr>
      <w:keepNext/>
      <w:keepLines/>
      <w:spacing w:before="200" w:after="0"/>
      <w:outlineLvl w:val="2"/>
    </w:pPr>
    <w:rPr>
      <w:rFonts w:asciiTheme="majorHAnsi" w:eastAsiaTheme="majorEastAsia" w:hAnsiTheme="majorHAnsi" w:cstheme="majorBidi"/>
      <w:b/>
      <w:bCs/>
      <w:color w:val="4F81BD" w:themeColor="accent1"/>
      <w:lang w:val="ro-RO" w:eastAsia="ro-RO"/>
    </w:rPr>
  </w:style>
  <w:style w:type="paragraph" w:styleId="Titlu4">
    <w:name w:val="heading 4"/>
    <w:basedOn w:val="Normal"/>
    <w:next w:val="Normal"/>
    <w:link w:val="Titlu4Caracter"/>
    <w:uiPriority w:val="9"/>
    <w:semiHidden/>
    <w:unhideWhenUsed/>
    <w:qFormat/>
    <w:rsid w:val="00643600"/>
    <w:pPr>
      <w:keepNext/>
      <w:keepLines/>
      <w:spacing w:before="40" w:after="0" w:line="259" w:lineRule="auto"/>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643600"/>
    <w:pPr>
      <w:keepNext/>
      <w:keepLines/>
      <w:spacing w:before="40" w:after="0" w:line="259" w:lineRule="auto"/>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643600"/>
    <w:pPr>
      <w:keepNext/>
      <w:keepLines/>
      <w:spacing w:before="40" w:after="0" w:line="259" w:lineRule="auto"/>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
    <w:semiHidden/>
    <w:unhideWhenUsed/>
    <w:qFormat/>
    <w:rsid w:val="00643600"/>
    <w:pPr>
      <w:keepNext/>
      <w:keepLines/>
      <w:spacing w:before="40" w:after="0" w:line="259" w:lineRule="auto"/>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
    <w:semiHidden/>
    <w:unhideWhenUsed/>
    <w:qFormat/>
    <w:rsid w:val="00643600"/>
    <w:pPr>
      <w:keepNext/>
      <w:keepLines/>
      <w:spacing w:before="40" w:after="0" w:line="259" w:lineRule="auto"/>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nhideWhenUsed/>
    <w:qFormat/>
    <w:rsid w:val="00643600"/>
    <w:pPr>
      <w:keepNext/>
      <w:keepLines/>
      <w:spacing w:before="40" w:after="0" w:line="259" w:lineRule="auto"/>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A5F90"/>
    <w:rPr>
      <w:rFonts w:asciiTheme="majorHAnsi" w:eastAsiaTheme="majorEastAsia" w:hAnsiTheme="majorHAnsi" w:cstheme="majorBidi"/>
      <w:b/>
      <w:bCs/>
      <w:color w:val="365F91" w:themeColor="accent1" w:themeShade="BF"/>
      <w:sz w:val="28"/>
      <w:szCs w:val="28"/>
      <w:lang w:val="ro-RO" w:eastAsia="ro-RO"/>
    </w:rPr>
  </w:style>
  <w:style w:type="character" w:customStyle="1" w:styleId="Titlu2Caracter">
    <w:name w:val="Titlu 2 Caracter"/>
    <w:basedOn w:val="Fontdeparagrafimplicit"/>
    <w:link w:val="Titlu2"/>
    <w:uiPriority w:val="9"/>
    <w:rsid w:val="00EA5F90"/>
    <w:rPr>
      <w:rFonts w:asciiTheme="majorHAnsi" w:eastAsiaTheme="majorEastAsia" w:hAnsiTheme="majorHAnsi" w:cstheme="majorBidi"/>
      <w:b/>
      <w:bCs/>
      <w:color w:val="4F81BD" w:themeColor="accent1"/>
      <w:sz w:val="26"/>
      <w:szCs w:val="26"/>
      <w:lang w:val="ro-RO" w:eastAsia="ro-RO"/>
    </w:rPr>
  </w:style>
  <w:style w:type="character" w:customStyle="1" w:styleId="Titlu3Caracter">
    <w:name w:val="Titlu 3 Caracter"/>
    <w:basedOn w:val="Fontdeparagrafimplicit"/>
    <w:link w:val="Titlu3"/>
    <w:uiPriority w:val="9"/>
    <w:rsid w:val="00EA5F90"/>
    <w:rPr>
      <w:rFonts w:asciiTheme="majorHAnsi" w:eastAsiaTheme="majorEastAsia" w:hAnsiTheme="majorHAnsi" w:cstheme="majorBidi"/>
      <w:b/>
      <w:bCs/>
      <w:color w:val="4F81BD" w:themeColor="accent1"/>
      <w:lang w:val="ro-RO" w:eastAsia="ro-RO"/>
    </w:rPr>
  </w:style>
  <w:style w:type="character" w:customStyle="1" w:styleId="Titlu4Caracter">
    <w:name w:val="Titlu 4 Caracter"/>
    <w:basedOn w:val="Fontdeparagrafimplicit"/>
    <w:link w:val="Titlu4"/>
    <w:uiPriority w:val="9"/>
    <w:semiHidden/>
    <w:rsid w:val="00643600"/>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643600"/>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643600"/>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
    <w:semiHidden/>
    <w:rsid w:val="00643600"/>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
    <w:semiHidden/>
    <w:rsid w:val="00643600"/>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rsid w:val="00643600"/>
    <w:rPr>
      <w:rFonts w:ascii="Calibri Light" w:eastAsia="Times New Roman" w:hAnsi="Calibri Light" w:cs="Times New Roman"/>
      <w:i/>
      <w:iCs/>
      <w:color w:val="272727"/>
      <w:sz w:val="21"/>
      <w:szCs w:val="21"/>
    </w:rPr>
  </w:style>
  <w:style w:type="table" w:styleId="GrilTabel">
    <w:name w:val="Table Grid"/>
    <w:basedOn w:val="TabelNormal"/>
    <w:uiPriority w:val="59"/>
    <w:rsid w:val="00EA5F90"/>
    <w:pPr>
      <w:spacing w:after="0" w:line="240" w:lineRule="auto"/>
    </w:pPr>
    <w:rPr>
      <w:lang w:val="ro-RO" w:eastAsia="ro-R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deparagrafimplicit"/>
    <w:uiPriority w:val="99"/>
    <w:unhideWhenUsed/>
    <w:rsid w:val="00EA5F90"/>
    <w:rPr>
      <w:color w:val="0000FF" w:themeColor="hyperlink"/>
      <w:u w:val="single"/>
    </w:rPr>
  </w:style>
  <w:style w:type="paragraph" w:styleId="NormalWeb">
    <w:name w:val="Normal (Web)"/>
    <w:basedOn w:val="Normal"/>
    <w:uiPriority w:val="99"/>
    <w:unhideWhenUsed/>
    <w:rsid w:val="00EA5F90"/>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obust">
    <w:name w:val="Strong"/>
    <w:basedOn w:val="Fontdeparagrafimplicit"/>
    <w:uiPriority w:val="22"/>
    <w:qFormat/>
    <w:rsid w:val="00EA5F90"/>
    <w:rPr>
      <w:b/>
      <w:bCs/>
    </w:rPr>
  </w:style>
  <w:style w:type="paragraph" w:styleId="Listparagraf">
    <w:name w:val="List Paragraph"/>
    <w:aliases w:val="Normal bullet 2,List Paragraph1,List1,body 2,List Paragraph11,Listă colorată - Accentuare 11,Bullet,Citation List,Forth level,Akapit z listą BS,Outlines a.b.c.,List_Paragraph,Multilevel para_II,Akapit z lista BS"/>
    <w:basedOn w:val="Normal"/>
    <w:link w:val="ListparagrafCaracter"/>
    <w:uiPriority w:val="34"/>
    <w:qFormat/>
    <w:rsid w:val="00EA5F90"/>
    <w:pPr>
      <w:ind w:left="720"/>
      <w:contextualSpacing/>
    </w:pPr>
    <w:rPr>
      <w:lang w:val="ro-RO" w:eastAsia="ro-RO"/>
    </w:rPr>
  </w:style>
  <w:style w:type="character" w:customStyle="1" w:styleId="ListparagrafCaracter">
    <w:name w:val="Listă paragraf Caracter"/>
    <w:aliases w:val="Normal bullet 2 Caracter,List Paragraph1 Caracter,List1 Caracter,body 2 Caracter,List Paragraph11 Caracter,Listă colorată - Accentuare 11 Caracter,Bullet Caracter,Citation List Caracter,Forth level Caracter"/>
    <w:link w:val="Listparagraf"/>
    <w:uiPriority w:val="34"/>
    <w:locked/>
    <w:rsid w:val="00EA5F90"/>
    <w:rPr>
      <w:lang w:val="ro-RO" w:eastAsia="ro-RO"/>
    </w:rPr>
  </w:style>
  <w:style w:type="table" w:customStyle="1" w:styleId="Umbriremedie1-Accentuare11">
    <w:name w:val="Umbrire medie 1 - Accentuare 11"/>
    <w:basedOn w:val="TabelNormal"/>
    <w:uiPriority w:val="63"/>
    <w:rsid w:val="00EA5F90"/>
    <w:pPr>
      <w:spacing w:after="0" w:line="240" w:lineRule="auto"/>
    </w:pPr>
    <w:rPr>
      <w:lang w:val="ro-RO" w:eastAsia="ro-R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xtnBalon">
    <w:name w:val="Balloon Text"/>
    <w:basedOn w:val="Normal"/>
    <w:link w:val="TextnBalonCaracter"/>
    <w:uiPriority w:val="99"/>
    <w:semiHidden/>
    <w:unhideWhenUsed/>
    <w:rsid w:val="00EA5F90"/>
    <w:pPr>
      <w:spacing w:after="0" w:line="240" w:lineRule="auto"/>
    </w:pPr>
    <w:rPr>
      <w:rFonts w:ascii="Tahoma" w:hAnsi="Tahoma" w:cs="Tahoma"/>
      <w:sz w:val="16"/>
      <w:szCs w:val="16"/>
      <w:lang w:val="ro-RO" w:eastAsia="ro-RO"/>
    </w:rPr>
  </w:style>
  <w:style w:type="character" w:customStyle="1" w:styleId="TextnBalonCaracter">
    <w:name w:val="Text în Balon Caracter"/>
    <w:basedOn w:val="Fontdeparagrafimplicit"/>
    <w:link w:val="TextnBalon"/>
    <w:uiPriority w:val="99"/>
    <w:semiHidden/>
    <w:rsid w:val="00EA5F90"/>
    <w:rPr>
      <w:rFonts w:ascii="Tahoma" w:hAnsi="Tahoma" w:cs="Tahoma"/>
      <w:sz w:val="16"/>
      <w:szCs w:val="16"/>
      <w:lang w:val="ro-RO" w:eastAsia="ro-RO"/>
    </w:rPr>
  </w:style>
  <w:style w:type="table" w:customStyle="1" w:styleId="Listdeculoaredeschis-Accentuare11">
    <w:name w:val="Listă de culoare deschisă - Accentuare 11"/>
    <w:basedOn w:val="TabelNormal"/>
    <w:uiPriority w:val="61"/>
    <w:rsid w:val="00EA5F90"/>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Fontdeparagrafimplicit"/>
    <w:rsid w:val="00EA5F90"/>
  </w:style>
  <w:style w:type="paragraph" w:styleId="Textnotdesubsol">
    <w:name w:val="footnote text"/>
    <w:basedOn w:val="Normal"/>
    <w:link w:val="TextnotdesubsolCaracter"/>
    <w:uiPriority w:val="99"/>
    <w:unhideWhenUsed/>
    <w:rsid w:val="00EA5F90"/>
    <w:pPr>
      <w:spacing w:after="0" w:line="240" w:lineRule="auto"/>
    </w:pPr>
    <w:rPr>
      <w:sz w:val="20"/>
      <w:szCs w:val="20"/>
      <w:lang w:val="ro-RO" w:eastAsia="ro-RO"/>
    </w:rPr>
  </w:style>
  <w:style w:type="character" w:customStyle="1" w:styleId="TextnotdesubsolCaracter">
    <w:name w:val="Text notă de subsol Caracter"/>
    <w:basedOn w:val="Fontdeparagrafimplicit"/>
    <w:link w:val="Textnotdesubsol"/>
    <w:uiPriority w:val="99"/>
    <w:rsid w:val="00EA5F90"/>
    <w:rPr>
      <w:sz w:val="20"/>
      <w:szCs w:val="20"/>
      <w:lang w:val="ro-RO" w:eastAsia="ro-RO"/>
    </w:rPr>
  </w:style>
  <w:style w:type="character" w:styleId="Referinnotdesubsol">
    <w:name w:val="footnote reference"/>
    <w:aliases w:val="Footnote,Footnote symbol"/>
    <w:basedOn w:val="Fontdeparagrafimplicit"/>
    <w:uiPriority w:val="99"/>
    <w:unhideWhenUsed/>
    <w:rsid w:val="00EA5F90"/>
    <w:rPr>
      <w:vertAlign w:val="superscript"/>
    </w:rPr>
  </w:style>
  <w:style w:type="paragraph" w:styleId="Antet">
    <w:name w:val="header"/>
    <w:basedOn w:val="Normal"/>
    <w:link w:val="AntetCaracter"/>
    <w:uiPriority w:val="99"/>
    <w:unhideWhenUsed/>
    <w:rsid w:val="00EA5F90"/>
    <w:pPr>
      <w:tabs>
        <w:tab w:val="center" w:pos="4536"/>
        <w:tab w:val="right" w:pos="9072"/>
      </w:tabs>
      <w:spacing w:after="0" w:line="240" w:lineRule="auto"/>
    </w:pPr>
    <w:rPr>
      <w:lang w:val="ro-RO" w:eastAsia="ro-RO"/>
    </w:rPr>
  </w:style>
  <w:style w:type="character" w:customStyle="1" w:styleId="AntetCaracter">
    <w:name w:val="Antet Caracter"/>
    <w:basedOn w:val="Fontdeparagrafimplicit"/>
    <w:link w:val="Antet"/>
    <w:uiPriority w:val="99"/>
    <w:rsid w:val="00EA5F90"/>
    <w:rPr>
      <w:lang w:val="ro-RO" w:eastAsia="ro-RO"/>
    </w:rPr>
  </w:style>
  <w:style w:type="paragraph" w:styleId="Subsol">
    <w:name w:val="footer"/>
    <w:basedOn w:val="Normal"/>
    <w:link w:val="SubsolCaracter"/>
    <w:uiPriority w:val="99"/>
    <w:unhideWhenUsed/>
    <w:rsid w:val="00EA5F90"/>
    <w:pPr>
      <w:tabs>
        <w:tab w:val="center" w:pos="4536"/>
        <w:tab w:val="right" w:pos="9072"/>
      </w:tabs>
      <w:spacing w:after="0" w:line="240" w:lineRule="auto"/>
    </w:pPr>
    <w:rPr>
      <w:lang w:val="ro-RO" w:eastAsia="ro-RO"/>
    </w:rPr>
  </w:style>
  <w:style w:type="character" w:customStyle="1" w:styleId="SubsolCaracter">
    <w:name w:val="Subsol Caracter"/>
    <w:basedOn w:val="Fontdeparagrafimplicit"/>
    <w:link w:val="Subsol"/>
    <w:uiPriority w:val="99"/>
    <w:rsid w:val="00EA5F90"/>
    <w:rPr>
      <w:lang w:val="ro-RO" w:eastAsia="ro-RO"/>
    </w:rPr>
  </w:style>
  <w:style w:type="table" w:customStyle="1" w:styleId="Umbriremedie1-Accentuare12">
    <w:name w:val="Umbrire medie 1 - Accentuare 12"/>
    <w:basedOn w:val="TabelNormal"/>
    <w:uiPriority w:val="63"/>
    <w:rsid w:val="00EA5F90"/>
    <w:pPr>
      <w:spacing w:after="0" w:line="240" w:lineRule="auto"/>
    </w:pPr>
    <w:rPr>
      <w:lang w:val="ro-RO" w:eastAsia="ro-R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medie3-Accentuare1">
    <w:name w:val="Medium Grid 3 Accent 1"/>
    <w:basedOn w:val="TabelNormal"/>
    <w:uiPriority w:val="69"/>
    <w:rsid w:val="00EA5F90"/>
    <w:pPr>
      <w:spacing w:after="0" w:line="240" w:lineRule="auto"/>
    </w:pPr>
    <w:rPr>
      <w:lang w:val="ro-RO" w:eastAsia="ro-R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medie1-Accentuare1">
    <w:name w:val="Medium Grid 1 Accent 1"/>
    <w:basedOn w:val="TabelNormal"/>
    <w:uiPriority w:val="67"/>
    <w:rsid w:val="00EA5F90"/>
    <w:pPr>
      <w:spacing w:after="0" w:line="240" w:lineRule="auto"/>
    </w:pPr>
    <w:rPr>
      <w:lang w:val="ro-RO" w:eastAsia="ro-R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egend">
    <w:name w:val="caption"/>
    <w:basedOn w:val="Normal"/>
    <w:next w:val="Normal"/>
    <w:uiPriority w:val="35"/>
    <w:unhideWhenUsed/>
    <w:qFormat/>
    <w:rsid w:val="00EA5F90"/>
    <w:pPr>
      <w:spacing w:line="240" w:lineRule="auto"/>
    </w:pPr>
    <w:rPr>
      <w:b/>
      <w:bCs/>
      <w:color w:val="4F81BD" w:themeColor="accent1"/>
      <w:sz w:val="18"/>
      <w:szCs w:val="18"/>
      <w:lang w:val="ro-RO" w:eastAsia="ro-RO"/>
    </w:rPr>
  </w:style>
  <w:style w:type="table" w:styleId="Umbriremedie1-Accentuare4">
    <w:name w:val="Medium Shading 1 Accent 4"/>
    <w:basedOn w:val="TabelNormal"/>
    <w:uiPriority w:val="63"/>
    <w:rsid w:val="00EA5F9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Umbriremedie2-Accentuare4">
    <w:name w:val="Medium Shading 2 Accent 4"/>
    <w:basedOn w:val="TabelNormal"/>
    <w:uiPriority w:val="64"/>
    <w:rsid w:val="00EA5F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notdefinal">
    <w:name w:val="endnote text"/>
    <w:basedOn w:val="Normal"/>
    <w:link w:val="TextnotdefinalCaracter"/>
    <w:uiPriority w:val="99"/>
    <w:unhideWhenUsed/>
    <w:rsid w:val="00EA5F90"/>
    <w:pPr>
      <w:spacing w:after="0" w:line="240" w:lineRule="auto"/>
    </w:pPr>
    <w:rPr>
      <w:sz w:val="20"/>
      <w:szCs w:val="20"/>
    </w:rPr>
  </w:style>
  <w:style w:type="character" w:customStyle="1" w:styleId="TextnotdefinalCaracter">
    <w:name w:val="Text notă de final Caracter"/>
    <w:basedOn w:val="Fontdeparagrafimplicit"/>
    <w:link w:val="Textnotdefinal"/>
    <w:uiPriority w:val="99"/>
    <w:rsid w:val="00EA5F90"/>
    <w:rPr>
      <w:sz w:val="20"/>
      <w:szCs w:val="20"/>
    </w:rPr>
  </w:style>
  <w:style w:type="character" w:styleId="Referinnotdefinal">
    <w:name w:val="endnote reference"/>
    <w:basedOn w:val="Fontdeparagrafimplicit"/>
    <w:uiPriority w:val="99"/>
    <w:semiHidden/>
    <w:unhideWhenUsed/>
    <w:rsid w:val="00EA5F90"/>
    <w:rPr>
      <w:vertAlign w:val="superscript"/>
    </w:rPr>
  </w:style>
  <w:style w:type="paragraph" w:customStyle="1" w:styleId="Default">
    <w:name w:val="Default"/>
    <w:rsid w:val="00EA5F90"/>
    <w:pPr>
      <w:autoSpaceDE w:val="0"/>
      <w:autoSpaceDN w:val="0"/>
      <w:adjustRightInd w:val="0"/>
      <w:spacing w:after="0" w:line="240" w:lineRule="auto"/>
    </w:pPr>
    <w:rPr>
      <w:rFonts w:ascii="Times New Roman" w:eastAsiaTheme="minorHAnsi" w:hAnsi="Times New Roman" w:cs="Times New Roman"/>
      <w:color w:val="000000"/>
      <w:sz w:val="24"/>
      <w:szCs w:val="24"/>
      <w:lang w:val="ro-RO"/>
    </w:rPr>
  </w:style>
  <w:style w:type="character" w:styleId="Accentuat">
    <w:name w:val="Emphasis"/>
    <w:basedOn w:val="Fontdeparagrafimplicit"/>
    <w:uiPriority w:val="20"/>
    <w:qFormat/>
    <w:rsid w:val="00EA5F90"/>
    <w:rPr>
      <w:i/>
      <w:iCs/>
    </w:rPr>
  </w:style>
  <w:style w:type="table" w:customStyle="1" w:styleId="Umbriremedie2-Accentuare11">
    <w:name w:val="Umbrire medie 2 - Accentuare 11"/>
    <w:basedOn w:val="TabelNormal"/>
    <w:uiPriority w:val="64"/>
    <w:rsid w:val="00EA5F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Umbriremedie2-Accentuare5">
    <w:name w:val="Medium Shading 2 Accent 5"/>
    <w:basedOn w:val="TabelNormal"/>
    <w:uiPriority w:val="64"/>
    <w:rsid w:val="00EA5F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uare12">
    <w:name w:val="Umbrire medie 2 - Accentuare 12"/>
    <w:basedOn w:val="TabelNormal"/>
    <w:uiPriority w:val="64"/>
    <w:rsid w:val="00EA5F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uare13">
    <w:name w:val="Umbrire medie 2 - Accentuare 13"/>
    <w:basedOn w:val="TabelNormal"/>
    <w:uiPriority w:val="64"/>
    <w:rsid w:val="00EA5F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Parcurs">
    <w:name w:val="FollowedHyperlink"/>
    <w:basedOn w:val="Fontdeparagrafimplicit"/>
    <w:uiPriority w:val="99"/>
    <w:semiHidden/>
    <w:unhideWhenUsed/>
    <w:rsid w:val="00EA5F90"/>
    <w:rPr>
      <w:color w:val="800080" w:themeColor="followedHyperlink"/>
      <w:u w:val="single"/>
    </w:rPr>
  </w:style>
  <w:style w:type="paragraph" w:styleId="Corptext">
    <w:name w:val="Body Text"/>
    <w:basedOn w:val="Normal"/>
    <w:link w:val="CorptextCaracter"/>
    <w:unhideWhenUsed/>
    <w:rsid w:val="00EA5F90"/>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CorptextCaracter">
    <w:name w:val="Corp text Caracter"/>
    <w:basedOn w:val="Fontdeparagrafimplicit"/>
    <w:link w:val="Corptext"/>
    <w:rsid w:val="00EA5F90"/>
    <w:rPr>
      <w:rFonts w:ascii="Times New Roman" w:eastAsia="Times New Roman" w:hAnsi="Times New Roman" w:cs="Times New Roman"/>
      <w:sz w:val="24"/>
      <w:szCs w:val="24"/>
      <w:lang w:val="ro-RO" w:eastAsia="ro-RO"/>
    </w:rPr>
  </w:style>
  <w:style w:type="character" w:styleId="Titlulcrii">
    <w:name w:val="Book Title"/>
    <w:basedOn w:val="Fontdeparagrafimplicit"/>
    <w:uiPriority w:val="33"/>
    <w:qFormat/>
    <w:rsid w:val="00EA5F90"/>
    <w:rPr>
      <w:b/>
      <w:bCs/>
      <w:smallCaps/>
      <w:spacing w:val="5"/>
    </w:rPr>
  </w:style>
  <w:style w:type="paragraph" w:styleId="Frspaiere">
    <w:name w:val="No Spacing"/>
    <w:uiPriority w:val="1"/>
    <w:qFormat/>
    <w:rsid w:val="00EA5F90"/>
    <w:pPr>
      <w:spacing w:after="0" w:line="240" w:lineRule="auto"/>
    </w:pPr>
    <w:rPr>
      <w:lang w:val="ro-RO" w:eastAsia="ro-RO"/>
    </w:rPr>
  </w:style>
  <w:style w:type="character" w:customStyle="1" w:styleId="spelle">
    <w:name w:val="spelle"/>
    <w:basedOn w:val="Fontdeparagrafimplicit"/>
    <w:rsid w:val="00EA5F90"/>
  </w:style>
  <w:style w:type="character" w:customStyle="1" w:styleId="grame">
    <w:name w:val="grame"/>
    <w:basedOn w:val="Fontdeparagrafimplicit"/>
    <w:rsid w:val="00EA5F90"/>
  </w:style>
  <w:style w:type="paragraph" w:customStyle="1" w:styleId="AEuroNormal">
    <w:name w:val="AEuro.Normal"/>
    <w:rsid w:val="00EA5F90"/>
    <w:pPr>
      <w:spacing w:after="0" w:line="240" w:lineRule="auto"/>
      <w:ind w:firstLine="284"/>
      <w:jc w:val="both"/>
    </w:pPr>
    <w:rPr>
      <w:rFonts w:ascii="Times New Roman" w:eastAsia="Times New Roman" w:hAnsi="Times New Roman" w:cs="Times New Roman"/>
      <w:sz w:val="24"/>
      <w:szCs w:val="20"/>
    </w:rPr>
  </w:style>
  <w:style w:type="paragraph" w:customStyle="1" w:styleId="CharChar3">
    <w:name w:val="Char Char3"/>
    <w:basedOn w:val="Normal"/>
    <w:rsid w:val="00EA5F90"/>
    <w:pPr>
      <w:spacing w:after="0" w:line="240" w:lineRule="auto"/>
    </w:pPr>
    <w:rPr>
      <w:rFonts w:ascii="Times New Roman" w:eastAsia="Times New Roman" w:hAnsi="Times New Roman" w:cs="Times New Roman"/>
      <w:sz w:val="24"/>
      <w:szCs w:val="24"/>
      <w:lang w:val="pl-PL" w:eastAsia="pl-PL"/>
    </w:rPr>
  </w:style>
  <w:style w:type="table" w:customStyle="1" w:styleId="Umbriremedie1-Accentuare13">
    <w:name w:val="Umbrire medie 1 - Accentuare 13"/>
    <w:basedOn w:val="TabelNormal"/>
    <w:uiPriority w:val="63"/>
    <w:rsid w:val="00EA5F90"/>
    <w:pPr>
      <w:spacing w:after="0" w:line="240" w:lineRule="auto"/>
    </w:pPr>
    <w:rPr>
      <w:lang w:val="ro-RO" w:eastAsia="ro-R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ucuprins">
    <w:name w:val="TOC Heading"/>
    <w:basedOn w:val="Titlu1"/>
    <w:next w:val="Normal"/>
    <w:uiPriority w:val="39"/>
    <w:unhideWhenUsed/>
    <w:qFormat/>
    <w:rsid w:val="00EA5F90"/>
    <w:pPr>
      <w:spacing w:before="240" w:line="259" w:lineRule="auto"/>
      <w:outlineLvl w:val="9"/>
    </w:pPr>
    <w:rPr>
      <w:rFonts w:ascii="Calibri Light" w:eastAsia="MS Gothic" w:hAnsi="Calibri Light" w:cs="Times New Roman"/>
      <w:b w:val="0"/>
      <w:bCs w:val="0"/>
      <w:color w:val="2E74B5"/>
      <w:sz w:val="32"/>
      <w:szCs w:val="32"/>
      <w:lang w:val="en-US" w:eastAsia="en-US"/>
    </w:rPr>
  </w:style>
  <w:style w:type="paragraph" w:styleId="Cuprins1">
    <w:name w:val="toc 1"/>
    <w:basedOn w:val="Normal"/>
    <w:next w:val="Normal"/>
    <w:autoRedefine/>
    <w:uiPriority w:val="39"/>
    <w:unhideWhenUsed/>
    <w:rsid w:val="00EA5F90"/>
    <w:pPr>
      <w:spacing w:after="100" w:line="259" w:lineRule="auto"/>
    </w:pPr>
    <w:rPr>
      <w:rFonts w:ascii="Calibri" w:eastAsia="Calibri" w:hAnsi="Calibri" w:cs="Times New Roman"/>
      <w:lang w:val="ro-RO"/>
    </w:rPr>
  </w:style>
  <w:style w:type="paragraph" w:styleId="Cuprins2">
    <w:name w:val="toc 2"/>
    <w:basedOn w:val="Normal"/>
    <w:next w:val="Normal"/>
    <w:autoRedefine/>
    <w:uiPriority w:val="39"/>
    <w:unhideWhenUsed/>
    <w:rsid w:val="00EA5F90"/>
    <w:pPr>
      <w:spacing w:after="100" w:line="259" w:lineRule="auto"/>
      <w:ind w:left="220"/>
    </w:pPr>
    <w:rPr>
      <w:rFonts w:ascii="Calibri" w:eastAsia="Calibri" w:hAnsi="Calibri" w:cs="Times New Roman"/>
      <w:lang w:val="ro-RO"/>
    </w:rPr>
  </w:style>
  <w:style w:type="paragraph" w:customStyle="1" w:styleId="Date1">
    <w:name w:val="Date1"/>
    <w:basedOn w:val="Normal"/>
    <w:rsid w:val="00EA5F90"/>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extcomentariuCaracter">
    <w:name w:val="Text comentariu Caracter"/>
    <w:basedOn w:val="Fontdeparagrafimplicit"/>
    <w:link w:val="Textcomentariu"/>
    <w:uiPriority w:val="99"/>
    <w:semiHidden/>
    <w:rsid w:val="00EA5F90"/>
    <w:rPr>
      <w:rFonts w:ascii="Calibri" w:eastAsia="Calibri" w:hAnsi="Calibri" w:cs="Times New Roman"/>
      <w:sz w:val="20"/>
      <w:szCs w:val="20"/>
      <w:lang w:val="ro-RO"/>
    </w:rPr>
  </w:style>
  <w:style w:type="paragraph" w:styleId="Textcomentariu">
    <w:name w:val="annotation text"/>
    <w:basedOn w:val="Normal"/>
    <w:link w:val="TextcomentariuCaracter"/>
    <w:uiPriority w:val="99"/>
    <w:semiHidden/>
    <w:unhideWhenUsed/>
    <w:rsid w:val="00EA5F90"/>
    <w:pPr>
      <w:spacing w:after="160" w:line="240" w:lineRule="auto"/>
    </w:pPr>
    <w:rPr>
      <w:rFonts w:ascii="Calibri" w:eastAsia="Calibri" w:hAnsi="Calibri" w:cs="Times New Roman"/>
      <w:sz w:val="20"/>
      <w:szCs w:val="20"/>
      <w:lang w:val="ro-RO"/>
    </w:rPr>
  </w:style>
  <w:style w:type="character" w:customStyle="1" w:styleId="SubiectComentariuCaracter">
    <w:name w:val="Subiect Comentariu Caracter"/>
    <w:basedOn w:val="TextcomentariuCaracter"/>
    <w:link w:val="SubiectComentariu"/>
    <w:uiPriority w:val="99"/>
    <w:semiHidden/>
    <w:rsid w:val="00EA5F90"/>
    <w:rPr>
      <w:b/>
      <w:bCs/>
    </w:rPr>
  </w:style>
  <w:style w:type="paragraph" w:styleId="SubiectComentariu">
    <w:name w:val="annotation subject"/>
    <w:basedOn w:val="Textcomentariu"/>
    <w:next w:val="Textcomentariu"/>
    <w:link w:val="SubiectComentariuCaracter"/>
    <w:uiPriority w:val="99"/>
    <w:semiHidden/>
    <w:unhideWhenUsed/>
    <w:rsid w:val="00EA5F90"/>
    <w:rPr>
      <w:b/>
      <w:bCs/>
    </w:rPr>
  </w:style>
  <w:style w:type="paragraph" w:customStyle="1" w:styleId="a3520normalp5">
    <w:name w:val="a__35__20_normal_p5"/>
    <w:basedOn w:val="Normal"/>
    <w:rsid w:val="00EA5F90"/>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a3520normal">
    <w:name w:val="a___35__20_normal"/>
    <w:basedOn w:val="Normal"/>
    <w:rsid w:val="00EA5F90"/>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gc">
    <w:name w:val="_tgc"/>
    <w:basedOn w:val="Fontdeparagrafimplicit"/>
    <w:rsid w:val="00EA5F90"/>
  </w:style>
  <w:style w:type="character" w:customStyle="1" w:styleId="mejs-offscreen">
    <w:name w:val="mejs-offscreen"/>
    <w:basedOn w:val="Fontdeparagrafimplicit"/>
    <w:rsid w:val="00EA5F90"/>
  </w:style>
  <w:style w:type="paragraph" w:customStyle="1" w:styleId="Odstavekseznama">
    <w:name w:val="Odstavek seznama"/>
    <w:basedOn w:val="Normal"/>
    <w:rsid w:val="00B45835"/>
    <w:pPr>
      <w:suppressAutoHyphens/>
      <w:ind w:left="720"/>
    </w:pPr>
    <w:rPr>
      <w:rFonts w:ascii="Calibri" w:eastAsia="Calibri" w:hAnsi="Calibri" w:cs="Calibri"/>
      <w:lang w:val="sl-SI" w:eastAsia="ar-SA"/>
    </w:rPr>
  </w:style>
  <w:style w:type="table" w:styleId="Umbriremedie1-Accentuare3">
    <w:name w:val="Medium Shading 1 Accent 3"/>
    <w:basedOn w:val="TabelNormal"/>
    <w:uiPriority w:val="63"/>
    <w:rsid w:val="00B45835"/>
    <w:pPr>
      <w:spacing w:after="0" w:line="240" w:lineRule="auto"/>
    </w:pPr>
    <w:rPr>
      <w:lang w:val="ro-RO" w:eastAsia="ro-RO"/>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lead">
    <w:name w:val="lead"/>
    <w:basedOn w:val="Normal"/>
    <w:rsid w:val="0003549E"/>
    <w:pPr>
      <w:spacing w:before="100" w:beforeAutospacing="1" w:after="100" w:afterAutospacing="1" w:line="240" w:lineRule="auto"/>
      <w:jc w:val="both"/>
    </w:pPr>
    <w:rPr>
      <w:rFonts w:ascii="Times New Roman" w:eastAsia="Times New Roman" w:hAnsi="Times New Roman" w:cs="Times New Roman"/>
      <w:sz w:val="24"/>
      <w:szCs w:val="24"/>
      <w:lang w:eastAsia="ja-JP"/>
    </w:rPr>
  </w:style>
  <w:style w:type="table" w:customStyle="1" w:styleId="Listdeculoaredeschis-Accentuare12">
    <w:name w:val="Listă de culoare deschisă - Accentuare 12"/>
    <w:basedOn w:val="TabelNormal"/>
    <w:uiPriority w:val="61"/>
    <w:rsid w:val="0003549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5">
    <w:name w:val="xl65"/>
    <w:basedOn w:val="Normal"/>
    <w:rsid w:val="0064360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64360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643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43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4360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643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43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3">
    <w:name w:val="xl73"/>
    <w:basedOn w:val="Normal"/>
    <w:rsid w:val="00643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643600"/>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643600"/>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643600"/>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Numrdepagin">
    <w:name w:val="page number"/>
    <w:basedOn w:val="Fontdeparagrafimplicit"/>
    <w:uiPriority w:val="99"/>
    <w:unhideWhenUsed/>
    <w:rsid w:val="00643600"/>
  </w:style>
  <w:style w:type="character" w:customStyle="1" w:styleId="st">
    <w:name w:val="st"/>
    <w:basedOn w:val="Fontdeparagrafimplicit"/>
    <w:rsid w:val="00643600"/>
  </w:style>
  <w:style w:type="character" w:customStyle="1" w:styleId="AdresHTMLCaracter">
    <w:name w:val="Adresă HTML Caracter"/>
    <w:basedOn w:val="Fontdeparagrafimplicit"/>
    <w:link w:val="AdresHTML"/>
    <w:uiPriority w:val="99"/>
    <w:semiHidden/>
    <w:rsid w:val="00643600"/>
    <w:rPr>
      <w:rFonts w:ascii="Calibri" w:eastAsia="Calibri" w:hAnsi="Calibri" w:cs="Times New Roman"/>
      <w:i/>
      <w:iCs/>
    </w:rPr>
  </w:style>
  <w:style w:type="paragraph" w:styleId="AdresHTML">
    <w:name w:val="HTML Address"/>
    <w:basedOn w:val="Normal"/>
    <w:link w:val="AdresHTMLCaracter"/>
    <w:uiPriority w:val="99"/>
    <w:semiHidden/>
    <w:unhideWhenUsed/>
    <w:rsid w:val="00643600"/>
    <w:pPr>
      <w:spacing w:after="0" w:line="240" w:lineRule="auto"/>
    </w:pPr>
    <w:rPr>
      <w:rFonts w:ascii="Calibri" w:eastAsia="Calibri" w:hAnsi="Calibri" w:cs="Times New Roman"/>
      <w:i/>
      <w:iCs/>
    </w:rPr>
  </w:style>
  <w:style w:type="paragraph" w:styleId="Adresplic">
    <w:name w:val="envelope address"/>
    <w:basedOn w:val="Normal"/>
    <w:uiPriority w:val="99"/>
    <w:semiHidden/>
    <w:unhideWhenUsed/>
    <w:rsid w:val="00643600"/>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character" w:customStyle="1" w:styleId="AntetmesajCaracter">
    <w:name w:val="Antet mesaj Caracter"/>
    <w:basedOn w:val="Fontdeparagrafimplicit"/>
    <w:link w:val="Antetmesaj"/>
    <w:uiPriority w:val="99"/>
    <w:semiHidden/>
    <w:rsid w:val="00643600"/>
    <w:rPr>
      <w:rFonts w:ascii="Calibri Light" w:eastAsia="Times New Roman" w:hAnsi="Calibri Light" w:cs="Times New Roman"/>
      <w:sz w:val="24"/>
      <w:szCs w:val="24"/>
      <w:shd w:val="pct20" w:color="auto" w:fill="auto"/>
    </w:rPr>
  </w:style>
  <w:style w:type="paragraph" w:styleId="Antetmesaj">
    <w:name w:val="Message Header"/>
    <w:basedOn w:val="Normal"/>
    <w:link w:val="AntetmesajCaracter"/>
    <w:uiPriority w:val="99"/>
    <w:semiHidden/>
    <w:unhideWhenUsed/>
    <w:rsid w:val="0064360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imes New Roman" w:hAnsi="Calibri Light" w:cs="Times New Roman"/>
      <w:sz w:val="24"/>
      <w:szCs w:val="24"/>
    </w:rPr>
  </w:style>
  <w:style w:type="paragraph" w:styleId="Citat">
    <w:name w:val="Quote"/>
    <w:basedOn w:val="Normal"/>
    <w:next w:val="Normal"/>
    <w:link w:val="CitatCaracter"/>
    <w:uiPriority w:val="29"/>
    <w:qFormat/>
    <w:rsid w:val="00643600"/>
    <w:pPr>
      <w:spacing w:before="200" w:after="160" w:line="259" w:lineRule="auto"/>
      <w:ind w:left="864" w:right="864"/>
      <w:jc w:val="center"/>
    </w:pPr>
    <w:rPr>
      <w:rFonts w:ascii="Calibri" w:eastAsia="Calibri" w:hAnsi="Calibri" w:cs="Times New Roman"/>
      <w:i/>
      <w:iCs/>
      <w:color w:val="404040"/>
    </w:rPr>
  </w:style>
  <w:style w:type="character" w:customStyle="1" w:styleId="CitatCaracter">
    <w:name w:val="Citat Caracter"/>
    <w:basedOn w:val="Fontdeparagrafimplicit"/>
    <w:link w:val="Citat"/>
    <w:uiPriority w:val="29"/>
    <w:rsid w:val="00643600"/>
    <w:rPr>
      <w:rFonts w:ascii="Calibri" w:eastAsia="Calibri" w:hAnsi="Calibri" w:cs="Times New Roman"/>
      <w:i/>
      <w:iCs/>
      <w:color w:val="404040"/>
    </w:rPr>
  </w:style>
  <w:style w:type="paragraph" w:styleId="Citatintens">
    <w:name w:val="Intense Quote"/>
    <w:basedOn w:val="Normal"/>
    <w:next w:val="Normal"/>
    <w:link w:val="CitatintensCaracter"/>
    <w:uiPriority w:val="30"/>
    <w:qFormat/>
    <w:rsid w:val="00643600"/>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
      <w:iCs/>
      <w:color w:val="5B9BD5"/>
    </w:rPr>
  </w:style>
  <w:style w:type="character" w:customStyle="1" w:styleId="CitatintensCaracter">
    <w:name w:val="Citat intens Caracter"/>
    <w:basedOn w:val="Fontdeparagrafimplicit"/>
    <w:link w:val="Citatintens"/>
    <w:uiPriority w:val="30"/>
    <w:rsid w:val="00643600"/>
    <w:rPr>
      <w:rFonts w:ascii="Calibri" w:eastAsia="Calibri" w:hAnsi="Calibri" w:cs="Times New Roman"/>
      <w:i/>
      <w:iCs/>
      <w:color w:val="5B9BD5"/>
    </w:rPr>
  </w:style>
  <w:style w:type="character" w:customStyle="1" w:styleId="Corptext2Caracter">
    <w:name w:val="Corp text 2 Caracter"/>
    <w:basedOn w:val="Fontdeparagrafimplicit"/>
    <w:link w:val="Corptext2"/>
    <w:uiPriority w:val="99"/>
    <w:semiHidden/>
    <w:rsid w:val="00643600"/>
    <w:rPr>
      <w:rFonts w:ascii="Calibri" w:eastAsia="Calibri" w:hAnsi="Calibri" w:cs="Times New Roman"/>
    </w:rPr>
  </w:style>
  <w:style w:type="paragraph" w:styleId="Corptext2">
    <w:name w:val="Body Text 2"/>
    <w:basedOn w:val="Normal"/>
    <w:link w:val="Corptext2Caracter"/>
    <w:uiPriority w:val="99"/>
    <w:semiHidden/>
    <w:unhideWhenUsed/>
    <w:rsid w:val="00643600"/>
    <w:pPr>
      <w:spacing w:after="120" w:line="480" w:lineRule="auto"/>
    </w:pPr>
    <w:rPr>
      <w:rFonts w:ascii="Calibri" w:eastAsia="Calibri" w:hAnsi="Calibri" w:cs="Times New Roman"/>
    </w:rPr>
  </w:style>
  <w:style w:type="character" w:customStyle="1" w:styleId="Corptext3Caracter">
    <w:name w:val="Corp text 3 Caracter"/>
    <w:basedOn w:val="Fontdeparagrafimplicit"/>
    <w:link w:val="Corptext3"/>
    <w:uiPriority w:val="99"/>
    <w:semiHidden/>
    <w:rsid w:val="00643600"/>
    <w:rPr>
      <w:rFonts w:ascii="Calibri" w:eastAsia="Calibri" w:hAnsi="Calibri" w:cs="Times New Roman"/>
      <w:sz w:val="16"/>
      <w:szCs w:val="16"/>
    </w:rPr>
  </w:style>
  <w:style w:type="paragraph" w:styleId="Corptext3">
    <w:name w:val="Body Text 3"/>
    <w:basedOn w:val="Normal"/>
    <w:link w:val="Corptext3Caracter"/>
    <w:uiPriority w:val="99"/>
    <w:semiHidden/>
    <w:unhideWhenUsed/>
    <w:rsid w:val="00643600"/>
    <w:pPr>
      <w:spacing w:after="120" w:line="259" w:lineRule="auto"/>
    </w:pPr>
    <w:rPr>
      <w:rFonts w:ascii="Calibri" w:eastAsia="Calibri" w:hAnsi="Calibri" w:cs="Times New Roman"/>
      <w:sz w:val="16"/>
      <w:szCs w:val="16"/>
    </w:rPr>
  </w:style>
  <w:style w:type="character" w:customStyle="1" w:styleId="DatCaracter">
    <w:name w:val="Dată Caracter"/>
    <w:basedOn w:val="Fontdeparagrafimplicit"/>
    <w:link w:val="Dat"/>
    <w:uiPriority w:val="99"/>
    <w:semiHidden/>
    <w:rsid w:val="00643600"/>
    <w:rPr>
      <w:rFonts w:ascii="Calibri" w:eastAsia="Calibri" w:hAnsi="Calibri" w:cs="Times New Roman"/>
    </w:rPr>
  </w:style>
  <w:style w:type="paragraph" w:styleId="Dat">
    <w:name w:val="Date"/>
    <w:basedOn w:val="Normal"/>
    <w:next w:val="Normal"/>
    <w:link w:val="DatCaracter"/>
    <w:uiPriority w:val="99"/>
    <w:semiHidden/>
    <w:unhideWhenUsed/>
    <w:rsid w:val="00643600"/>
    <w:pPr>
      <w:spacing w:after="160" w:line="259" w:lineRule="auto"/>
    </w:pPr>
    <w:rPr>
      <w:rFonts w:ascii="Calibri" w:eastAsia="Calibri" w:hAnsi="Calibri" w:cs="Times New Roman"/>
    </w:rPr>
  </w:style>
  <w:style w:type="character" w:customStyle="1" w:styleId="FormuldesalutCaracter">
    <w:name w:val="Formulă de salut Caracter"/>
    <w:basedOn w:val="Fontdeparagrafimplicit"/>
    <w:link w:val="Formuldesalut"/>
    <w:uiPriority w:val="99"/>
    <w:semiHidden/>
    <w:rsid w:val="00643600"/>
    <w:rPr>
      <w:rFonts w:ascii="Calibri" w:eastAsia="Calibri" w:hAnsi="Calibri" w:cs="Times New Roman"/>
    </w:rPr>
  </w:style>
  <w:style w:type="paragraph" w:styleId="Formuldesalut">
    <w:name w:val="Salutation"/>
    <w:basedOn w:val="Normal"/>
    <w:next w:val="Normal"/>
    <w:link w:val="FormuldesalutCaracter"/>
    <w:uiPriority w:val="99"/>
    <w:semiHidden/>
    <w:unhideWhenUsed/>
    <w:rsid w:val="00643600"/>
    <w:pPr>
      <w:spacing w:after="160" w:line="259" w:lineRule="auto"/>
    </w:pPr>
    <w:rPr>
      <w:rFonts w:ascii="Calibri" w:eastAsia="Calibri" w:hAnsi="Calibri" w:cs="Times New Roman"/>
    </w:rPr>
  </w:style>
  <w:style w:type="character" w:customStyle="1" w:styleId="FormuledencheiereCaracter">
    <w:name w:val="Formule de încheiere Caracter"/>
    <w:basedOn w:val="Fontdeparagrafimplicit"/>
    <w:link w:val="Formuledencheiere"/>
    <w:uiPriority w:val="99"/>
    <w:semiHidden/>
    <w:rsid w:val="00643600"/>
    <w:rPr>
      <w:rFonts w:ascii="Calibri" w:eastAsia="Calibri" w:hAnsi="Calibri" w:cs="Times New Roman"/>
    </w:rPr>
  </w:style>
  <w:style w:type="paragraph" w:styleId="Formuledencheiere">
    <w:name w:val="Closing"/>
    <w:basedOn w:val="Normal"/>
    <w:link w:val="FormuledencheiereCaracter"/>
    <w:uiPriority w:val="99"/>
    <w:semiHidden/>
    <w:unhideWhenUsed/>
    <w:rsid w:val="00643600"/>
    <w:pPr>
      <w:spacing w:after="0" w:line="240" w:lineRule="auto"/>
      <w:ind w:left="4320"/>
    </w:pPr>
    <w:rPr>
      <w:rFonts w:ascii="Calibri" w:eastAsia="Calibri" w:hAnsi="Calibri" w:cs="Times New Roman"/>
    </w:rPr>
  </w:style>
  <w:style w:type="character" w:customStyle="1" w:styleId="IndentcorptextCaracter">
    <w:name w:val="Indent corp text Caracter"/>
    <w:basedOn w:val="Fontdeparagrafimplicit"/>
    <w:link w:val="Indentcorptext"/>
    <w:uiPriority w:val="99"/>
    <w:semiHidden/>
    <w:rsid w:val="00643600"/>
    <w:rPr>
      <w:rFonts w:ascii="Calibri" w:eastAsia="Calibri" w:hAnsi="Calibri" w:cs="Times New Roman"/>
    </w:rPr>
  </w:style>
  <w:style w:type="paragraph" w:styleId="Indentcorptext">
    <w:name w:val="Body Text Indent"/>
    <w:basedOn w:val="Normal"/>
    <w:link w:val="IndentcorptextCaracter"/>
    <w:uiPriority w:val="99"/>
    <w:semiHidden/>
    <w:unhideWhenUsed/>
    <w:rsid w:val="00643600"/>
    <w:pPr>
      <w:spacing w:after="120" w:line="259" w:lineRule="auto"/>
      <w:ind w:left="360"/>
    </w:pPr>
    <w:rPr>
      <w:rFonts w:ascii="Calibri" w:eastAsia="Calibri" w:hAnsi="Calibri" w:cs="Times New Roman"/>
    </w:rPr>
  </w:style>
  <w:style w:type="character" w:customStyle="1" w:styleId="Indentcorptext2Caracter">
    <w:name w:val="Indent corp text 2 Caracter"/>
    <w:basedOn w:val="Fontdeparagrafimplicit"/>
    <w:link w:val="Indentcorptext2"/>
    <w:uiPriority w:val="99"/>
    <w:semiHidden/>
    <w:rsid w:val="00643600"/>
    <w:rPr>
      <w:rFonts w:ascii="Calibri" w:eastAsia="Calibri" w:hAnsi="Calibri" w:cs="Times New Roman"/>
    </w:rPr>
  </w:style>
  <w:style w:type="paragraph" w:styleId="Indentcorptext2">
    <w:name w:val="Body Text Indent 2"/>
    <w:basedOn w:val="Normal"/>
    <w:link w:val="Indentcorptext2Caracter"/>
    <w:uiPriority w:val="99"/>
    <w:semiHidden/>
    <w:unhideWhenUsed/>
    <w:rsid w:val="00643600"/>
    <w:pPr>
      <w:spacing w:after="120" w:line="480" w:lineRule="auto"/>
      <w:ind w:left="360"/>
    </w:pPr>
    <w:rPr>
      <w:rFonts w:ascii="Calibri" w:eastAsia="Calibri" w:hAnsi="Calibri" w:cs="Times New Roman"/>
    </w:rPr>
  </w:style>
  <w:style w:type="character" w:customStyle="1" w:styleId="Indentcorptext3Caracter">
    <w:name w:val="Indent corp text 3 Caracter"/>
    <w:basedOn w:val="Fontdeparagrafimplicit"/>
    <w:link w:val="Indentcorptext3"/>
    <w:uiPriority w:val="99"/>
    <w:semiHidden/>
    <w:rsid w:val="00643600"/>
    <w:rPr>
      <w:rFonts w:ascii="Calibri" w:eastAsia="Calibri" w:hAnsi="Calibri" w:cs="Times New Roman"/>
      <w:sz w:val="16"/>
      <w:szCs w:val="16"/>
    </w:rPr>
  </w:style>
  <w:style w:type="paragraph" w:styleId="Indentcorptext3">
    <w:name w:val="Body Text Indent 3"/>
    <w:basedOn w:val="Normal"/>
    <w:link w:val="Indentcorptext3Caracter"/>
    <w:uiPriority w:val="99"/>
    <w:semiHidden/>
    <w:unhideWhenUsed/>
    <w:rsid w:val="00643600"/>
    <w:pPr>
      <w:spacing w:after="120" w:line="259" w:lineRule="auto"/>
      <w:ind w:left="360"/>
    </w:pPr>
    <w:rPr>
      <w:rFonts w:ascii="Calibri" w:eastAsia="Calibri" w:hAnsi="Calibri" w:cs="Times New Roman"/>
      <w:sz w:val="16"/>
      <w:szCs w:val="16"/>
    </w:rPr>
  </w:style>
  <w:style w:type="paragraph" w:styleId="Indentnormal">
    <w:name w:val="Normal Indent"/>
    <w:basedOn w:val="Normal"/>
    <w:uiPriority w:val="99"/>
    <w:semiHidden/>
    <w:unhideWhenUsed/>
    <w:rsid w:val="00643600"/>
    <w:pPr>
      <w:spacing w:after="160" w:line="259" w:lineRule="auto"/>
      <w:ind w:left="720"/>
    </w:pPr>
    <w:rPr>
      <w:rFonts w:ascii="Calibri" w:eastAsia="Calibri" w:hAnsi="Calibri" w:cs="Times New Roman"/>
    </w:rPr>
  </w:style>
  <w:style w:type="paragraph" w:styleId="Index1">
    <w:name w:val="index 1"/>
    <w:basedOn w:val="Normal"/>
    <w:next w:val="Normal"/>
    <w:autoRedefine/>
    <w:uiPriority w:val="99"/>
    <w:semiHidden/>
    <w:unhideWhenUsed/>
    <w:rsid w:val="00643600"/>
    <w:pPr>
      <w:spacing w:after="0" w:line="240" w:lineRule="auto"/>
      <w:ind w:left="220" w:hanging="220"/>
    </w:pPr>
    <w:rPr>
      <w:rFonts w:ascii="Calibri" w:eastAsia="Calibri" w:hAnsi="Calibri" w:cs="Times New Roman"/>
    </w:rPr>
  </w:style>
  <w:style w:type="paragraph" w:styleId="List">
    <w:name w:val="List"/>
    <w:basedOn w:val="Normal"/>
    <w:uiPriority w:val="99"/>
    <w:semiHidden/>
    <w:unhideWhenUsed/>
    <w:rsid w:val="00643600"/>
    <w:pPr>
      <w:spacing w:after="160" w:line="259" w:lineRule="auto"/>
      <w:ind w:left="360" w:hanging="360"/>
      <w:contextualSpacing/>
    </w:pPr>
    <w:rPr>
      <w:rFonts w:ascii="Calibri" w:eastAsia="Calibri" w:hAnsi="Calibri" w:cs="Times New Roman"/>
    </w:rPr>
  </w:style>
  <w:style w:type="paragraph" w:styleId="Listcumarcatori">
    <w:name w:val="List Bullet"/>
    <w:basedOn w:val="Normal"/>
    <w:uiPriority w:val="99"/>
    <w:semiHidden/>
    <w:unhideWhenUsed/>
    <w:rsid w:val="00643600"/>
    <w:pPr>
      <w:tabs>
        <w:tab w:val="num" w:pos="360"/>
      </w:tabs>
      <w:spacing w:after="160" w:line="259" w:lineRule="auto"/>
      <w:ind w:left="360" w:hanging="360"/>
      <w:contextualSpacing/>
    </w:pPr>
    <w:rPr>
      <w:rFonts w:ascii="Calibri" w:eastAsia="Calibri" w:hAnsi="Calibri" w:cs="Times New Roman"/>
    </w:rPr>
  </w:style>
  <w:style w:type="paragraph" w:styleId="Listacumarcatori2">
    <w:name w:val="List Bullet 2"/>
    <w:basedOn w:val="Normal"/>
    <w:uiPriority w:val="99"/>
    <w:semiHidden/>
    <w:unhideWhenUsed/>
    <w:rsid w:val="00643600"/>
    <w:pPr>
      <w:tabs>
        <w:tab w:val="num" w:pos="720"/>
      </w:tabs>
      <w:spacing w:after="160" w:line="259" w:lineRule="auto"/>
      <w:ind w:left="720" w:hanging="360"/>
      <w:contextualSpacing/>
    </w:pPr>
    <w:rPr>
      <w:rFonts w:ascii="Calibri" w:eastAsia="Calibri" w:hAnsi="Calibri" w:cs="Times New Roman"/>
    </w:rPr>
  </w:style>
  <w:style w:type="paragraph" w:styleId="Listacumarcatori3">
    <w:name w:val="List Bullet 3"/>
    <w:basedOn w:val="Normal"/>
    <w:uiPriority w:val="99"/>
    <w:semiHidden/>
    <w:unhideWhenUsed/>
    <w:rsid w:val="00643600"/>
    <w:pPr>
      <w:tabs>
        <w:tab w:val="num" w:pos="1080"/>
      </w:tabs>
      <w:spacing w:after="160" w:line="259" w:lineRule="auto"/>
      <w:ind w:left="1080" w:hanging="360"/>
      <w:contextualSpacing/>
    </w:pPr>
    <w:rPr>
      <w:rFonts w:ascii="Calibri" w:eastAsia="Calibri" w:hAnsi="Calibri" w:cs="Times New Roman"/>
    </w:rPr>
  </w:style>
  <w:style w:type="paragraph" w:styleId="Listacumarcatori4">
    <w:name w:val="List Bullet 4"/>
    <w:basedOn w:val="Normal"/>
    <w:uiPriority w:val="99"/>
    <w:semiHidden/>
    <w:unhideWhenUsed/>
    <w:rsid w:val="00643600"/>
    <w:pPr>
      <w:tabs>
        <w:tab w:val="num" w:pos="1440"/>
      </w:tabs>
      <w:spacing w:after="160" w:line="259" w:lineRule="auto"/>
      <w:ind w:left="1440" w:hanging="360"/>
      <w:contextualSpacing/>
    </w:pPr>
    <w:rPr>
      <w:rFonts w:ascii="Calibri" w:eastAsia="Calibri" w:hAnsi="Calibri" w:cs="Times New Roman"/>
    </w:rPr>
  </w:style>
  <w:style w:type="paragraph" w:styleId="Listacumarcatori5">
    <w:name w:val="List Bullet 5"/>
    <w:basedOn w:val="Normal"/>
    <w:uiPriority w:val="99"/>
    <w:semiHidden/>
    <w:unhideWhenUsed/>
    <w:rsid w:val="00643600"/>
    <w:pPr>
      <w:tabs>
        <w:tab w:val="num" w:pos="1800"/>
      </w:tabs>
      <w:spacing w:after="160" w:line="259" w:lineRule="auto"/>
      <w:ind w:left="1800" w:hanging="360"/>
      <w:contextualSpacing/>
    </w:pPr>
    <w:rPr>
      <w:rFonts w:ascii="Calibri" w:eastAsia="Calibri" w:hAnsi="Calibri" w:cs="Times New Roman"/>
    </w:rPr>
  </w:style>
  <w:style w:type="paragraph" w:styleId="Listnumerotat">
    <w:name w:val="List Number"/>
    <w:basedOn w:val="Normal"/>
    <w:uiPriority w:val="99"/>
    <w:semiHidden/>
    <w:unhideWhenUsed/>
    <w:rsid w:val="00643600"/>
    <w:pPr>
      <w:tabs>
        <w:tab w:val="num" w:pos="360"/>
      </w:tabs>
      <w:spacing w:after="160" w:line="259" w:lineRule="auto"/>
      <w:ind w:left="360" w:hanging="360"/>
      <w:contextualSpacing/>
    </w:pPr>
    <w:rPr>
      <w:rFonts w:ascii="Calibri" w:eastAsia="Calibri" w:hAnsi="Calibri" w:cs="Times New Roman"/>
    </w:rPr>
  </w:style>
  <w:style w:type="paragraph" w:styleId="Listanumerotat2">
    <w:name w:val="List Number 2"/>
    <w:basedOn w:val="Normal"/>
    <w:uiPriority w:val="99"/>
    <w:semiHidden/>
    <w:unhideWhenUsed/>
    <w:rsid w:val="00643600"/>
    <w:pPr>
      <w:tabs>
        <w:tab w:val="num" w:pos="720"/>
      </w:tabs>
      <w:spacing w:after="160" w:line="259" w:lineRule="auto"/>
      <w:ind w:left="720" w:hanging="360"/>
      <w:contextualSpacing/>
    </w:pPr>
    <w:rPr>
      <w:rFonts w:ascii="Calibri" w:eastAsia="Calibri" w:hAnsi="Calibri" w:cs="Times New Roman"/>
    </w:rPr>
  </w:style>
  <w:style w:type="paragraph" w:styleId="Listanumerotat3">
    <w:name w:val="List Number 3"/>
    <w:basedOn w:val="Normal"/>
    <w:uiPriority w:val="99"/>
    <w:semiHidden/>
    <w:unhideWhenUsed/>
    <w:rsid w:val="00643600"/>
    <w:pPr>
      <w:tabs>
        <w:tab w:val="num" w:pos="1080"/>
      </w:tabs>
      <w:spacing w:after="160" w:line="259" w:lineRule="auto"/>
      <w:ind w:left="1080" w:hanging="360"/>
      <w:contextualSpacing/>
    </w:pPr>
    <w:rPr>
      <w:rFonts w:ascii="Calibri" w:eastAsia="Calibri" w:hAnsi="Calibri" w:cs="Times New Roman"/>
    </w:rPr>
  </w:style>
  <w:style w:type="paragraph" w:styleId="Listanumerotat4">
    <w:name w:val="List Number 4"/>
    <w:basedOn w:val="Normal"/>
    <w:uiPriority w:val="99"/>
    <w:semiHidden/>
    <w:unhideWhenUsed/>
    <w:rsid w:val="00643600"/>
    <w:pPr>
      <w:tabs>
        <w:tab w:val="num" w:pos="1440"/>
      </w:tabs>
      <w:spacing w:after="160" w:line="259" w:lineRule="auto"/>
      <w:ind w:left="1440" w:hanging="360"/>
      <w:contextualSpacing/>
    </w:pPr>
    <w:rPr>
      <w:rFonts w:ascii="Calibri" w:eastAsia="Calibri" w:hAnsi="Calibri" w:cs="Times New Roman"/>
    </w:rPr>
  </w:style>
  <w:style w:type="paragraph" w:styleId="Listanumerotat5">
    <w:name w:val="List Number 5"/>
    <w:basedOn w:val="Normal"/>
    <w:uiPriority w:val="99"/>
    <w:semiHidden/>
    <w:unhideWhenUsed/>
    <w:rsid w:val="00643600"/>
    <w:pPr>
      <w:tabs>
        <w:tab w:val="num" w:pos="1800"/>
      </w:tabs>
      <w:spacing w:after="160" w:line="259" w:lineRule="auto"/>
      <w:ind w:left="1800" w:hanging="360"/>
      <w:contextualSpacing/>
    </w:pPr>
    <w:rPr>
      <w:rFonts w:ascii="Calibri" w:eastAsia="Calibri" w:hAnsi="Calibri" w:cs="Times New Roman"/>
    </w:rPr>
  </w:style>
  <w:style w:type="character" w:customStyle="1" w:styleId="PlandocumentCaracter">
    <w:name w:val="Plan document Caracter"/>
    <w:basedOn w:val="Fontdeparagrafimplicit"/>
    <w:link w:val="Plandocument"/>
    <w:uiPriority w:val="99"/>
    <w:semiHidden/>
    <w:rsid w:val="00643600"/>
    <w:rPr>
      <w:rFonts w:ascii="Segoe UI" w:eastAsia="Calibri" w:hAnsi="Segoe UI" w:cs="Segoe UI"/>
      <w:sz w:val="16"/>
      <w:szCs w:val="16"/>
    </w:rPr>
  </w:style>
  <w:style w:type="paragraph" w:styleId="Plandocument">
    <w:name w:val="Document Map"/>
    <w:basedOn w:val="Normal"/>
    <w:link w:val="PlandocumentCaracter"/>
    <w:uiPriority w:val="99"/>
    <w:semiHidden/>
    <w:unhideWhenUsed/>
    <w:rsid w:val="00643600"/>
    <w:pPr>
      <w:spacing w:after="0" w:line="240" w:lineRule="auto"/>
    </w:pPr>
    <w:rPr>
      <w:rFonts w:ascii="Segoe UI" w:eastAsia="Calibri" w:hAnsi="Segoe UI" w:cs="Segoe UI"/>
      <w:sz w:val="16"/>
      <w:szCs w:val="16"/>
    </w:rPr>
  </w:style>
  <w:style w:type="character" w:customStyle="1" w:styleId="PreformatatHTMLCaracter">
    <w:name w:val="Preformatat HTML Caracter"/>
    <w:basedOn w:val="Fontdeparagrafimplicit"/>
    <w:link w:val="PreformatatHTML"/>
    <w:uiPriority w:val="99"/>
    <w:semiHidden/>
    <w:rsid w:val="00643600"/>
    <w:rPr>
      <w:rFonts w:ascii="Consolas" w:eastAsia="Calibri" w:hAnsi="Consolas" w:cs="Consolas"/>
      <w:sz w:val="20"/>
      <w:szCs w:val="20"/>
    </w:rPr>
  </w:style>
  <w:style w:type="paragraph" w:styleId="PreformatatHTML">
    <w:name w:val="HTML Preformatted"/>
    <w:basedOn w:val="Normal"/>
    <w:link w:val="PreformatatHTMLCaracter"/>
    <w:uiPriority w:val="99"/>
    <w:semiHidden/>
    <w:unhideWhenUsed/>
    <w:rsid w:val="00643600"/>
    <w:pPr>
      <w:spacing w:after="0" w:line="240" w:lineRule="auto"/>
    </w:pPr>
    <w:rPr>
      <w:rFonts w:ascii="Consolas" w:eastAsia="Calibri" w:hAnsi="Consolas" w:cs="Consolas"/>
      <w:sz w:val="20"/>
      <w:szCs w:val="20"/>
    </w:rPr>
  </w:style>
  <w:style w:type="character" w:customStyle="1" w:styleId="PrimindentpentrucorptextCaracter">
    <w:name w:val="Prim indent pentru corp text Caracter"/>
    <w:basedOn w:val="CorptextCaracter"/>
    <w:link w:val="Primindentpentrucorptext"/>
    <w:uiPriority w:val="99"/>
    <w:semiHidden/>
    <w:rsid w:val="00643600"/>
    <w:rPr>
      <w:rFonts w:ascii="Calibri" w:eastAsia="Calibri" w:hAnsi="Calibri"/>
    </w:rPr>
  </w:style>
  <w:style w:type="paragraph" w:styleId="Primindentpentrucorptext">
    <w:name w:val="Body Text First Indent"/>
    <w:basedOn w:val="Corptext"/>
    <w:link w:val="PrimindentpentrucorptextCaracter"/>
    <w:uiPriority w:val="99"/>
    <w:semiHidden/>
    <w:unhideWhenUsed/>
    <w:rsid w:val="00643600"/>
    <w:pPr>
      <w:spacing w:before="0" w:beforeAutospacing="0" w:after="160" w:afterAutospacing="0" w:line="259" w:lineRule="auto"/>
      <w:ind w:firstLine="360"/>
    </w:pPr>
    <w:rPr>
      <w:rFonts w:ascii="Calibri" w:eastAsia="Calibri" w:hAnsi="Calibri"/>
      <w:sz w:val="22"/>
      <w:szCs w:val="22"/>
      <w:lang w:val="en-US" w:eastAsia="en-US"/>
    </w:rPr>
  </w:style>
  <w:style w:type="character" w:customStyle="1" w:styleId="Primindentpentrucorptext2Caracter">
    <w:name w:val="Prim indent pentru corp text 2 Caracter"/>
    <w:basedOn w:val="IndentcorptextCaracter"/>
    <w:link w:val="Primindentpentrucorptext2"/>
    <w:uiPriority w:val="99"/>
    <w:semiHidden/>
    <w:rsid w:val="00643600"/>
  </w:style>
  <w:style w:type="paragraph" w:styleId="Primindentpentrucorptext2">
    <w:name w:val="Body Text First Indent 2"/>
    <w:basedOn w:val="Indentcorptext"/>
    <w:link w:val="Primindentpentrucorptext2Caracter"/>
    <w:uiPriority w:val="99"/>
    <w:semiHidden/>
    <w:unhideWhenUsed/>
    <w:rsid w:val="00643600"/>
    <w:pPr>
      <w:spacing w:after="160"/>
      <w:ind w:firstLine="360"/>
    </w:pPr>
  </w:style>
  <w:style w:type="character" w:customStyle="1" w:styleId="SemnturCaracter">
    <w:name w:val="Semnătură Caracter"/>
    <w:basedOn w:val="Fontdeparagrafimplicit"/>
    <w:link w:val="Semntur"/>
    <w:uiPriority w:val="99"/>
    <w:semiHidden/>
    <w:rsid w:val="00643600"/>
    <w:rPr>
      <w:rFonts w:ascii="Calibri" w:eastAsia="Calibri" w:hAnsi="Calibri" w:cs="Times New Roman"/>
    </w:rPr>
  </w:style>
  <w:style w:type="paragraph" w:styleId="Semntur">
    <w:name w:val="Signature"/>
    <w:basedOn w:val="Normal"/>
    <w:link w:val="SemnturCaracter"/>
    <w:uiPriority w:val="99"/>
    <w:semiHidden/>
    <w:unhideWhenUsed/>
    <w:rsid w:val="00643600"/>
    <w:pPr>
      <w:spacing w:after="0" w:line="240" w:lineRule="auto"/>
      <w:ind w:left="4320"/>
    </w:pPr>
    <w:rPr>
      <w:rFonts w:ascii="Calibri" w:eastAsia="Calibri" w:hAnsi="Calibri" w:cs="Times New Roman"/>
    </w:rPr>
  </w:style>
  <w:style w:type="character" w:customStyle="1" w:styleId="SemnturnpotaelectronicCaracter">
    <w:name w:val="Semnătură în poșta electronică Caracter"/>
    <w:basedOn w:val="Fontdeparagrafimplicit"/>
    <w:link w:val="Semnturnpotaelectronic"/>
    <w:uiPriority w:val="99"/>
    <w:semiHidden/>
    <w:rsid w:val="00643600"/>
    <w:rPr>
      <w:rFonts w:ascii="Calibri" w:eastAsia="Calibri" w:hAnsi="Calibri" w:cs="Times New Roman"/>
    </w:rPr>
  </w:style>
  <w:style w:type="paragraph" w:styleId="Semnturnpotaelectronic">
    <w:name w:val="E-mail Signature"/>
    <w:basedOn w:val="Normal"/>
    <w:link w:val="SemnturnpotaelectronicCaracter"/>
    <w:uiPriority w:val="99"/>
    <w:semiHidden/>
    <w:unhideWhenUsed/>
    <w:rsid w:val="00643600"/>
    <w:pPr>
      <w:spacing w:after="0" w:line="240" w:lineRule="auto"/>
    </w:pPr>
    <w:rPr>
      <w:rFonts w:ascii="Calibri" w:eastAsia="Calibri" w:hAnsi="Calibri" w:cs="Times New Roman"/>
    </w:rPr>
  </w:style>
  <w:style w:type="paragraph" w:styleId="Subtitlu">
    <w:name w:val="Subtitle"/>
    <w:basedOn w:val="Normal"/>
    <w:next w:val="Normal"/>
    <w:link w:val="SubtitluCaracter"/>
    <w:uiPriority w:val="11"/>
    <w:qFormat/>
    <w:rsid w:val="00643600"/>
    <w:pPr>
      <w:numPr>
        <w:ilvl w:val="1"/>
      </w:numPr>
      <w:spacing w:after="160" w:line="259" w:lineRule="auto"/>
    </w:pPr>
    <w:rPr>
      <w:rFonts w:ascii="Calibri" w:eastAsia="Times New Roman" w:hAnsi="Calibri" w:cs="Times New Roman"/>
      <w:color w:val="5A5A5A"/>
      <w:spacing w:val="15"/>
    </w:rPr>
  </w:style>
  <w:style w:type="character" w:customStyle="1" w:styleId="SubtitluCaracter">
    <w:name w:val="Subtitlu Caracter"/>
    <w:basedOn w:val="Fontdeparagrafimplicit"/>
    <w:link w:val="Subtitlu"/>
    <w:uiPriority w:val="11"/>
    <w:rsid w:val="00643600"/>
    <w:rPr>
      <w:rFonts w:ascii="Calibri" w:eastAsia="Times New Roman" w:hAnsi="Calibri" w:cs="Times New Roman"/>
      <w:color w:val="5A5A5A"/>
      <w:spacing w:val="15"/>
    </w:rPr>
  </w:style>
  <w:style w:type="character" w:customStyle="1" w:styleId="TextmacrocomandCaracter">
    <w:name w:val="Text macrocomandă Caracter"/>
    <w:basedOn w:val="Fontdeparagrafimplicit"/>
    <w:link w:val="Textmacrocomand"/>
    <w:uiPriority w:val="99"/>
    <w:semiHidden/>
    <w:rsid w:val="00643600"/>
    <w:rPr>
      <w:rFonts w:ascii="Consolas" w:eastAsia="Calibri" w:hAnsi="Consolas" w:cs="Consolas"/>
      <w:sz w:val="20"/>
      <w:szCs w:val="20"/>
    </w:rPr>
  </w:style>
  <w:style w:type="paragraph" w:styleId="Textmacrocomand">
    <w:name w:val="macro"/>
    <w:link w:val="TextmacrocomandCaracter"/>
    <w:uiPriority w:val="99"/>
    <w:semiHidden/>
    <w:unhideWhenUsed/>
    <w:rsid w:val="00643600"/>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eastAsia="Calibri" w:hAnsi="Consolas" w:cs="Consolas"/>
      <w:sz w:val="20"/>
      <w:szCs w:val="20"/>
    </w:rPr>
  </w:style>
  <w:style w:type="character" w:customStyle="1" w:styleId="TextsimpluCaracter">
    <w:name w:val="Text simplu Caracter"/>
    <w:basedOn w:val="Fontdeparagrafimplicit"/>
    <w:link w:val="Textsimplu"/>
    <w:uiPriority w:val="99"/>
    <w:semiHidden/>
    <w:rsid w:val="00643600"/>
    <w:rPr>
      <w:rFonts w:ascii="Consolas" w:eastAsia="Calibri" w:hAnsi="Consolas" w:cs="Consolas"/>
      <w:sz w:val="21"/>
      <w:szCs w:val="21"/>
    </w:rPr>
  </w:style>
  <w:style w:type="paragraph" w:styleId="Textsimplu">
    <w:name w:val="Plain Text"/>
    <w:basedOn w:val="Normal"/>
    <w:link w:val="TextsimpluCaracter"/>
    <w:uiPriority w:val="99"/>
    <w:semiHidden/>
    <w:unhideWhenUsed/>
    <w:rsid w:val="00643600"/>
    <w:pPr>
      <w:spacing w:after="0" w:line="240" w:lineRule="auto"/>
    </w:pPr>
    <w:rPr>
      <w:rFonts w:ascii="Consolas" w:eastAsia="Calibri" w:hAnsi="Consolas" w:cs="Consolas"/>
      <w:sz w:val="21"/>
      <w:szCs w:val="21"/>
    </w:rPr>
  </w:style>
  <w:style w:type="paragraph" w:styleId="Titlu">
    <w:name w:val="Title"/>
    <w:basedOn w:val="Normal"/>
    <w:next w:val="Normal"/>
    <w:link w:val="TitluCaracter"/>
    <w:uiPriority w:val="10"/>
    <w:qFormat/>
    <w:rsid w:val="00643600"/>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uCaracter">
    <w:name w:val="Titlu Caracter"/>
    <w:basedOn w:val="Fontdeparagrafimplicit"/>
    <w:link w:val="Titlu"/>
    <w:uiPriority w:val="10"/>
    <w:rsid w:val="00643600"/>
    <w:rPr>
      <w:rFonts w:ascii="Calibri Light" w:eastAsia="Times New Roman" w:hAnsi="Calibri Light" w:cs="Times New Roman"/>
      <w:spacing w:val="-10"/>
      <w:kern w:val="28"/>
      <w:sz w:val="56"/>
      <w:szCs w:val="56"/>
    </w:rPr>
  </w:style>
  <w:style w:type="character" w:customStyle="1" w:styleId="TitlunotCaracter">
    <w:name w:val="Titlu notă Caracter"/>
    <w:basedOn w:val="Fontdeparagrafimplicit"/>
    <w:link w:val="Titlunot"/>
    <w:uiPriority w:val="99"/>
    <w:semiHidden/>
    <w:rsid w:val="00643600"/>
    <w:rPr>
      <w:rFonts w:ascii="Calibri" w:eastAsia="Calibri" w:hAnsi="Calibri" w:cs="Times New Roman"/>
    </w:rPr>
  </w:style>
  <w:style w:type="paragraph" w:styleId="Titlunot">
    <w:name w:val="Note Heading"/>
    <w:basedOn w:val="Normal"/>
    <w:next w:val="Normal"/>
    <w:link w:val="TitlunotCaracter"/>
    <w:uiPriority w:val="99"/>
    <w:semiHidden/>
    <w:unhideWhenUsed/>
    <w:rsid w:val="00643600"/>
    <w:pPr>
      <w:spacing w:after="0" w:line="240" w:lineRule="auto"/>
    </w:pPr>
    <w:rPr>
      <w:rFonts w:ascii="Calibri" w:eastAsia="Calibri" w:hAnsi="Calibri" w:cs="Times New Roman"/>
    </w:rPr>
  </w:style>
  <w:style w:type="paragraph" w:customStyle="1" w:styleId="Textsimplu1">
    <w:name w:val="Text simplu1"/>
    <w:basedOn w:val="Normal"/>
    <w:rsid w:val="002617A6"/>
    <w:pPr>
      <w:suppressAutoHyphens/>
      <w:spacing w:after="0" w:line="240" w:lineRule="auto"/>
    </w:pPr>
    <w:rPr>
      <w:rFonts w:ascii="Courier New" w:eastAsia="Times New Roman" w:hAnsi="Courier New" w:cs="Arial-Rom"/>
      <w:sz w:val="20"/>
      <w:szCs w:val="20"/>
      <w:lang w:val="ro-RO" w:eastAsia="ar-SA"/>
    </w:rPr>
  </w:style>
  <w:style w:type="paragraph" w:customStyle="1" w:styleId="Body">
    <w:name w:val="Body"/>
    <w:basedOn w:val="Normal"/>
    <w:rsid w:val="002617A6"/>
    <w:pPr>
      <w:keepLines/>
      <w:suppressAutoHyphens/>
      <w:autoSpaceDE w:val="0"/>
      <w:spacing w:after="0" w:line="360" w:lineRule="auto"/>
      <w:ind w:firstLine="706"/>
    </w:pPr>
    <w:rPr>
      <w:rFonts w:ascii="Tahoma" w:eastAsia="Times New Roman" w:hAnsi="Tahoma" w:cs="Tahoma"/>
      <w:sz w:val="24"/>
      <w:szCs w:val="24"/>
      <w:lang w:eastAsia="ar-SA"/>
    </w:rPr>
  </w:style>
  <w:style w:type="paragraph" w:customStyle="1" w:styleId="Corptext31">
    <w:name w:val="Corp text 31"/>
    <w:basedOn w:val="Normal"/>
    <w:rsid w:val="002617A6"/>
    <w:pPr>
      <w:suppressAutoHyphens/>
      <w:spacing w:after="0" w:line="240" w:lineRule="auto"/>
    </w:pPr>
    <w:rPr>
      <w:rFonts w:ascii="Arial" w:eastAsia="Times New Roman" w:hAnsi="Arial" w:cs="Arial"/>
      <w:b/>
      <w:bCs/>
      <w:sz w:val="24"/>
      <w:szCs w:val="24"/>
      <w:lang w:val="ro-RO" w:eastAsia="ar-SA"/>
    </w:rPr>
  </w:style>
  <w:style w:type="table" w:styleId="Umbriremedie1-Accentuare5">
    <w:name w:val="Medium Shading 1 Accent 5"/>
    <w:basedOn w:val="TabelNormal"/>
    <w:uiPriority w:val="63"/>
    <w:rsid w:val="002617A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Umbriremedie2-Accentuare3">
    <w:name w:val="Medium Shading 2 Accent 3"/>
    <w:basedOn w:val="TabelNormal"/>
    <w:uiPriority w:val="64"/>
    <w:rsid w:val="002617A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medie2-Accentuare3">
    <w:name w:val="Medium Grid 2 Accent 3"/>
    <w:basedOn w:val="TabelNormal"/>
    <w:uiPriority w:val="68"/>
    <w:rsid w:val="002617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medie2-Accentuare5">
    <w:name w:val="Medium Grid 2 Accent 5"/>
    <w:basedOn w:val="TabelNormal"/>
    <w:uiPriority w:val="68"/>
    <w:rsid w:val="002617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medie1-Accentuare3">
    <w:name w:val="Medium Grid 1 Accent 3"/>
    <w:basedOn w:val="TabelNormal"/>
    <w:uiPriority w:val="67"/>
    <w:rsid w:val="002617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medie2-Accentuare3">
    <w:name w:val="Medium List 2 Accent 3"/>
    <w:basedOn w:val="TabelNormal"/>
    <w:uiPriority w:val="66"/>
    <w:rsid w:val="002617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deculoarenchis-Accentuare3">
    <w:name w:val="Dark List Accent 3"/>
    <w:basedOn w:val="TabelNormal"/>
    <w:uiPriority w:val="70"/>
    <w:rsid w:val="002617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Grilcolorat-Accentuare3">
    <w:name w:val="Colorful Grid Accent 3"/>
    <w:basedOn w:val="TabelNormal"/>
    <w:uiPriority w:val="73"/>
    <w:rsid w:val="002617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Umbriremedie1-Accentuare6">
    <w:name w:val="Medium Shading 1 Accent 6"/>
    <w:basedOn w:val="TabelNormal"/>
    <w:uiPriority w:val="63"/>
    <w:rsid w:val="002617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Umbriremedie2-Accentuare6">
    <w:name w:val="Medium Shading 2 Accent 6"/>
    <w:basedOn w:val="TabelNormal"/>
    <w:uiPriority w:val="64"/>
    <w:rsid w:val="002617A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colorat-Accentuare6">
    <w:name w:val="Colorful List Accent 6"/>
    <w:basedOn w:val="TabelNormal"/>
    <w:uiPriority w:val="72"/>
    <w:rsid w:val="002617A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deculoarenchis-Accentuare6">
    <w:name w:val="Dark List Accent 6"/>
    <w:basedOn w:val="TabelNormal"/>
    <w:uiPriority w:val="70"/>
    <w:rsid w:val="002617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medie2-Accentuare6">
    <w:name w:val="Medium List 2 Accent 6"/>
    <w:basedOn w:val="TabelNormal"/>
    <w:uiPriority w:val="66"/>
    <w:rsid w:val="002617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medie3-Accentuare6">
    <w:name w:val="Medium Grid 3 Accent 6"/>
    <w:basedOn w:val="TabelNormal"/>
    <w:uiPriority w:val="69"/>
    <w:rsid w:val="002617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colorat-Accentuare6">
    <w:name w:val="Colorful Grid Accent 6"/>
    <w:basedOn w:val="TabelNormal"/>
    <w:uiPriority w:val="73"/>
    <w:rsid w:val="002617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medie1-Accentuare6">
    <w:name w:val="Medium Grid 1 Accent 6"/>
    <w:basedOn w:val="TabelNormal"/>
    <w:uiPriority w:val="67"/>
    <w:rsid w:val="002617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medie2-Accentuare1">
    <w:name w:val="Medium List 2 Accent 1"/>
    <w:basedOn w:val="TabelNormal"/>
    <w:uiPriority w:val="66"/>
    <w:rsid w:val="002617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colorat-Accentuare5">
    <w:name w:val="Colorful Grid Accent 5"/>
    <w:basedOn w:val="TabelNormal"/>
    <w:uiPriority w:val="73"/>
    <w:rsid w:val="002617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Umbriredeculoaredeschis-Accentuare5">
    <w:name w:val="Light Shading Accent 5"/>
    <w:basedOn w:val="TabelNormal"/>
    <w:uiPriority w:val="60"/>
    <w:rsid w:val="002617A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Umbriredeculoaredeschis-Accentuare11">
    <w:name w:val="Umbrire de culoare deschisă - Accentuare 11"/>
    <w:basedOn w:val="TabelNormal"/>
    <w:uiPriority w:val="60"/>
    <w:rsid w:val="002617A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deculoarenchis-Accentuare5">
    <w:name w:val="Dark List Accent 5"/>
    <w:basedOn w:val="TabelNormal"/>
    <w:uiPriority w:val="70"/>
    <w:rsid w:val="002617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Grildeculoaredeschis-Accentuare11">
    <w:name w:val="Grilă de culoare deschisă - Accentuare 11"/>
    <w:basedOn w:val="TabelNormal"/>
    <w:uiPriority w:val="62"/>
    <w:rsid w:val="00852F75"/>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deculoaredeschis-Accentuare5">
    <w:name w:val="Light Grid Accent 5"/>
    <w:basedOn w:val="TabelNormal"/>
    <w:uiPriority w:val="62"/>
    <w:rsid w:val="00305726"/>
    <w:pPr>
      <w:spacing w:after="0" w:line="240" w:lineRule="auto"/>
      <w:ind w:firstLine="709"/>
      <w:jc w:val="both"/>
    </w:pPr>
    <w:rPr>
      <w:rFonts w:ascii="Century Gothic" w:eastAsiaTheme="minorHAnsi" w:hAnsi="Century Gothic"/>
      <w:lang w:val="ro-R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chart" Target="charts/chart44.xml"/><Relationship Id="rId21" Type="http://schemas.openxmlformats.org/officeDocument/2006/relationships/hyperlink" Target="http://www.investromania.gov.ro" TargetMode="External"/><Relationship Id="rId42" Type="http://schemas.openxmlformats.org/officeDocument/2006/relationships/diagramData" Target="diagrams/data2.xml"/><Relationship Id="rId47" Type="http://schemas.openxmlformats.org/officeDocument/2006/relationships/diagramLayout" Target="diagrams/layout3.xml"/><Relationship Id="rId63" Type="http://schemas.openxmlformats.org/officeDocument/2006/relationships/image" Target="media/image14.jpeg"/><Relationship Id="rId68" Type="http://schemas.openxmlformats.org/officeDocument/2006/relationships/image" Target="media/image20.png"/><Relationship Id="rId84" Type="http://schemas.openxmlformats.org/officeDocument/2006/relationships/chart" Target="charts/chart26.xml"/><Relationship Id="rId89" Type="http://schemas.openxmlformats.org/officeDocument/2006/relationships/image" Target="media/image29.jpeg"/><Relationship Id="rId112" Type="http://schemas.openxmlformats.org/officeDocument/2006/relationships/image" Target="media/image36.jpeg"/><Relationship Id="rId16" Type="http://schemas.openxmlformats.org/officeDocument/2006/relationships/hyperlink" Target="http://investromania.gov.ro/" TargetMode="External"/><Relationship Id="rId107" Type="http://schemas.openxmlformats.org/officeDocument/2006/relationships/image" Target="media/image34.png"/><Relationship Id="rId11" Type="http://schemas.openxmlformats.org/officeDocument/2006/relationships/chart" Target="charts/chart4.xml"/><Relationship Id="rId32" Type="http://schemas.openxmlformats.org/officeDocument/2006/relationships/hyperlink" Target="http://www.unitbv.ro/Default.aspx?alias=www.unitbv.ro/at&amp;" TargetMode="External"/><Relationship Id="rId37" Type="http://schemas.openxmlformats.org/officeDocument/2006/relationships/chart" Target="charts/chart16.xml"/><Relationship Id="rId53" Type="http://schemas.openxmlformats.org/officeDocument/2006/relationships/chart" Target="charts/chart21.xml"/><Relationship Id="rId58" Type="http://schemas.openxmlformats.org/officeDocument/2006/relationships/image" Target="media/image12.png"/><Relationship Id="rId74" Type="http://schemas.openxmlformats.org/officeDocument/2006/relationships/image" Target="media/image24.png"/><Relationship Id="rId79" Type="http://schemas.openxmlformats.org/officeDocument/2006/relationships/image" Target="media/image27.jpeg"/><Relationship Id="rId102" Type="http://schemas.openxmlformats.org/officeDocument/2006/relationships/hyperlink" Target="https://ro.wikipedia.org/wiki/1945" TargetMode="External"/><Relationship Id="rId123" Type="http://schemas.openxmlformats.org/officeDocument/2006/relationships/image" Target="media/image41.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tartupcafe.ro/stiri-afaceri-21271751-smartdreamers-marius-ghenea-investitie-catalyst-romania-startup.htm" TargetMode="External"/><Relationship Id="rId95" Type="http://schemas.openxmlformats.org/officeDocument/2006/relationships/chart" Target="charts/chart34.xml"/><Relationship Id="rId19" Type="http://schemas.openxmlformats.org/officeDocument/2006/relationships/diagramQuickStyle" Target="diagrams/quickStyle1.xml"/><Relationship Id="rId14" Type="http://schemas.openxmlformats.org/officeDocument/2006/relationships/chart" Target="charts/chart7.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diagramLayout" Target="diagrams/layout2.xml"/><Relationship Id="rId48" Type="http://schemas.openxmlformats.org/officeDocument/2006/relationships/diagramQuickStyle" Target="diagrams/quickStyle3.xml"/><Relationship Id="rId56" Type="http://schemas.openxmlformats.org/officeDocument/2006/relationships/hyperlink" Target="http://ec.europa.eu/research/innovation-union/index_en.cfm?pg=expert-groups" TargetMode="External"/><Relationship Id="rId64" Type="http://schemas.openxmlformats.org/officeDocument/2006/relationships/chart" Target="charts/chart22.xml"/><Relationship Id="rId69" Type="http://schemas.openxmlformats.org/officeDocument/2006/relationships/image" Target="media/image21.png"/><Relationship Id="rId77" Type="http://schemas.openxmlformats.org/officeDocument/2006/relationships/hyperlink" Target="http://www.omnipasteapp.com" TargetMode="External"/><Relationship Id="rId100" Type="http://schemas.openxmlformats.org/officeDocument/2006/relationships/chart" Target="charts/chart35.xml"/><Relationship Id="rId105" Type="http://schemas.openxmlformats.org/officeDocument/2006/relationships/chart" Target="charts/chart37.xml"/><Relationship Id="rId113" Type="http://schemas.openxmlformats.org/officeDocument/2006/relationships/chart" Target="charts/chart40.xml"/><Relationship Id="rId118" Type="http://schemas.openxmlformats.org/officeDocument/2006/relationships/chart" Target="charts/chart45.xml"/><Relationship Id="rId12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chart" Target="charts/chart19.xml"/><Relationship Id="rId72" Type="http://schemas.openxmlformats.org/officeDocument/2006/relationships/image" Target="media/image23.png"/><Relationship Id="rId80" Type="http://schemas.openxmlformats.org/officeDocument/2006/relationships/image" Target="media/image28.png"/><Relationship Id="rId85" Type="http://schemas.openxmlformats.org/officeDocument/2006/relationships/chart" Target="charts/chart27.xml"/><Relationship Id="rId93" Type="http://schemas.openxmlformats.org/officeDocument/2006/relationships/chart" Target="charts/chart32.xml"/><Relationship Id="rId98" Type="http://schemas.openxmlformats.org/officeDocument/2006/relationships/hyperlink" Target="http://www.clinicco.ro/servicii-medicale/ortopedie" TargetMode="External"/><Relationship Id="rId12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diagramData" Target="diagrams/data1.xml"/><Relationship Id="rId25" Type="http://schemas.openxmlformats.org/officeDocument/2006/relationships/image" Target="media/image6.jpe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diagramData" Target="diagrams/data3.xml"/><Relationship Id="rId59" Type="http://schemas.openxmlformats.org/officeDocument/2006/relationships/hyperlink" Target="http://www.bioenergytrain.eu/" TargetMode="External"/><Relationship Id="rId67" Type="http://schemas.openxmlformats.org/officeDocument/2006/relationships/chart" Target="charts/chart25.xml"/><Relationship Id="rId103" Type="http://schemas.openxmlformats.org/officeDocument/2006/relationships/hyperlink" Target="https://ro.wikipedia.org/wiki/Universitatea_de_Medicin%C4%83_%C8%99i_Farmacie_din_T%C3%A2rgu_Mure%C8%99" TargetMode="External"/><Relationship Id="rId108" Type="http://schemas.openxmlformats.org/officeDocument/2006/relationships/chart" Target="charts/chart38.xml"/><Relationship Id="rId116" Type="http://schemas.openxmlformats.org/officeDocument/2006/relationships/chart" Target="charts/chart43.xml"/><Relationship Id="rId124" Type="http://schemas.openxmlformats.org/officeDocument/2006/relationships/image" Target="media/image42.png"/><Relationship Id="rId20" Type="http://schemas.openxmlformats.org/officeDocument/2006/relationships/diagramColors" Target="diagrams/colors1.xml"/><Relationship Id="rId41" Type="http://schemas.openxmlformats.org/officeDocument/2006/relationships/image" Target="media/image10.png"/><Relationship Id="rId54" Type="http://schemas.openxmlformats.org/officeDocument/2006/relationships/image" Target="media/image11.png"/><Relationship Id="rId62" Type="http://schemas.openxmlformats.org/officeDocument/2006/relationships/hyperlink" Target="http://www.siiir.edu.ro" TargetMode="External"/><Relationship Id="rId70" Type="http://schemas.openxmlformats.org/officeDocument/2006/relationships/hyperlink" Target="http://www.romanianstartups.com/startup/agraf/" TargetMode="External"/><Relationship Id="rId75" Type="http://schemas.openxmlformats.org/officeDocument/2006/relationships/image" Target="media/image25.png"/><Relationship Id="rId83" Type="http://schemas.openxmlformats.org/officeDocument/2006/relationships/hyperlink" Target="http://investromania.gov.ro/" TargetMode="External"/><Relationship Id="rId88" Type="http://schemas.openxmlformats.org/officeDocument/2006/relationships/chart" Target="charts/chart30.xml"/><Relationship Id="rId91" Type="http://schemas.openxmlformats.org/officeDocument/2006/relationships/image" Target="media/image30.jpeg"/><Relationship Id="rId96" Type="http://schemas.openxmlformats.org/officeDocument/2006/relationships/image" Target="media/image31.jpeg"/><Relationship Id="rId11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4.png"/><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diagramColors" Target="diagrams/colors3.xml"/><Relationship Id="rId57" Type="http://schemas.openxmlformats.org/officeDocument/2006/relationships/hyperlink" Target="http://ec.europa.eu/eip/agriculture/" TargetMode="External"/><Relationship Id="rId106" Type="http://schemas.openxmlformats.org/officeDocument/2006/relationships/image" Target="media/image33.jpeg"/><Relationship Id="rId114" Type="http://schemas.openxmlformats.org/officeDocument/2006/relationships/chart" Target="charts/chart41.xml"/><Relationship Id="rId119" Type="http://schemas.openxmlformats.org/officeDocument/2006/relationships/image" Target="media/image37.png"/><Relationship Id="rId12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hyperlink" Target="http://saiapm.ulbsibiu.ro/index.html" TargetMode="External"/><Relationship Id="rId44" Type="http://schemas.openxmlformats.org/officeDocument/2006/relationships/diagramQuickStyle" Target="diagrams/quickStyle2.xml"/><Relationship Id="rId52" Type="http://schemas.openxmlformats.org/officeDocument/2006/relationships/chart" Target="charts/chart20.xml"/><Relationship Id="rId60" Type="http://schemas.openxmlformats.org/officeDocument/2006/relationships/hyperlink" Target="http://www.sidpop.ro/ro/prima-pagina/" TargetMode="External"/><Relationship Id="rId65" Type="http://schemas.openxmlformats.org/officeDocument/2006/relationships/chart" Target="charts/chart23.xml"/><Relationship Id="rId73" Type="http://schemas.openxmlformats.org/officeDocument/2006/relationships/hyperlink" Target="http://www.romanianstartups.com/startup/eventya/" TargetMode="External"/><Relationship Id="rId78" Type="http://schemas.openxmlformats.org/officeDocument/2006/relationships/image" Target="media/image26.jpeg"/><Relationship Id="rId81" Type="http://schemas.openxmlformats.org/officeDocument/2006/relationships/hyperlink" Target="http://gibbousgame.com/" TargetMode="External"/><Relationship Id="rId86" Type="http://schemas.openxmlformats.org/officeDocument/2006/relationships/chart" Target="charts/chart28.xml"/><Relationship Id="rId94" Type="http://schemas.openxmlformats.org/officeDocument/2006/relationships/chart" Target="charts/chart33.xml"/><Relationship Id="rId99" Type="http://schemas.openxmlformats.org/officeDocument/2006/relationships/hyperlink" Target="https://ro.wikipedia.org/wiki/Jude%C8%9Bul_Mure%C8%99" TargetMode="External"/><Relationship Id="rId101" Type="http://schemas.openxmlformats.org/officeDocument/2006/relationships/chart" Target="charts/chart36.xml"/><Relationship Id="rId12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diagramLayout" Target="diagrams/layout1.xml"/><Relationship Id="rId39" Type="http://schemas.openxmlformats.org/officeDocument/2006/relationships/chart" Target="charts/chart18.xml"/><Relationship Id="rId109" Type="http://schemas.openxmlformats.org/officeDocument/2006/relationships/chart" Target="charts/chart39.xml"/><Relationship Id="rId34" Type="http://schemas.openxmlformats.org/officeDocument/2006/relationships/chart" Target="charts/chart13.xml"/><Relationship Id="rId50" Type="http://schemas.openxmlformats.org/officeDocument/2006/relationships/hyperlink" Target="http://www.unitbv.ro/il/Departament/CercetareStiintifica.aspx" TargetMode="External"/><Relationship Id="rId55" Type="http://schemas.openxmlformats.org/officeDocument/2006/relationships/hyperlink" Target="http://www.investromania.gov.ro" TargetMode="External"/><Relationship Id="rId76" Type="http://schemas.openxmlformats.org/officeDocument/2006/relationships/hyperlink" Target="http://www.romanianstartups.com/startup/omnipaste/" TargetMode="External"/><Relationship Id="rId97" Type="http://schemas.openxmlformats.org/officeDocument/2006/relationships/image" Target="media/image32.jpeg"/><Relationship Id="rId104" Type="http://schemas.openxmlformats.org/officeDocument/2006/relationships/hyperlink" Target="http://concept.ulbsibiu.ro/master.htm" TargetMode="External"/><Relationship Id="rId120" Type="http://schemas.openxmlformats.org/officeDocument/2006/relationships/image" Target="media/image38.png"/><Relationship Id="rId125" Type="http://schemas.openxmlformats.org/officeDocument/2006/relationships/chart" Target="charts/chart46.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image" Target="media/image5.jpeg"/><Relationship Id="rId40" Type="http://schemas.openxmlformats.org/officeDocument/2006/relationships/image" Target="media/image9.png"/><Relationship Id="rId45" Type="http://schemas.openxmlformats.org/officeDocument/2006/relationships/diagramColors" Target="diagrams/colors2.xml"/><Relationship Id="rId66" Type="http://schemas.openxmlformats.org/officeDocument/2006/relationships/chart" Target="charts/chart24.xml"/><Relationship Id="rId87" Type="http://schemas.openxmlformats.org/officeDocument/2006/relationships/chart" Target="charts/chart29.xml"/><Relationship Id="rId110" Type="http://schemas.openxmlformats.org/officeDocument/2006/relationships/hyperlink" Target="http://www.euro.who.int/en/data-and-evidence/databases/european-health-for-all-database-hfa-db" TargetMode="External"/><Relationship Id="rId115" Type="http://schemas.openxmlformats.org/officeDocument/2006/relationships/chart" Target="charts/chart42.xml"/><Relationship Id="rId61" Type="http://schemas.openxmlformats.org/officeDocument/2006/relationships/image" Target="media/image13.png"/><Relationship Id="rId82" Type="http://schemas.openxmlformats.org/officeDocument/2006/relationships/hyperlink" Target="https://www.kickstarter.com/projects/777841902/gibbous-a-cthulhu-adventure?ref=discover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unitbv.ro/icdt_ro/centers.html" TargetMode="External"/><Relationship Id="rId18" Type="http://schemas.openxmlformats.org/officeDocument/2006/relationships/hyperlink" Target="http://www.adrcentru.ro/Document_Files/ADDocumentePlanificare/00001655/4ufi7_Plan_bioenergie_Regiunea%20Centru_2014.pdf" TargetMode="External"/><Relationship Id="rId26" Type="http://schemas.openxmlformats.org/officeDocument/2006/relationships/hyperlink" Target="http://www.mdrap.ro/lucrari-publice/-3144/-3692" TargetMode="External"/><Relationship Id="rId39" Type="http://schemas.openxmlformats.org/officeDocument/2006/relationships/hyperlink" Target="http://www.epomm.eu/endurance/index.php" TargetMode="External"/><Relationship Id="rId21" Type="http://schemas.openxmlformats.org/officeDocument/2006/relationships/hyperlink" Target="http://www.uefiscdi.gov.ro" TargetMode="External"/><Relationship Id="rId34" Type="http://schemas.openxmlformats.org/officeDocument/2006/relationships/hyperlink" Target="http://www.gestiunedeseuri.ro" TargetMode="External"/><Relationship Id="rId42" Type="http://schemas.openxmlformats.org/officeDocument/2006/relationships/hyperlink" Target="http://www.transylvaniatrust.ro/index.php/ro/programe/programul-de-protec-ie-a-patrimoniului-rimetea/" TargetMode="External"/><Relationship Id="rId47" Type="http://schemas.openxmlformats.org/officeDocument/2006/relationships/hyperlink" Target="http://www.keysfin.com/%23!/Pages/IT_domeniul_momentului" TargetMode="External"/><Relationship Id="rId50" Type="http://schemas.openxmlformats.org/officeDocument/2006/relationships/hyperlink" Target="http://www.anis.ro/wp-content/uploads/2013/11/Software-si-servicii-IT-in-Romania_Rezumat_RO.pdf%20" TargetMode="External"/><Relationship Id="rId55" Type="http://schemas.openxmlformats.org/officeDocument/2006/relationships/hyperlink" Target="http://investromania.gov.ro/web/wp-content/uploads/2016/07/ITC_BPO-SSC_EN.pdf" TargetMode="External"/><Relationship Id="rId7" Type="http://schemas.openxmlformats.org/officeDocument/2006/relationships/hyperlink" Target="http://www.mfinante.ro" TargetMode="External"/><Relationship Id="rId12" Type="http://schemas.openxmlformats.org/officeDocument/2006/relationships/hyperlink" Target="http://www.icpaomedias.ro" TargetMode="External"/><Relationship Id="rId17" Type="http://schemas.openxmlformats.org/officeDocument/2006/relationships/hyperlink" Target="http://www.sapientia.ro/ro/cercetare/centre-de-cercetare/centrul-de-cercetari-de-biochimie-si-biotechnologii-bibirc" TargetMode="External"/><Relationship Id="rId25" Type="http://schemas.openxmlformats.org/officeDocument/2006/relationships/hyperlink" Target="http://www.odyssee-mure.eu" TargetMode="External"/><Relationship Id="rId33" Type="http://schemas.openxmlformats.org/officeDocument/2006/relationships/hyperlink" Target="http://www.mdrap.ro/lucrari-publice/-5584" TargetMode="External"/><Relationship Id="rId38" Type="http://schemas.openxmlformats.org/officeDocument/2006/relationships/hyperlink" Target="http://www.stratego-project.eu" TargetMode="External"/><Relationship Id="rId46" Type="http://schemas.openxmlformats.org/officeDocument/2006/relationships/hyperlink" Target="http://eur-lex.europa.eu/legal-content/RO/TXT/?uri=uriserv:OJ.C_.2015.172.01.0013.01.RON&amp;toc=OJ:C:2015:172:TOC" TargetMode="External"/><Relationship Id="rId2" Type="http://schemas.openxmlformats.org/officeDocument/2006/relationships/hyperlink" Target="http://www.anaf.ro/indicatori/indfinanciari.html" TargetMode="External"/><Relationship Id="rId16" Type="http://schemas.openxmlformats.org/officeDocument/2006/relationships/hyperlink" Target="http://cercetare.uab.ro/index.php?pagina=pg&amp;id=4&amp;l=ro" TargetMode="External"/><Relationship Id="rId20" Type="http://schemas.openxmlformats.org/officeDocument/2006/relationships/hyperlink" Target="http://www.icpaomedias.ro/index.php/proiecte-in-derulare" TargetMode="External"/><Relationship Id="rId29" Type="http://schemas.openxmlformats.org/officeDocument/2006/relationships/hyperlink" Target="http://www.nezeh.eu" TargetMode="External"/><Relationship Id="rId41" Type="http://schemas.openxmlformats.org/officeDocument/2006/relationships/hyperlink" Target="http://www.trafficsnakegame.eu/" TargetMode="External"/><Relationship Id="rId54" Type="http://schemas.openxmlformats.org/officeDocument/2006/relationships/hyperlink" Target="http://www.ier.ro/sites/default/files/pdf/St%203_Industrii%20creative_final_curat.pdf" TargetMode="External"/><Relationship Id="rId1" Type="http://schemas.openxmlformats.org/officeDocument/2006/relationships/hyperlink" Target="http://mdm.utcluj.ro/mecatronica.html" TargetMode="External"/><Relationship Id="rId6" Type="http://schemas.openxmlformats.org/officeDocument/2006/relationships/hyperlink" Target="http://www.eurostat.ro" TargetMode="External"/><Relationship Id="rId11" Type="http://schemas.openxmlformats.org/officeDocument/2006/relationships/hyperlink" Target="http://www.cdi2020.ro" TargetMode="External"/><Relationship Id="rId24" Type="http://schemas.openxmlformats.org/officeDocument/2006/relationships/hyperlink" Target="http://www.entranze.eu" TargetMode="External"/><Relationship Id="rId32" Type="http://schemas.openxmlformats.org/officeDocument/2006/relationships/hyperlink" Target="http://www.anrsc.ro/activitate/starea-serviciilor-energetice/" TargetMode="External"/><Relationship Id="rId37" Type="http://schemas.openxmlformats.org/officeDocument/2006/relationships/hyperlink" Target="http://www.comunicatii.gov.ro" TargetMode="External"/><Relationship Id="rId40" Type="http://schemas.openxmlformats.org/officeDocument/2006/relationships/hyperlink" Target="https://ec.europa.eu/energy/intelligent/projects/en/projects/model" TargetMode="External"/><Relationship Id="rId45" Type="http://schemas.openxmlformats.org/officeDocument/2006/relationships/hyperlink" Target="http://www.ey.com/Publication/vwLUAssets/ey-cultural-times-2015/$FILE/ey-cultural-times-2015.pdf" TargetMode="External"/><Relationship Id="rId53" Type="http://schemas.openxmlformats.org/officeDocument/2006/relationships/hyperlink" Target="http://www.ier.ro/sites/default/files/pdf/St%203_Industrii%20creative_final_curat.pdf" TargetMode="External"/><Relationship Id="rId5" Type="http://schemas.openxmlformats.org/officeDocument/2006/relationships/hyperlink" Target="http://www.insse.ro" TargetMode="External"/><Relationship Id="rId15" Type="http://schemas.openxmlformats.org/officeDocument/2006/relationships/hyperlink" Target="http://inginerie.ulbsibiu.ro/centre-de-cercetare/" TargetMode="External"/><Relationship Id="rId23" Type="http://schemas.openxmlformats.org/officeDocument/2006/relationships/hyperlink" Target="http://www.erris.gov.ro" TargetMode="External"/><Relationship Id="rId28" Type="http://schemas.openxmlformats.org/officeDocument/2006/relationships/hyperlink" Target="http://www.unitbv.ro/Portals/18/CERCETARE%20ST/Brosura%20cercetare%20Constructii%20CPCCI_final.pdf" TargetMode="External"/><Relationship Id="rId36" Type="http://schemas.openxmlformats.org/officeDocument/2006/relationships/hyperlink" Target="http://www.lonmark.org/connection/case_studies/documents/Brasov%20Case%20Study-1.pdf" TargetMode="External"/><Relationship Id="rId49" Type="http://schemas.openxmlformats.org/officeDocument/2006/relationships/hyperlink" Target="http://www.bnr.ro/Comer%C8%9Bul-interna%C8%9Bional-cu-servicii-12112.aspx" TargetMode="External"/><Relationship Id="rId57" Type="http://schemas.openxmlformats.org/officeDocument/2006/relationships/hyperlink" Target="http://ec.europa.eu/eurostat/documents/3217494/7551543/KS-04-15-737-EN-N.pdf/648072f3-63c4-47d8-905a-6fdc742b8605" TargetMode="External"/><Relationship Id="rId10" Type="http://schemas.openxmlformats.org/officeDocument/2006/relationships/hyperlink" Target="http://www.poscce.research.ro" TargetMode="External"/><Relationship Id="rId19" Type="http://schemas.openxmlformats.org/officeDocument/2006/relationships/hyperlink" Target="http://www2.unitbv.ro/LinkClick.aspx?fileticket=oDTNQJyIdu8%3d&amp;tabid=2653" TargetMode="External"/><Relationship Id="rId31" Type="http://schemas.openxmlformats.org/officeDocument/2006/relationships/hyperlink" Target="http://www.posmediu.ro" TargetMode="External"/><Relationship Id="rId44" Type="http://schemas.openxmlformats.org/officeDocument/2006/relationships/hyperlink" Target="http://www.poscce.research.ro/uploads/competitii/o2-1-1/afisare-contracte-o211-05-09-2013.xls" TargetMode="External"/><Relationship Id="rId52" Type="http://schemas.openxmlformats.org/officeDocument/2006/relationships/hyperlink" Target="http://investromania.gov.ro/web/business-in-romania/itc/" TargetMode="External"/><Relationship Id="rId4" Type="http://schemas.openxmlformats.org/officeDocument/2006/relationships/hyperlink" Target="http://www.edemos.insse.ro" TargetMode="External"/><Relationship Id="rId9" Type="http://schemas.openxmlformats.org/officeDocument/2006/relationships/hyperlink" Target="http://www.folex.ro" TargetMode="External"/><Relationship Id="rId14" Type="http://schemas.openxmlformats.org/officeDocument/2006/relationships/hyperlink" Target="http://upm.ro/cercetare/index.html" TargetMode="External"/><Relationship Id="rId22" Type="http://schemas.openxmlformats.org/officeDocument/2006/relationships/hyperlink" Target="http://www.erris.gov.ro/main/index.php?&amp;ddpN=1693097241&amp;we=d3cdf3482aed0446e2532b946e1769a8&amp;wf=dGFCall&amp;wtok=2f6c4e727aec255b0cd4f0d8834b310658d61adc&amp;wtkps=XU5LDsIgEL3LHKApWKRM9yYuPIMBhioR0w+tjTHeXah242pe3mfe06jwFVEgLNMtRGg81lJVdRNxhxA9QUYcwTCqLZF0QlWSM0l7K01FgrVclGRM9iXb4jJgEuHe0Rxcofu+iE6P9roKCEO+qe+kfTf+uEfuLRNWCMHH6dzri9s4uXFpHSH7pofZjc//Tylt24O2PhzX3RUC41xB8/4A&amp;wchk=4584c684b6a902feef77473d369a4ee1f474317c" TargetMode="External"/><Relationship Id="rId27" Type="http://schemas.openxmlformats.org/officeDocument/2006/relationships/hyperlink" Target="http://www.mdrap.ro" TargetMode="External"/><Relationship Id="rId30" Type="http://schemas.openxmlformats.org/officeDocument/2006/relationships/hyperlink" Target="http://www.cnadnr.ro/" TargetMode="External"/><Relationship Id="rId35" Type="http://schemas.openxmlformats.org/officeDocument/2006/relationships/hyperlink" Target="http://intelilight.eu" TargetMode="External"/><Relationship Id="rId43" Type="http://schemas.openxmlformats.org/officeDocument/2006/relationships/hyperlink" Target="https://issuu.com/urcanucristian/docs/carpatair_magazine_09.2013_---_11.2" TargetMode="External"/><Relationship Id="rId48" Type="http://schemas.openxmlformats.org/officeDocument/2006/relationships/hyperlink" Target="http://www.keysfin.com/%23!/Pages/IT_domeniul_momentului" TargetMode="External"/><Relationship Id="rId56" Type="http://schemas.openxmlformats.org/officeDocument/2006/relationships/hyperlink" Target="http://www.culturadata.ro/wp-content/uploads/2016/03/RegistrulArteleSpectacolului.pdf" TargetMode="External"/><Relationship Id="rId8" Type="http://schemas.openxmlformats.org/officeDocument/2006/relationships/hyperlink" Target="http://www.transelectrica.ro" TargetMode="External"/><Relationship Id="rId51" Type="http://schemas.openxmlformats.org/officeDocument/2006/relationships/hyperlink" Target="http://www.ziare.com/internet-si-tehnologie/tehnologie/forbes-romania-poate-deveni-o-adevarata-forta-in-industria-it-1290443" TargetMode="External"/><Relationship Id="rId3" Type="http://schemas.openxmlformats.org/officeDocument/2006/relationships/hyperlink" Target="http://www.anaf.ro/indicatori/indfinanciari.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marius\studii%20sectoare\date%20recom.xlsx" TargetMode="External"/><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roxana.tigan\Desktop\Concept%20note\agroalimenta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roxana.tigan\Desktop\Concept%20note\agroalimenta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ana.fulea\Desktop\textile%20confectii\lista%20firme%20-%20coduri%20cae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ana.fulea\Desktop\textile%20confectii\lista%20firme%20-%20coduri%20caen.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Foaie_de_lucru_Microsoft_Office_Excel2.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ius.duca\Desktop\Grupuri%20de%20lucru%20pe%20domenii%20RIS3%20-%20turismul%20balnea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ana.fulea\Desktop\textile%20confectii\pielarie.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gabriela.tarau\Desktop\mediul%20construit\Anexe.%20Mediul%20Sustenabil%20construit%20editabil.xlsx" TargetMode="External"/><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Foaie_de_lucru_Microsoft_Office_Excel3.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2" Type="http://schemas.openxmlformats.org/officeDocument/2006/relationships/oleObject" Target="file:///E:\marius\studii%20sectoare\date%20recom.xlsx" TargetMode="External"/><Relationship Id="rId1" Type="http://schemas.openxmlformats.org/officeDocument/2006/relationships/image" Target="../media/image1.jpeg"/></Relationships>
</file>

<file path=word/charts/_rels/chart20.xml.rels><?xml version="1.0" encoding="UTF-8" standalone="yes"?>
<Relationships xmlns="http://schemas.openxmlformats.org/package/2006/relationships"><Relationship Id="rId2" Type="http://schemas.openxmlformats.org/officeDocument/2006/relationships/package" Target="../embeddings/Foaie_de_lucru_Microsoft_Office_Excel4.xlsx"/><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Foaie_de_lucru_Microsoft_Office_Excel5.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2" Type="http://schemas.openxmlformats.org/officeDocument/2006/relationships/oleObject" Target="file:///E:\marius\studii%20sectoare\exporturi%20lemn.xlsx" TargetMode="External"/><Relationship Id="rId1" Type="http://schemas.openxmlformats.org/officeDocument/2006/relationships/image" Target="../media/image15.jpeg"/></Relationships>
</file>

<file path=word/charts/_rels/chart23.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5.jpeg"/><Relationship Id="rId1" Type="http://schemas.openxmlformats.org/officeDocument/2006/relationships/image" Target="../media/image16.jpeg"/><Relationship Id="rId6" Type="http://schemas.openxmlformats.org/officeDocument/2006/relationships/package" Target="../embeddings/Foaie_de_lucru_Microsoft_Office_Excel6.xlsx"/><Relationship Id="rId5" Type="http://schemas.openxmlformats.org/officeDocument/2006/relationships/image" Target="../media/image19.jpeg"/><Relationship Id="rId4" Type="http://schemas.openxmlformats.org/officeDocument/2006/relationships/image" Target="../media/image18.jpeg"/></Relationships>
</file>

<file path=word/charts/_rels/chart24.xml.rels><?xml version="1.0" encoding="UTF-8" standalone="yes"?>
<Relationships xmlns="http://schemas.openxmlformats.org/package/2006/relationships"><Relationship Id="rId1" Type="http://schemas.openxmlformats.org/officeDocument/2006/relationships/oleObject" Target="file:///E:\marius\studii%20sectoare\exporturi%20lemn.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Foaie_de_lucru_Microsoft_Office_Excel7.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Foaie_de_lucru_Microsoft_Office_Excel8.xlsx"/><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Foaie_de_lucru_Microsoft_Office_Excel9.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Foaie_de_lucru_Microsoft_Office_Excel10.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Foaie_de_lucru_Microsoft_Office_Excel11.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oleObject" Target="file:///E:\marius\S3\New%20Foaie%20de%20lucru%20Microsoft%20Office%20Excel.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Foaie_de_lucru_Microsoft_Office_Excel12.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2" Type="http://schemas.openxmlformats.org/officeDocument/2006/relationships/oleObject" Target="file:///\\SRV-VM-FS.por.adrcentru\Company2$\Levi\Analiza%20sectorului%20medical%20farmaceutic\Statistici%20Ramo\UNitati%20medicale%20la%20nivel%20national%20si%20regional.xlsx" TargetMode="External"/><Relationship Id="rId1" Type="http://schemas.openxmlformats.org/officeDocument/2006/relationships/themeOverride" Target="../theme/themeOverride11.xml"/></Relationships>
</file>

<file path=word/charts/_rels/chart32.xml.rels><?xml version="1.0" encoding="UTF-8" standalone="yes"?>
<Relationships xmlns="http://schemas.openxmlformats.org/package/2006/relationships"><Relationship Id="rId2" Type="http://schemas.openxmlformats.org/officeDocument/2006/relationships/oleObject" Target="file:///\\SRV-VM-FS.por.adrcentru\Company2$\Levi\Analiza%20sectorului%20medical%20farmaceutic\Info%20Utile\Statistici%20Ramo\UNitati%20medicale%20la%20nivel%20national%20si%20regional.xlsx" TargetMode="External"/><Relationship Id="rId1" Type="http://schemas.openxmlformats.org/officeDocument/2006/relationships/themeOverride" Target="../theme/themeOverride1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Foaie_de_lucru_Microsoft_Office_Excel13.xlsx"/><Relationship Id="rId1" Type="http://schemas.openxmlformats.org/officeDocument/2006/relationships/themeOverride" Target="../theme/themeOverride13.xml"/></Relationships>
</file>

<file path=word/charts/_rels/chart34.xml.rels><?xml version="1.0" encoding="UTF-8" standalone="yes"?>
<Relationships xmlns="http://schemas.openxmlformats.org/package/2006/relationships"><Relationship Id="rId2" Type="http://schemas.openxmlformats.org/officeDocument/2006/relationships/oleObject" Target="file:///\\SRV-VM-FS.por.adrcentru\Company2$\Levi\Analiza%20sectorului%20medical%20farmaceutic\Statistici%20Ramo\UNitati%20medicale%20la%20nivel%20national%20si%20regional.xlsx" TargetMode="External"/><Relationship Id="rId1" Type="http://schemas.openxmlformats.org/officeDocument/2006/relationships/themeOverride" Target="../theme/themeOverride14.xml"/></Relationships>
</file>

<file path=word/charts/_rels/chart35.xml.rels><?xml version="1.0" encoding="UTF-8" standalone="yes"?>
<Relationships xmlns="http://schemas.openxmlformats.org/package/2006/relationships"><Relationship Id="rId2" Type="http://schemas.openxmlformats.org/officeDocument/2006/relationships/oleObject" Target="file:///\\SRV-VM-FS.por.adrcentru\Company2$\Levi\Analiza%20sectorului%20medical%20farmaceutic\Statistici%20Ramo\UNitati%20medicale%20la%20nivel%20national%20si%20regional.xlsx" TargetMode="External"/><Relationship Id="rId1" Type="http://schemas.openxmlformats.org/officeDocument/2006/relationships/themeOverride" Target="../theme/themeOverride1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Foaie_de_lucru_Microsoft_Office_Excel14.xlsx"/><Relationship Id="rId1" Type="http://schemas.openxmlformats.org/officeDocument/2006/relationships/themeOverride" Target="../theme/themeOverride16.xml"/></Relationships>
</file>

<file path=word/charts/_rels/chart37.xml.rels><?xml version="1.0" encoding="UTF-8" standalone="yes"?>
<Relationships xmlns="http://schemas.openxmlformats.org/package/2006/relationships"><Relationship Id="rId2" Type="http://schemas.openxmlformats.org/officeDocument/2006/relationships/oleObject" Target="file:///\\SRV-VM-FS.por.adrcentru\Company2$\Levi\Analiza%20sectorului%20medical%20farmaceutic\Statistici%20Ramo\UNitati%20medicale%20la%20nivel%20national%20si%20regional.xlsx" TargetMode="External"/><Relationship Id="rId1" Type="http://schemas.openxmlformats.org/officeDocument/2006/relationships/themeOverride" Target="../theme/themeOverride1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Foaie_de_lucru_Microsoft_Office_Excel15.xlsx"/><Relationship Id="rId1" Type="http://schemas.openxmlformats.org/officeDocument/2006/relationships/themeOverride" Target="../theme/themeOverride18.xml"/></Relationships>
</file>

<file path=word/charts/_rels/chart39.xml.rels><?xml version="1.0" encoding="UTF-8" standalone="yes"?>
<Relationships xmlns="http://schemas.openxmlformats.org/package/2006/relationships"><Relationship Id="rId2" Type="http://schemas.openxmlformats.org/officeDocument/2006/relationships/oleObject" Target="file:///\\SRV-VM-FS.por.adrcentru\Company2$\Levi\Analiza%20sectorului%20medical%20farmaceutic\Statistici%20Ramo\UNitati%20medicale%20la%20nivel%20national%20si%20regional.xlsx" TargetMode="External"/><Relationship Id="rId1" Type="http://schemas.openxmlformats.org/officeDocument/2006/relationships/themeOverride" Target="../theme/themeOverride19.xml"/></Relationships>
</file>

<file path=word/charts/_rels/chart4.xml.rels><?xml version="1.0" encoding="UTF-8" standalone="yes"?>
<Relationships xmlns="http://schemas.openxmlformats.org/package/2006/relationships"><Relationship Id="rId1" Type="http://schemas.openxmlformats.org/officeDocument/2006/relationships/oleObject" Target="file:///E:\marius\S3\New%20Foaie%20de%20lucru%20Microsoft%20Office%20Excel.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roxana.tigan\Desktop\Concept%20note\balnear.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E:\marius\studii%20sectoare\date%20recom.xlsx" TargetMode="External"/><Relationship Id="rId1" Type="http://schemas.openxmlformats.org/officeDocument/2006/relationships/image" Target="../media/image2.jpeg"/></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marius\studii%20sectoare\date%20recom.xlsx" TargetMode="External"/><Relationship Id="rId1" Type="http://schemas.openxmlformats.org/officeDocument/2006/relationships/image" Target="../media/image2.jpeg"/></Relationships>
</file>

<file path=word/charts/_rels/chart7.xml.rels><?xml version="1.0" encoding="UTF-8" standalone="yes"?>
<Relationships xmlns="http://schemas.openxmlformats.org/package/2006/relationships"><Relationship Id="rId1" Type="http://schemas.openxmlformats.org/officeDocument/2006/relationships/oleObject" Target="file:///\\SRV-VM-FS.por.adrcentru\Company2$\Levi\RISIII\Consolidare_firme_industrie_aeronautica.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Foaie_de_lucru_Microsoft_Office_Excel1.xlsx"/></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roxana.tigan\Desktop\Concept%20note\agroaliment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sz="1600"/>
            </a:pPr>
            <a:r>
              <a:rPr lang="en-US" sz="1200"/>
              <a:t>Evolutia</a:t>
            </a:r>
            <a:r>
              <a:rPr lang="en-US" sz="1200" baseline="0"/>
              <a:t> cifrei de afaceri din industria auto</a:t>
            </a:r>
            <a:endParaRPr lang="vi-VN" sz="1200"/>
          </a:p>
        </c:rich>
      </c:tx>
      <c:layout/>
    </c:title>
    <c:view3D>
      <c:rAngAx val="1"/>
    </c:view3D>
    <c:plotArea>
      <c:layout/>
      <c:bar3DChart>
        <c:barDir val="bar"/>
        <c:grouping val="clustered"/>
        <c:ser>
          <c:idx val="0"/>
          <c:order val="0"/>
          <c:tx>
            <c:strRef>
              <c:f>Foaie1!$N$34</c:f>
              <c:strCache>
                <c:ptCount val="1"/>
                <c:pt idx="0">
                  <c:v>Romania</c:v>
                </c:pt>
              </c:strCache>
            </c:strRef>
          </c:tx>
          <c:cat>
            <c:numRef>
              <c:f>Foaie1!$O$33:$S$33</c:f>
              <c:numCache>
                <c:formatCode>General</c:formatCode>
                <c:ptCount val="5"/>
                <c:pt idx="0">
                  <c:v>2010</c:v>
                </c:pt>
                <c:pt idx="1">
                  <c:v>2011</c:v>
                </c:pt>
                <c:pt idx="2">
                  <c:v>2012</c:v>
                </c:pt>
                <c:pt idx="3">
                  <c:v>2013</c:v>
                </c:pt>
                <c:pt idx="4">
                  <c:v>2014</c:v>
                </c:pt>
              </c:numCache>
            </c:numRef>
          </c:cat>
          <c:val>
            <c:numRef>
              <c:f>Foaie1!$O$34:$S$34</c:f>
              <c:numCache>
                <c:formatCode>0.0</c:formatCode>
                <c:ptCount val="5"/>
                <c:pt idx="0">
                  <c:v>33696.110094000003</c:v>
                </c:pt>
                <c:pt idx="1">
                  <c:v>44420.818171000043</c:v>
                </c:pt>
                <c:pt idx="2">
                  <c:v>48206.661957999997</c:v>
                </c:pt>
                <c:pt idx="3">
                  <c:v>59946.104120999997</c:v>
                </c:pt>
                <c:pt idx="4">
                  <c:v>64619.317531000102</c:v>
                </c:pt>
              </c:numCache>
            </c:numRef>
          </c:val>
        </c:ser>
        <c:ser>
          <c:idx val="1"/>
          <c:order val="1"/>
          <c:tx>
            <c:strRef>
              <c:f>Foaie1!$N$35</c:f>
              <c:strCache>
                <c:ptCount val="1"/>
                <c:pt idx="0">
                  <c:v>Reg. Centru</c:v>
                </c:pt>
              </c:strCache>
            </c:strRef>
          </c:tx>
          <c:cat>
            <c:numRef>
              <c:f>Foaie1!$O$33:$S$33</c:f>
              <c:numCache>
                <c:formatCode>General</c:formatCode>
                <c:ptCount val="5"/>
                <c:pt idx="0">
                  <c:v>2010</c:v>
                </c:pt>
                <c:pt idx="1">
                  <c:v>2011</c:v>
                </c:pt>
                <c:pt idx="2">
                  <c:v>2012</c:v>
                </c:pt>
                <c:pt idx="3">
                  <c:v>2013</c:v>
                </c:pt>
                <c:pt idx="4">
                  <c:v>2014</c:v>
                </c:pt>
              </c:numCache>
            </c:numRef>
          </c:cat>
          <c:val>
            <c:numRef>
              <c:f>Foaie1!$O$35:$S$35</c:f>
              <c:numCache>
                <c:formatCode>0.0</c:formatCode>
                <c:ptCount val="5"/>
                <c:pt idx="0">
                  <c:v>5490.8046620000014</c:v>
                </c:pt>
                <c:pt idx="1">
                  <c:v>8540.5811899999753</c:v>
                </c:pt>
                <c:pt idx="2">
                  <c:v>9016.1034390000004</c:v>
                </c:pt>
                <c:pt idx="3">
                  <c:v>10586.503632999997</c:v>
                </c:pt>
                <c:pt idx="4">
                  <c:v>12252.591097</c:v>
                </c:pt>
              </c:numCache>
            </c:numRef>
          </c:val>
        </c:ser>
        <c:shape val="box"/>
        <c:axId val="88031232"/>
        <c:axId val="88392448"/>
        <c:axId val="0"/>
      </c:bar3DChart>
      <c:catAx>
        <c:axId val="88031232"/>
        <c:scaling>
          <c:orientation val="minMax"/>
        </c:scaling>
        <c:axPos val="l"/>
        <c:numFmt formatCode="General" sourceLinked="1"/>
        <c:tickLblPos val="nextTo"/>
        <c:txPr>
          <a:bodyPr/>
          <a:lstStyle/>
          <a:p>
            <a:pPr>
              <a:defRPr lang="ro-RO"/>
            </a:pPr>
            <a:endParaRPr lang="en-US"/>
          </a:p>
        </c:txPr>
        <c:crossAx val="88392448"/>
        <c:crosses val="autoZero"/>
        <c:auto val="1"/>
        <c:lblAlgn val="ctr"/>
        <c:lblOffset val="100"/>
      </c:catAx>
      <c:valAx>
        <c:axId val="88392448"/>
        <c:scaling>
          <c:orientation val="minMax"/>
        </c:scaling>
        <c:axPos val="b"/>
        <c:majorGridlines/>
        <c:title>
          <c:tx>
            <c:rich>
              <a:bodyPr/>
              <a:lstStyle/>
              <a:p>
                <a:pPr>
                  <a:defRPr lang="ro-RO"/>
                </a:pPr>
                <a:r>
                  <a:rPr lang="en-US"/>
                  <a:t>milioane lei</a:t>
                </a:r>
              </a:p>
            </c:rich>
          </c:tx>
          <c:layout/>
        </c:title>
        <c:numFmt formatCode="0" sourceLinked="0"/>
        <c:tickLblPos val="nextTo"/>
        <c:txPr>
          <a:bodyPr/>
          <a:lstStyle/>
          <a:p>
            <a:pPr>
              <a:defRPr lang="ro-RO"/>
            </a:pPr>
            <a:endParaRPr lang="en-US"/>
          </a:p>
        </c:txPr>
        <c:crossAx val="88031232"/>
        <c:crosses val="autoZero"/>
        <c:crossBetween val="between"/>
      </c:valAx>
    </c:plotArea>
    <c:legend>
      <c:legendPos val="r"/>
      <c:layout/>
      <c:txPr>
        <a:bodyPr/>
        <a:lstStyle/>
        <a:p>
          <a:pPr>
            <a:defRPr lang="ro-RO"/>
          </a:pPr>
          <a:endParaRPr lang="en-US"/>
        </a:p>
      </c:txPr>
    </c:legend>
    <c:plotVisOnly val="1"/>
  </c:chart>
  <c:spPr>
    <a:blipFill dpi="0" rotWithShape="1">
      <a:blip xmlns:r="http://schemas.openxmlformats.org/officeDocument/2006/relationships" r:embed="rId1">
        <a:alphaModFix amt="30000"/>
      </a:blip>
      <a:srcRect/>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4"/>
  <c:chart>
    <c:plotArea>
      <c:layout>
        <c:manualLayout>
          <c:layoutTarget val="inner"/>
          <c:xMode val="edge"/>
          <c:yMode val="edge"/>
          <c:x val="0.12162642295085242"/>
          <c:y val="5.4522924411400928E-2"/>
          <c:w val="0.7257185158699645"/>
          <c:h val="0.8208473940757407"/>
        </c:manualLayout>
      </c:layout>
      <c:barChart>
        <c:barDir val="bar"/>
        <c:grouping val="clustered"/>
        <c:ser>
          <c:idx val="0"/>
          <c:order val="0"/>
          <c:tx>
            <c:strRef>
              <c:f>Foaie8!$D$3</c:f>
              <c:strCache>
                <c:ptCount val="1"/>
                <c:pt idx="0">
                  <c:v>Anul 2010</c:v>
                </c:pt>
              </c:strCache>
            </c:strRef>
          </c:tx>
          <c:cat>
            <c:strRef>
              <c:f>Foaie8!$C$24:$C$29</c:f>
              <c:strCache>
                <c:ptCount val="6"/>
                <c:pt idx="0">
                  <c:v>Alba</c:v>
                </c:pt>
                <c:pt idx="1">
                  <c:v>Brasov</c:v>
                </c:pt>
                <c:pt idx="2">
                  <c:v>Covasna</c:v>
                </c:pt>
                <c:pt idx="3">
                  <c:v>Harghita</c:v>
                </c:pt>
                <c:pt idx="4">
                  <c:v>Mures</c:v>
                </c:pt>
                <c:pt idx="5">
                  <c:v>Sibiu</c:v>
                </c:pt>
              </c:strCache>
            </c:strRef>
          </c:cat>
          <c:val>
            <c:numRef>
              <c:f>Foaie8!$D$24:$D$29</c:f>
              <c:numCache>
                <c:formatCode>General</c:formatCode>
                <c:ptCount val="6"/>
                <c:pt idx="0">
                  <c:v>4292</c:v>
                </c:pt>
                <c:pt idx="1">
                  <c:v>4551</c:v>
                </c:pt>
                <c:pt idx="2">
                  <c:v>1991</c:v>
                </c:pt>
                <c:pt idx="3">
                  <c:v>3923</c:v>
                </c:pt>
                <c:pt idx="4">
                  <c:v>3931</c:v>
                </c:pt>
                <c:pt idx="5">
                  <c:v>4003</c:v>
                </c:pt>
              </c:numCache>
            </c:numRef>
          </c:val>
        </c:ser>
        <c:ser>
          <c:idx val="1"/>
          <c:order val="1"/>
          <c:tx>
            <c:strRef>
              <c:f>Foaie8!$E$3</c:f>
              <c:strCache>
                <c:ptCount val="1"/>
                <c:pt idx="0">
                  <c:v>Anul 2011</c:v>
                </c:pt>
              </c:strCache>
            </c:strRef>
          </c:tx>
          <c:cat>
            <c:strRef>
              <c:f>Foaie8!$C$24:$C$29</c:f>
              <c:strCache>
                <c:ptCount val="6"/>
                <c:pt idx="0">
                  <c:v>Alba</c:v>
                </c:pt>
                <c:pt idx="1">
                  <c:v>Brasov</c:v>
                </c:pt>
                <c:pt idx="2">
                  <c:v>Covasna</c:v>
                </c:pt>
                <c:pt idx="3">
                  <c:v>Harghita</c:v>
                </c:pt>
                <c:pt idx="4">
                  <c:v>Mures</c:v>
                </c:pt>
                <c:pt idx="5">
                  <c:v>Sibiu</c:v>
                </c:pt>
              </c:strCache>
            </c:strRef>
          </c:cat>
          <c:val>
            <c:numRef>
              <c:f>Foaie8!$E$24:$E$29</c:f>
              <c:numCache>
                <c:formatCode>General</c:formatCode>
                <c:ptCount val="6"/>
                <c:pt idx="0">
                  <c:v>4769</c:v>
                </c:pt>
                <c:pt idx="1">
                  <c:v>4659</c:v>
                </c:pt>
                <c:pt idx="2">
                  <c:v>1715</c:v>
                </c:pt>
                <c:pt idx="3">
                  <c:v>3864</c:v>
                </c:pt>
                <c:pt idx="4">
                  <c:v>3838</c:v>
                </c:pt>
                <c:pt idx="5">
                  <c:v>4526</c:v>
                </c:pt>
              </c:numCache>
            </c:numRef>
          </c:val>
        </c:ser>
        <c:ser>
          <c:idx val="2"/>
          <c:order val="2"/>
          <c:tx>
            <c:strRef>
              <c:f>Foaie8!$F$3</c:f>
              <c:strCache>
                <c:ptCount val="1"/>
                <c:pt idx="0">
                  <c:v>Anul 2012</c:v>
                </c:pt>
              </c:strCache>
            </c:strRef>
          </c:tx>
          <c:cat>
            <c:strRef>
              <c:f>Foaie8!$C$24:$C$29</c:f>
              <c:strCache>
                <c:ptCount val="6"/>
                <c:pt idx="0">
                  <c:v>Alba</c:v>
                </c:pt>
                <c:pt idx="1">
                  <c:v>Brasov</c:v>
                </c:pt>
                <c:pt idx="2">
                  <c:v>Covasna</c:v>
                </c:pt>
                <c:pt idx="3">
                  <c:v>Harghita</c:v>
                </c:pt>
                <c:pt idx="4">
                  <c:v>Mures</c:v>
                </c:pt>
                <c:pt idx="5">
                  <c:v>Sibiu</c:v>
                </c:pt>
              </c:strCache>
            </c:strRef>
          </c:cat>
          <c:val>
            <c:numRef>
              <c:f>Foaie8!$F$24:$F$29</c:f>
              <c:numCache>
                <c:formatCode>General</c:formatCode>
                <c:ptCount val="6"/>
                <c:pt idx="0">
                  <c:v>5292</c:v>
                </c:pt>
                <c:pt idx="1">
                  <c:v>4848</c:v>
                </c:pt>
                <c:pt idx="2">
                  <c:v>1983</c:v>
                </c:pt>
                <c:pt idx="3">
                  <c:v>3769</c:v>
                </c:pt>
                <c:pt idx="4">
                  <c:v>4099</c:v>
                </c:pt>
                <c:pt idx="5">
                  <c:v>5740</c:v>
                </c:pt>
              </c:numCache>
            </c:numRef>
          </c:val>
        </c:ser>
        <c:ser>
          <c:idx val="3"/>
          <c:order val="3"/>
          <c:tx>
            <c:strRef>
              <c:f>Foaie8!$G$3</c:f>
              <c:strCache>
                <c:ptCount val="1"/>
                <c:pt idx="0">
                  <c:v>Anul 2013</c:v>
                </c:pt>
              </c:strCache>
            </c:strRef>
          </c:tx>
          <c:cat>
            <c:strRef>
              <c:f>Foaie8!$C$24:$C$29</c:f>
              <c:strCache>
                <c:ptCount val="6"/>
                <c:pt idx="0">
                  <c:v>Alba</c:v>
                </c:pt>
                <c:pt idx="1">
                  <c:v>Brasov</c:v>
                </c:pt>
                <c:pt idx="2">
                  <c:v>Covasna</c:v>
                </c:pt>
                <c:pt idx="3">
                  <c:v>Harghita</c:v>
                </c:pt>
                <c:pt idx="4">
                  <c:v>Mures</c:v>
                </c:pt>
                <c:pt idx="5">
                  <c:v>Sibiu</c:v>
                </c:pt>
              </c:strCache>
            </c:strRef>
          </c:cat>
          <c:val>
            <c:numRef>
              <c:f>Foaie8!$G$24:$G$29</c:f>
              <c:numCache>
                <c:formatCode>General</c:formatCode>
                <c:ptCount val="6"/>
                <c:pt idx="0">
                  <c:v>5571</c:v>
                </c:pt>
                <c:pt idx="1">
                  <c:v>5041</c:v>
                </c:pt>
                <c:pt idx="2">
                  <c:v>1794</c:v>
                </c:pt>
                <c:pt idx="3">
                  <c:v>3654</c:v>
                </c:pt>
                <c:pt idx="4">
                  <c:v>4292</c:v>
                </c:pt>
                <c:pt idx="5">
                  <c:v>5275</c:v>
                </c:pt>
              </c:numCache>
            </c:numRef>
          </c:val>
        </c:ser>
        <c:ser>
          <c:idx val="4"/>
          <c:order val="4"/>
          <c:tx>
            <c:strRef>
              <c:f>Foaie8!$H$3</c:f>
              <c:strCache>
                <c:ptCount val="1"/>
                <c:pt idx="0">
                  <c:v>Anul 2014</c:v>
                </c:pt>
              </c:strCache>
            </c:strRef>
          </c:tx>
          <c:cat>
            <c:strRef>
              <c:f>Foaie8!$C$24:$C$29</c:f>
              <c:strCache>
                <c:ptCount val="6"/>
                <c:pt idx="0">
                  <c:v>Alba</c:v>
                </c:pt>
                <c:pt idx="1">
                  <c:v>Brasov</c:v>
                </c:pt>
                <c:pt idx="2">
                  <c:v>Covasna</c:v>
                </c:pt>
                <c:pt idx="3">
                  <c:v>Harghita</c:v>
                </c:pt>
                <c:pt idx="4">
                  <c:v>Mures</c:v>
                </c:pt>
                <c:pt idx="5">
                  <c:v>Sibiu</c:v>
                </c:pt>
              </c:strCache>
            </c:strRef>
          </c:cat>
          <c:val>
            <c:numRef>
              <c:f>Foaie8!$H$24:$H$29</c:f>
              <c:numCache>
                <c:formatCode>General</c:formatCode>
                <c:ptCount val="6"/>
                <c:pt idx="0">
                  <c:v>5704</c:v>
                </c:pt>
                <c:pt idx="1">
                  <c:v>5423</c:v>
                </c:pt>
                <c:pt idx="2">
                  <c:v>1923</c:v>
                </c:pt>
                <c:pt idx="3">
                  <c:v>3803</c:v>
                </c:pt>
                <c:pt idx="4">
                  <c:v>4550</c:v>
                </c:pt>
                <c:pt idx="5">
                  <c:v>4946</c:v>
                </c:pt>
              </c:numCache>
            </c:numRef>
          </c:val>
        </c:ser>
        <c:axId val="133431680"/>
        <c:axId val="133433216"/>
      </c:barChart>
      <c:catAx>
        <c:axId val="133431680"/>
        <c:scaling>
          <c:orientation val="minMax"/>
        </c:scaling>
        <c:axPos val="l"/>
        <c:tickLblPos val="nextTo"/>
        <c:txPr>
          <a:bodyPr/>
          <a:lstStyle/>
          <a:p>
            <a:pPr>
              <a:defRPr lang="en-US"/>
            </a:pPr>
            <a:endParaRPr lang="en-US"/>
          </a:p>
        </c:txPr>
        <c:crossAx val="133433216"/>
        <c:crosses val="autoZero"/>
        <c:auto val="1"/>
        <c:lblAlgn val="ctr"/>
        <c:lblOffset val="100"/>
      </c:catAx>
      <c:valAx>
        <c:axId val="133433216"/>
        <c:scaling>
          <c:orientation val="minMax"/>
          <c:min val="1000"/>
        </c:scaling>
        <c:axPos val="b"/>
        <c:majorGridlines/>
        <c:numFmt formatCode="General" sourceLinked="1"/>
        <c:tickLblPos val="nextTo"/>
        <c:txPr>
          <a:bodyPr/>
          <a:lstStyle/>
          <a:p>
            <a:pPr>
              <a:defRPr lang="en-US"/>
            </a:pPr>
            <a:endParaRPr lang="en-US"/>
          </a:p>
        </c:txPr>
        <c:crossAx val="133431680"/>
        <c:crosses val="autoZero"/>
        <c:crossBetween val="between"/>
      </c:valAx>
    </c:plotArea>
    <c:legend>
      <c:legendPos val="r"/>
      <c:layout/>
      <c:txPr>
        <a:bodyPr/>
        <a:lstStyle/>
        <a:p>
          <a:pPr>
            <a:defRPr lang="en-US"/>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34"/>
  <c:chart>
    <c:view3D>
      <c:rAngAx val="1"/>
    </c:view3D>
    <c:plotArea>
      <c:layout>
        <c:manualLayout>
          <c:layoutTarget val="inner"/>
          <c:xMode val="edge"/>
          <c:yMode val="edge"/>
          <c:x val="9.4964986535285748E-2"/>
          <c:y val="4.5523519505744292E-2"/>
          <c:w val="0.88273921672940403"/>
          <c:h val="0.72585189116869753"/>
        </c:manualLayout>
      </c:layout>
      <c:bar3DChart>
        <c:barDir val="col"/>
        <c:grouping val="clustered"/>
        <c:ser>
          <c:idx val="0"/>
          <c:order val="0"/>
          <c:tx>
            <c:strRef>
              <c:f>Foaie8!$J$81</c:f>
              <c:strCache>
                <c:ptCount val="1"/>
                <c:pt idx="0">
                  <c:v>Anul 2010</c:v>
                </c:pt>
              </c:strCache>
            </c:strRef>
          </c:tx>
          <c:cat>
            <c:strRef>
              <c:f>Foaie8!$I$82:$I$89</c:f>
              <c:strCache>
                <c:ptCount val="8"/>
                <c:pt idx="0">
                  <c:v>Romania</c:v>
                </c:pt>
                <c:pt idx="1">
                  <c:v>Regiunea CENTRU</c:v>
                </c:pt>
                <c:pt idx="2">
                  <c:v>Alba</c:v>
                </c:pt>
                <c:pt idx="3">
                  <c:v>Brasov</c:v>
                </c:pt>
                <c:pt idx="4">
                  <c:v>Covasna</c:v>
                </c:pt>
                <c:pt idx="5">
                  <c:v>Harghita</c:v>
                </c:pt>
                <c:pt idx="6">
                  <c:v>Mures</c:v>
                </c:pt>
                <c:pt idx="7">
                  <c:v>Sibiu</c:v>
                </c:pt>
              </c:strCache>
            </c:strRef>
          </c:cat>
          <c:val>
            <c:numRef>
              <c:f>Foaie8!$J$82:$J$89</c:f>
              <c:numCache>
                <c:formatCode>0.00</c:formatCode>
                <c:ptCount val="8"/>
                <c:pt idx="0">
                  <c:v>12.713843159726403</c:v>
                </c:pt>
                <c:pt idx="1">
                  <c:v>12.052115533743475</c:v>
                </c:pt>
                <c:pt idx="2">
                  <c:v>15.655662958234554</c:v>
                </c:pt>
                <c:pt idx="3">
                  <c:v>10.274297324754468</c:v>
                </c:pt>
                <c:pt idx="4">
                  <c:v>12.335047394833056</c:v>
                </c:pt>
                <c:pt idx="5">
                  <c:v>17.674355739772931</c:v>
                </c:pt>
                <c:pt idx="6">
                  <c:v>10.105918042058718</c:v>
                </c:pt>
                <c:pt idx="7">
                  <c:v>10.178239975590531</c:v>
                </c:pt>
              </c:numCache>
            </c:numRef>
          </c:val>
        </c:ser>
        <c:ser>
          <c:idx val="1"/>
          <c:order val="1"/>
          <c:tx>
            <c:strRef>
              <c:f>Foaie8!$K$81</c:f>
              <c:strCache>
                <c:ptCount val="1"/>
                <c:pt idx="0">
                  <c:v>Anul 2011</c:v>
                </c:pt>
              </c:strCache>
            </c:strRef>
          </c:tx>
          <c:cat>
            <c:strRef>
              <c:f>Foaie8!$I$82:$I$89</c:f>
              <c:strCache>
                <c:ptCount val="8"/>
                <c:pt idx="0">
                  <c:v>Romania</c:v>
                </c:pt>
                <c:pt idx="1">
                  <c:v>Regiunea CENTRU</c:v>
                </c:pt>
                <c:pt idx="2">
                  <c:v>Alba</c:v>
                </c:pt>
                <c:pt idx="3">
                  <c:v>Brasov</c:v>
                </c:pt>
                <c:pt idx="4">
                  <c:v>Covasna</c:v>
                </c:pt>
                <c:pt idx="5">
                  <c:v>Harghita</c:v>
                </c:pt>
                <c:pt idx="6">
                  <c:v>Mures</c:v>
                </c:pt>
                <c:pt idx="7">
                  <c:v>Sibiu</c:v>
                </c:pt>
              </c:strCache>
            </c:strRef>
          </c:cat>
          <c:val>
            <c:numRef>
              <c:f>Foaie8!$K$82:$K$89</c:f>
              <c:numCache>
                <c:formatCode>0.00</c:formatCode>
                <c:ptCount val="8"/>
                <c:pt idx="0">
                  <c:v>12.357304372067826</c:v>
                </c:pt>
                <c:pt idx="1">
                  <c:v>11.876292641282276</c:v>
                </c:pt>
                <c:pt idx="2">
                  <c:v>16.08431703204047</c:v>
                </c:pt>
                <c:pt idx="3">
                  <c:v>10.036622145626881</c:v>
                </c:pt>
                <c:pt idx="4">
                  <c:v>10.138330574603925</c:v>
                </c:pt>
                <c:pt idx="5">
                  <c:v>17.890545420872304</c:v>
                </c:pt>
                <c:pt idx="6">
                  <c:v>9.5760872277253739</c:v>
                </c:pt>
                <c:pt idx="7">
                  <c:v>10.744468711423398</c:v>
                </c:pt>
              </c:numCache>
            </c:numRef>
          </c:val>
        </c:ser>
        <c:ser>
          <c:idx val="2"/>
          <c:order val="2"/>
          <c:tx>
            <c:strRef>
              <c:f>Foaie8!$L$81</c:f>
              <c:strCache>
                <c:ptCount val="1"/>
                <c:pt idx="0">
                  <c:v>Anul 2012</c:v>
                </c:pt>
              </c:strCache>
            </c:strRef>
          </c:tx>
          <c:cat>
            <c:strRef>
              <c:f>Foaie8!$I$82:$I$89</c:f>
              <c:strCache>
                <c:ptCount val="8"/>
                <c:pt idx="0">
                  <c:v>Romania</c:v>
                </c:pt>
                <c:pt idx="1">
                  <c:v>Regiunea CENTRU</c:v>
                </c:pt>
                <c:pt idx="2">
                  <c:v>Alba</c:v>
                </c:pt>
                <c:pt idx="3">
                  <c:v>Brasov</c:v>
                </c:pt>
                <c:pt idx="4">
                  <c:v>Covasna</c:v>
                </c:pt>
                <c:pt idx="5">
                  <c:v>Harghita</c:v>
                </c:pt>
                <c:pt idx="6">
                  <c:v>Mures</c:v>
                </c:pt>
                <c:pt idx="7">
                  <c:v>Sibiu</c:v>
                </c:pt>
              </c:strCache>
            </c:strRef>
          </c:cat>
          <c:val>
            <c:numRef>
              <c:f>Foaie8!$L$82:$L$89</c:f>
              <c:numCache>
                <c:formatCode>0.00</c:formatCode>
                <c:ptCount val="8"/>
                <c:pt idx="0">
                  <c:v>12.434668115570668</c:v>
                </c:pt>
                <c:pt idx="1">
                  <c:v>12.426772786763321</c:v>
                </c:pt>
                <c:pt idx="2">
                  <c:v>16.823499491352987</c:v>
                </c:pt>
                <c:pt idx="3">
                  <c:v>9.787809654559771</c:v>
                </c:pt>
                <c:pt idx="4">
                  <c:v>11.466404533364386</c:v>
                </c:pt>
                <c:pt idx="5">
                  <c:v>16.679205204230648</c:v>
                </c:pt>
                <c:pt idx="6">
                  <c:v>10.053468066320024</c:v>
                </c:pt>
                <c:pt idx="7">
                  <c:v>12.640109224637202</c:v>
                </c:pt>
              </c:numCache>
            </c:numRef>
          </c:val>
        </c:ser>
        <c:ser>
          <c:idx val="3"/>
          <c:order val="3"/>
          <c:tx>
            <c:strRef>
              <c:f>Foaie8!$M$81</c:f>
              <c:strCache>
                <c:ptCount val="1"/>
                <c:pt idx="0">
                  <c:v>Anul 2013</c:v>
                </c:pt>
              </c:strCache>
            </c:strRef>
          </c:tx>
          <c:cat>
            <c:strRef>
              <c:f>Foaie8!$I$82:$I$89</c:f>
              <c:strCache>
                <c:ptCount val="8"/>
                <c:pt idx="0">
                  <c:v>Romania</c:v>
                </c:pt>
                <c:pt idx="1">
                  <c:v>Regiunea CENTRU</c:v>
                </c:pt>
                <c:pt idx="2">
                  <c:v>Alba</c:v>
                </c:pt>
                <c:pt idx="3">
                  <c:v>Brasov</c:v>
                </c:pt>
                <c:pt idx="4">
                  <c:v>Covasna</c:v>
                </c:pt>
                <c:pt idx="5">
                  <c:v>Harghita</c:v>
                </c:pt>
                <c:pt idx="6">
                  <c:v>Mures</c:v>
                </c:pt>
                <c:pt idx="7">
                  <c:v>Sibiu</c:v>
                </c:pt>
              </c:strCache>
            </c:strRef>
          </c:cat>
          <c:val>
            <c:numRef>
              <c:f>Foaie8!$M$82:$M$89</c:f>
              <c:numCache>
                <c:formatCode>0.00</c:formatCode>
                <c:ptCount val="8"/>
                <c:pt idx="0">
                  <c:v>12.591884305133696</c:v>
                </c:pt>
                <c:pt idx="1">
                  <c:v>12.243503685902795</c:v>
                </c:pt>
                <c:pt idx="2">
                  <c:v>17.649854264351795</c:v>
                </c:pt>
                <c:pt idx="3">
                  <c:v>9.6694991655957008</c:v>
                </c:pt>
                <c:pt idx="4">
                  <c:v>10.104765123352383</c:v>
                </c:pt>
                <c:pt idx="5">
                  <c:v>16.975609756097562</c:v>
                </c:pt>
                <c:pt idx="6">
                  <c:v>10.663089115798376</c:v>
                </c:pt>
                <c:pt idx="7">
                  <c:v>11.44648902005035</c:v>
                </c:pt>
              </c:numCache>
            </c:numRef>
          </c:val>
        </c:ser>
        <c:ser>
          <c:idx val="4"/>
          <c:order val="4"/>
          <c:tx>
            <c:strRef>
              <c:f>Foaie8!$N$81</c:f>
              <c:strCache>
                <c:ptCount val="1"/>
                <c:pt idx="0">
                  <c:v>Anul 2014</c:v>
                </c:pt>
              </c:strCache>
            </c:strRef>
          </c:tx>
          <c:cat>
            <c:strRef>
              <c:f>Foaie8!$I$82:$I$89</c:f>
              <c:strCache>
                <c:ptCount val="8"/>
                <c:pt idx="0">
                  <c:v>Romania</c:v>
                </c:pt>
                <c:pt idx="1">
                  <c:v>Regiunea CENTRU</c:v>
                </c:pt>
                <c:pt idx="2">
                  <c:v>Alba</c:v>
                </c:pt>
                <c:pt idx="3">
                  <c:v>Brasov</c:v>
                </c:pt>
                <c:pt idx="4">
                  <c:v>Covasna</c:v>
                </c:pt>
                <c:pt idx="5">
                  <c:v>Harghita</c:v>
                </c:pt>
                <c:pt idx="6">
                  <c:v>Mures</c:v>
                </c:pt>
                <c:pt idx="7">
                  <c:v>Sibiu</c:v>
                </c:pt>
              </c:strCache>
            </c:strRef>
          </c:cat>
          <c:val>
            <c:numRef>
              <c:f>Foaie8!$N$82:$N$89</c:f>
              <c:numCache>
                <c:formatCode>0.00</c:formatCode>
                <c:ptCount val="8"/>
                <c:pt idx="0">
                  <c:v>12.42783530481139</c:v>
                </c:pt>
                <c:pt idx="1">
                  <c:v>12.506882606466824</c:v>
                </c:pt>
                <c:pt idx="2">
                  <c:v>17.723092219736486</c:v>
                </c:pt>
                <c:pt idx="3">
                  <c:v>10.399048879173154</c:v>
                </c:pt>
                <c:pt idx="4">
                  <c:v>10.26859614460405</c:v>
                </c:pt>
                <c:pt idx="5">
                  <c:v>17.994700482634617</c:v>
                </c:pt>
                <c:pt idx="6">
                  <c:v>11.295367658011019</c:v>
                </c:pt>
                <c:pt idx="7">
                  <c:v>10.705627705627705</c:v>
                </c:pt>
              </c:numCache>
            </c:numRef>
          </c:val>
        </c:ser>
        <c:shape val="cone"/>
        <c:axId val="135686016"/>
        <c:axId val="135775744"/>
        <c:axId val="0"/>
      </c:bar3DChart>
      <c:catAx>
        <c:axId val="135686016"/>
        <c:scaling>
          <c:orientation val="minMax"/>
        </c:scaling>
        <c:axPos val="b"/>
        <c:tickLblPos val="nextTo"/>
        <c:txPr>
          <a:bodyPr/>
          <a:lstStyle/>
          <a:p>
            <a:pPr>
              <a:defRPr lang="en-US"/>
            </a:pPr>
            <a:endParaRPr lang="en-US"/>
          </a:p>
        </c:txPr>
        <c:crossAx val="135775744"/>
        <c:crosses val="autoZero"/>
        <c:auto val="1"/>
        <c:lblAlgn val="ctr"/>
        <c:lblOffset val="100"/>
      </c:catAx>
      <c:valAx>
        <c:axId val="135775744"/>
        <c:scaling>
          <c:orientation val="minMax"/>
          <c:min val="5"/>
        </c:scaling>
        <c:axPos val="l"/>
        <c:majorGridlines/>
        <c:numFmt formatCode="0.00" sourceLinked="1"/>
        <c:tickLblPos val="nextTo"/>
        <c:txPr>
          <a:bodyPr/>
          <a:lstStyle/>
          <a:p>
            <a:pPr>
              <a:defRPr lang="en-US"/>
            </a:pPr>
            <a:endParaRPr lang="en-US"/>
          </a:p>
        </c:txPr>
        <c:crossAx val="135686016"/>
        <c:crosses val="autoZero"/>
        <c:crossBetween val="between"/>
      </c:valAx>
    </c:plotArea>
    <c:legend>
      <c:legendPos val="r"/>
      <c:layout>
        <c:manualLayout>
          <c:xMode val="edge"/>
          <c:yMode val="edge"/>
          <c:x val="1.2202164247820332E-2"/>
          <c:y val="0.87637634050334734"/>
          <c:w val="0.95032401232002583"/>
          <c:h val="0.12060817267956027"/>
        </c:manualLayout>
      </c:layout>
      <c:txPr>
        <a:bodyPr/>
        <a:lstStyle/>
        <a:p>
          <a:pPr>
            <a:defRPr lang="en-US"/>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600"/>
            </a:pPr>
            <a:r>
              <a:rPr lang="en-US" sz="1200"/>
              <a:t>Cifra de afaceri a </a:t>
            </a:r>
            <a:r>
              <a:rPr lang="ro-RO" sz="1200"/>
              <a:t>i</a:t>
            </a:r>
            <a:r>
              <a:rPr lang="en-US" sz="1200"/>
              <a:t>ndustriilor </a:t>
            </a:r>
            <a:r>
              <a:rPr lang="ro-RO" sz="1200"/>
              <a:t>t</a:t>
            </a:r>
            <a:r>
              <a:rPr lang="en-US" sz="1200"/>
              <a:t>extile</a:t>
            </a:r>
            <a:r>
              <a:rPr lang="ro-RO" sz="1200"/>
              <a:t> și de</a:t>
            </a:r>
            <a:r>
              <a:rPr lang="ro-RO" sz="1200" baseline="0"/>
              <a:t> confectii</a:t>
            </a:r>
            <a:r>
              <a:rPr lang="ro-RO" sz="1200"/>
              <a:t> (preturi</a:t>
            </a:r>
            <a:r>
              <a:rPr lang="ro-RO" sz="1200" baseline="0"/>
              <a:t> curente</a:t>
            </a:r>
            <a:r>
              <a:rPr lang="ro-RO" sz="1200"/>
              <a:t>)</a:t>
            </a:r>
            <a:endParaRPr lang="vi-VN" sz="1200"/>
          </a:p>
        </c:rich>
      </c:tx>
      <c:layout>
        <c:manualLayout>
          <c:xMode val="edge"/>
          <c:yMode val="edge"/>
          <c:x val="0.18233855276598543"/>
          <c:y val="4.8780487804878703E-2"/>
        </c:manualLayout>
      </c:layout>
      <c:overlay val="1"/>
    </c:title>
    <c:view3D>
      <c:rAngAx val="1"/>
    </c:view3D>
    <c:plotArea>
      <c:layout>
        <c:manualLayout>
          <c:layoutTarget val="inner"/>
          <c:xMode val="edge"/>
          <c:yMode val="edge"/>
          <c:x val="7.3928793646851523E-2"/>
          <c:y val="0.16293502336598234"/>
          <c:w val="0.81302020783789264"/>
          <c:h val="0.66247666602650646"/>
        </c:manualLayout>
      </c:layout>
      <c:bar3DChart>
        <c:barDir val="col"/>
        <c:grouping val="clustered"/>
        <c:ser>
          <c:idx val="0"/>
          <c:order val="0"/>
          <c:tx>
            <c:strRef>
              <c:f>'cifra afaceri'!$C$46</c:f>
              <c:strCache>
                <c:ptCount val="1"/>
                <c:pt idx="0">
                  <c:v>2010</c:v>
                </c:pt>
              </c:strCache>
            </c:strRef>
          </c:tx>
          <c:cat>
            <c:strRef>
              <c:f>'cifra afaceri'!$B$47:$B$52</c:f>
              <c:strCache>
                <c:ptCount val="6"/>
                <c:pt idx="0">
                  <c:v>Alba</c:v>
                </c:pt>
                <c:pt idx="1">
                  <c:v>Brasov</c:v>
                </c:pt>
                <c:pt idx="2">
                  <c:v>Covasna</c:v>
                </c:pt>
                <c:pt idx="3">
                  <c:v>Harghita</c:v>
                </c:pt>
                <c:pt idx="4">
                  <c:v>Mures</c:v>
                </c:pt>
                <c:pt idx="5">
                  <c:v>Sibiu</c:v>
                </c:pt>
              </c:strCache>
            </c:strRef>
          </c:cat>
          <c:val>
            <c:numRef>
              <c:f>'cifra afaceri'!$C$47:$C$52</c:f>
              <c:numCache>
                <c:formatCode>0</c:formatCode>
                <c:ptCount val="6"/>
                <c:pt idx="0">
                  <c:v>159.30729800000083</c:v>
                </c:pt>
                <c:pt idx="1">
                  <c:v>350.55865900000003</c:v>
                </c:pt>
                <c:pt idx="2">
                  <c:v>304.32637899999776</c:v>
                </c:pt>
                <c:pt idx="3">
                  <c:v>344.53650099999822</c:v>
                </c:pt>
                <c:pt idx="4">
                  <c:v>283.46490299999999</c:v>
                </c:pt>
                <c:pt idx="5">
                  <c:v>857.22452099999998</c:v>
                </c:pt>
              </c:numCache>
            </c:numRef>
          </c:val>
        </c:ser>
        <c:ser>
          <c:idx val="1"/>
          <c:order val="1"/>
          <c:tx>
            <c:strRef>
              <c:f>'cifra afaceri'!$D$46</c:f>
              <c:strCache>
                <c:ptCount val="1"/>
                <c:pt idx="0">
                  <c:v>2015</c:v>
                </c:pt>
              </c:strCache>
            </c:strRef>
          </c:tx>
          <c:cat>
            <c:strRef>
              <c:f>'cifra afaceri'!$B$47:$B$52</c:f>
              <c:strCache>
                <c:ptCount val="6"/>
                <c:pt idx="0">
                  <c:v>Alba</c:v>
                </c:pt>
                <c:pt idx="1">
                  <c:v>Brasov</c:v>
                </c:pt>
                <c:pt idx="2">
                  <c:v>Covasna</c:v>
                </c:pt>
                <c:pt idx="3">
                  <c:v>Harghita</c:v>
                </c:pt>
                <c:pt idx="4">
                  <c:v>Mures</c:v>
                </c:pt>
                <c:pt idx="5">
                  <c:v>Sibiu</c:v>
                </c:pt>
              </c:strCache>
            </c:strRef>
          </c:cat>
          <c:val>
            <c:numRef>
              <c:f>'cifra afaceri'!$D$47:$D$52</c:f>
              <c:numCache>
                <c:formatCode>0</c:formatCode>
                <c:ptCount val="6"/>
                <c:pt idx="0">
                  <c:v>173.75568199999998</c:v>
                </c:pt>
                <c:pt idx="1">
                  <c:v>390.68025899999969</c:v>
                </c:pt>
                <c:pt idx="2">
                  <c:v>335.00224500000002</c:v>
                </c:pt>
                <c:pt idx="3">
                  <c:v>428.41712599999869</c:v>
                </c:pt>
                <c:pt idx="4">
                  <c:v>439.85416299999997</c:v>
                </c:pt>
                <c:pt idx="5">
                  <c:v>607.87399900000003</c:v>
                </c:pt>
              </c:numCache>
            </c:numRef>
          </c:val>
        </c:ser>
        <c:gapDepth val="500"/>
        <c:shape val="cylinder"/>
        <c:axId val="150699008"/>
        <c:axId val="150824064"/>
        <c:axId val="0"/>
      </c:bar3DChart>
      <c:catAx>
        <c:axId val="150699008"/>
        <c:scaling>
          <c:orientation val="minMax"/>
        </c:scaling>
        <c:axPos val="b"/>
        <c:title>
          <c:tx>
            <c:rich>
              <a:bodyPr/>
              <a:lstStyle/>
              <a:p>
                <a:pPr>
                  <a:defRPr lang="en-US"/>
                </a:pPr>
                <a:r>
                  <a:rPr lang="en-US" baseline="0"/>
                  <a:t>			</a:t>
                </a:r>
                <a:endParaRPr lang="vi-VN"/>
              </a:p>
            </c:rich>
          </c:tx>
          <c:layout/>
        </c:title>
        <c:tickLblPos val="nextTo"/>
        <c:txPr>
          <a:bodyPr/>
          <a:lstStyle/>
          <a:p>
            <a:pPr>
              <a:defRPr lang="en-US"/>
            </a:pPr>
            <a:endParaRPr lang="en-US"/>
          </a:p>
        </c:txPr>
        <c:crossAx val="150824064"/>
        <c:crosses val="autoZero"/>
        <c:auto val="1"/>
        <c:lblAlgn val="ctr"/>
        <c:lblOffset val="100"/>
      </c:catAx>
      <c:valAx>
        <c:axId val="150824064"/>
        <c:scaling>
          <c:orientation val="minMax"/>
        </c:scaling>
        <c:axPos val="l"/>
        <c:majorGridlines/>
        <c:numFmt formatCode="0" sourceLinked="1"/>
        <c:tickLblPos val="nextTo"/>
        <c:txPr>
          <a:bodyPr/>
          <a:lstStyle/>
          <a:p>
            <a:pPr>
              <a:defRPr lang="en-US"/>
            </a:pPr>
            <a:endParaRPr lang="en-US"/>
          </a:p>
        </c:txPr>
        <c:crossAx val="150699008"/>
        <c:crosses val="autoZero"/>
        <c:crossBetween val="between"/>
      </c:valAx>
    </c:plotArea>
    <c:legend>
      <c:legendPos val="r"/>
      <c:layout/>
      <c:txPr>
        <a:bodyPr/>
        <a:lstStyle/>
        <a:p>
          <a:pPr>
            <a:defRPr lang="en-US"/>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1200"/>
              <a:t>Evolutia nr. de salariati in industria textile si confectii</a:t>
            </a:r>
          </a:p>
        </c:rich>
      </c:tx>
      <c:layout/>
    </c:title>
    <c:plotArea>
      <c:layout/>
      <c:barChart>
        <c:barDir val="col"/>
        <c:grouping val="clustered"/>
        <c:ser>
          <c:idx val="1"/>
          <c:order val="0"/>
          <c:tx>
            <c:strRef>
              <c:f>'nr salariati'!$A$49</c:f>
              <c:strCache>
                <c:ptCount val="1"/>
                <c:pt idx="0">
                  <c:v>Alba</c:v>
                </c:pt>
              </c:strCache>
            </c:strRef>
          </c:tx>
          <c:cat>
            <c:strRef>
              <c:f>'nr salariati'!$B$45:$G$46</c:f>
              <c:strCache>
                <c:ptCount val="6"/>
                <c:pt idx="0">
                  <c:v>2010</c:v>
                </c:pt>
                <c:pt idx="1">
                  <c:v>2011</c:v>
                </c:pt>
                <c:pt idx="2">
                  <c:v>2012</c:v>
                </c:pt>
                <c:pt idx="3">
                  <c:v>2013</c:v>
                </c:pt>
                <c:pt idx="4">
                  <c:v>2014</c:v>
                </c:pt>
                <c:pt idx="5">
                  <c:v>2015</c:v>
                </c:pt>
              </c:strCache>
            </c:strRef>
          </c:cat>
          <c:val>
            <c:numRef>
              <c:f>'nr salariati'!$B$49:$G$49</c:f>
              <c:numCache>
                <c:formatCode>General</c:formatCode>
                <c:ptCount val="6"/>
                <c:pt idx="0">
                  <c:v>4038</c:v>
                </c:pt>
                <c:pt idx="1">
                  <c:v>4036</c:v>
                </c:pt>
                <c:pt idx="2">
                  <c:v>4044</c:v>
                </c:pt>
                <c:pt idx="3">
                  <c:v>3811</c:v>
                </c:pt>
                <c:pt idx="4">
                  <c:v>3283</c:v>
                </c:pt>
                <c:pt idx="5">
                  <c:v>3003</c:v>
                </c:pt>
              </c:numCache>
            </c:numRef>
          </c:val>
        </c:ser>
        <c:ser>
          <c:idx val="2"/>
          <c:order val="1"/>
          <c:tx>
            <c:strRef>
              <c:f>'nr salariati'!$A$50</c:f>
              <c:strCache>
                <c:ptCount val="1"/>
                <c:pt idx="0">
                  <c:v>Brasov</c:v>
                </c:pt>
              </c:strCache>
            </c:strRef>
          </c:tx>
          <c:cat>
            <c:strRef>
              <c:f>'nr salariati'!$B$45:$G$46</c:f>
              <c:strCache>
                <c:ptCount val="6"/>
                <c:pt idx="0">
                  <c:v>2010</c:v>
                </c:pt>
                <c:pt idx="1">
                  <c:v>2011</c:v>
                </c:pt>
                <c:pt idx="2">
                  <c:v>2012</c:v>
                </c:pt>
                <c:pt idx="3">
                  <c:v>2013</c:v>
                </c:pt>
                <c:pt idx="4">
                  <c:v>2014</c:v>
                </c:pt>
                <c:pt idx="5">
                  <c:v>2015</c:v>
                </c:pt>
              </c:strCache>
            </c:strRef>
          </c:cat>
          <c:val>
            <c:numRef>
              <c:f>'nr salariati'!$B$50:$G$50</c:f>
              <c:numCache>
                <c:formatCode>General</c:formatCode>
                <c:ptCount val="6"/>
                <c:pt idx="0">
                  <c:v>2482</c:v>
                </c:pt>
                <c:pt idx="1">
                  <c:v>2573</c:v>
                </c:pt>
                <c:pt idx="2">
                  <c:v>2677</c:v>
                </c:pt>
                <c:pt idx="3">
                  <c:v>2555</c:v>
                </c:pt>
                <c:pt idx="4">
                  <c:v>2693</c:v>
                </c:pt>
                <c:pt idx="5">
                  <c:v>3508</c:v>
                </c:pt>
              </c:numCache>
            </c:numRef>
          </c:val>
        </c:ser>
        <c:ser>
          <c:idx val="3"/>
          <c:order val="2"/>
          <c:tx>
            <c:strRef>
              <c:f>'nr salariati'!$A$51</c:f>
              <c:strCache>
                <c:ptCount val="1"/>
                <c:pt idx="0">
                  <c:v>Covasna</c:v>
                </c:pt>
              </c:strCache>
            </c:strRef>
          </c:tx>
          <c:cat>
            <c:strRef>
              <c:f>'nr salariati'!$B$45:$G$46</c:f>
              <c:strCache>
                <c:ptCount val="6"/>
                <c:pt idx="0">
                  <c:v>2010</c:v>
                </c:pt>
                <c:pt idx="1">
                  <c:v>2011</c:v>
                </c:pt>
                <c:pt idx="2">
                  <c:v>2012</c:v>
                </c:pt>
                <c:pt idx="3">
                  <c:v>2013</c:v>
                </c:pt>
                <c:pt idx="4">
                  <c:v>2014</c:v>
                </c:pt>
                <c:pt idx="5">
                  <c:v>2015</c:v>
                </c:pt>
              </c:strCache>
            </c:strRef>
          </c:cat>
          <c:val>
            <c:numRef>
              <c:f>'nr salariati'!$B$51:$G$51</c:f>
              <c:numCache>
                <c:formatCode>General</c:formatCode>
                <c:ptCount val="6"/>
                <c:pt idx="0">
                  <c:v>4536</c:v>
                </c:pt>
                <c:pt idx="1">
                  <c:v>5020</c:v>
                </c:pt>
                <c:pt idx="2">
                  <c:v>4940</c:v>
                </c:pt>
                <c:pt idx="3">
                  <c:v>4969</c:v>
                </c:pt>
                <c:pt idx="4">
                  <c:v>4850</c:v>
                </c:pt>
                <c:pt idx="5">
                  <c:v>5351</c:v>
                </c:pt>
              </c:numCache>
            </c:numRef>
          </c:val>
        </c:ser>
        <c:ser>
          <c:idx val="4"/>
          <c:order val="3"/>
          <c:tx>
            <c:strRef>
              <c:f>'nr salariati'!$A$52</c:f>
              <c:strCache>
                <c:ptCount val="1"/>
                <c:pt idx="0">
                  <c:v>Harghita</c:v>
                </c:pt>
              </c:strCache>
            </c:strRef>
          </c:tx>
          <c:cat>
            <c:strRef>
              <c:f>'nr salariati'!$B$45:$G$46</c:f>
              <c:strCache>
                <c:ptCount val="6"/>
                <c:pt idx="0">
                  <c:v>2010</c:v>
                </c:pt>
                <c:pt idx="1">
                  <c:v>2011</c:v>
                </c:pt>
                <c:pt idx="2">
                  <c:v>2012</c:v>
                </c:pt>
                <c:pt idx="3">
                  <c:v>2013</c:v>
                </c:pt>
                <c:pt idx="4">
                  <c:v>2014</c:v>
                </c:pt>
                <c:pt idx="5">
                  <c:v>2015</c:v>
                </c:pt>
              </c:strCache>
            </c:strRef>
          </c:cat>
          <c:val>
            <c:numRef>
              <c:f>'nr salariati'!$B$52:$G$52</c:f>
              <c:numCache>
                <c:formatCode>General</c:formatCode>
                <c:ptCount val="6"/>
                <c:pt idx="0">
                  <c:v>4366</c:v>
                </c:pt>
                <c:pt idx="1">
                  <c:v>4708</c:v>
                </c:pt>
                <c:pt idx="2">
                  <c:v>4807</c:v>
                </c:pt>
                <c:pt idx="3">
                  <c:v>4472</c:v>
                </c:pt>
                <c:pt idx="4">
                  <c:v>4357</c:v>
                </c:pt>
                <c:pt idx="5">
                  <c:v>4751</c:v>
                </c:pt>
              </c:numCache>
            </c:numRef>
          </c:val>
        </c:ser>
        <c:ser>
          <c:idx val="5"/>
          <c:order val="4"/>
          <c:tx>
            <c:strRef>
              <c:f>'nr salariati'!$A$53</c:f>
              <c:strCache>
                <c:ptCount val="1"/>
                <c:pt idx="0">
                  <c:v>Mures</c:v>
                </c:pt>
              </c:strCache>
            </c:strRef>
          </c:tx>
          <c:cat>
            <c:strRef>
              <c:f>'nr salariati'!$B$45:$G$46</c:f>
              <c:strCache>
                <c:ptCount val="6"/>
                <c:pt idx="0">
                  <c:v>2010</c:v>
                </c:pt>
                <c:pt idx="1">
                  <c:v>2011</c:v>
                </c:pt>
                <c:pt idx="2">
                  <c:v>2012</c:v>
                </c:pt>
                <c:pt idx="3">
                  <c:v>2013</c:v>
                </c:pt>
                <c:pt idx="4">
                  <c:v>2014</c:v>
                </c:pt>
                <c:pt idx="5">
                  <c:v>2015</c:v>
                </c:pt>
              </c:strCache>
            </c:strRef>
          </c:cat>
          <c:val>
            <c:numRef>
              <c:f>'nr salariati'!$B$53:$G$53</c:f>
              <c:numCache>
                <c:formatCode>General</c:formatCode>
                <c:ptCount val="6"/>
                <c:pt idx="0">
                  <c:v>5271</c:v>
                </c:pt>
                <c:pt idx="1">
                  <c:v>5868</c:v>
                </c:pt>
                <c:pt idx="2">
                  <c:v>5720</c:v>
                </c:pt>
                <c:pt idx="3">
                  <c:v>5619</c:v>
                </c:pt>
                <c:pt idx="4">
                  <c:v>5495</c:v>
                </c:pt>
                <c:pt idx="5">
                  <c:v>5678</c:v>
                </c:pt>
              </c:numCache>
            </c:numRef>
          </c:val>
        </c:ser>
        <c:ser>
          <c:idx val="6"/>
          <c:order val="5"/>
          <c:tx>
            <c:strRef>
              <c:f>'nr salariati'!$A$54</c:f>
              <c:strCache>
                <c:ptCount val="1"/>
                <c:pt idx="0">
                  <c:v>Sibiu</c:v>
                </c:pt>
              </c:strCache>
            </c:strRef>
          </c:tx>
          <c:cat>
            <c:strRef>
              <c:f>'nr salariati'!$B$45:$G$46</c:f>
              <c:strCache>
                <c:ptCount val="6"/>
                <c:pt idx="0">
                  <c:v>2010</c:v>
                </c:pt>
                <c:pt idx="1">
                  <c:v>2011</c:v>
                </c:pt>
                <c:pt idx="2">
                  <c:v>2012</c:v>
                </c:pt>
                <c:pt idx="3">
                  <c:v>2013</c:v>
                </c:pt>
                <c:pt idx="4">
                  <c:v>2014</c:v>
                </c:pt>
                <c:pt idx="5">
                  <c:v>2015</c:v>
                </c:pt>
              </c:strCache>
            </c:strRef>
          </c:cat>
          <c:val>
            <c:numRef>
              <c:f>'nr salariati'!$B$54:$G$54</c:f>
              <c:numCache>
                <c:formatCode>General</c:formatCode>
                <c:ptCount val="6"/>
                <c:pt idx="0">
                  <c:v>5243</c:v>
                </c:pt>
                <c:pt idx="1">
                  <c:v>4859</c:v>
                </c:pt>
                <c:pt idx="2">
                  <c:v>5041</c:v>
                </c:pt>
                <c:pt idx="3">
                  <c:v>5177</c:v>
                </c:pt>
                <c:pt idx="4">
                  <c:v>4963</c:v>
                </c:pt>
                <c:pt idx="5">
                  <c:v>4388</c:v>
                </c:pt>
              </c:numCache>
            </c:numRef>
          </c:val>
        </c:ser>
        <c:gapWidth val="75"/>
        <c:overlap val="-25"/>
        <c:axId val="89490560"/>
        <c:axId val="89492096"/>
      </c:barChart>
      <c:catAx>
        <c:axId val="89490560"/>
        <c:scaling>
          <c:orientation val="minMax"/>
        </c:scaling>
        <c:axPos val="b"/>
        <c:majorTickMark val="none"/>
        <c:tickLblPos val="nextTo"/>
        <c:txPr>
          <a:bodyPr/>
          <a:lstStyle/>
          <a:p>
            <a:pPr>
              <a:defRPr lang="en-US"/>
            </a:pPr>
            <a:endParaRPr lang="en-US"/>
          </a:p>
        </c:txPr>
        <c:crossAx val="89492096"/>
        <c:crosses val="autoZero"/>
        <c:auto val="1"/>
        <c:lblAlgn val="ctr"/>
        <c:lblOffset val="100"/>
      </c:catAx>
      <c:valAx>
        <c:axId val="89492096"/>
        <c:scaling>
          <c:orientation val="minMax"/>
        </c:scaling>
        <c:axPos val="l"/>
        <c:majorGridlines/>
        <c:numFmt formatCode="General" sourceLinked="1"/>
        <c:majorTickMark val="none"/>
        <c:tickLblPos val="nextTo"/>
        <c:spPr>
          <a:ln w="9525">
            <a:noFill/>
          </a:ln>
        </c:spPr>
        <c:txPr>
          <a:bodyPr/>
          <a:lstStyle/>
          <a:p>
            <a:pPr>
              <a:defRPr lang="en-US"/>
            </a:pPr>
            <a:endParaRPr lang="en-US"/>
          </a:p>
        </c:txPr>
        <c:crossAx val="89490560"/>
        <c:crosses val="autoZero"/>
        <c:crossBetween val="between"/>
      </c:valAx>
    </c:plotArea>
    <c:legend>
      <c:legendPos val="b"/>
      <c:layout/>
      <c:txPr>
        <a:bodyPr/>
        <a:lstStyle/>
        <a:p>
          <a:pPr>
            <a:defRPr lang="en-US"/>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ro-RO"/>
            </a:pPr>
            <a:r>
              <a:rPr lang="ro-RO" sz="1100"/>
              <a:t>Ponderea grupei ,,</a:t>
            </a:r>
            <a:r>
              <a:rPr lang="ro-RO" sz="1100" baseline="0"/>
              <a:t> </a:t>
            </a:r>
            <a:r>
              <a:rPr lang="en-US" sz="1100" baseline="0"/>
              <a:t>Textile si articole din textile</a:t>
            </a:r>
            <a:r>
              <a:rPr lang="ro-RO" sz="1100" baseline="0"/>
              <a:t>” din totalul exporturilor în anul 2015</a:t>
            </a:r>
            <a:endParaRPr lang="vi-VN" sz="1100"/>
          </a:p>
        </c:rich>
      </c:tx>
      <c:layout/>
    </c:title>
    <c:plotArea>
      <c:layout/>
      <c:barChart>
        <c:barDir val="bar"/>
        <c:grouping val="clustered"/>
        <c:ser>
          <c:idx val="0"/>
          <c:order val="0"/>
          <c:tx>
            <c:strRef>
              <c:f>Foaie1!$B$1</c:f>
              <c:strCache>
                <c:ptCount val="1"/>
                <c:pt idx="0">
                  <c:v>Romania</c:v>
                </c:pt>
              </c:strCache>
            </c:strRef>
          </c:tx>
          <c:dLbls>
            <c:txPr>
              <a:bodyPr/>
              <a:lstStyle/>
              <a:p>
                <a:pPr>
                  <a:defRPr lang="en-US"/>
                </a:pPr>
                <a:endParaRPr lang="en-US"/>
              </a:p>
            </c:txPr>
            <c:showVal val="1"/>
          </c:dLbls>
          <c:cat>
            <c:numRef>
              <c:f>Foaie1!$A$2</c:f>
              <c:numCache>
                <c:formatCode>General</c:formatCode>
                <c:ptCount val="1"/>
              </c:numCache>
            </c:numRef>
          </c:cat>
          <c:val>
            <c:numRef>
              <c:f>Foaie1!$B$2</c:f>
              <c:numCache>
                <c:formatCode>0</c:formatCode>
                <c:ptCount val="1"/>
                <c:pt idx="0">
                  <c:v>7.228871859705194</c:v>
                </c:pt>
              </c:numCache>
            </c:numRef>
          </c:val>
        </c:ser>
        <c:ser>
          <c:idx val="1"/>
          <c:order val="1"/>
          <c:tx>
            <c:strRef>
              <c:f>Foaie1!$C$1</c:f>
              <c:strCache>
                <c:ptCount val="1"/>
                <c:pt idx="0">
                  <c:v>Reg Centru</c:v>
                </c:pt>
              </c:strCache>
            </c:strRef>
          </c:tx>
          <c:dLbls>
            <c:txPr>
              <a:bodyPr/>
              <a:lstStyle/>
              <a:p>
                <a:pPr>
                  <a:defRPr lang="en-US"/>
                </a:pPr>
                <a:endParaRPr lang="en-US"/>
              </a:p>
            </c:txPr>
            <c:showVal val="1"/>
          </c:dLbls>
          <c:cat>
            <c:numRef>
              <c:f>Foaie1!$A$2</c:f>
              <c:numCache>
                <c:formatCode>General</c:formatCode>
                <c:ptCount val="1"/>
              </c:numCache>
            </c:numRef>
          </c:cat>
          <c:val>
            <c:numRef>
              <c:f>Foaie1!$C$2</c:f>
              <c:numCache>
                <c:formatCode>0</c:formatCode>
                <c:ptCount val="1"/>
                <c:pt idx="0">
                  <c:v>8.6842003812017889</c:v>
                </c:pt>
              </c:numCache>
            </c:numRef>
          </c:val>
        </c:ser>
        <c:ser>
          <c:idx val="2"/>
          <c:order val="2"/>
          <c:tx>
            <c:strRef>
              <c:f>Foaie1!$D$1</c:f>
              <c:strCache>
                <c:ptCount val="1"/>
                <c:pt idx="0">
                  <c:v>Alba</c:v>
                </c:pt>
              </c:strCache>
            </c:strRef>
          </c:tx>
          <c:dLbls>
            <c:txPr>
              <a:bodyPr/>
              <a:lstStyle/>
              <a:p>
                <a:pPr>
                  <a:defRPr lang="en-US"/>
                </a:pPr>
                <a:endParaRPr lang="en-US"/>
              </a:p>
            </c:txPr>
            <c:showVal val="1"/>
          </c:dLbls>
          <c:cat>
            <c:numRef>
              <c:f>Foaie1!$A$2</c:f>
              <c:numCache>
                <c:formatCode>General</c:formatCode>
                <c:ptCount val="1"/>
              </c:numCache>
            </c:numRef>
          </c:cat>
          <c:val>
            <c:numRef>
              <c:f>Foaie1!$D$2</c:f>
              <c:numCache>
                <c:formatCode>0</c:formatCode>
                <c:ptCount val="1"/>
                <c:pt idx="0">
                  <c:v>4.3887836442311539</c:v>
                </c:pt>
              </c:numCache>
            </c:numRef>
          </c:val>
        </c:ser>
        <c:ser>
          <c:idx val="3"/>
          <c:order val="3"/>
          <c:tx>
            <c:strRef>
              <c:f>Foaie1!$E$1</c:f>
              <c:strCache>
                <c:ptCount val="1"/>
                <c:pt idx="0">
                  <c:v>Brasov</c:v>
                </c:pt>
              </c:strCache>
            </c:strRef>
          </c:tx>
          <c:dLbls>
            <c:txPr>
              <a:bodyPr/>
              <a:lstStyle/>
              <a:p>
                <a:pPr>
                  <a:defRPr lang="en-US"/>
                </a:pPr>
                <a:endParaRPr lang="en-US"/>
              </a:p>
            </c:txPr>
            <c:showVal val="1"/>
          </c:dLbls>
          <c:cat>
            <c:numRef>
              <c:f>Foaie1!$A$2</c:f>
              <c:numCache>
                <c:formatCode>General</c:formatCode>
                <c:ptCount val="1"/>
              </c:numCache>
            </c:numRef>
          </c:cat>
          <c:val>
            <c:numRef>
              <c:f>Foaie1!$E$2</c:f>
              <c:numCache>
                <c:formatCode>0</c:formatCode>
                <c:ptCount val="1"/>
                <c:pt idx="0">
                  <c:v>4.0943644715483973</c:v>
                </c:pt>
              </c:numCache>
            </c:numRef>
          </c:val>
        </c:ser>
        <c:ser>
          <c:idx val="4"/>
          <c:order val="4"/>
          <c:tx>
            <c:strRef>
              <c:f>Foaie1!$F$1</c:f>
              <c:strCache>
                <c:ptCount val="1"/>
                <c:pt idx="0">
                  <c:v>Covasna</c:v>
                </c:pt>
              </c:strCache>
            </c:strRef>
          </c:tx>
          <c:dLbls>
            <c:txPr>
              <a:bodyPr/>
              <a:lstStyle/>
              <a:p>
                <a:pPr>
                  <a:defRPr lang="en-US"/>
                </a:pPr>
                <a:endParaRPr lang="en-US"/>
              </a:p>
            </c:txPr>
            <c:showVal val="1"/>
          </c:dLbls>
          <c:cat>
            <c:numRef>
              <c:f>Foaie1!$A$2</c:f>
              <c:numCache>
                <c:formatCode>General</c:formatCode>
                <c:ptCount val="1"/>
              </c:numCache>
            </c:numRef>
          </c:cat>
          <c:val>
            <c:numRef>
              <c:f>Foaie1!$F$2</c:f>
              <c:numCache>
                <c:formatCode>0</c:formatCode>
                <c:ptCount val="1"/>
                <c:pt idx="0">
                  <c:v>50.748860209376225</c:v>
                </c:pt>
              </c:numCache>
            </c:numRef>
          </c:val>
        </c:ser>
        <c:ser>
          <c:idx val="5"/>
          <c:order val="5"/>
          <c:tx>
            <c:strRef>
              <c:f>Foaie1!$G$1</c:f>
              <c:strCache>
                <c:ptCount val="1"/>
                <c:pt idx="0">
                  <c:v>Harghita</c:v>
                </c:pt>
              </c:strCache>
            </c:strRef>
          </c:tx>
          <c:dLbls>
            <c:txPr>
              <a:bodyPr/>
              <a:lstStyle/>
              <a:p>
                <a:pPr>
                  <a:defRPr lang="en-US"/>
                </a:pPr>
                <a:endParaRPr lang="en-US"/>
              </a:p>
            </c:txPr>
            <c:showVal val="1"/>
          </c:dLbls>
          <c:cat>
            <c:numRef>
              <c:f>Foaie1!$A$2</c:f>
              <c:numCache>
                <c:formatCode>General</c:formatCode>
                <c:ptCount val="1"/>
              </c:numCache>
            </c:numRef>
          </c:cat>
          <c:val>
            <c:numRef>
              <c:f>Foaie1!$G$2</c:f>
              <c:numCache>
                <c:formatCode>0</c:formatCode>
                <c:ptCount val="1"/>
                <c:pt idx="0">
                  <c:v>32.802112139860192</c:v>
                </c:pt>
              </c:numCache>
            </c:numRef>
          </c:val>
        </c:ser>
        <c:ser>
          <c:idx val="6"/>
          <c:order val="6"/>
          <c:tx>
            <c:strRef>
              <c:f>Foaie1!$H$1</c:f>
              <c:strCache>
                <c:ptCount val="1"/>
                <c:pt idx="0">
                  <c:v>Mures</c:v>
                </c:pt>
              </c:strCache>
            </c:strRef>
          </c:tx>
          <c:dLbls>
            <c:txPr>
              <a:bodyPr/>
              <a:lstStyle/>
              <a:p>
                <a:pPr>
                  <a:defRPr lang="en-US"/>
                </a:pPr>
                <a:endParaRPr lang="en-US"/>
              </a:p>
            </c:txPr>
            <c:showVal val="1"/>
          </c:dLbls>
          <c:cat>
            <c:numRef>
              <c:f>Foaie1!$A$2</c:f>
              <c:numCache>
                <c:formatCode>General</c:formatCode>
                <c:ptCount val="1"/>
              </c:numCache>
            </c:numRef>
          </c:cat>
          <c:val>
            <c:numRef>
              <c:f>Foaie1!$H$2</c:f>
              <c:numCache>
                <c:formatCode>0</c:formatCode>
                <c:ptCount val="1"/>
                <c:pt idx="0">
                  <c:v>9.8381767817746439</c:v>
                </c:pt>
              </c:numCache>
            </c:numRef>
          </c:val>
        </c:ser>
        <c:ser>
          <c:idx val="7"/>
          <c:order val="7"/>
          <c:tx>
            <c:strRef>
              <c:f>Foaie1!$I$1</c:f>
              <c:strCache>
                <c:ptCount val="1"/>
                <c:pt idx="0">
                  <c:v>Sibiu</c:v>
                </c:pt>
              </c:strCache>
            </c:strRef>
          </c:tx>
          <c:dLbls>
            <c:txPr>
              <a:bodyPr/>
              <a:lstStyle/>
              <a:p>
                <a:pPr>
                  <a:defRPr lang="en-US"/>
                </a:pPr>
                <a:endParaRPr lang="en-US"/>
              </a:p>
            </c:txPr>
            <c:showVal val="1"/>
          </c:dLbls>
          <c:cat>
            <c:numRef>
              <c:f>Foaie1!$A$2</c:f>
              <c:numCache>
                <c:formatCode>General</c:formatCode>
                <c:ptCount val="1"/>
              </c:numCache>
            </c:numRef>
          </c:cat>
          <c:val>
            <c:numRef>
              <c:f>Foaie1!$I$2</c:f>
              <c:numCache>
                <c:formatCode>0</c:formatCode>
                <c:ptCount val="1"/>
                <c:pt idx="0">
                  <c:v>7.1095939811252711</c:v>
                </c:pt>
              </c:numCache>
            </c:numRef>
          </c:val>
        </c:ser>
        <c:gapWidth val="0"/>
        <c:overlap val="-47"/>
        <c:axId val="89897984"/>
        <c:axId val="89912064"/>
      </c:barChart>
      <c:catAx>
        <c:axId val="89897984"/>
        <c:scaling>
          <c:orientation val="minMax"/>
        </c:scaling>
        <c:axPos val="l"/>
        <c:numFmt formatCode="General" sourceLinked="1"/>
        <c:tickLblPos val="nextTo"/>
        <c:txPr>
          <a:bodyPr/>
          <a:lstStyle/>
          <a:p>
            <a:pPr>
              <a:defRPr lang="ro-RO"/>
            </a:pPr>
            <a:endParaRPr lang="en-US"/>
          </a:p>
        </c:txPr>
        <c:crossAx val="89912064"/>
        <c:crosses val="autoZero"/>
        <c:auto val="1"/>
        <c:lblAlgn val="ctr"/>
        <c:lblOffset val="100"/>
        <c:tickLblSkip val="2"/>
        <c:tickMarkSkip val="2"/>
      </c:catAx>
      <c:valAx>
        <c:axId val="89912064"/>
        <c:scaling>
          <c:orientation val="minMax"/>
        </c:scaling>
        <c:axPos val="b"/>
        <c:majorGridlines/>
        <c:title>
          <c:tx>
            <c:rich>
              <a:bodyPr/>
              <a:lstStyle/>
              <a:p>
                <a:pPr>
                  <a:defRPr lang="ro-RO" sz="1200" b="1"/>
                </a:pPr>
                <a:r>
                  <a:rPr lang="ro-RO" sz="1200" b="1"/>
                  <a:t>%</a:t>
                </a:r>
                <a:endParaRPr lang="vi-VN" sz="1200" b="1"/>
              </a:p>
            </c:rich>
          </c:tx>
          <c:layout>
            <c:manualLayout>
              <c:xMode val="edge"/>
              <c:yMode val="edge"/>
              <c:x val="0.41773002333041731"/>
              <c:y val="0.86664907724233242"/>
            </c:manualLayout>
          </c:layout>
        </c:title>
        <c:numFmt formatCode="0" sourceLinked="1"/>
        <c:tickLblPos val="nextTo"/>
        <c:txPr>
          <a:bodyPr/>
          <a:lstStyle/>
          <a:p>
            <a:pPr>
              <a:defRPr lang="ro-RO" b="1"/>
            </a:pPr>
            <a:endParaRPr lang="en-US"/>
          </a:p>
        </c:txPr>
        <c:crossAx val="89897984"/>
        <c:crosses val="autoZero"/>
        <c:crossBetween val="between"/>
      </c:valAx>
    </c:plotArea>
    <c:legend>
      <c:legendPos val="r"/>
      <c:layout>
        <c:manualLayout>
          <c:xMode val="edge"/>
          <c:yMode val="edge"/>
          <c:x val="0.83445694288213956"/>
          <c:y val="0.18475298920968211"/>
          <c:w val="0.14059974646026482"/>
          <c:h val="0.62422138980200259"/>
        </c:manualLayout>
      </c:layout>
      <c:spPr>
        <a:ln>
          <a:solidFill>
            <a:srgbClr val="4F81BD"/>
          </a:solidFill>
        </a:ln>
      </c:spPr>
      <c:txPr>
        <a:bodyPr/>
        <a:lstStyle/>
        <a:p>
          <a:pPr>
            <a:defRPr lang="ro-RO"/>
          </a:pPr>
          <a:endParaRPr lang="en-US"/>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lang="ro-RO"/>
            </a:pPr>
            <a:r>
              <a:rPr lang="en-US" sz="1200"/>
              <a:t>Ponderea judetelor in exportul regional de textile si confectii in anul 2015</a:t>
            </a:r>
          </a:p>
        </c:rich>
      </c:tx>
      <c:layout/>
    </c:title>
    <c:plotArea>
      <c:layout>
        <c:manualLayout>
          <c:layoutTarget val="inner"/>
          <c:xMode val="edge"/>
          <c:yMode val="edge"/>
          <c:x val="0.25181046399050927"/>
          <c:y val="0.23736736559615457"/>
          <c:w val="0.48578927634045804"/>
          <c:h val="0.63998643427998536"/>
        </c:manualLayout>
      </c:layout>
      <c:doughnutChart>
        <c:varyColors val="1"/>
        <c:ser>
          <c:idx val="0"/>
          <c:order val="0"/>
          <c:dLbls>
            <c:numFmt formatCode="#,##0.0" sourceLinked="0"/>
            <c:txPr>
              <a:bodyPr/>
              <a:lstStyle/>
              <a:p>
                <a:pPr>
                  <a:defRPr lang="ro-RO" b="1">
                    <a:solidFill>
                      <a:schemeClr val="bg1"/>
                    </a:solidFill>
                  </a:defRPr>
                </a:pPr>
                <a:endParaRPr lang="en-US"/>
              </a:p>
            </c:txPr>
            <c:showVal val="1"/>
            <c:showLeaderLines val="1"/>
          </c:dLbls>
          <c:cat>
            <c:strRef>
              <c:f>Foaie1!$F$3:$F$8</c:f>
              <c:strCache>
                <c:ptCount val="6"/>
                <c:pt idx="0">
                  <c:v>Alba</c:v>
                </c:pt>
                <c:pt idx="1">
                  <c:v>Brasov</c:v>
                </c:pt>
                <c:pt idx="2">
                  <c:v>Covasna</c:v>
                </c:pt>
                <c:pt idx="3">
                  <c:v>Harghita</c:v>
                </c:pt>
                <c:pt idx="4">
                  <c:v>Mures</c:v>
                </c:pt>
                <c:pt idx="5">
                  <c:v>Sibiu</c:v>
                </c:pt>
              </c:strCache>
            </c:strRef>
          </c:cat>
          <c:val>
            <c:numRef>
              <c:f>Foaie1!$G$3:$G$8</c:f>
              <c:numCache>
                <c:formatCode>General</c:formatCode>
                <c:ptCount val="6"/>
                <c:pt idx="0">
                  <c:v>6.76</c:v>
                </c:pt>
                <c:pt idx="1">
                  <c:v>17.18</c:v>
                </c:pt>
                <c:pt idx="2">
                  <c:v>22.56</c:v>
                </c:pt>
                <c:pt idx="3">
                  <c:v>14.98</c:v>
                </c:pt>
                <c:pt idx="4">
                  <c:v>13.860000000000007</c:v>
                </c:pt>
                <c:pt idx="5">
                  <c:v>24.650000000000013</c:v>
                </c:pt>
              </c:numCache>
            </c:numRef>
          </c:val>
        </c:ser>
        <c:firstSliceAng val="0"/>
        <c:holeSize val="50"/>
      </c:doughnutChart>
    </c:plotArea>
    <c:legend>
      <c:legendPos val="b"/>
      <c:layout/>
      <c:spPr>
        <a:ln>
          <a:solidFill>
            <a:schemeClr val="accent1"/>
          </a:solidFill>
        </a:ln>
      </c:spPr>
      <c:txPr>
        <a:bodyPr/>
        <a:lstStyle/>
        <a:p>
          <a:pPr>
            <a:defRPr lang="ro-RO" b="1"/>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en-US" sz="1400"/>
            </a:pPr>
            <a:r>
              <a:rPr lang="en-US" sz="1200"/>
              <a:t>Ponderea</a:t>
            </a:r>
            <a:r>
              <a:rPr lang="en-US" sz="1200" baseline="0"/>
              <a:t> nr. de salariati din ind. pielariei si indicele de specializare sectoriala</a:t>
            </a:r>
            <a:endParaRPr lang="vi-VN" sz="1200"/>
          </a:p>
        </c:rich>
      </c:tx>
      <c:layout>
        <c:manualLayout>
          <c:xMode val="edge"/>
          <c:yMode val="edge"/>
          <c:x val="0.12022727044177128"/>
          <c:y val="2.4888888888888887E-2"/>
        </c:manualLayout>
      </c:layout>
    </c:title>
    <c:plotArea>
      <c:layout>
        <c:manualLayout>
          <c:layoutTarget val="inner"/>
          <c:xMode val="edge"/>
          <c:yMode val="edge"/>
          <c:x val="0.14758797511422336"/>
          <c:y val="0.16037066795222027"/>
          <c:w val="0.72856760960435496"/>
          <c:h val="0.46001898698832888"/>
        </c:manualLayout>
      </c:layout>
      <c:barChart>
        <c:barDir val="col"/>
        <c:grouping val="clustered"/>
        <c:ser>
          <c:idx val="0"/>
          <c:order val="0"/>
          <c:tx>
            <c:strRef>
              <c:f>Foaie3!$B$14:$B$15</c:f>
              <c:strCache>
                <c:ptCount val="1"/>
                <c:pt idx="0">
                  <c:v>Ponderea nr. de salariaţi din ind. pielariei în totalul salariaţilor </c:v>
                </c:pt>
              </c:strCache>
            </c:strRef>
          </c:tx>
          <c:cat>
            <c:strRef>
              <c:f>Foaie3!$A$16:$A$23</c:f>
              <c:strCache>
                <c:ptCount val="8"/>
                <c:pt idx="0">
                  <c:v> NORD-VEST</c:v>
                </c:pt>
                <c:pt idx="1">
                  <c:v>CENTRU</c:v>
                </c:pt>
                <c:pt idx="2">
                  <c:v>NORD-EST</c:v>
                </c:pt>
                <c:pt idx="3">
                  <c:v>SUD-EST</c:v>
                </c:pt>
                <c:pt idx="4">
                  <c:v>SUD-MUNTENIA</c:v>
                </c:pt>
                <c:pt idx="5">
                  <c:v>BUCURESTI - ILFOV</c:v>
                </c:pt>
                <c:pt idx="6">
                  <c:v>SUD-VEST OLTENIA</c:v>
                </c:pt>
                <c:pt idx="7">
                  <c:v>VEST</c:v>
                </c:pt>
              </c:strCache>
            </c:strRef>
          </c:cat>
          <c:val>
            <c:numRef>
              <c:f>Foaie3!$B$16:$B$23</c:f>
              <c:numCache>
                <c:formatCode>0.00</c:formatCode>
                <c:ptCount val="8"/>
                <c:pt idx="0">
                  <c:v>3.7486377905369626</c:v>
                </c:pt>
                <c:pt idx="1">
                  <c:v>2.0892469743426987</c:v>
                </c:pt>
                <c:pt idx="2">
                  <c:v>1.1110488637409521</c:v>
                </c:pt>
                <c:pt idx="3">
                  <c:v>0.33298961493606022</c:v>
                </c:pt>
                <c:pt idx="4">
                  <c:v>0.12367477862779352</c:v>
                </c:pt>
                <c:pt idx="5">
                  <c:v>0.77399032270861889</c:v>
                </c:pt>
                <c:pt idx="6">
                  <c:v>0.47166533718373826</c:v>
                </c:pt>
                <c:pt idx="7">
                  <c:v>2.3399450440963538</c:v>
                </c:pt>
              </c:numCache>
            </c:numRef>
          </c:val>
        </c:ser>
        <c:axId val="90047616"/>
        <c:axId val="90049152"/>
      </c:barChart>
      <c:lineChart>
        <c:grouping val="standard"/>
        <c:ser>
          <c:idx val="1"/>
          <c:order val="1"/>
          <c:tx>
            <c:strRef>
              <c:f>Foaie3!$C$14:$C$15</c:f>
              <c:strCache>
                <c:ptCount val="1"/>
                <c:pt idx="0">
                  <c:v>Indice de specializare sectoriala</c:v>
                </c:pt>
              </c:strCache>
            </c:strRef>
          </c:tx>
          <c:cat>
            <c:strRef>
              <c:f>Foaie3!$A$16:$A$23</c:f>
              <c:strCache>
                <c:ptCount val="8"/>
                <c:pt idx="0">
                  <c:v> NORD-VEST</c:v>
                </c:pt>
                <c:pt idx="1">
                  <c:v>CENTRU</c:v>
                </c:pt>
                <c:pt idx="2">
                  <c:v>NORD-EST</c:v>
                </c:pt>
                <c:pt idx="3">
                  <c:v>SUD-EST</c:v>
                </c:pt>
                <c:pt idx="4">
                  <c:v>SUD-MUNTENIA</c:v>
                </c:pt>
                <c:pt idx="5">
                  <c:v>BUCURESTI - ILFOV</c:v>
                </c:pt>
                <c:pt idx="6">
                  <c:v>SUD-VEST OLTENIA</c:v>
                </c:pt>
                <c:pt idx="7">
                  <c:v>VEST</c:v>
                </c:pt>
              </c:strCache>
            </c:strRef>
          </c:cat>
          <c:val>
            <c:numRef>
              <c:f>Foaie3!$C$16:$C$23</c:f>
              <c:numCache>
                <c:formatCode>0.0</c:formatCode>
                <c:ptCount val="8"/>
                <c:pt idx="0">
                  <c:v>2.6586083620829202</c:v>
                </c:pt>
                <c:pt idx="1">
                  <c:v>1.4817354427962428</c:v>
                </c:pt>
                <c:pt idx="2">
                  <c:v>0.7879779175467817</c:v>
                </c:pt>
                <c:pt idx="3">
                  <c:v>0.23616284747238081</c:v>
                </c:pt>
                <c:pt idx="4">
                  <c:v>8.7712608955881927E-2</c:v>
                </c:pt>
                <c:pt idx="5">
                  <c:v>0.54892930688554065</c:v>
                </c:pt>
                <c:pt idx="6">
                  <c:v>0.33451442353457261</c:v>
                </c:pt>
                <c:pt idx="7">
                  <c:v>1.6595354922669177</c:v>
                </c:pt>
              </c:numCache>
            </c:numRef>
          </c:val>
        </c:ser>
        <c:marker val="1"/>
        <c:axId val="90065536"/>
        <c:axId val="90063616"/>
      </c:lineChart>
      <c:catAx>
        <c:axId val="90047616"/>
        <c:scaling>
          <c:orientation val="minMax"/>
        </c:scaling>
        <c:axPos val="b"/>
        <c:tickLblPos val="nextTo"/>
        <c:txPr>
          <a:bodyPr/>
          <a:lstStyle/>
          <a:p>
            <a:pPr>
              <a:defRPr lang="en-US"/>
            </a:pPr>
            <a:endParaRPr lang="en-US"/>
          </a:p>
        </c:txPr>
        <c:crossAx val="90049152"/>
        <c:crosses val="autoZero"/>
        <c:auto val="1"/>
        <c:lblAlgn val="ctr"/>
        <c:lblOffset val="100"/>
      </c:catAx>
      <c:valAx>
        <c:axId val="90049152"/>
        <c:scaling>
          <c:orientation val="minMax"/>
        </c:scaling>
        <c:axPos val="l"/>
        <c:majorGridlines/>
        <c:title>
          <c:tx>
            <c:rich>
              <a:bodyPr rot="0" vert="wordArtVert"/>
              <a:lstStyle/>
              <a:p>
                <a:pPr>
                  <a:defRPr lang="en-US" sz="1400"/>
                </a:pPr>
                <a:r>
                  <a:rPr lang="en-US" sz="1400"/>
                  <a:t>%</a:t>
                </a:r>
              </a:p>
            </c:rich>
          </c:tx>
          <c:layout/>
        </c:title>
        <c:numFmt formatCode="0.00" sourceLinked="1"/>
        <c:tickLblPos val="nextTo"/>
        <c:txPr>
          <a:bodyPr/>
          <a:lstStyle/>
          <a:p>
            <a:pPr>
              <a:defRPr lang="en-US"/>
            </a:pPr>
            <a:endParaRPr lang="en-US"/>
          </a:p>
        </c:txPr>
        <c:crossAx val="90047616"/>
        <c:crosses val="autoZero"/>
        <c:crossBetween val="between"/>
      </c:valAx>
      <c:valAx>
        <c:axId val="90063616"/>
        <c:scaling>
          <c:orientation val="minMax"/>
        </c:scaling>
        <c:axPos val="r"/>
        <c:title>
          <c:tx>
            <c:rich>
              <a:bodyPr rot="0" vert="wordArtVert"/>
              <a:lstStyle/>
              <a:p>
                <a:pPr>
                  <a:defRPr lang="en-US"/>
                </a:pPr>
                <a:r>
                  <a:rPr lang="en-US"/>
                  <a:t>ISS</a:t>
                </a:r>
              </a:p>
            </c:rich>
          </c:tx>
          <c:layout/>
        </c:title>
        <c:numFmt formatCode="0.0" sourceLinked="1"/>
        <c:tickLblPos val="nextTo"/>
        <c:txPr>
          <a:bodyPr/>
          <a:lstStyle/>
          <a:p>
            <a:pPr>
              <a:defRPr lang="en-US"/>
            </a:pPr>
            <a:endParaRPr lang="en-US"/>
          </a:p>
        </c:txPr>
        <c:crossAx val="90065536"/>
        <c:crosses val="max"/>
        <c:crossBetween val="between"/>
      </c:valAx>
      <c:catAx>
        <c:axId val="90065536"/>
        <c:scaling>
          <c:orientation val="minMax"/>
        </c:scaling>
        <c:delete val="1"/>
        <c:axPos val="b"/>
        <c:tickLblPos val="nextTo"/>
        <c:crossAx val="90063616"/>
        <c:crosses val="autoZero"/>
        <c:auto val="1"/>
        <c:lblAlgn val="ctr"/>
        <c:lblOffset val="100"/>
      </c:catAx>
    </c:plotArea>
    <c:legend>
      <c:legendPos val="b"/>
      <c:layout>
        <c:manualLayout>
          <c:xMode val="edge"/>
          <c:yMode val="edge"/>
          <c:x val="2.2398589065255731E-2"/>
          <c:y val="0.83924690264781165"/>
          <c:w val="0.97504409171075834"/>
          <c:h val="0.14048967283344901"/>
        </c:manualLayout>
      </c:layout>
      <c:txPr>
        <a:bodyPr/>
        <a:lstStyle/>
        <a:p>
          <a:pPr>
            <a:defRPr lang="en-US"/>
          </a:pPr>
          <a:endParaRPr lang="en-US"/>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100" baseline="0">
                <a:solidFill>
                  <a:sysClr val="windowText" lastClr="000000"/>
                </a:solidFill>
                <a:effectLst>
                  <a:outerShdw blurRad="50800" dist="38100" dir="5400000" algn="t" rotWithShape="0">
                    <a:prstClr val="black">
                      <a:alpha val="40000"/>
                    </a:prstClr>
                  </a:outerShdw>
                </a:effectLst>
                <a:latin typeface="Arial Narrow" panose="020B0606020202030204" pitchFamily="34" charset="0"/>
                <a:ea typeface="+mn-ea"/>
                <a:cs typeface="+mn-cs"/>
              </a:defRPr>
            </a:pPr>
            <a:r>
              <a:rPr lang="ro-RO" sz="800">
                <a:solidFill>
                  <a:sysClr val="windowText" lastClr="000000"/>
                </a:solidFill>
                <a:latin typeface="Arial Narrow" panose="020B0606020202030204" pitchFamily="34" charset="0"/>
              </a:rPr>
              <a:t>Investiții în domeniul protecției mediului în 2014. Repartizare pe regiuni  de dezvoltare</a:t>
            </a:r>
          </a:p>
        </c:rich>
      </c:tx>
      <c:layout>
        <c:manualLayout>
          <c:xMode val="edge"/>
          <c:yMode val="edge"/>
          <c:x val="0.14016436425775911"/>
          <c:y val="5.8360081704114438E-3"/>
        </c:manualLayout>
      </c:layout>
      <c:spPr>
        <a:noFill/>
        <a:ln>
          <a:noFill/>
        </a:ln>
        <a:effectLst/>
      </c:spPr>
    </c:title>
    <c:plotArea>
      <c:layout>
        <c:manualLayout>
          <c:layoutTarget val="inner"/>
          <c:xMode val="edge"/>
          <c:yMode val="edge"/>
          <c:x val="4.2506727029396542E-2"/>
          <c:y val="0.22466609531993506"/>
          <c:w val="0.55909925633170976"/>
          <c:h val="0.63447242715903573"/>
        </c:manualLayout>
      </c:layout>
      <c:doughnut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014-4323-BB37-E84A3407A1BD}"/>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014-4323-BB37-E84A3407A1BD}"/>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014-4323-BB37-E84A3407A1BD}"/>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014-4323-BB37-E84A3407A1BD}"/>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A014-4323-BB37-E84A3407A1BD}"/>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A014-4323-BB37-E84A3407A1BD}"/>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A014-4323-BB37-E84A3407A1BD}"/>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A014-4323-BB37-E84A3407A1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Percent val="1"/>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15:layout/>
              </c:ext>
            </c:extLst>
          </c:dLbls>
          <c:cat>
            <c:strRef>
              <c:f>Sheet1!$B$3:$B$10</c:f>
              <c:strCache>
                <c:ptCount val="8"/>
                <c:pt idx="0">
                  <c:v>Nord Vest</c:v>
                </c:pt>
                <c:pt idx="1">
                  <c:v>Centru</c:v>
                </c:pt>
                <c:pt idx="2">
                  <c:v>Nord Est</c:v>
                </c:pt>
                <c:pt idx="3">
                  <c:v>Sud Est</c:v>
                </c:pt>
                <c:pt idx="4">
                  <c:v>Sud Muntenia</c:v>
                </c:pt>
                <c:pt idx="5">
                  <c:v>București Ilfov</c:v>
                </c:pt>
                <c:pt idx="6">
                  <c:v>Sud Vest Oltenia</c:v>
                </c:pt>
                <c:pt idx="7">
                  <c:v>Vest</c:v>
                </c:pt>
              </c:strCache>
            </c:strRef>
          </c:cat>
          <c:val>
            <c:numRef>
              <c:f>Sheet1!$C$3:$C$10</c:f>
              <c:numCache>
                <c:formatCode>General</c:formatCode>
                <c:ptCount val="8"/>
                <c:pt idx="0">
                  <c:v>293584</c:v>
                </c:pt>
                <c:pt idx="1">
                  <c:v>971654</c:v>
                </c:pt>
                <c:pt idx="2">
                  <c:v>266724</c:v>
                </c:pt>
                <c:pt idx="3">
                  <c:v>678408</c:v>
                </c:pt>
                <c:pt idx="4">
                  <c:v>362928</c:v>
                </c:pt>
                <c:pt idx="5">
                  <c:v>625891</c:v>
                </c:pt>
                <c:pt idx="6">
                  <c:v>684891</c:v>
                </c:pt>
                <c:pt idx="7">
                  <c:v>369909</c:v>
                </c:pt>
              </c:numCache>
            </c:numRef>
          </c:val>
          <c:extLst xmlns:c16r2="http://schemas.microsoft.com/office/drawing/2015/06/chart">
            <c:ext xmlns:c16="http://schemas.microsoft.com/office/drawing/2014/chart" uri="{C3380CC4-5D6E-409C-BE32-E72D297353CC}">
              <c16:uniqueId val="{00000010-A014-4323-BB37-E84A3407A1BD}"/>
            </c:ext>
          </c:extLst>
        </c:ser>
        <c:dLbls>
          <c:showPercent val="1"/>
        </c:dLbls>
        <c:firstSliceAng val="0"/>
        <c:holeSize val="75"/>
      </c:doughnutChart>
      <c:spPr>
        <a:noFill/>
        <a:ln>
          <a:noFill/>
        </a:ln>
        <a:effectLst/>
      </c:spPr>
    </c:plotArea>
    <c:legend>
      <c:legendPos val="b"/>
      <c:legendEntry>
        <c:idx val="1"/>
        <c:txPr>
          <a:bodyPr rot="0" spcFirstLastPara="1" vertOverflow="ellipsis" vert="horz" wrap="square" anchor="ctr" anchorCtr="1"/>
          <a:lstStyle/>
          <a:p>
            <a:pPr>
              <a:defRPr sz="700" b="1" i="0" u="none" strike="noStrike" kern="1200" baseline="0">
                <a:solidFill>
                  <a:schemeClr val="accent6"/>
                </a:solidFill>
                <a:latin typeface="Arial Narrow" panose="020B0606020202030204" pitchFamily="34" charset="0"/>
                <a:ea typeface="+mn-ea"/>
                <a:cs typeface="+mn-cs"/>
              </a:defRPr>
            </a:pPr>
            <a:endParaRPr lang="en-US"/>
          </a:p>
        </c:txPr>
      </c:legendEntry>
      <c:layout>
        <c:manualLayout>
          <c:xMode val="edge"/>
          <c:yMode val="edge"/>
          <c:x val="0.60647009635495264"/>
          <c:y val="0.21213613982524168"/>
          <c:w val="0.35790023547133726"/>
          <c:h val="0.63029163957365086"/>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zero"/>
  </c:chart>
  <c:spPr>
    <a:solidFill>
      <a:schemeClr val="bg1"/>
    </a:solidFill>
    <a:ln>
      <a:solidFill>
        <a:schemeClr val="accent5"/>
      </a:solidFill>
    </a:ln>
    <a:effectLst/>
  </c:spPr>
  <c:txPr>
    <a:bodyPr/>
    <a:lstStyle/>
    <a:p>
      <a:pPr>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ro-RO" sz="700" b="0">
                <a:solidFill>
                  <a:sysClr val="windowText" lastClr="000000"/>
                </a:solidFill>
                <a:effectLst/>
                <a:latin typeface="Arial Narrow" panose="020B0606020202030204" pitchFamily="34" charset="0"/>
              </a:rPr>
              <a:t>Cifra totală de afaceri aferentă sectorului construcții (grupa F din CAEN) - 2014</a:t>
            </a:r>
          </a:p>
        </c:rich>
      </c:tx>
      <c:layout>
        <c:manualLayout>
          <c:xMode val="edge"/>
          <c:yMode val="edge"/>
          <c:x val="0.11412442339309128"/>
          <c:y val="0"/>
        </c:manualLayout>
      </c:layout>
      <c:spPr>
        <a:noFill/>
        <a:ln>
          <a:noFill/>
        </a:ln>
        <a:effectLst/>
      </c:spPr>
    </c:title>
    <c:plotArea>
      <c:layout>
        <c:manualLayout>
          <c:layoutTarget val="inner"/>
          <c:xMode val="edge"/>
          <c:yMode val="edge"/>
          <c:x val="4.2614985202833418E-2"/>
          <c:y val="0.22657281734999518"/>
          <c:w val="0.6442709858011304"/>
          <c:h val="0.76142994954367138"/>
        </c:manualLayout>
      </c:layout>
      <c:doughnutChart>
        <c:varyColors val="1"/>
        <c:ser>
          <c:idx val="1"/>
          <c:order val="0"/>
          <c:tx>
            <c:strRef>
              <c:f>'CA grupa F'!$B$20</c:f>
              <c:strCache>
                <c:ptCount val="1"/>
                <c:pt idx="0">
                  <c:v>Regiunea</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965-4243-AF2B-96F06932F711}"/>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965-4243-AF2B-96F06932F711}"/>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F965-4243-AF2B-96F06932F711}"/>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F965-4243-AF2B-96F06932F711}"/>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F965-4243-AF2B-96F06932F711}"/>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F965-4243-AF2B-96F06932F711}"/>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F965-4243-AF2B-96F06932F711}"/>
              </c:ext>
            </c:extLst>
          </c:dPt>
          <c:dPt>
            <c:idx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F965-4243-AF2B-96F06932F711}"/>
              </c:ext>
            </c:extLst>
          </c:dPt>
          <c:dLbls>
            <c:delete val="1"/>
          </c:dLbls>
          <c:cat>
            <c:strRef>
              <c:f>'CA grupa F'!$B$21:$B$28</c:f>
              <c:strCache>
                <c:ptCount val="8"/>
                <c:pt idx="0">
                  <c:v>Centru</c:v>
                </c:pt>
                <c:pt idx="1">
                  <c:v>Sud Vest</c:v>
                </c:pt>
                <c:pt idx="2">
                  <c:v>Sud Muntenia</c:v>
                </c:pt>
                <c:pt idx="3">
                  <c:v>Sud Est</c:v>
                </c:pt>
                <c:pt idx="4">
                  <c:v>Vest</c:v>
                </c:pt>
                <c:pt idx="5">
                  <c:v>Nord Vest</c:v>
                </c:pt>
                <c:pt idx="6">
                  <c:v>Nord Est</c:v>
                </c:pt>
                <c:pt idx="7">
                  <c:v>Bucuresti Ilfov</c:v>
                </c:pt>
              </c:strCache>
            </c:strRef>
          </c:cat>
          <c:val>
            <c:numRef>
              <c:f>'CA grupa F'!$B$21:$B$28</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10-F965-4243-AF2B-96F06932F711}"/>
            </c:ext>
          </c:extLst>
        </c:ser>
        <c:ser>
          <c:idx val="0"/>
          <c:order val="1"/>
          <c:tx>
            <c:strRef>
              <c:f>'CA grupa F'!$C$20</c:f>
              <c:strCache>
                <c:ptCount val="1"/>
                <c:pt idx="0">
                  <c:v>CA</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F965-4243-AF2B-96F06932F711}"/>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F965-4243-AF2B-96F06932F711}"/>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6-F965-4243-AF2B-96F06932F711}"/>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8-F965-4243-AF2B-96F06932F711}"/>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A-F965-4243-AF2B-96F06932F711}"/>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C-F965-4243-AF2B-96F06932F711}"/>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E-F965-4243-AF2B-96F06932F711}"/>
              </c:ext>
            </c:extLst>
          </c:dPt>
          <c:dPt>
            <c:idx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0-F965-4243-AF2B-96F06932F7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Percent val="1"/>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15:layout/>
              </c:ext>
            </c:extLst>
          </c:dLbls>
          <c:val>
            <c:numRef>
              <c:f>'CA grupa F'!$C$21:$C$28</c:f>
              <c:numCache>
                <c:formatCode>#,##0.00</c:formatCode>
                <c:ptCount val="8"/>
                <c:pt idx="0">
                  <c:v>6992539266</c:v>
                </c:pt>
                <c:pt idx="1">
                  <c:v>2995647977</c:v>
                </c:pt>
                <c:pt idx="2">
                  <c:v>6238277694</c:v>
                </c:pt>
                <c:pt idx="3">
                  <c:v>5603754660</c:v>
                </c:pt>
                <c:pt idx="4">
                  <c:v>4652457693</c:v>
                </c:pt>
                <c:pt idx="5">
                  <c:v>9588109308</c:v>
                </c:pt>
                <c:pt idx="6">
                  <c:v>5909704731</c:v>
                </c:pt>
                <c:pt idx="7">
                  <c:v>26155543760</c:v>
                </c:pt>
              </c:numCache>
            </c:numRef>
          </c:val>
          <c:extLst xmlns:c16r2="http://schemas.microsoft.com/office/drawing/2015/06/chart">
            <c:ext xmlns:c16="http://schemas.microsoft.com/office/drawing/2014/chart" uri="{C3380CC4-5D6E-409C-BE32-E72D297353CC}">
              <c16:uniqueId val="{00000021-F965-4243-AF2B-96F06932F711}"/>
            </c:ext>
          </c:extLst>
        </c:ser>
        <c:dLbls>
          <c:showPercent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700" b="1" i="0" u="none" strike="noStrike" kern="1200" baseline="0">
                <a:solidFill>
                  <a:schemeClr val="accent6"/>
                </a:solidFill>
                <a:latin typeface="Arial Narrow" panose="020B0606020202030204" pitchFamily="34" charset="0"/>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en-US"/>
          </a:p>
        </c:txPr>
      </c:legendEntry>
      <c:legendEntry>
        <c:idx val="4"/>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en-US"/>
          </a:p>
        </c:txPr>
      </c:legendEntry>
      <c:layout>
        <c:manualLayout>
          <c:xMode val="edge"/>
          <c:yMode val="edge"/>
          <c:x val="0.67271713143826173"/>
          <c:y val="0.24799895457259225"/>
          <c:w val="0.32294619984841288"/>
          <c:h val="0.49496990552718523"/>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zero"/>
  </c:chart>
  <c:spPr>
    <a:noFill/>
    <a:ln>
      <a:solidFill>
        <a:schemeClr val="accent1"/>
      </a:solidFill>
    </a:ln>
    <a:effectLst/>
  </c:spPr>
  <c:txPr>
    <a:bodyPr/>
    <a:lstStyle/>
    <a:p>
      <a:pPr>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5" b="0" i="0" u="none" strike="noStrike" kern="1200" baseline="0">
                <a:solidFill>
                  <a:sysClr val="windowText" lastClr="000000"/>
                </a:solidFill>
                <a:latin typeface="Arial Narrow" panose="020B0606020202030204" pitchFamily="34" charset="0"/>
                <a:ea typeface="+mn-ea"/>
                <a:cs typeface="+mn-cs"/>
              </a:defRPr>
            </a:pPr>
            <a:r>
              <a:rPr lang="en-US" sz="805" b="0" i="1"/>
              <a:t>Defalcarea consumului de energie în România în 2008</a:t>
            </a:r>
          </a:p>
        </c:rich>
      </c:tx>
      <c:layout>
        <c:manualLayout>
          <c:xMode val="edge"/>
          <c:yMode val="edge"/>
          <c:x val="0.14844320079824758"/>
          <c:y val="4.4586045241454654E-3"/>
        </c:manualLayout>
      </c:layout>
      <c:spPr>
        <a:noFill/>
        <a:ln>
          <a:noFill/>
        </a:ln>
        <a:effectLst/>
      </c:spPr>
    </c:title>
    <c:view3D>
      <c:rotX val="30"/>
      <c:perspective val="0"/>
    </c:view3D>
    <c:plotArea>
      <c:layout>
        <c:manualLayout>
          <c:layoutTarget val="inner"/>
          <c:xMode val="edge"/>
          <c:yMode val="edge"/>
          <c:x val="2.5462962962962982E-2"/>
          <c:y val="0.1568650793650794"/>
          <c:w val="0.91916750726426832"/>
          <c:h val="0.69040713023117062"/>
        </c:manualLayout>
      </c:layout>
      <c:pie3DChart>
        <c:varyColors val="1"/>
        <c:ser>
          <c:idx val="0"/>
          <c:order val="0"/>
          <c:tx>
            <c:strRef>
              <c:f>Sheet1!$B$1</c:f>
              <c:strCache>
                <c:ptCount val="1"/>
                <c:pt idx="0">
                  <c:v>Defalcarea consumului de energie în România în 2008</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5" b="0" i="0" u="none" strike="noStrike" kern="1200" baseline="0">
                    <a:solidFill>
                      <a:schemeClr val="tx1">
                        <a:lumMod val="75000"/>
                        <a:lumOff val="25000"/>
                      </a:schemeClr>
                    </a:solidFill>
                    <a:latin typeface="+mn-lt"/>
                    <a:ea typeface="+mn-ea"/>
                    <a:cs typeface="+mn-cs"/>
                  </a:defRPr>
                </a:pPr>
                <a:endParaRPr lang="en-US"/>
              </a:p>
            </c:txPr>
            <c:dLblPos val="inEnd"/>
            <c:showPercent val="1"/>
            <c:showLeaderLines val="1"/>
            <c:leaderLines>
              <c:spPr>
                <a:ln w="9580" cap="flat" cmpd="sng" algn="ctr">
                  <a:solidFill>
                    <a:schemeClr val="tx1">
                      <a:lumMod val="35000"/>
                      <a:lumOff val="65000"/>
                    </a:schemeClr>
                  </a:solidFill>
                  <a:round/>
                </a:ln>
                <a:effectLst/>
              </c:spPr>
            </c:leaderLines>
          </c:dLbls>
          <c:cat>
            <c:strRef>
              <c:f>Sheet1!$A$2:$A$6</c:f>
              <c:strCache>
                <c:ptCount val="5"/>
                <c:pt idx="0">
                  <c:v>Industrie</c:v>
                </c:pt>
                <c:pt idx="1">
                  <c:v>Trasport</c:v>
                </c:pt>
                <c:pt idx="2">
                  <c:v>Rezidențial</c:v>
                </c:pt>
                <c:pt idx="3">
                  <c:v>Terțiar</c:v>
                </c:pt>
                <c:pt idx="4">
                  <c:v>Agricultura</c:v>
                </c:pt>
              </c:strCache>
            </c:strRef>
          </c:cat>
          <c:val>
            <c:numRef>
              <c:f>Sheet1!$B$2:$B$6</c:f>
              <c:numCache>
                <c:formatCode>0%</c:formatCode>
                <c:ptCount val="5"/>
                <c:pt idx="0">
                  <c:v>0.37000000000000027</c:v>
                </c:pt>
                <c:pt idx="1">
                  <c:v>0.22</c:v>
                </c:pt>
                <c:pt idx="2">
                  <c:v>0.32000000000000034</c:v>
                </c:pt>
                <c:pt idx="3">
                  <c:v>8.0000000000000043E-2</c:v>
                </c:pt>
                <c:pt idx="4">
                  <c:v>1.0000000000000005E-2</c:v>
                </c:pt>
              </c:numCache>
            </c:numRef>
          </c:val>
        </c:ser>
      </c:pie3DChart>
      <c:spPr>
        <a:noFill/>
        <a:ln w="25548">
          <a:noFill/>
        </a:ln>
      </c:spPr>
    </c:plotArea>
    <c:legend>
      <c:legendPos val="b"/>
      <c:layout>
        <c:manualLayout>
          <c:xMode val="edge"/>
          <c:yMode val="edge"/>
          <c:x val="3.4782759593067397E-2"/>
          <c:y val="0.75765084277760075"/>
          <c:w val="0.93077764039825583"/>
          <c:h val="0.19271706643605968"/>
        </c:manualLayout>
      </c:layout>
      <c:spPr>
        <a:noFill/>
        <a:ln>
          <a:noFill/>
        </a:ln>
        <a:effectLst/>
      </c:spPr>
      <c:txPr>
        <a:bodyPr rot="0" spcFirstLastPara="1" vertOverflow="ellipsis" vert="horz" wrap="square" anchor="ctr" anchorCtr="1"/>
        <a:lstStyle/>
        <a:p>
          <a:pPr>
            <a:defRPr sz="805"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zero"/>
  </c:chart>
  <c:spPr>
    <a:solidFill>
      <a:schemeClr val="bg1"/>
    </a:solidFill>
    <a:ln w="9580" cap="flat" cmpd="sng" algn="ctr">
      <a:solidFill>
        <a:schemeClr val="accent1"/>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a:pPr>
            <a:r>
              <a:rPr lang="en-US" sz="1400"/>
              <a:t>Dinamica principalilor indicatori ai industriei auto regionale</a:t>
            </a:r>
          </a:p>
          <a:p>
            <a:pPr>
              <a:defRPr lang="ro-RO"/>
            </a:pPr>
            <a:r>
              <a:rPr lang="en-US" sz="1200"/>
              <a:t>anul precedent  = 100</a:t>
            </a:r>
          </a:p>
        </c:rich>
      </c:tx>
      <c:layout/>
    </c:title>
    <c:plotArea>
      <c:layout/>
      <c:lineChart>
        <c:grouping val="standard"/>
        <c:ser>
          <c:idx val="0"/>
          <c:order val="0"/>
          <c:tx>
            <c:strRef>
              <c:f>Foaie3!$B$11</c:f>
              <c:strCache>
                <c:ptCount val="1"/>
                <c:pt idx="0">
                  <c:v>Cifra de afaceri (mil lei)</c:v>
                </c:pt>
              </c:strCache>
            </c:strRef>
          </c:tx>
          <c:cat>
            <c:numRef>
              <c:f>Foaie3!$C$10:$G$10</c:f>
              <c:numCache>
                <c:formatCode>General</c:formatCode>
                <c:ptCount val="5"/>
                <c:pt idx="0">
                  <c:v>2010</c:v>
                </c:pt>
                <c:pt idx="1">
                  <c:v>2011</c:v>
                </c:pt>
                <c:pt idx="2">
                  <c:v>2012</c:v>
                </c:pt>
                <c:pt idx="3">
                  <c:v>2013</c:v>
                </c:pt>
                <c:pt idx="4">
                  <c:v>2014</c:v>
                </c:pt>
              </c:numCache>
            </c:numRef>
          </c:cat>
          <c:val>
            <c:numRef>
              <c:f>Foaie3!$C$11:$G$11</c:f>
              <c:numCache>
                <c:formatCode>0.0</c:formatCode>
                <c:ptCount val="5"/>
                <c:pt idx="0" formatCode="General">
                  <c:v>100</c:v>
                </c:pt>
                <c:pt idx="1">
                  <c:v>155.54381875136562</c:v>
                </c:pt>
                <c:pt idx="2">
                  <c:v>164.20375901507978</c:v>
                </c:pt>
                <c:pt idx="3">
                  <c:v>192.80432723828983</c:v>
                </c:pt>
                <c:pt idx="4">
                  <c:v>223.14781088366001</c:v>
                </c:pt>
              </c:numCache>
            </c:numRef>
          </c:val>
        </c:ser>
        <c:ser>
          <c:idx val="1"/>
          <c:order val="1"/>
          <c:tx>
            <c:strRef>
              <c:f>Foaie3!$B$12</c:f>
              <c:strCache>
                <c:ptCount val="1"/>
                <c:pt idx="0">
                  <c:v>Nr. de salariati</c:v>
                </c:pt>
              </c:strCache>
            </c:strRef>
          </c:tx>
          <c:cat>
            <c:numRef>
              <c:f>Foaie3!$C$10:$G$10</c:f>
              <c:numCache>
                <c:formatCode>General</c:formatCode>
                <c:ptCount val="5"/>
                <c:pt idx="0">
                  <c:v>2010</c:v>
                </c:pt>
                <c:pt idx="1">
                  <c:v>2011</c:v>
                </c:pt>
                <c:pt idx="2">
                  <c:v>2012</c:v>
                </c:pt>
                <c:pt idx="3">
                  <c:v>2013</c:v>
                </c:pt>
                <c:pt idx="4">
                  <c:v>2014</c:v>
                </c:pt>
              </c:numCache>
            </c:numRef>
          </c:cat>
          <c:val>
            <c:numRef>
              <c:f>Foaie3!$C$12:$G$12</c:f>
              <c:numCache>
                <c:formatCode>0.0</c:formatCode>
                <c:ptCount val="5"/>
                <c:pt idx="0" formatCode="General">
                  <c:v>100</c:v>
                </c:pt>
                <c:pt idx="1">
                  <c:v>121.42892755646383</c:v>
                </c:pt>
                <c:pt idx="2">
                  <c:v>138.73460637183999</c:v>
                </c:pt>
                <c:pt idx="3">
                  <c:v>158.96195841850727</c:v>
                </c:pt>
                <c:pt idx="4">
                  <c:v>176.42718252979014</c:v>
                </c:pt>
              </c:numCache>
            </c:numRef>
          </c:val>
        </c:ser>
        <c:marker val="1"/>
        <c:axId val="89947520"/>
        <c:axId val="96479872"/>
      </c:lineChart>
      <c:catAx>
        <c:axId val="89947520"/>
        <c:scaling>
          <c:orientation val="minMax"/>
        </c:scaling>
        <c:axPos val="b"/>
        <c:majorGridlines/>
        <c:numFmt formatCode="General" sourceLinked="1"/>
        <c:tickLblPos val="nextTo"/>
        <c:txPr>
          <a:bodyPr/>
          <a:lstStyle/>
          <a:p>
            <a:pPr>
              <a:defRPr lang="ro-RO" b="1"/>
            </a:pPr>
            <a:endParaRPr lang="en-US"/>
          </a:p>
        </c:txPr>
        <c:crossAx val="96479872"/>
        <c:crosses val="autoZero"/>
        <c:auto val="1"/>
        <c:lblAlgn val="ctr"/>
        <c:lblOffset val="100"/>
      </c:catAx>
      <c:valAx>
        <c:axId val="96479872"/>
        <c:scaling>
          <c:orientation val="minMax"/>
          <c:max val="250"/>
          <c:min val="80"/>
        </c:scaling>
        <c:axPos val="l"/>
        <c:majorGridlines/>
        <c:title>
          <c:tx>
            <c:rich>
              <a:bodyPr rot="0" vert="wordArtVert"/>
              <a:lstStyle/>
              <a:p>
                <a:pPr>
                  <a:defRPr lang="ro-RO" sz="1200" b="0"/>
                </a:pPr>
                <a:r>
                  <a:rPr lang="en-US" sz="1200" b="1"/>
                  <a:t>%</a:t>
                </a:r>
              </a:p>
            </c:rich>
          </c:tx>
          <c:layout/>
        </c:title>
        <c:numFmt formatCode="General" sourceLinked="1"/>
        <c:tickLblPos val="nextTo"/>
        <c:txPr>
          <a:bodyPr/>
          <a:lstStyle/>
          <a:p>
            <a:pPr>
              <a:defRPr lang="ro-RO" b="1"/>
            </a:pPr>
            <a:endParaRPr lang="en-US"/>
          </a:p>
        </c:txPr>
        <c:crossAx val="89947520"/>
        <c:crosses val="autoZero"/>
        <c:crossBetween val="between"/>
      </c:valAx>
      <c:spPr>
        <a:blipFill dpi="0" rotWithShape="1">
          <a:blip xmlns:r="http://schemas.openxmlformats.org/officeDocument/2006/relationships" r:embed="rId1">
            <a:alphaModFix amt="5000"/>
          </a:blip>
          <a:srcRect/>
          <a:tile tx="0" ty="0" sx="100000" sy="100000" flip="none" algn="tl"/>
        </a:blipFill>
      </c:spPr>
    </c:plotArea>
    <c:legend>
      <c:legendPos val="b"/>
      <c:layout/>
      <c:txPr>
        <a:bodyPr/>
        <a:lstStyle/>
        <a:p>
          <a:pPr>
            <a:defRPr lang="ro-RO" b="1"/>
          </a:pPr>
          <a:endParaRPr lang="en-US"/>
        </a:p>
      </c:txPr>
    </c:legend>
    <c:plotVisOnly val="1"/>
  </c:chart>
  <c:spPr>
    <a:gradFill>
      <a:gsLst>
        <a:gs pos="0">
          <a:srgbClr val="4F81BD">
            <a:tint val="66000"/>
            <a:satMod val="160000"/>
            <a:alpha val="2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5" b="0" i="0" u="none" strike="noStrike" kern="1200" baseline="0">
                <a:solidFill>
                  <a:sysClr val="windowText" lastClr="000000"/>
                </a:solidFill>
                <a:latin typeface="Arial Narrow" panose="020B0606020202030204" pitchFamily="34" charset="0"/>
                <a:ea typeface="+mn-ea"/>
                <a:cs typeface="+mn-cs"/>
              </a:defRPr>
            </a:pPr>
            <a:r>
              <a:rPr lang="en-US" sz="805" b="0" i="1"/>
              <a:t>Defalcarea consumului de energie în România în 2013</a:t>
            </a:r>
          </a:p>
        </c:rich>
      </c:tx>
      <c:layout>
        <c:manualLayout>
          <c:xMode val="edge"/>
          <c:yMode val="edge"/>
          <c:x val="0.14158998720201296"/>
          <c:y val="0"/>
        </c:manualLayout>
      </c:layout>
      <c:spPr>
        <a:noFill/>
        <a:ln>
          <a:noFill/>
        </a:ln>
        <a:effectLst/>
      </c:spPr>
    </c:title>
    <c:view3D>
      <c:rotX val="30"/>
      <c:perspective val="0"/>
    </c:view3D>
    <c:plotArea>
      <c:layout>
        <c:manualLayout>
          <c:layoutTarget val="inner"/>
          <c:xMode val="edge"/>
          <c:yMode val="edge"/>
          <c:x val="1.6053286211488913E-2"/>
          <c:y val="0.14059186458486841"/>
          <c:w val="0.98394671378851162"/>
          <c:h val="0.7934797511580377"/>
        </c:manualLayout>
      </c:layout>
      <c:pie3DChart>
        <c:varyColors val="1"/>
        <c:ser>
          <c:idx val="0"/>
          <c:order val="0"/>
          <c:tx>
            <c:strRef>
              <c:f>Sheet1!$B$1</c:f>
              <c:strCache>
                <c:ptCount val="1"/>
                <c:pt idx="0">
                  <c:v>Defalcarea consumului de energie în România în 2013</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5" b="0" i="0" u="none" strike="noStrike" kern="1200" baseline="0">
                    <a:solidFill>
                      <a:schemeClr val="tx1">
                        <a:lumMod val="75000"/>
                        <a:lumOff val="25000"/>
                      </a:schemeClr>
                    </a:solidFill>
                    <a:latin typeface="+mn-lt"/>
                    <a:ea typeface="+mn-ea"/>
                    <a:cs typeface="+mn-cs"/>
                  </a:defRPr>
                </a:pPr>
                <a:endParaRPr lang="en-US"/>
              </a:p>
            </c:txPr>
            <c:dLblPos val="inEnd"/>
            <c:showPercent val="1"/>
            <c:showLeaderLines val="1"/>
            <c:leaderLines>
              <c:spPr>
                <a:ln w="9582" cap="flat" cmpd="sng" algn="ctr">
                  <a:solidFill>
                    <a:schemeClr val="tx1">
                      <a:lumMod val="35000"/>
                      <a:lumOff val="65000"/>
                    </a:schemeClr>
                  </a:solidFill>
                  <a:round/>
                </a:ln>
                <a:effectLst/>
              </c:spPr>
            </c:leaderLines>
          </c:dLbls>
          <c:cat>
            <c:strRef>
              <c:f>Sheet1!$A$2:$A$6</c:f>
              <c:strCache>
                <c:ptCount val="5"/>
                <c:pt idx="0">
                  <c:v>Industrie</c:v>
                </c:pt>
                <c:pt idx="1">
                  <c:v>Trasport</c:v>
                </c:pt>
                <c:pt idx="2">
                  <c:v>Rezidențial</c:v>
                </c:pt>
                <c:pt idx="3">
                  <c:v>Terțiar</c:v>
                </c:pt>
                <c:pt idx="4">
                  <c:v>Agricultura</c:v>
                </c:pt>
              </c:strCache>
            </c:strRef>
          </c:cat>
          <c:val>
            <c:numRef>
              <c:f>Sheet1!$B$2:$B$6</c:f>
              <c:numCache>
                <c:formatCode>0%</c:formatCode>
                <c:ptCount val="5"/>
                <c:pt idx="0">
                  <c:v>0.29000000000000026</c:v>
                </c:pt>
                <c:pt idx="1">
                  <c:v>0.25</c:v>
                </c:pt>
                <c:pt idx="2">
                  <c:v>0.35000000000000026</c:v>
                </c:pt>
                <c:pt idx="3">
                  <c:v>9.0000000000000024E-2</c:v>
                </c:pt>
                <c:pt idx="4">
                  <c:v>2.0000000000000011E-2</c:v>
                </c:pt>
              </c:numCache>
            </c:numRef>
          </c:val>
        </c:ser>
      </c:pie3DChart>
      <c:spPr>
        <a:noFill/>
        <a:ln w="25552">
          <a:noFill/>
        </a:ln>
      </c:spPr>
    </c:plotArea>
    <c:legend>
      <c:legendPos val="b"/>
      <c:layout>
        <c:manualLayout>
          <c:xMode val="edge"/>
          <c:yMode val="edge"/>
          <c:x val="7.8228671829244534E-2"/>
          <c:y val="0.87819880056892419"/>
          <c:w val="0.90000000000000013"/>
          <c:h val="0.12180119943107649"/>
        </c:manualLayout>
      </c:layout>
      <c:spPr>
        <a:noFill/>
        <a:ln>
          <a:noFill/>
        </a:ln>
        <a:effectLst/>
      </c:spPr>
      <c:txPr>
        <a:bodyPr rot="0" spcFirstLastPara="1" vertOverflow="ellipsis" vert="horz" wrap="square" anchor="ctr" anchorCtr="1"/>
        <a:lstStyle/>
        <a:p>
          <a:pPr>
            <a:defRPr sz="805"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zero"/>
  </c:chart>
  <c:spPr>
    <a:solidFill>
      <a:schemeClr val="bg1"/>
    </a:solidFill>
    <a:ln w="9582" cap="flat" cmpd="sng" algn="ctr">
      <a:solidFill>
        <a:schemeClr val="accent1"/>
      </a:solidFill>
      <a:round/>
    </a:ln>
    <a:effectLst/>
  </c:spPr>
  <c:txPr>
    <a:bodyPr/>
    <a:lstStyle/>
    <a:p>
      <a:pPr>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3"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703" b="1">
                <a:solidFill>
                  <a:schemeClr val="tx1"/>
                </a:solidFill>
                <a:latin typeface="Arial Narrow" panose="020B0606020202030204" pitchFamily="34" charset="0"/>
              </a:rPr>
              <a:t>N</a:t>
            </a:r>
            <a:r>
              <a:rPr lang="ro-RO" sz="703" b="1">
                <a:solidFill>
                  <a:schemeClr val="tx1"/>
                </a:solidFill>
                <a:latin typeface="Arial Narrow" panose="020B0606020202030204" pitchFamily="34" charset="0"/>
              </a:rPr>
              <a:t>umărul</a:t>
            </a:r>
            <a:r>
              <a:rPr lang="ro-RO" sz="703" b="1" baseline="0">
                <a:solidFill>
                  <a:schemeClr val="tx1"/>
                </a:solidFill>
                <a:latin typeface="Arial Narrow" panose="020B0606020202030204" pitchFamily="34" charset="0"/>
              </a:rPr>
              <a:t> apartamentelor conectate la SACET </a:t>
            </a:r>
            <a:endParaRPr lang="en-US" sz="700" b="1">
              <a:solidFill>
                <a:schemeClr val="tx1"/>
              </a:solidFill>
              <a:latin typeface="Arial Narrow" panose="020B0606020202030204" pitchFamily="34" charset="0"/>
            </a:endParaRPr>
          </a:p>
        </c:rich>
      </c:tx>
      <c:layout>
        <c:manualLayout>
          <c:xMode val="edge"/>
          <c:yMode val="edge"/>
          <c:x val="0.13972017960564834"/>
          <c:y val="4.1571745279412832E-3"/>
        </c:manualLayout>
      </c:layout>
      <c:spPr>
        <a:noFill/>
        <a:ln>
          <a:noFill/>
        </a:ln>
        <a:effectLst/>
      </c:spPr>
    </c:title>
    <c:plotArea>
      <c:layout>
        <c:manualLayout>
          <c:layoutTarget val="inner"/>
          <c:xMode val="edge"/>
          <c:yMode val="edge"/>
          <c:x val="2.1599949012995896E-2"/>
          <c:y val="0.13938466025080187"/>
          <c:w val="0.68575225510604276"/>
          <c:h val="0.81170675094184652"/>
        </c:manualLayout>
      </c:layout>
      <c:doughnutChart>
        <c:varyColors val="1"/>
        <c:ser>
          <c:idx val="0"/>
          <c:order val="0"/>
          <c:tx>
            <c:strRef>
              <c:f>Sheet1!$B$1</c:f>
              <c:strCache>
                <c:ptCount val="1"/>
                <c:pt idx="0">
                  <c:v>Nr. apartamente</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9.8111356389502264E-3"/>
                  <c:y val="0.18518542821036271"/>
                </c:manualLayout>
              </c:layout>
              <c:tx>
                <c:rich>
                  <a:bodyPr rot="0" spcFirstLastPara="1" vertOverflow="ellipsis" vert="horz" wrap="square" lIns="38100" tIns="19050" rIns="38100" bIns="19050" anchor="ctr" anchorCtr="1">
                    <a:noAutofit/>
                  </a:bodyPr>
                  <a:lstStyle/>
                  <a:p>
                    <a:pPr>
                      <a:defRPr sz="904" b="0" i="0" u="none" strike="noStrike" kern="1200" baseline="0">
                        <a:solidFill>
                          <a:schemeClr val="tx1"/>
                        </a:solidFill>
                        <a:latin typeface="+mn-lt"/>
                        <a:ea typeface="+mn-ea"/>
                        <a:cs typeface="+mn-cs"/>
                      </a:defRPr>
                    </a:pPr>
                    <a:r>
                      <a:rPr lang="en-US" b="1"/>
                      <a:t>[]</a:t>
                    </a:r>
                  </a:p>
                </c:rich>
              </c:tx>
              <c:spPr>
                <a:noFill/>
                <a:ln>
                  <a:noFill/>
                </a:ln>
                <a:effectLst/>
              </c:spPr>
            </c:dLbl>
            <c:spPr>
              <a:noFill/>
              <a:ln>
                <a:noFill/>
              </a:ln>
              <a:effectLst/>
            </c:spPr>
            <c:txPr>
              <a:bodyPr rot="0" spcFirstLastPara="1" vertOverflow="ellipsis" vert="horz" wrap="square" lIns="38100" tIns="19050" rIns="38100" bIns="19050" anchor="ctr" anchorCtr="1">
                <a:spAutoFit/>
              </a:bodyPr>
              <a:lstStyle/>
              <a:p>
                <a:pPr>
                  <a:defRPr sz="904" b="0" i="0" u="none" strike="noStrike" kern="1200" baseline="0">
                    <a:solidFill>
                      <a:schemeClr val="tx1"/>
                    </a:solidFill>
                    <a:latin typeface="+mn-lt"/>
                    <a:ea typeface="+mn-ea"/>
                    <a:cs typeface="+mn-cs"/>
                  </a:defRPr>
                </a:pPr>
                <a:endParaRPr lang="en-US"/>
              </a:p>
            </c:txPr>
            <c:showPercent val="1"/>
          </c:dLbls>
          <c:cat>
            <c:strRef>
              <c:f>Sheet1!$A$2:$A$9</c:f>
              <c:strCache>
                <c:ptCount val="8"/>
                <c:pt idx="0">
                  <c:v>Centru</c:v>
                </c:pt>
                <c:pt idx="1">
                  <c:v>Nord Vest</c:v>
                </c:pt>
                <c:pt idx="2">
                  <c:v>Vest</c:v>
                </c:pt>
                <c:pt idx="3">
                  <c:v>București</c:v>
                </c:pt>
                <c:pt idx="4">
                  <c:v>Sud Vest</c:v>
                </c:pt>
                <c:pt idx="5">
                  <c:v>Nord Est</c:v>
                </c:pt>
                <c:pt idx="6">
                  <c:v>Sud Est</c:v>
                </c:pt>
                <c:pt idx="7">
                  <c:v>Sud</c:v>
                </c:pt>
              </c:strCache>
            </c:strRef>
          </c:cat>
          <c:val>
            <c:numRef>
              <c:f>Sheet1!$B$2:$B$9</c:f>
              <c:numCache>
                <c:formatCode>#,##0</c:formatCode>
                <c:ptCount val="8"/>
                <c:pt idx="0">
                  <c:v>19900</c:v>
                </c:pt>
                <c:pt idx="1">
                  <c:v>96319</c:v>
                </c:pt>
                <c:pt idx="2">
                  <c:v>103812</c:v>
                </c:pt>
                <c:pt idx="3">
                  <c:v>563143</c:v>
                </c:pt>
                <c:pt idx="4">
                  <c:v>127245</c:v>
                </c:pt>
                <c:pt idx="5">
                  <c:v>95219</c:v>
                </c:pt>
                <c:pt idx="6">
                  <c:v>177165</c:v>
                </c:pt>
                <c:pt idx="7">
                  <c:v>87734</c:v>
                </c:pt>
              </c:numCache>
            </c:numRef>
          </c:val>
        </c:ser>
        <c:firstSliceAng val="0"/>
        <c:holeSize val="50"/>
      </c:doughnutChart>
      <c:spPr>
        <a:noFill/>
        <a:ln w="25510">
          <a:noFill/>
        </a:ln>
      </c:spPr>
    </c:plotArea>
    <c:legend>
      <c:legendPos val="r"/>
      <c:legendEntry>
        <c:idx val="0"/>
        <c:txPr>
          <a:bodyPr rot="0" spcFirstLastPara="1" vertOverflow="ellipsis" vert="horz" wrap="square" anchor="ctr" anchorCtr="1"/>
          <a:lstStyle/>
          <a:p>
            <a:pPr>
              <a:defRPr sz="803" b="1" i="0" u="none" strike="noStrike" kern="1200" baseline="0">
                <a:solidFill>
                  <a:schemeClr val="accent6"/>
                </a:solidFill>
                <a:latin typeface="Arial Narrow" panose="020B0606020202030204" pitchFamily="34" charset="0"/>
                <a:ea typeface="+mn-ea"/>
                <a:cs typeface="+mn-cs"/>
              </a:defRPr>
            </a:pPr>
            <a:endParaRPr lang="en-US"/>
          </a:p>
        </c:txPr>
      </c:legendEntry>
      <c:layout>
        <c:manualLayout>
          <c:xMode val="edge"/>
          <c:yMode val="edge"/>
          <c:x val="0.71386217218715431"/>
          <c:y val="0.33921310807022931"/>
          <c:w val="0.27215071256588785"/>
          <c:h val="0.62194429579797661"/>
        </c:manualLayout>
      </c:layout>
      <c:spPr>
        <a:noFill/>
        <a:ln>
          <a:noFill/>
        </a:ln>
        <a:effectLst/>
      </c:spPr>
      <c:txPr>
        <a:bodyPr rot="0" spcFirstLastPara="1" vertOverflow="ellipsis" vert="horz" wrap="square" anchor="ctr" anchorCtr="1"/>
        <a:lstStyle/>
        <a:p>
          <a:pPr>
            <a:defRPr sz="803"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zero"/>
  </c:chart>
  <c:spPr>
    <a:noFill/>
    <a:ln>
      <a:solidFill>
        <a:schemeClr val="accent1"/>
      </a:solidFill>
    </a:ln>
    <a:effectLst/>
  </c:spPr>
  <c:txPr>
    <a:bodyPr/>
    <a:lstStyle/>
    <a:p>
      <a:pPr>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a:pPr>
            <a:r>
              <a:rPr lang="en-US" sz="1400"/>
              <a:t>Volumul de lemn recoltat in 2015</a:t>
            </a:r>
            <a:endParaRPr lang="vi-VN" sz="1400"/>
          </a:p>
        </c:rich>
      </c:tx>
      <c:layout/>
    </c:title>
    <c:plotArea>
      <c:layout/>
      <c:barChart>
        <c:barDir val="col"/>
        <c:grouping val="clustered"/>
        <c:ser>
          <c:idx val="0"/>
          <c:order val="0"/>
          <c:spPr>
            <a:blipFill>
              <a:blip xmlns:r="http://schemas.openxmlformats.org/officeDocument/2006/relationships" r:embed="rId1"/>
              <a:tile tx="0" ty="0" sx="100000" sy="100000" flip="none" algn="tl"/>
            </a:blipFill>
          </c:spPr>
          <c:cat>
            <c:strRef>
              <c:f>Foaie2!$B$4:$B$10</c:f>
              <c:strCache>
                <c:ptCount val="7"/>
                <c:pt idx="0">
                  <c:v>NORD-VEST</c:v>
                </c:pt>
                <c:pt idx="1">
                  <c:v>CENTRU</c:v>
                </c:pt>
                <c:pt idx="2">
                  <c:v>NORD-EST</c:v>
                </c:pt>
                <c:pt idx="3">
                  <c:v>SUD-EST</c:v>
                </c:pt>
                <c:pt idx="4">
                  <c:v>SUD-MUNTENIA</c:v>
                </c:pt>
                <c:pt idx="5">
                  <c:v>SUD-VEST OLTENIA</c:v>
                </c:pt>
                <c:pt idx="6">
                  <c:v>VEST</c:v>
                </c:pt>
              </c:strCache>
            </c:strRef>
          </c:cat>
          <c:val>
            <c:numRef>
              <c:f>Foaie2!$C$4:$C$10</c:f>
              <c:numCache>
                <c:formatCode>General</c:formatCode>
                <c:ptCount val="7"/>
                <c:pt idx="0">
                  <c:v>2323.6999999999998</c:v>
                </c:pt>
                <c:pt idx="1">
                  <c:v>3989.5</c:v>
                </c:pt>
                <c:pt idx="2">
                  <c:v>4811.1000000000004</c:v>
                </c:pt>
                <c:pt idx="3">
                  <c:v>1327.9</c:v>
                </c:pt>
                <c:pt idx="4">
                  <c:v>1802.4</c:v>
                </c:pt>
                <c:pt idx="5">
                  <c:v>1526.2</c:v>
                </c:pt>
                <c:pt idx="6">
                  <c:v>2277.9</c:v>
                </c:pt>
              </c:numCache>
            </c:numRef>
          </c:val>
        </c:ser>
        <c:axId val="101862400"/>
        <c:axId val="101885056"/>
      </c:barChart>
      <c:catAx>
        <c:axId val="101862400"/>
        <c:scaling>
          <c:orientation val="minMax"/>
        </c:scaling>
        <c:axPos val="b"/>
        <c:tickLblPos val="nextTo"/>
        <c:txPr>
          <a:bodyPr/>
          <a:lstStyle/>
          <a:p>
            <a:pPr>
              <a:defRPr lang="ro-RO"/>
            </a:pPr>
            <a:endParaRPr lang="en-US"/>
          </a:p>
        </c:txPr>
        <c:crossAx val="101885056"/>
        <c:crosses val="autoZero"/>
        <c:auto val="1"/>
        <c:lblAlgn val="ctr"/>
        <c:lblOffset val="100"/>
      </c:catAx>
      <c:valAx>
        <c:axId val="101885056"/>
        <c:scaling>
          <c:orientation val="minMax"/>
          <c:min val="800"/>
        </c:scaling>
        <c:axPos val="l"/>
        <c:majorGridlines/>
        <c:title>
          <c:tx>
            <c:rich>
              <a:bodyPr rot="-5400000" vert="horz"/>
              <a:lstStyle/>
              <a:p>
                <a:pPr>
                  <a:defRPr lang="ro-RO"/>
                </a:pPr>
                <a:r>
                  <a:rPr lang="en-US"/>
                  <a:t>mil. mc</a:t>
                </a:r>
              </a:p>
            </c:rich>
          </c:tx>
          <c:layout/>
        </c:title>
        <c:numFmt formatCode="General" sourceLinked="1"/>
        <c:tickLblPos val="nextTo"/>
        <c:txPr>
          <a:bodyPr/>
          <a:lstStyle/>
          <a:p>
            <a:pPr>
              <a:defRPr lang="ro-RO"/>
            </a:pPr>
            <a:endParaRPr lang="en-US"/>
          </a:p>
        </c:txPr>
        <c:crossAx val="101862400"/>
        <c:crosses val="autoZero"/>
        <c:crossBetween val="between"/>
      </c:valAx>
      <c:spPr>
        <a:gradFill>
          <a:gsLst>
            <a:gs pos="0">
              <a:srgbClr val="FFEFD1"/>
            </a:gs>
            <a:gs pos="64999">
              <a:srgbClr val="F0EBD5"/>
            </a:gs>
            <a:gs pos="100000">
              <a:srgbClr val="D1C39F"/>
            </a:gs>
          </a:gsLst>
          <a:lin ang="5400000" scaled="0"/>
        </a:gradFill>
      </c:spPr>
    </c:plotArea>
    <c:plotVisOnly val="1"/>
  </c:chart>
  <c:spPr>
    <a:gradFill>
      <a:gsLst>
        <a:gs pos="0">
          <a:srgbClr val="FFEFD1"/>
        </a:gs>
        <a:gs pos="64999">
          <a:srgbClr val="F0EBD5"/>
        </a:gs>
        <a:gs pos="100000">
          <a:srgbClr val="D1C39F"/>
        </a:gs>
      </a:gsLst>
      <a:lin ang="5400000" scaled="0"/>
    </a:gradFill>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ro-RO" sz="1000"/>
              <a:t>Volumul</a:t>
            </a:r>
            <a:r>
              <a:rPr lang="ro-RO" sz="1000" baseline="0"/>
              <a:t> de lemn recoltat din Regiunea Centru in 2015, </a:t>
            </a:r>
            <a:r>
              <a:rPr lang="ro-RO" sz="1000"/>
              <a:t>pe specii</a:t>
            </a:r>
            <a:r>
              <a:rPr lang="ro-RO" sz="1000" baseline="0"/>
              <a:t> principale                          (mii mc) </a:t>
            </a:r>
            <a:endParaRPr lang="vi-VN" sz="1000"/>
          </a:p>
        </c:rich>
      </c:tx>
      <c:layout/>
    </c:title>
    <c:plotArea>
      <c:layout/>
      <c:pieChart>
        <c:varyColors val="1"/>
        <c:ser>
          <c:idx val="0"/>
          <c:order val="0"/>
          <c:tx>
            <c:strRef>
              <c:f>Foaie1!$B$1</c:f>
              <c:strCache>
                <c:ptCount val="1"/>
                <c:pt idx="0">
                  <c:v>Coloană1</c:v>
                </c:pt>
              </c:strCache>
            </c:strRef>
          </c:tx>
          <c:dPt>
            <c:idx val="0"/>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Lbls>
            <c:dLbl>
              <c:idx val="0"/>
              <c:layout>
                <c:manualLayout>
                  <c:x val="9.0787219305920059E-3"/>
                  <c:y val="-8.9790338707663911E-2"/>
                </c:manualLayout>
              </c:layout>
              <c:showVal val="1"/>
            </c:dLbl>
            <c:dLbl>
              <c:idx val="1"/>
              <c:layout>
                <c:manualLayout>
                  <c:x val="-3.0297553951589389E-2"/>
                  <c:y val="-2.9566616672915942E-2"/>
                </c:manualLayout>
              </c:layout>
              <c:showVal val="1"/>
            </c:dLbl>
            <c:dLbl>
              <c:idx val="2"/>
              <c:layout>
                <c:manualLayout>
                  <c:x val="2.4167031204432527E-3"/>
                  <c:y val="-1.3881077365329567E-2"/>
                </c:manualLayout>
              </c:layout>
              <c:showVal val="1"/>
            </c:dLbl>
            <c:dLbl>
              <c:idx val="3"/>
              <c:layout>
                <c:manualLayout>
                  <c:x val="-1.5178714639836709E-2"/>
                  <c:y val="-2.6886014248219056E-2"/>
                </c:manualLayout>
              </c:layout>
              <c:showVal val="1"/>
            </c:dLbl>
            <c:dLbl>
              <c:idx val="4"/>
              <c:layout>
                <c:manualLayout>
                  <c:x val="1.9482720909886606E-3"/>
                  <c:y val="-1.3836395450568703E-2"/>
                </c:manualLayout>
              </c:layout>
              <c:showVal val="1"/>
            </c:dLbl>
            <c:delete val="1"/>
          </c:dLbls>
          <c:cat>
            <c:strRef>
              <c:f>Foaie1!$A$2:$A$6</c:f>
              <c:strCache>
                <c:ptCount val="5"/>
                <c:pt idx="0">
                  <c:v>Rășinoase</c:v>
                </c:pt>
                <c:pt idx="1">
                  <c:v>Fag</c:v>
                </c:pt>
                <c:pt idx="2">
                  <c:v>Stejar</c:v>
                </c:pt>
                <c:pt idx="3">
                  <c:v>Diverse specii tari</c:v>
                </c:pt>
                <c:pt idx="4">
                  <c:v>Diverse specii moi</c:v>
                </c:pt>
              </c:strCache>
            </c:strRef>
          </c:cat>
          <c:val>
            <c:numRef>
              <c:f>Foaie1!$B$2:$B$6</c:f>
              <c:numCache>
                <c:formatCode>General</c:formatCode>
                <c:ptCount val="5"/>
                <c:pt idx="0">
                  <c:v>1934.6</c:v>
                </c:pt>
                <c:pt idx="1">
                  <c:v>1442.6</c:v>
                </c:pt>
                <c:pt idx="2">
                  <c:v>227.2</c:v>
                </c:pt>
                <c:pt idx="3">
                  <c:v>312.10000000000002</c:v>
                </c:pt>
                <c:pt idx="4">
                  <c:v>73</c:v>
                </c:pt>
              </c:numCache>
            </c:numRef>
          </c:val>
        </c:ser>
        <c:firstSliceAng val="0"/>
      </c:pieChart>
    </c:plotArea>
    <c:legend>
      <c:legendPos val="r"/>
      <c:legendEntry>
        <c:idx val="0"/>
        <c:txPr>
          <a:bodyPr/>
          <a:lstStyle/>
          <a:p>
            <a:pPr>
              <a:defRPr sz="900"/>
            </a:pPr>
            <a:endParaRPr lang="en-US"/>
          </a:p>
        </c:txPr>
      </c:legendEntry>
      <c:layout>
        <c:manualLayout>
          <c:xMode val="edge"/>
          <c:yMode val="edge"/>
          <c:x val="0.78086821748336566"/>
          <c:y val="0.285727369185238"/>
          <c:w val="0.18429569765993828"/>
          <c:h val="0.63049533701905081"/>
        </c:manualLayout>
      </c:layout>
      <c:spPr>
        <a:ln>
          <a:solidFill>
            <a:srgbClr val="4F81BD"/>
          </a:solidFill>
        </a:ln>
      </c:spPr>
      <c:txPr>
        <a:bodyPr/>
        <a:lstStyle/>
        <a:p>
          <a:pPr>
            <a:defRPr lang="en-US"/>
          </a:pPr>
          <a:endParaRPr lang="en-US"/>
        </a:p>
      </c:txPr>
    </c:legend>
    <c:plotVisOnly val="1"/>
    <c:dispBlanksAs val="zero"/>
  </c:chart>
  <c:spPr>
    <a:gradFill>
      <a:gsLst>
        <a:gs pos="0">
          <a:srgbClr val="FFEFD1"/>
        </a:gs>
        <a:gs pos="64999">
          <a:srgbClr val="F0EBD5"/>
        </a:gs>
        <a:gs pos="100000">
          <a:srgbClr val="D1C39F"/>
        </a:gs>
      </a:gsLst>
      <a:lin ang="5400000" scaled="0"/>
    </a:gradFill>
  </c:spPr>
  <c:externalData r:id="rId6"/>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a:pPr>
            <a:r>
              <a:rPr lang="en-US" sz="1200"/>
              <a:t>Valoarea exporturilor de produse din lem si de mobila</a:t>
            </a:r>
            <a:r>
              <a:rPr lang="en-US" sz="1200" baseline="0"/>
              <a:t> in anul 2015</a:t>
            </a:r>
            <a:endParaRPr lang="en-US" sz="1200"/>
          </a:p>
        </c:rich>
      </c:tx>
      <c:layout/>
    </c:title>
    <c:view3D>
      <c:rAngAx val="1"/>
    </c:view3D>
    <c:plotArea>
      <c:layout/>
      <c:bar3DChart>
        <c:barDir val="col"/>
        <c:grouping val="stacked"/>
        <c:ser>
          <c:idx val="0"/>
          <c:order val="0"/>
          <c:tx>
            <c:strRef>
              <c:f>Foaie4!$B$5</c:f>
              <c:strCache>
                <c:ptCount val="1"/>
                <c:pt idx="0">
                  <c:v>Produse din lemn</c:v>
                </c:pt>
              </c:strCache>
            </c:strRef>
          </c:tx>
          <c:spPr>
            <a:solidFill>
              <a:srgbClr val="CCCC00"/>
            </a:solidFill>
          </c:spPr>
          <c:cat>
            <c:strRef>
              <c:f>Foaie4!$C$4:$H$4</c:f>
              <c:strCache>
                <c:ptCount val="6"/>
                <c:pt idx="0">
                  <c:v>Alba</c:v>
                </c:pt>
                <c:pt idx="1">
                  <c:v>Brașov</c:v>
                </c:pt>
                <c:pt idx="2">
                  <c:v>Covasna</c:v>
                </c:pt>
                <c:pt idx="3">
                  <c:v>Harghita</c:v>
                </c:pt>
                <c:pt idx="4">
                  <c:v>Mureș</c:v>
                </c:pt>
                <c:pt idx="5">
                  <c:v>Sibiu</c:v>
                </c:pt>
              </c:strCache>
            </c:strRef>
          </c:cat>
          <c:val>
            <c:numRef>
              <c:f>Foaie4!$C$5:$H$5</c:f>
              <c:numCache>
                <c:formatCode>General</c:formatCode>
                <c:ptCount val="6"/>
                <c:pt idx="0">
                  <c:v>442.03599999999926</c:v>
                </c:pt>
                <c:pt idx="1">
                  <c:v>150.76899999999998</c:v>
                </c:pt>
                <c:pt idx="2">
                  <c:v>15.249000000000001</c:v>
                </c:pt>
                <c:pt idx="3">
                  <c:v>50.131</c:v>
                </c:pt>
                <c:pt idx="4">
                  <c:v>97.442000000000007</c:v>
                </c:pt>
                <c:pt idx="5">
                  <c:v>15.213000000000001</c:v>
                </c:pt>
              </c:numCache>
            </c:numRef>
          </c:val>
        </c:ser>
        <c:ser>
          <c:idx val="1"/>
          <c:order val="1"/>
          <c:tx>
            <c:strRef>
              <c:f>Foaie4!$B$6</c:f>
              <c:strCache>
                <c:ptCount val="1"/>
                <c:pt idx="0">
                  <c:v>Mobilă</c:v>
                </c:pt>
              </c:strCache>
            </c:strRef>
          </c:tx>
          <c:spPr>
            <a:solidFill>
              <a:srgbClr val="996600"/>
            </a:solidFill>
          </c:spPr>
          <c:cat>
            <c:strRef>
              <c:f>Foaie4!$C$4:$H$4</c:f>
              <c:strCache>
                <c:ptCount val="6"/>
                <c:pt idx="0">
                  <c:v>Alba</c:v>
                </c:pt>
                <c:pt idx="1">
                  <c:v>Brașov</c:v>
                </c:pt>
                <c:pt idx="2">
                  <c:v>Covasna</c:v>
                </c:pt>
                <c:pt idx="3">
                  <c:v>Harghita</c:v>
                </c:pt>
                <c:pt idx="4">
                  <c:v>Mureș</c:v>
                </c:pt>
                <c:pt idx="5">
                  <c:v>Sibiu</c:v>
                </c:pt>
              </c:strCache>
            </c:strRef>
          </c:cat>
          <c:val>
            <c:numRef>
              <c:f>Foaie4!$C$6:$H$6</c:f>
              <c:numCache>
                <c:formatCode>General</c:formatCode>
                <c:ptCount val="6"/>
                <c:pt idx="0">
                  <c:v>43.308</c:v>
                </c:pt>
                <c:pt idx="1">
                  <c:v>26.6</c:v>
                </c:pt>
                <c:pt idx="2">
                  <c:v>7.3739999999999997</c:v>
                </c:pt>
                <c:pt idx="3">
                  <c:v>46.793000000000013</c:v>
                </c:pt>
                <c:pt idx="4">
                  <c:v>77.582999999999998</c:v>
                </c:pt>
                <c:pt idx="5">
                  <c:v>106.91200000000002</c:v>
                </c:pt>
              </c:numCache>
            </c:numRef>
          </c:val>
        </c:ser>
        <c:shape val="box"/>
        <c:axId val="149572224"/>
        <c:axId val="152873600"/>
        <c:axId val="0"/>
      </c:bar3DChart>
      <c:catAx>
        <c:axId val="149572224"/>
        <c:scaling>
          <c:orientation val="minMax"/>
        </c:scaling>
        <c:axPos val="b"/>
        <c:tickLblPos val="nextTo"/>
        <c:txPr>
          <a:bodyPr/>
          <a:lstStyle/>
          <a:p>
            <a:pPr>
              <a:defRPr lang="ro-RO" b="1"/>
            </a:pPr>
            <a:endParaRPr lang="en-US"/>
          </a:p>
        </c:txPr>
        <c:crossAx val="152873600"/>
        <c:crosses val="autoZero"/>
        <c:auto val="1"/>
        <c:lblAlgn val="ctr"/>
        <c:lblOffset val="100"/>
      </c:catAx>
      <c:valAx>
        <c:axId val="152873600"/>
        <c:scaling>
          <c:orientation val="minMax"/>
        </c:scaling>
        <c:axPos val="l"/>
        <c:majorGridlines/>
        <c:title>
          <c:tx>
            <c:rich>
              <a:bodyPr rot="-5400000" vert="horz"/>
              <a:lstStyle/>
              <a:p>
                <a:pPr>
                  <a:defRPr lang="ro-RO"/>
                </a:pPr>
                <a:r>
                  <a:rPr lang="en-US"/>
                  <a:t>mil.</a:t>
                </a:r>
                <a:r>
                  <a:rPr lang="en-US" baseline="0"/>
                  <a:t> </a:t>
                </a:r>
                <a:r>
                  <a:rPr lang="en-US"/>
                  <a:t> euro</a:t>
                </a:r>
              </a:p>
            </c:rich>
          </c:tx>
          <c:layout/>
        </c:title>
        <c:numFmt formatCode="General" sourceLinked="1"/>
        <c:tickLblPos val="nextTo"/>
        <c:txPr>
          <a:bodyPr/>
          <a:lstStyle/>
          <a:p>
            <a:pPr>
              <a:defRPr lang="ro-RO" b="1"/>
            </a:pPr>
            <a:endParaRPr lang="en-US"/>
          </a:p>
        </c:txPr>
        <c:crossAx val="149572224"/>
        <c:crosses val="autoZero"/>
        <c:crossBetween val="between"/>
      </c:valAx>
    </c:plotArea>
    <c:legend>
      <c:legendPos val="b"/>
      <c:layout/>
      <c:txPr>
        <a:bodyPr/>
        <a:lstStyle/>
        <a:p>
          <a:pPr>
            <a:defRPr lang="ro-RO" b="1"/>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a:pPr>
            <a:r>
              <a:rPr lang="en-US" sz="1200"/>
              <a:t>Ponderea exporturilor de produse </a:t>
            </a:r>
            <a:r>
              <a:rPr lang="en-US" sz="1200" baseline="0"/>
              <a:t> din lemn </a:t>
            </a:r>
            <a:r>
              <a:rPr lang="ro-RO" sz="1200" baseline="0"/>
              <a:t>și de mobilier (2015</a:t>
            </a:r>
            <a:r>
              <a:rPr lang="ro-RO" sz="1400" baseline="0"/>
              <a:t>)</a:t>
            </a:r>
            <a:endParaRPr lang="en-US" sz="1400"/>
          </a:p>
        </c:rich>
      </c:tx>
      <c:layout/>
    </c:title>
    <c:plotArea>
      <c:layout/>
      <c:radarChart>
        <c:radarStyle val="marker"/>
        <c:ser>
          <c:idx val="0"/>
          <c:order val="0"/>
          <c:tx>
            <c:strRef>
              <c:f>Foaie1!$B$1</c:f>
              <c:strCache>
                <c:ptCount val="1"/>
                <c:pt idx="0">
                  <c:v>Serie 1</c:v>
                </c:pt>
              </c:strCache>
            </c:strRef>
          </c:tx>
          <c:spPr>
            <a:ln>
              <a:solidFill>
                <a:srgbClr val="FF0000"/>
              </a:solidFill>
            </a:ln>
          </c:spPr>
          <c:marker>
            <c:spPr>
              <a:gradFill>
                <a:gsLst>
                  <a:gs pos="0">
                    <a:srgbClr val="C00000"/>
                  </a:gs>
                  <a:gs pos="64999">
                    <a:srgbClr val="F0EBD5"/>
                  </a:gs>
                  <a:gs pos="100000">
                    <a:srgbClr val="D1C39F"/>
                  </a:gs>
                </a:gsLst>
                <a:lin ang="4200000" scaled="0"/>
              </a:gradFill>
            </c:spPr>
          </c:marker>
          <c:cat>
            <c:strRef>
              <c:f>Foaie1!$A$2:$A$9</c:f>
              <c:strCache>
                <c:ptCount val="8"/>
                <c:pt idx="0">
                  <c:v>Romania</c:v>
                </c:pt>
                <c:pt idx="1">
                  <c:v>Reg Centru</c:v>
                </c:pt>
                <c:pt idx="2">
                  <c:v>Alba</c:v>
                </c:pt>
                <c:pt idx="3">
                  <c:v>Brasov</c:v>
                </c:pt>
                <c:pt idx="4">
                  <c:v>Covasna</c:v>
                </c:pt>
                <c:pt idx="5">
                  <c:v>Harghita</c:v>
                </c:pt>
                <c:pt idx="6">
                  <c:v>Mures</c:v>
                </c:pt>
                <c:pt idx="7">
                  <c:v>Sibiu</c:v>
                </c:pt>
              </c:strCache>
            </c:strRef>
          </c:cat>
          <c:val>
            <c:numRef>
              <c:f>Foaie1!$B$2:$B$9</c:f>
              <c:numCache>
                <c:formatCode>General</c:formatCode>
                <c:ptCount val="8"/>
                <c:pt idx="0">
                  <c:v>7.3</c:v>
                </c:pt>
                <c:pt idx="1">
                  <c:v>14.1</c:v>
                </c:pt>
                <c:pt idx="2">
                  <c:v>47.4</c:v>
                </c:pt>
                <c:pt idx="3">
                  <c:v>6.4</c:v>
                </c:pt>
                <c:pt idx="4">
                  <c:v>7.7</c:v>
                </c:pt>
                <c:pt idx="5">
                  <c:v>31.9</c:v>
                </c:pt>
                <c:pt idx="6">
                  <c:v>18.7</c:v>
                </c:pt>
                <c:pt idx="7">
                  <c:v>5.3</c:v>
                </c:pt>
              </c:numCache>
            </c:numRef>
          </c:val>
        </c:ser>
        <c:axId val="155690112"/>
        <c:axId val="155692416"/>
      </c:radarChart>
      <c:catAx>
        <c:axId val="155690112"/>
        <c:scaling>
          <c:orientation val="minMax"/>
        </c:scaling>
        <c:axPos val="b"/>
        <c:majorGridlines/>
        <c:numFmt formatCode="m/d/yyyy" sourceLinked="1"/>
        <c:tickLblPos val="nextTo"/>
        <c:txPr>
          <a:bodyPr/>
          <a:lstStyle/>
          <a:p>
            <a:pPr>
              <a:defRPr lang="ro-RO" b="1"/>
            </a:pPr>
            <a:endParaRPr lang="en-US"/>
          </a:p>
        </c:txPr>
        <c:crossAx val="155692416"/>
        <c:crosses val="autoZero"/>
        <c:auto val="1"/>
        <c:lblAlgn val="ctr"/>
        <c:lblOffset val="100"/>
      </c:catAx>
      <c:valAx>
        <c:axId val="155692416"/>
        <c:scaling>
          <c:orientation val="minMax"/>
        </c:scaling>
        <c:axPos val="l"/>
        <c:majorGridlines/>
        <c:numFmt formatCode="General" sourceLinked="1"/>
        <c:majorTickMark val="cross"/>
        <c:tickLblPos val="nextTo"/>
        <c:txPr>
          <a:bodyPr/>
          <a:lstStyle/>
          <a:p>
            <a:pPr>
              <a:defRPr lang="ro-RO" b="1"/>
            </a:pPr>
            <a:endParaRPr lang="en-US"/>
          </a:p>
        </c:txPr>
        <c:crossAx val="155690112"/>
        <c:crosses val="autoZero"/>
        <c:crossBetween val="between"/>
      </c:valAx>
      <c:spPr>
        <a:gradFill>
          <a:gsLst>
            <a:gs pos="0">
              <a:srgbClr val="FFEFD1">
                <a:alpha val="50000"/>
              </a:srgbClr>
            </a:gs>
            <a:gs pos="64999">
              <a:srgbClr val="F0EBD5"/>
            </a:gs>
            <a:gs pos="100000">
              <a:srgbClr val="D1C39F"/>
            </a:gs>
          </a:gsLst>
          <a:lin ang="4200000" scaled="0"/>
        </a:gradFill>
      </c:spPr>
    </c:plotArea>
    <c:plotVisOnly val="1"/>
  </c:chart>
  <c:spPr>
    <a:gradFill>
      <a:gsLst>
        <a:gs pos="0">
          <a:srgbClr val="FFEFD1"/>
        </a:gs>
        <a:gs pos="64999">
          <a:srgbClr val="F0EBD5"/>
        </a:gs>
        <a:gs pos="100000">
          <a:srgbClr val="D1C39F"/>
        </a:gs>
      </a:gsLst>
      <a:lin ang="4200000" scaled="0"/>
    </a:gra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20"/>
      <c:depthPercent val="100"/>
      <c:perspective val="30"/>
    </c:view3D>
    <c:plotArea>
      <c:layout/>
      <c:line3DChart>
        <c:grouping val="standard"/>
        <c:ser>
          <c:idx val="0"/>
          <c:order val="0"/>
          <c:tx>
            <c:strRef>
              <c:f>Foaie1!$B$1</c:f>
              <c:strCache>
                <c:ptCount val="1"/>
                <c:pt idx="0">
                  <c:v>Pondere SCC in 
total VAB UE 27</c:v>
                </c:pt>
              </c:strCache>
            </c:strRef>
          </c:tx>
          <c:dLbls>
            <c:txPr>
              <a:bodyPr/>
              <a:lstStyle/>
              <a:p>
                <a:pPr>
                  <a:defRPr sz="803">
                    <a:latin typeface="Arial Narrow" panose="020B0606020202030204" pitchFamily="34" charset="0"/>
                  </a:defRPr>
                </a:pPr>
                <a:endParaRPr lang="en-US"/>
              </a:p>
            </c:txPr>
            <c:showVal val="1"/>
          </c:dLbls>
          <c:cat>
            <c:numRef>
              <c:f>Foaie1!$A$2:$A$5</c:f>
              <c:numCache>
                <c:formatCode>General</c:formatCode>
                <c:ptCount val="4"/>
                <c:pt idx="0">
                  <c:v>2009</c:v>
                </c:pt>
                <c:pt idx="1">
                  <c:v>2010</c:v>
                </c:pt>
                <c:pt idx="2">
                  <c:v>2011</c:v>
                </c:pt>
                <c:pt idx="3">
                  <c:v>2012</c:v>
                </c:pt>
              </c:numCache>
            </c:numRef>
          </c:cat>
          <c:val>
            <c:numRef>
              <c:f>Foaie1!$B$2:$B$5</c:f>
              <c:numCache>
                <c:formatCode>General</c:formatCode>
                <c:ptCount val="4"/>
                <c:pt idx="0">
                  <c:v>4.9400000000000004</c:v>
                </c:pt>
                <c:pt idx="1">
                  <c:v>4.92</c:v>
                </c:pt>
                <c:pt idx="2">
                  <c:v>4.99</c:v>
                </c:pt>
                <c:pt idx="3">
                  <c:v>5.0999999999999996</c:v>
                </c:pt>
              </c:numCache>
            </c:numRef>
          </c:val>
        </c:ser>
        <c:ser>
          <c:idx val="1"/>
          <c:order val="1"/>
          <c:tx>
            <c:strRef>
              <c:f>Foaie1!$C$1</c:f>
              <c:strCache>
                <c:ptCount val="1"/>
                <c:pt idx="0">
                  <c:v>Pondere SCC in 
total VAB Romania</c:v>
                </c:pt>
              </c:strCache>
            </c:strRef>
          </c:tx>
          <c:dLbls>
            <c:txPr>
              <a:bodyPr/>
              <a:lstStyle/>
              <a:p>
                <a:pPr>
                  <a:defRPr sz="803">
                    <a:latin typeface="Arial Narrow" panose="020B0606020202030204" pitchFamily="34" charset="0"/>
                  </a:defRPr>
                </a:pPr>
                <a:endParaRPr lang="en-US"/>
              </a:p>
            </c:txPr>
            <c:showVal val="1"/>
          </c:dLbls>
          <c:cat>
            <c:numRef>
              <c:f>Foaie1!$A$2:$A$5</c:f>
              <c:numCache>
                <c:formatCode>General</c:formatCode>
                <c:ptCount val="4"/>
                <c:pt idx="0">
                  <c:v>2009</c:v>
                </c:pt>
                <c:pt idx="1">
                  <c:v>2010</c:v>
                </c:pt>
                <c:pt idx="2">
                  <c:v>2011</c:v>
                </c:pt>
                <c:pt idx="3">
                  <c:v>2012</c:v>
                </c:pt>
              </c:numCache>
            </c:numRef>
          </c:cat>
          <c:val>
            <c:numRef>
              <c:f>Foaie1!$C$2:$C$5</c:f>
              <c:numCache>
                <c:formatCode>General</c:formatCode>
                <c:ptCount val="4"/>
                <c:pt idx="0">
                  <c:v>4.1499999999999995</c:v>
                </c:pt>
                <c:pt idx="1">
                  <c:v>4.9800000000000004</c:v>
                </c:pt>
                <c:pt idx="2">
                  <c:v>5.0599999999999996</c:v>
                </c:pt>
                <c:pt idx="3">
                  <c:v>5.6899999999999995</c:v>
                </c:pt>
              </c:numCache>
            </c:numRef>
          </c:val>
        </c:ser>
        <c:axId val="82121088"/>
        <c:axId val="82122624"/>
        <c:axId val="144307072"/>
      </c:line3DChart>
      <c:catAx>
        <c:axId val="82121088"/>
        <c:scaling>
          <c:orientation val="minMax"/>
        </c:scaling>
        <c:axPos val="b"/>
        <c:numFmt formatCode="General" sourceLinked="1"/>
        <c:tickLblPos val="nextTo"/>
        <c:txPr>
          <a:bodyPr/>
          <a:lstStyle/>
          <a:p>
            <a:pPr>
              <a:defRPr sz="803">
                <a:latin typeface="Arial Narrow" panose="020B0606020202030204" pitchFamily="34" charset="0"/>
              </a:defRPr>
            </a:pPr>
            <a:endParaRPr lang="en-US"/>
          </a:p>
        </c:txPr>
        <c:crossAx val="82122624"/>
        <c:crosses val="autoZero"/>
        <c:auto val="1"/>
        <c:lblAlgn val="ctr"/>
        <c:lblOffset val="100"/>
      </c:catAx>
      <c:valAx>
        <c:axId val="82122624"/>
        <c:scaling>
          <c:orientation val="minMax"/>
        </c:scaling>
        <c:axPos val="l"/>
        <c:majorGridlines/>
        <c:numFmt formatCode="General" sourceLinked="1"/>
        <c:tickLblPos val="nextTo"/>
        <c:txPr>
          <a:bodyPr/>
          <a:lstStyle/>
          <a:p>
            <a:pPr>
              <a:defRPr sz="803">
                <a:latin typeface="Arial Narrow" panose="020B0606020202030204" pitchFamily="34" charset="0"/>
              </a:defRPr>
            </a:pPr>
            <a:endParaRPr lang="en-US"/>
          </a:p>
        </c:txPr>
        <c:crossAx val="82121088"/>
        <c:crosses val="autoZero"/>
        <c:crossBetween val="between"/>
      </c:valAx>
      <c:serAx>
        <c:axId val="144307072"/>
        <c:scaling>
          <c:orientation val="minMax"/>
        </c:scaling>
        <c:delete val="1"/>
        <c:axPos val="b"/>
        <c:tickLblPos val="nextTo"/>
        <c:crossAx val="82122624"/>
        <c:crosses val="autoZero"/>
      </c:serAx>
      <c:spPr>
        <a:noFill/>
        <a:ln w="25492">
          <a:noFill/>
        </a:ln>
      </c:spPr>
    </c:plotArea>
    <c:legend>
      <c:legendPos val="r"/>
      <c:layout/>
      <c:txPr>
        <a:bodyPr/>
        <a:lstStyle/>
        <a:p>
          <a:pPr>
            <a:defRPr sz="803">
              <a:latin typeface="Arial Narrow" panose="020B0606020202030204" pitchFamily="34" charset="0"/>
            </a:defRPr>
          </a:pPr>
          <a:endParaRPr lang="en-US"/>
        </a:p>
      </c:txP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05396290050624"/>
          <c:y val="2.7613412228796878E-2"/>
          <c:w val="0.53962900505902245"/>
          <c:h val="0.92307692307692257"/>
        </c:manualLayout>
      </c:layout>
      <c:barChart>
        <c:barDir val="bar"/>
        <c:grouping val="clustered"/>
        <c:ser>
          <c:idx val="0"/>
          <c:order val="0"/>
          <c:tx>
            <c:strRef>
              <c:f>Foaie1!$B$1</c:f>
              <c:strCache>
                <c:ptCount val="1"/>
                <c:pt idx="0">
                  <c:v>Numar de firme (2014)</c:v>
                </c:pt>
              </c:strCache>
            </c:strRef>
          </c:tx>
          <c:dLbls>
            <c:txPr>
              <a:bodyPr/>
              <a:lstStyle/>
              <a:p>
                <a:pPr>
                  <a:defRPr sz="801">
                    <a:latin typeface="Arial Narrow" panose="020B0606020202030204" pitchFamily="34" charset="0"/>
                  </a:defRPr>
                </a:pPr>
                <a:endParaRPr lang="en-US"/>
              </a:p>
            </c:txPr>
            <c:showVal val="1"/>
          </c:dLbls>
          <c:cat>
            <c:strRef>
              <c:f>Foaie1!$A$2:$A$23</c:f>
              <c:strCache>
                <c:ptCount val="22"/>
                <c:pt idx="0">
                  <c:v>7311 Activitati ale agentiilor de publicitate</c:v>
                </c:pt>
                <c:pt idx="1">
                  <c:v>6201 Activitati de realizare a softului la comanda</c:v>
                </c:pt>
                <c:pt idx="2">
                  <c:v>7111 Activitati de arhitectura</c:v>
                </c:pt>
                <c:pt idx="3">
                  <c:v>6202 Activitati de consultanta in tehnologia informatiei</c:v>
                </c:pt>
                <c:pt idx="4">
                  <c:v>9329 Alte activități recreative și distractive n.c.a</c:v>
                </c:pt>
                <c:pt idx="5">
                  <c:v>1812 Alte activități de tipărire n.c.a</c:v>
                </c:pt>
                <c:pt idx="6">
                  <c:v>6209 Alte activități de servicii privind tehnologia informației</c:v>
                </c:pt>
                <c:pt idx="7">
                  <c:v>5911 Activități producție cinematografică, video și de programe de televiziune</c:v>
                </c:pt>
                <c:pt idx="8">
                  <c:v>4762 Comerț cu amănuntul al ziarelor și articolelor de papetărie, în magazine specializate</c:v>
                </c:pt>
                <c:pt idx="9">
                  <c:v>7420 Activități fotografice</c:v>
                </c:pt>
                <c:pt idx="10">
                  <c:v>7439 Activități de traducere scrisă și orală (interpreți) </c:v>
                </c:pt>
                <c:pt idx="11">
                  <c:v>7410 Activități de design specializat</c:v>
                </c:pt>
                <c:pt idx="12">
                  <c:v>5829 Activități de editare a altor produse software</c:v>
                </c:pt>
                <c:pt idx="13">
                  <c:v>5811 Activități  de editare a cărților</c:v>
                </c:pt>
                <c:pt idx="14">
                  <c:v>9001 Activități de interpretare artistică (spectacole)</c:v>
                </c:pt>
                <c:pt idx="15">
                  <c:v>7312 Servicii de reprezentare media</c:v>
                </c:pt>
                <c:pt idx="16">
                  <c:v>9002 Activități suport pentru interpretarea artistică spectacole)</c:v>
                </c:pt>
                <c:pt idx="17">
                  <c:v>9003 Activități  de creație artistică</c:v>
                </c:pt>
                <c:pt idx="18">
                  <c:v>5813 Activități de editare a ziarelor </c:v>
                </c:pt>
                <c:pt idx="19">
                  <c:v>5814 Activități de editare a revistelor și periodicelor</c:v>
                </c:pt>
                <c:pt idx="20">
                  <c:v>4761 Comerț cu amănuntul al cărților, în magazine specializate</c:v>
                </c:pt>
                <c:pt idx="21">
                  <c:v>6312 Activități ale portalurilor web</c:v>
                </c:pt>
              </c:strCache>
            </c:strRef>
          </c:cat>
          <c:val>
            <c:numRef>
              <c:f>Foaie1!$B$2:$B$23</c:f>
              <c:numCache>
                <c:formatCode>General</c:formatCode>
                <c:ptCount val="22"/>
                <c:pt idx="0">
                  <c:v>5652</c:v>
                </c:pt>
                <c:pt idx="1">
                  <c:v>4760</c:v>
                </c:pt>
                <c:pt idx="2">
                  <c:v>3600</c:v>
                </c:pt>
                <c:pt idx="3">
                  <c:v>2074</c:v>
                </c:pt>
                <c:pt idx="4">
                  <c:v>1532</c:v>
                </c:pt>
                <c:pt idx="5">
                  <c:v>1346</c:v>
                </c:pt>
                <c:pt idx="6">
                  <c:v>1309</c:v>
                </c:pt>
                <c:pt idx="7">
                  <c:v>1174</c:v>
                </c:pt>
                <c:pt idx="8">
                  <c:v>1033</c:v>
                </c:pt>
                <c:pt idx="9">
                  <c:v>1026</c:v>
                </c:pt>
                <c:pt idx="10">
                  <c:v>1006</c:v>
                </c:pt>
                <c:pt idx="11">
                  <c:v>1000</c:v>
                </c:pt>
                <c:pt idx="12">
                  <c:v>910</c:v>
                </c:pt>
                <c:pt idx="13">
                  <c:v>788</c:v>
                </c:pt>
                <c:pt idx="14">
                  <c:v>550</c:v>
                </c:pt>
                <c:pt idx="15">
                  <c:v>542</c:v>
                </c:pt>
                <c:pt idx="16">
                  <c:v>459</c:v>
                </c:pt>
                <c:pt idx="17">
                  <c:v>452</c:v>
                </c:pt>
                <c:pt idx="18">
                  <c:v>371</c:v>
                </c:pt>
                <c:pt idx="19">
                  <c:v>364</c:v>
                </c:pt>
                <c:pt idx="20">
                  <c:v>333</c:v>
                </c:pt>
                <c:pt idx="21">
                  <c:v>331</c:v>
                </c:pt>
              </c:numCache>
            </c:numRef>
          </c:val>
        </c:ser>
        <c:axId val="82144256"/>
        <c:axId val="82146048"/>
      </c:barChart>
      <c:catAx>
        <c:axId val="82144256"/>
        <c:scaling>
          <c:orientation val="minMax"/>
        </c:scaling>
        <c:axPos val="l"/>
        <c:numFmt formatCode="General" sourceLinked="1"/>
        <c:tickLblPos val="nextTo"/>
        <c:txPr>
          <a:bodyPr/>
          <a:lstStyle/>
          <a:p>
            <a:pPr>
              <a:defRPr sz="801">
                <a:latin typeface="Arial Narrow" panose="020B0606020202030204" pitchFamily="34" charset="0"/>
              </a:defRPr>
            </a:pPr>
            <a:endParaRPr lang="en-US"/>
          </a:p>
        </c:txPr>
        <c:crossAx val="82146048"/>
        <c:crosses val="autoZero"/>
        <c:auto val="1"/>
        <c:lblAlgn val="ctr"/>
        <c:lblOffset val="100"/>
      </c:catAx>
      <c:valAx>
        <c:axId val="82146048"/>
        <c:scaling>
          <c:orientation val="minMax"/>
        </c:scaling>
        <c:axPos val="b"/>
        <c:majorGridlines/>
        <c:numFmt formatCode="General" sourceLinked="1"/>
        <c:tickLblPos val="nextTo"/>
        <c:txPr>
          <a:bodyPr/>
          <a:lstStyle/>
          <a:p>
            <a:pPr>
              <a:defRPr sz="801" b="1">
                <a:latin typeface="Arial Narrow" panose="020B0606020202030204" pitchFamily="34" charset="0"/>
              </a:defRPr>
            </a:pPr>
            <a:endParaRPr lang="en-US"/>
          </a:p>
        </c:txPr>
        <c:crossAx val="82144256"/>
        <c:crosses val="autoZero"/>
        <c:crossBetween val="between"/>
      </c:valAx>
    </c:plotArea>
    <c:legend>
      <c:legendPos val="r"/>
      <c:layout/>
      <c:txPr>
        <a:bodyPr/>
        <a:lstStyle/>
        <a:p>
          <a:pPr>
            <a:defRPr sz="801" b="1">
              <a:latin typeface="Arial Narrow" panose="020B0606020202030204" pitchFamily="34" charset="0"/>
            </a:defRPr>
          </a:pPr>
          <a:endParaRPr lang="en-US"/>
        </a:p>
      </c:txP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34860883797098"/>
          <c:y val="4.2944785276073615E-2"/>
          <c:w val="0.45499181669394434"/>
          <c:h val="0.85582822085889676"/>
        </c:manualLayout>
      </c:layout>
      <c:barChart>
        <c:barDir val="bar"/>
        <c:grouping val="clustered"/>
        <c:ser>
          <c:idx val="0"/>
          <c:order val="0"/>
          <c:tx>
            <c:strRef>
              <c:f>Foaie1!$B$1</c:f>
              <c:strCache>
                <c:ptCount val="1"/>
                <c:pt idx="0">
                  <c:v>Numar angajati 2014</c:v>
                </c:pt>
              </c:strCache>
            </c:strRef>
          </c:tx>
          <c:dLbls>
            <c:txPr>
              <a:bodyPr/>
              <a:lstStyle/>
              <a:p>
                <a:pPr>
                  <a:defRPr sz="799">
                    <a:latin typeface="Arial Narrow" panose="020B0606020202030204" pitchFamily="34" charset="0"/>
                  </a:defRPr>
                </a:pPr>
                <a:endParaRPr lang="en-US"/>
              </a:p>
            </c:txPr>
            <c:showVal val="1"/>
          </c:dLbls>
          <c:cat>
            <c:strRef>
              <c:f>Foaie1!$A$2:$A$20</c:f>
              <c:strCache>
                <c:ptCount val="19"/>
                <c:pt idx="0">
                  <c:v>6201 Activități de realizare a software-ului la comandă (software orientat către client)</c:v>
                </c:pt>
                <c:pt idx="1">
                  <c:v>7311 Activități ale agențiilor de publicitate </c:v>
                </c:pt>
                <c:pt idx="2">
                  <c:v>1812 Alte activități de tipărire n.c.a</c:v>
                </c:pt>
                <c:pt idx="3">
                  <c:v>6202 Activități de consultanță în tehnologia informației</c:v>
                </c:pt>
                <c:pt idx="4">
                  <c:v>7111 Activități  de arhitectură</c:v>
                </c:pt>
                <c:pt idx="5">
                  <c:v>5829 Activități de editare a altor produse software</c:v>
                </c:pt>
                <c:pt idx="6">
                  <c:v>6209 Alte activități de servicii privind tehnologia informației</c:v>
                </c:pt>
                <c:pt idx="7">
                  <c:v>6020 Activități  de difuzare a programelor de televiziune</c:v>
                </c:pt>
                <c:pt idx="8">
                  <c:v>4762 Comerț cu amănuntul al ziarelor și articolelor de papetărie, în magazine specializate</c:v>
                </c:pt>
                <c:pt idx="9">
                  <c:v>9329 Alte activități recreative și distractive n.c.a</c:v>
                </c:pt>
                <c:pt idx="10">
                  <c:v>5911 Activități producție cinematografică, video și de programe de televiziune</c:v>
                </c:pt>
                <c:pt idx="11">
                  <c:v>5813 Activități de editare a ziarelor </c:v>
                </c:pt>
                <c:pt idx="12">
                  <c:v>5811 Activități  de editare a cărților</c:v>
                </c:pt>
                <c:pt idx="13">
                  <c:v>4761 Comerț cu amănuntul al cărților, în magazine specializate</c:v>
                </c:pt>
                <c:pt idx="14">
                  <c:v>7410 Activități de design specializat</c:v>
                </c:pt>
                <c:pt idx="15">
                  <c:v>7312 Servicii de reprezentare media</c:v>
                </c:pt>
                <c:pt idx="16">
                  <c:v>7420 Activități fotografice</c:v>
                </c:pt>
                <c:pt idx="17">
                  <c:v>5814 Activități de editare a revistelor și periodicelor</c:v>
                </c:pt>
                <c:pt idx="18">
                  <c:v>7430 Activități de traducere scrisă și orală (interpreți) </c:v>
                </c:pt>
              </c:strCache>
            </c:strRef>
          </c:cat>
          <c:val>
            <c:numRef>
              <c:f>Foaie1!$B$2:$B$20</c:f>
              <c:numCache>
                <c:formatCode>General</c:formatCode>
                <c:ptCount val="19"/>
                <c:pt idx="0">
                  <c:v>40868</c:v>
                </c:pt>
                <c:pt idx="1">
                  <c:v>20540</c:v>
                </c:pt>
                <c:pt idx="2">
                  <c:v>12298</c:v>
                </c:pt>
                <c:pt idx="3">
                  <c:v>11184</c:v>
                </c:pt>
                <c:pt idx="4">
                  <c:v>7964</c:v>
                </c:pt>
                <c:pt idx="5">
                  <c:v>7904</c:v>
                </c:pt>
                <c:pt idx="6">
                  <c:v>5651</c:v>
                </c:pt>
                <c:pt idx="7">
                  <c:v>4376</c:v>
                </c:pt>
                <c:pt idx="8">
                  <c:v>4319</c:v>
                </c:pt>
                <c:pt idx="9">
                  <c:v>3671</c:v>
                </c:pt>
                <c:pt idx="10">
                  <c:v>3124</c:v>
                </c:pt>
                <c:pt idx="11">
                  <c:v>3101</c:v>
                </c:pt>
                <c:pt idx="12">
                  <c:v>2997</c:v>
                </c:pt>
                <c:pt idx="13">
                  <c:v>2245</c:v>
                </c:pt>
                <c:pt idx="14">
                  <c:v>1942</c:v>
                </c:pt>
                <c:pt idx="15">
                  <c:v>1883</c:v>
                </c:pt>
                <c:pt idx="16">
                  <c:v>1826</c:v>
                </c:pt>
                <c:pt idx="17">
                  <c:v>1584</c:v>
                </c:pt>
                <c:pt idx="18">
                  <c:v>1565</c:v>
                </c:pt>
              </c:numCache>
            </c:numRef>
          </c:val>
        </c:ser>
        <c:axId val="82296832"/>
        <c:axId val="82298368"/>
      </c:barChart>
      <c:catAx>
        <c:axId val="82296832"/>
        <c:scaling>
          <c:orientation val="minMax"/>
        </c:scaling>
        <c:axPos val="l"/>
        <c:numFmt formatCode="General" sourceLinked="1"/>
        <c:tickLblPos val="nextTo"/>
        <c:txPr>
          <a:bodyPr/>
          <a:lstStyle/>
          <a:p>
            <a:pPr>
              <a:defRPr sz="799">
                <a:latin typeface="Arial Narrow" panose="020B0606020202030204" pitchFamily="34" charset="0"/>
              </a:defRPr>
            </a:pPr>
            <a:endParaRPr lang="en-US"/>
          </a:p>
        </c:txPr>
        <c:crossAx val="82298368"/>
        <c:crosses val="autoZero"/>
        <c:auto val="1"/>
        <c:lblAlgn val="ctr"/>
        <c:lblOffset val="100"/>
      </c:catAx>
      <c:valAx>
        <c:axId val="82298368"/>
        <c:scaling>
          <c:orientation val="minMax"/>
        </c:scaling>
        <c:axPos val="b"/>
        <c:majorGridlines/>
        <c:numFmt formatCode="General" sourceLinked="1"/>
        <c:tickLblPos val="nextTo"/>
        <c:txPr>
          <a:bodyPr/>
          <a:lstStyle/>
          <a:p>
            <a:pPr>
              <a:defRPr sz="799" b="1">
                <a:latin typeface="Arial Narrow" panose="020B0606020202030204" pitchFamily="34" charset="0"/>
              </a:defRPr>
            </a:pPr>
            <a:endParaRPr lang="en-US"/>
          </a:p>
        </c:txPr>
        <c:crossAx val="82296832"/>
        <c:crosses val="autoZero"/>
        <c:crossBetween val="between"/>
      </c:valAx>
    </c:plotArea>
    <c:legend>
      <c:legendPos val="r"/>
      <c:layout/>
      <c:txPr>
        <a:bodyPr/>
        <a:lstStyle/>
        <a:p>
          <a:pPr>
            <a:defRPr sz="799" b="1">
              <a:latin typeface="Arial Narrow" panose="020B0606020202030204" pitchFamily="34" charset="0"/>
            </a:defRPr>
          </a:pPr>
          <a:endParaRPr lang="en-US"/>
        </a:p>
      </c:txPr>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98527004910013"/>
          <c:y val="4.2944785276073615E-2"/>
          <c:w val="0.4860883797054017"/>
          <c:h val="0.85582822085889676"/>
        </c:manualLayout>
      </c:layout>
      <c:barChart>
        <c:barDir val="bar"/>
        <c:grouping val="clustered"/>
        <c:ser>
          <c:idx val="0"/>
          <c:order val="0"/>
          <c:tx>
            <c:strRef>
              <c:f>Foaie1!$B$1</c:f>
              <c:strCache>
                <c:ptCount val="1"/>
                <c:pt idx="0">
                  <c:v>Cifra de afaceri 2014 (lei)</c:v>
                </c:pt>
              </c:strCache>
            </c:strRef>
          </c:tx>
          <c:dLbls>
            <c:txPr>
              <a:bodyPr/>
              <a:lstStyle/>
              <a:p>
                <a:pPr>
                  <a:defRPr sz="799">
                    <a:latin typeface="Arial Narrow" panose="020B0606020202030204" pitchFamily="34" charset="0"/>
                  </a:defRPr>
                </a:pPr>
                <a:endParaRPr lang="en-US"/>
              </a:p>
            </c:txPr>
            <c:showVal val="1"/>
          </c:dLbls>
          <c:cat>
            <c:strRef>
              <c:f>Foaie1!$A$2:$A$16</c:f>
              <c:strCache>
                <c:ptCount val="15"/>
                <c:pt idx="0">
                  <c:v>6201 Activități de realizare a software-ului la comandă (software orientat către client)</c:v>
                </c:pt>
                <c:pt idx="1">
                  <c:v>7311 Activități ale agențiilor de publicitate </c:v>
                </c:pt>
                <c:pt idx="2">
                  <c:v>6202 Activități de consultanță în tehnologia informației</c:v>
                </c:pt>
                <c:pt idx="3">
                  <c:v>1812 Alte activități de tipărire n.c.a</c:v>
                </c:pt>
                <c:pt idx="4">
                  <c:v>5829 Activități de editare a altor produse software</c:v>
                </c:pt>
                <c:pt idx="5">
                  <c:v>6209 Alte activități de servicii privind tehnologia informației</c:v>
                </c:pt>
                <c:pt idx="6">
                  <c:v>6020 Activități  de difuzare a programelor de televiziune</c:v>
                </c:pt>
                <c:pt idx="7">
                  <c:v>7111 Activități  de arhitectură</c:v>
                </c:pt>
                <c:pt idx="8">
                  <c:v>5911 Activități producție cinematografică, video și de programe de televiziune</c:v>
                </c:pt>
                <c:pt idx="9">
                  <c:v>7312 Servicii de reprezentare media</c:v>
                </c:pt>
                <c:pt idx="10">
                  <c:v>4762 Comerț cu amănuntul al ziarelor și articolelor de papetărie, în magazine specializate</c:v>
                </c:pt>
                <c:pt idx="11">
                  <c:v>5811 Activități  de editare a cărților</c:v>
                </c:pt>
                <c:pt idx="12">
                  <c:v>4761 Comerț cu amănuntul al cărților, în magazine specializate</c:v>
                </c:pt>
                <c:pt idx="13">
                  <c:v>5813 Activități de editare a ziarelor </c:v>
                </c:pt>
                <c:pt idx="14">
                  <c:v>5814 Activități de editare a revistelor și periodicelor</c:v>
                </c:pt>
              </c:strCache>
            </c:strRef>
          </c:cat>
          <c:val>
            <c:numRef>
              <c:f>Foaie1!$B$2:$B$16</c:f>
              <c:numCache>
                <c:formatCode>#,##0</c:formatCode>
                <c:ptCount val="15"/>
                <c:pt idx="0">
                  <c:v>8060267418</c:v>
                </c:pt>
                <c:pt idx="1">
                  <c:v>4426309871</c:v>
                </c:pt>
                <c:pt idx="2">
                  <c:v>3445623532</c:v>
                </c:pt>
                <c:pt idx="3">
                  <c:v>2809382936</c:v>
                </c:pt>
                <c:pt idx="4">
                  <c:v>1765526904</c:v>
                </c:pt>
                <c:pt idx="5">
                  <c:v>1485798361</c:v>
                </c:pt>
                <c:pt idx="6">
                  <c:v>1320285603</c:v>
                </c:pt>
                <c:pt idx="7">
                  <c:v>888228419</c:v>
                </c:pt>
                <c:pt idx="8">
                  <c:v>753470536</c:v>
                </c:pt>
                <c:pt idx="9">
                  <c:v>674236399</c:v>
                </c:pt>
                <c:pt idx="10">
                  <c:v>651152398</c:v>
                </c:pt>
                <c:pt idx="11">
                  <c:v>522445443</c:v>
                </c:pt>
                <c:pt idx="12">
                  <c:v>405401405</c:v>
                </c:pt>
                <c:pt idx="13">
                  <c:v>400915766</c:v>
                </c:pt>
                <c:pt idx="14">
                  <c:v>342237807</c:v>
                </c:pt>
              </c:numCache>
            </c:numRef>
          </c:val>
        </c:ser>
        <c:axId val="82314368"/>
        <c:axId val="82315904"/>
      </c:barChart>
      <c:catAx>
        <c:axId val="82314368"/>
        <c:scaling>
          <c:orientation val="minMax"/>
        </c:scaling>
        <c:axPos val="l"/>
        <c:numFmt formatCode="General" sourceLinked="1"/>
        <c:tickLblPos val="nextTo"/>
        <c:txPr>
          <a:bodyPr/>
          <a:lstStyle/>
          <a:p>
            <a:pPr>
              <a:defRPr sz="799">
                <a:latin typeface="Arial Narrow" panose="020B0606020202030204" pitchFamily="34" charset="0"/>
              </a:defRPr>
            </a:pPr>
            <a:endParaRPr lang="en-US"/>
          </a:p>
        </c:txPr>
        <c:crossAx val="82315904"/>
        <c:crosses val="autoZero"/>
        <c:auto val="1"/>
        <c:lblAlgn val="ctr"/>
        <c:lblOffset val="100"/>
      </c:catAx>
      <c:valAx>
        <c:axId val="82315904"/>
        <c:scaling>
          <c:orientation val="minMax"/>
        </c:scaling>
        <c:axPos val="b"/>
        <c:majorGridlines/>
        <c:numFmt formatCode="#,##0" sourceLinked="1"/>
        <c:tickLblPos val="nextTo"/>
        <c:txPr>
          <a:bodyPr/>
          <a:lstStyle/>
          <a:p>
            <a:pPr>
              <a:defRPr sz="799" b="1">
                <a:latin typeface="Arial Narrow" panose="020B0606020202030204" pitchFamily="34" charset="0"/>
              </a:defRPr>
            </a:pPr>
            <a:endParaRPr lang="en-US"/>
          </a:p>
        </c:txPr>
        <c:crossAx val="82314368"/>
        <c:crosses val="autoZero"/>
        <c:crossBetween val="between"/>
      </c:valAx>
    </c:plotArea>
    <c:legend>
      <c:legendPos val="r"/>
      <c:layout/>
      <c:txPr>
        <a:bodyPr/>
        <a:lstStyle/>
        <a:p>
          <a:pPr>
            <a:defRPr sz="799" b="1">
              <a:latin typeface="Arial Narrow" panose="020B0606020202030204" pitchFamily="34" charset="0"/>
            </a:defRPr>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ro-RO"/>
            </a:pPr>
            <a:r>
              <a:rPr lang="en-US" sz="1200"/>
              <a:t>Valoarea exporturilor de autovehicule si componente auto in anul 2014 (mii euro)</a:t>
            </a:r>
            <a:endParaRPr lang="vi-VN" sz="1200"/>
          </a:p>
        </c:rich>
      </c:tx>
      <c:layout/>
    </c:title>
    <c:plotArea>
      <c:layout/>
      <c:doughnutChart>
        <c:varyColors val="1"/>
        <c:ser>
          <c:idx val="0"/>
          <c:order val="0"/>
          <c:spPr>
            <a:solidFill>
              <a:schemeClr val="accent1"/>
            </a:solidFill>
          </c:spPr>
          <c:dPt>
            <c:idx val="1"/>
            <c:spPr>
              <a:solidFill>
                <a:schemeClr val="accent2">
                  <a:lumMod val="60000"/>
                  <a:lumOff val="40000"/>
                </a:schemeClr>
              </a:solidFill>
            </c:spPr>
          </c:dPt>
          <c:dPt>
            <c:idx val="2"/>
            <c:spPr>
              <a:solidFill>
                <a:schemeClr val="accent3">
                  <a:lumMod val="50000"/>
                </a:schemeClr>
              </a:solidFill>
            </c:spPr>
          </c:dPt>
          <c:dPt>
            <c:idx val="3"/>
            <c:spPr>
              <a:solidFill>
                <a:schemeClr val="accent4">
                  <a:lumMod val="75000"/>
                </a:schemeClr>
              </a:solidFill>
            </c:spPr>
          </c:dPt>
          <c:dPt>
            <c:idx val="4"/>
            <c:spPr>
              <a:solidFill>
                <a:schemeClr val="accent6">
                  <a:lumMod val="60000"/>
                  <a:lumOff val="40000"/>
                </a:schemeClr>
              </a:solidFill>
            </c:spPr>
          </c:dPt>
          <c:dPt>
            <c:idx val="5"/>
            <c:spPr>
              <a:solidFill>
                <a:schemeClr val="accent5">
                  <a:lumMod val="60000"/>
                  <a:lumOff val="40000"/>
                </a:schemeClr>
              </a:solidFill>
            </c:spPr>
          </c:dPt>
          <c:dLbls>
            <c:dLbl>
              <c:idx val="0"/>
              <c:layout>
                <c:manualLayout>
                  <c:x val="2.4590163934426229E-2"/>
                  <c:y val="-0.14856081708449506"/>
                </c:manualLayout>
              </c:layout>
              <c:showVal val="1"/>
            </c:dLbl>
            <c:dLbl>
              <c:idx val="2"/>
              <c:layout>
                <c:manualLayout>
                  <c:x val="-5.4644808743169036E-2"/>
                  <c:y val="0.15598885793871869"/>
                </c:manualLayout>
              </c:layout>
              <c:showVal val="1"/>
            </c:dLbl>
            <c:dLbl>
              <c:idx val="3"/>
              <c:layout>
                <c:manualLayout>
                  <c:x val="-0.10382535174906415"/>
                  <c:y val="0.10027855153203342"/>
                </c:manualLayout>
              </c:layout>
              <c:showVal val="1"/>
            </c:dLbl>
            <c:dLbl>
              <c:idx val="4"/>
              <c:layout>
                <c:manualLayout>
                  <c:x val="-0.11202185792349728"/>
                  <c:y val="8.1708449396472912E-2"/>
                </c:manualLayout>
              </c:layout>
              <c:showVal val="1"/>
            </c:dLbl>
            <c:spPr>
              <a:ln>
                <a:solidFill>
                  <a:sysClr val="windowText" lastClr="000000"/>
                </a:solidFill>
              </a:ln>
              <a:effectLst>
                <a:outerShdw blurRad="50800" dist="50800" dir="1800000" algn="ctr" rotWithShape="0">
                  <a:srgbClr val="000000">
                    <a:alpha val="43137"/>
                  </a:srgbClr>
                </a:outerShdw>
              </a:effectLst>
            </c:spPr>
            <c:txPr>
              <a:bodyPr/>
              <a:lstStyle/>
              <a:p>
                <a:pPr>
                  <a:defRPr lang="ro-RO" b="1"/>
                </a:pPr>
                <a:endParaRPr lang="en-US"/>
              </a:p>
            </c:txPr>
            <c:showVal val="1"/>
            <c:showLeaderLines val="1"/>
          </c:dLbls>
          <c:cat>
            <c:strRef>
              <c:f>Foaie20!$B$25:$B$30</c:f>
              <c:strCache>
                <c:ptCount val="6"/>
                <c:pt idx="0">
                  <c:v>Alba</c:v>
                </c:pt>
                <c:pt idx="1">
                  <c:v>Brasov</c:v>
                </c:pt>
                <c:pt idx="2">
                  <c:v>Covasna</c:v>
                </c:pt>
                <c:pt idx="3">
                  <c:v>Harghita</c:v>
                </c:pt>
                <c:pt idx="4">
                  <c:v>Mures</c:v>
                </c:pt>
                <c:pt idx="5">
                  <c:v>Sibiu</c:v>
                </c:pt>
              </c:strCache>
            </c:strRef>
          </c:cat>
          <c:val>
            <c:numRef>
              <c:f>Foaie20!$C$25:$C$30</c:f>
              <c:numCache>
                <c:formatCode>General</c:formatCode>
                <c:ptCount val="6"/>
                <c:pt idx="0">
                  <c:v>209825</c:v>
                </c:pt>
                <c:pt idx="1">
                  <c:v>608285</c:v>
                </c:pt>
                <c:pt idx="2">
                  <c:v>13228</c:v>
                </c:pt>
                <c:pt idx="3">
                  <c:v>31070</c:v>
                </c:pt>
                <c:pt idx="4">
                  <c:v>40347</c:v>
                </c:pt>
                <c:pt idx="5">
                  <c:v>332004</c:v>
                </c:pt>
              </c:numCache>
            </c:numRef>
          </c:val>
        </c:ser>
        <c:firstSliceAng val="0"/>
        <c:holeSize val="50"/>
      </c:doughnutChart>
    </c:plotArea>
    <c:legend>
      <c:legendPos val="r"/>
      <c:layout>
        <c:manualLayout>
          <c:xMode val="edge"/>
          <c:yMode val="edge"/>
          <c:x val="0.72208768985843996"/>
          <c:y val="0.16185262357525637"/>
          <c:w val="0.21402349296501871"/>
          <c:h val="0.69115083455793769"/>
        </c:manualLayout>
      </c:layout>
      <c:spPr>
        <a:ln>
          <a:solidFill>
            <a:sysClr val="windowText" lastClr="000000"/>
          </a:solidFill>
        </a:ln>
      </c:spPr>
      <c:txPr>
        <a:bodyPr/>
        <a:lstStyle/>
        <a:p>
          <a:pPr rtl="0">
            <a:defRPr lang="ro-RO"/>
          </a:pPr>
          <a:endParaRPr lang="en-US"/>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6"/>
          <c:y val="2.9874213836478012E-2"/>
          <c:w val="0.64640000000000053"/>
          <c:h val="0.89779874213836475"/>
        </c:manualLayout>
      </c:layout>
      <c:barChart>
        <c:barDir val="bar"/>
        <c:grouping val="clustered"/>
        <c:ser>
          <c:idx val="0"/>
          <c:order val="0"/>
          <c:tx>
            <c:strRef>
              <c:f>Foaie1!$B$1</c:f>
              <c:strCache>
                <c:ptCount val="1"/>
                <c:pt idx="0">
                  <c:v>Bucuresti Ilfov</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Foaie1!$B$2:$B$7</c:f>
              <c:numCache>
                <c:formatCode>General</c:formatCode>
                <c:ptCount val="6"/>
                <c:pt idx="0">
                  <c:v>12593</c:v>
                </c:pt>
                <c:pt idx="1">
                  <c:v>5783</c:v>
                </c:pt>
                <c:pt idx="2">
                  <c:v>14755</c:v>
                </c:pt>
                <c:pt idx="3">
                  <c:v>12482</c:v>
                </c:pt>
                <c:pt idx="4">
                  <c:v>17507</c:v>
                </c:pt>
                <c:pt idx="5">
                  <c:v>4035</c:v>
                </c:pt>
              </c:numCache>
            </c:numRef>
          </c:val>
        </c:ser>
        <c:ser>
          <c:idx val="1"/>
          <c:order val="1"/>
          <c:tx>
            <c:strRef>
              <c:f>Foaie1!$C$1</c:f>
              <c:strCache>
                <c:ptCount val="1"/>
                <c:pt idx="0">
                  <c:v>Nord Vest</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Foaie1!$C$2:$C$7</c:f>
              <c:numCache>
                <c:formatCode>General</c:formatCode>
                <c:ptCount val="6"/>
                <c:pt idx="0">
                  <c:v>2031</c:v>
                </c:pt>
                <c:pt idx="1">
                  <c:v>2218</c:v>
                </c:pt>
                <c:pt idx="2">
                  <c:v>3618</c:v>
                </c:pt>
                <c:pt idx="3">
                  <c:v>735</c:v>
                </c:pt>
                <c:pt idx="4">
                  <c:v>5068</c:v>
                </c:pt>
                <c:pt idx="5">
                  <c:v>1363</c:v>
                </c:pt>
              </c:numCache>
            </c:numRef>
          </c:val>
        </c:ser>
        <c:ser>
          <c:idx val="2"/>
          <c:order val="2"/>
          <c:tx>
            <c:strRef>
              <c:f>Foaie1!$D$1</c:f>
              <c:strCache>
                <c:ptCount val="1"/>
                <c:pt idx="0">
                  <c:v>Centru</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Foaie1!$D$2:$D$7</c:f>
              <c:numCache>
                <c:formatCode>General</c:formatCode>
                <c:ptCount val="6"/>
                <c:pt idx="0">
                  <c:v>1336</c:v>
                </c:pt>
                <c:pt idx="1">
                  <c:v>2667</c:v>
                </c:pt>
                <c:pt idx="2">
                  <c:v>3151</c:v>
                </c:pt>
                <c:pt idx="3">
                  <c:v>675</c:v>
                </c:pt>
                <c:pt idx="4">
                  <c:v>3470</c:v>
                </c:pt>
                <c:pt idx="5">
                  <c:v>1304</c:v>
                </c:pt>
              </c:numCache>
            </c:numRef>
          </c:val>
        </c:ser>
        <c:ser>
          <c:idx val="3"/>
          <c:order val="3"/>
          <c:tx>
            <c:strRef>
              <c:f>Foaie1!$E$1</c:f>
              <c:strCache>
                <c:ptCount val="1"/>
                <c:pt idx="0">
                  <c:v>Nord Est</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Foaie1!$E$2:$E$7</c:f>
              <c:numCache>
                <c:formatCode>General</c:formatCode>
                <c:ptCount val="6"/>
                <c:pt idx="0">
                  <c:v>668</c:v>
                </c:pt>
                <c:pt idx="1">
                  <c:v>1278</c:v>
                </c:pt>
                <c:pt idx="2">
                  <c:v>1942</c:v>
                </c:pt>
                <c:pt idx="3">
                  <c:v>800</c:v>
                </c:pt>
                <c:pt idx="4">
                  <c:v>1863</c:v>
                </c:pt>
                <c:pt idx="5">
                  <c:v>1311</c:v>
                </c:pt>
              </c:numCache>
            </c:numRef>
          </c:val>
        </c:ser>
        <c:ser>
          <c:idx val="4"/>
          <c:order val="4"/>
          <c:tx>
            <c:strRef>
              <c:f>Foaie1!$F$1</c:f>
              <c:strCache>
                <c:ptCount val="1"/>
                <c:pt idx="0">
                  <c:v>Sud Muntenia</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Foaie1!$F$2:$F$7</c:f>
              <c:numCache>
                <c:formatCode>General</c:formatCode>
                <c:ptCount val="6"/>
                <c:pt idx="0">
                  <c:v>820</c:v>
                </c:pt>
                <c:pt idx="1">
                  <c:v>1297</c:v>
                </c:pt>
                <c:pt idx="2">
                  <c:v>1664</c:v>
                </c:pt>
                <c:pt idx="3">
                  <c:v>516</c:v>
                </c:pt>
                <c:pt idx="4">
                  <c:v>1053</c:v>
                </c:pt>
                <c:pt idx="5">
                  <c:v>956</c:v>
                </c:pt>
              </c:numCache>
            </c:numRef>
          </c:val>
        </c:ser>
        <c:ser>
          <c:idx val="5"/>
          <c:order val="5"/>
          <c:tx>
            <c:strRef>
              <c:f>Foaie1!$G$1</c:f>
              <c:strCache>
                <c:ptCount val="1"/>
                <c:pt idx="0">
                  <c:v>Sud Est</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Foaie1!$G$2:$G$7</c:f>
              <c:numCache>
                <c:formatCode>General</c:formatCode>
                <c:ptCount val="6"/>
                <c:pt idx="0">
                  <c:v>998</c:v>
                </c:pt>
                <c:pt idx="1">
                  <c:v>1332</c:v>
                </c:pt>
                <c:pt idx="2">
                  <c:v>1531</c:v>
                </c:pt>
                <c:pt idx="3">
                  <c:v>603</c:v>
                </c:pt>
                <c:pt idx="4">
                  <c:v>733</c:v>
                </c:pt>
                <c:pt idx="5">
                  <c:v>832</c:v>
                </c:pt>
              </c:numCache>
            </c:numRef>
          </c:val>
        </c:ser>
        <c:ser>
          <c:idx val="6"/>
          <c:order val="6"/>
          <c:tx>
            <c:strRef>
              <c:f>Foaie1!$H$1</c:f>
              <c:strCache>
                <c:ptCount val="1"/>
                <c:pt idx="0">
                  <c:v>Sud Vest</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Foaie1!$H$2:$H$7</c:f>
              <c:numCache>
                <c:formatCode>General</c:formatCode>
                <c:ptCount val="6"/>
                <c:pt idx="0">
                  <c:v>463</c:v>
                </c:pt>
                <c:pt idx="1">
                  <c:v>918</c:v>
                </c:pt>
                <c:pt idx="2">
                  <c:v>1299</c:v>
                </c:pt>
                <c:pt idx="3">
                  <c:v>607</c:v>
                </c:pt>
                <c:pt idx="4">
                  <c:v>1049</c:v>
                </c:pt>
                <c:pt idx="5">
                  <c:v>892</c:v>
                </c:pt>
              </c:numCache>
            </c:numRef>
          </c:val>
        </c:ser>
        <c:ser>
          <c:idx val="7"/>
          <c:order val="7"/>
          <c:tx>
            <c:strRef>
              <c:f>Foaie1!$I$1</c:f>
              <c:strCache>
                <c:ptCount val="1"/>
                <c:pt idx="0">
                  <c:v>Vest</c:v>
                </c:pt>
              </c:strCache>
            </c:strRef>
          </c:tx>
          <c:dLbls>
            <c:showVal val="1"/>
          </c:dLbls>
          <c:cat>
            <c:strRef>
              <c:f>Foaie1!$A$2:$A$7</c:f>
              <c:strCache>
                <c:ptCount val="6"/>
                <c:pt idx="0">
                  <c:v>Publicitate</c:v>
                </c:pt>
                <c:pt idx="1">
                  <c:v>Creatie 
artistica si literara</c:v>
                </c:pt>
                <c:pt idx="2">
                  <c:v>Activitati de 
editare si tiparire</c:v>
                </c:pt>
                <c:pt idx="3">
                  <c:v>Radio si 
televiziune</c:v>
                </c:pt>
                <c:pt idx="4">
                  <c:v>Software</c:v>
                </c:pt>
                <c:pt idx="5">
                  <c:v>Retail si 
distributie</c:v>
                </c:pt>
              </c:strCache>
            </c:strRef>
          </c:cat>
          <c:val>
            <c:numRef>
              <c:f>Foaie1!$I$2:$I$7</c:f>
              <c:numCache>
                <c:formatCode>General</c:formatCode>
                <c:ptCount val="6"/>
                <c:pt idx="0">
                  <c:v>1251</c:v>
                </c:pt>
                <c:pt idx="1">
                  <c:v>1612</c:v>
                </c:pt>
                <c:pt idx="2">
                  <c:v>1460</c:v>
                </c:pt>
                <c:pt idx="3">
                  <c:v>541</c:v>
                </c:pt>
                <c:pt idx="4">
                  <c:v>2471</c:v>
                </c:pt>
                <c:pt idx="5">
                  <c:v>1003</c:v>
                </c:pt>
              </c:numCache>
            </c:numRef>
          </c:val>
        </c:ser>
        <c:axId val="82549376"/>
        <c:axId val="82571648"/>
      </c:barChart>
      <c:catAx>
        <c:axId val="82549376"/>
        <c:scaling>
          <c:orientation val="minMax"/>
        </c:scaling>
        <c:axPos val="l"/>
        <c:numFmt formatCode="General" sourceLinked="1"/>
        <c:tickLblPos val="nextTo"/>
        <c:crossAx val="82571648"/>
        <c:crosses val="autoZero"/>
        <c:auto val="1"/>
        <c:lblAlgn val="ctr"/>
        <c:lblOffset val="100"/>
      </c:catAx>
      <c:valAx>
        <c:axId val="82571648"/>
        <c:scaling>
          <c:orientation val="minMax"/>
        </c:scaling>
        <c:axPos val="b"/>
        <c:majorGridlines/>
        <c:numFmt formatCode="General" sourceLinked="1"/>
        <c:tickLblPos val="nextTo"/>
        <c:crossAx val="82549376"/>
        <c:crosses val="autoZero"/>
        <c:crossBetween val="between"/>
      </c:valAx>
    </c:plotArea>
    <c:legend>
      <c:legendPos val="r"/>
      <c:layout/>
    </c:legend>
    <c:plotVisOnly val="1"/>
    <c:dispBlanksAs val="gap"/>
  </c:chart>
  <c:txPr>
    <a:bodyPr/>
    <a:lstStyle/>
    <a:p>
      <a:pPr>
        <a:defRPr sz="801">
          <a:latin typeface="Arial Narrow" panose="020B0606020202030204" pitchFamily="34" charset="0"/>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Evolu</a:t>
            </a:r>
            <a:r>
              <a:rPr lang="ro-RO" sz="1000"/>
              <a:t>ție nr. unități sanitare pe regiuni în perioada 2011-2015</a:t>
            </a:r>
            <a:endParaRPr lang="en-US" sz="1000"/>
          </a:p>
        </c:rich>
      </c:tx>
      <c:layout/>
      <c:spPr>
        <a:noFill/>
        <a:ln>
          <a:noFill/>
        </a:ln>
        <a:effectLst/>
      </c:spPr>
    </c:title>
    <c:plotArea>
      <c:layout/>
      <c:barChart>
        <c:barDir val="col"/>
        <c:grouping val="clustered"/>
        <c:ser>
          <c:idx val="0"/>
          <c:order val="0"/>
          <c:tx>
            <c:strRef>
              <c:f>'pt word'!$C$202</c:f>
              <c:strCache>
                <c:ptCount val="1"/>
                <c:pt idx="0">
                  <c:v>An 2011</c:v>
                </c:pt>
              </c:strCache>
            </c:strRef>
          </c:tx>
          <c:spPr>
            <a:solidFill>
              <a:schemeClr val="accent1"/>
            </a:solidFill>
            <a:ln>
              <a:noFill/>
            </a:ln>
            <a:effectLst/>
          </c:spPr>
          <c:cat>
            <c:strRef>
              <c:f>'pt word'!$B$203:$B$210</c:f>
              <c:strCache>
                <c:ptCount val="8"/>
                <c:pt idx="0">
                  <c:v>Regiunea N-V</c:v>
                </c:pt>
                <c:pt idx="1">
                  <c:v>Regiunea CENTRU</c:v>
                </c:pt>
                <c:pt idx="2">
                  <c:v>Regiunea N-E</c:v>
                </c:pt>
                <c:pt idx="3">
                  <c:v>Regiunea S-E</c:v>
                </c:pt>
                <c:pt idx="4">
                  <c:v>Regiunea Sud-Muntenia</c:v>
                </c:pt>
                <c:pt idx="5">
                  <c:v>Regiunea B-If</c:v>
                </c:pt>
                <c:pt idx="6">
                  <c:v>Regiunea S-V Oltenia</c:v>
                </c:pt>
                <c:pt idx="7">
                  <c:v>Regiunea Vest</c:v>
                </c:pt>
              </c:strCache>
            </c:strRef>
          </c:cat>
          <c:val>
            <c:numRef>
              <c:f>'pt word'!$C$203:$C$210</c:f>
              <c:numCache>
                <c:formatCode>General</c:formatCode>
                <c:ptCount val="8"/>
                <c:pt idx="0">
                  <c:v>7239</c:v>
                </c:pt>
                <c:pt idx="1">
                  <c:v>6217</c:v>
                </c:pt>
                <c:pt idx="2">
                  <c:v>7940</c:v>
                </c:pt>
                <c:pt idx="3">
                  <c:v>6152</c:v>
                </c:pt>
                <c:pt idx="4">
                  <c:v>6005</c:v>
                </c:pt>
                <c:pt idx="5">
                  <c:v>8416</c:v>
                </c:pt>
                <c:pt idx="6">
                  <c:v>5111</c:v>
                </c:pt>
                <c:pt idx="7">
                  <c:v>5552</c:v>
                </c:pt>
              </c:numCache>
            </c:numRef>
          </c:val>
          <c:extLst xmlns:c16r2="http://schemas.microsoft.com/office/drawing/2015/06/chart">
            <c:ext xmlns:c16="http://schemas.microsoft.com/office/drawing/2014/chart" uri="{C3380CC4-5D6E-409C-BE32-E72D297353CC}">
              <c16:uniqueId val="{00000000-20DB-4DC7-8B93-3048CF0FA972}"/>
            </c:ext>
          </c:extLst>
        </c:ser>
        <c:ser>
          <c:idx val="1"/>
          <c:order val="1"/>
          <c:tx>
            <c:strRef>
              <c:f>'pt word'!$D$202</c:f>
              <c:strCache>
                <c:ptCount val="1"/>
                <c:pt idx="0">
                  <c:v>An 2012</c:v>
                </c:pt>
              </c:strCache>
            </c:strRef>
          </c:tx>
          <c:spPr>
            <a:solidFill>
              <a:schemeClr val="accent2"/>
            </a:solidFill>
            <a:ln>
              <a:noFill/>
            </a:ln>
            <a:effectLst/>
          </c:spPr>
          <c:cat>
            <c:strRef>
              <c:f>'pt word'!$B$203:$B$210</c:f>
              <c:strCache>
                <c:ptCount val="8"/>
                <c:pt idx="0">
                  <c:v>Regiunea N-V</c:v>
                </c:pt>
                <c:pt idx="1">
                  <c:v>Regiunea CENTRU</c:v>
                </c:pt>
                <c:pt idx="2">
                  <c:v>Regiunea N-E</c:v>
                </c:pt>
                <c:pt idx="3">
                  <c:v>Regiunea S-E</c:v>
                </c:pt>
                <c:pt idx="4">
                  <c:v>Regiunea Sud-Muntenia</c:v>
                </c:pt>
                <c:pt idx="5">
                  <c:v>Regiunea B-If</c:v>
                </c:pt>
                <c:pt idx="6">
                  <c:v>Regiunea S-V Oltenia</c:v>
                </c:pt>
                <c:pt idx="7">
                  <c:v>Regiunea Vest</c:v>
                </c:pt>
              </c:strCache>
            </c:strRef>
          </c:cat>
          <c:val>
            <c:numRef>
              <c:f>'pt word'!$D$203:$D$210</c:f>
              <c:numCache>
                <c:formatCode>General</c:formatCode>
                <c:ptCount val="8"/>
                <c:pt idx="0">
                  <c:v>7451</c:v>
                </c:pt>
                <c:pt idx="1">
                  <c:v>6271</c:v>
                </c:pt>
                <c:pt idx="2">
                  <c:v>8185</c:v>
                </c:pt>
                <c:pt idx="3">
                  <c:v>6405</c:v>
                </c:pt>
                <c:pt idx="4">
                  <c:v>6053</c:v>
                </c:pt>
                <c:pt idx="5">
                  <c:v>8429</c:v>
                </c:pt>
                <c:pt idx="6">
                  <c:v>5405</c:v>
                </c:pt>
                <c:pt idx="7">
                  <c:v>5445</c:v>
                </c:pt>
              </c:numCache>
            </c:numRef>
          </c:val>
          <c:extLst xmlns:c16r2="http://schemas.microsoft.com/office/drawing/2015/06/chart">
            <c:ext xmlns:c16="http://schemas.microsoft.com/office/drawing/2014/chart" uri="{C3380CC4-5D6E-409C-BE32-E72D297353CC}">
              <c16:uniqueId val="{00000001-20DB-4DC7-8B93-3048CF0FA972}"/>
            </c:ext>
          </c:extLst>
        </c:ser>
        <c:ser>
          <c:idx val="2"/>
          <c:order val="2"/>
          <c:tx>
            <c:strRef>
              <c:f>'pt word'!$E$202</c:f>
              <c:strCache>
                <c:ptCount val="1"/>
                <c:pt idx="0">
                  <c:v>An 2013</c:v>
                </c:pt>
              </c:strCache>
            </c:strRef>
          </c:tx>
          <c:spPr>
            <a:solidFill>
              <a:schemeClr val="accent3"/>
            </a:solidFill>
            <a:ln>
              <a:noFill/>
            </a:ln>
            <a:effectLst/>
          </c:spPr>
          <c:cat>
            <c:strRef>
              <c:f>'pt word'!$B$203:$B$210</c:f>
              <c:strCache>
                <c:ptCount val="8"/>
                <c:pt idx="0">
                  <c:v>Regiunea N-V</c:v>
                </c:pt>
                <c:pt idx="1">
                  <c:v>Regiunea CENTRU</c:v>
                </c:pt>
                <c:pt idx="2">
                  <c:v>Regiunea N-E</c:v>
                </c:pt>
                <c:pt idx="3">
                  <c:v>Regiunea S-E</c:v>
                </c:pt>
                <c:pt idx="4">
                  <c:v>Regiunea Sud-Muntenia</c:v>
                </c:pt>
                <c:pt idx="5">
                  <c:v>Regiunea B-If</c:v>
                </c:pt>
                <c:pt idx="6">
                  <c:v>Regiunea S-V Oltenia</c:v>
                </c:pt>
                <c:pt idx="7">
                  <c:v>Regiunea Vest</c:v>
                </c:pt>
              </c:strCache>
            </c:strRef>
          </c:cat>
          <c:val>
            <c:numRef>
              <c:f>'pt word'!$E$203:$E$210</c:f>
              <c:numCache>
                <c:formatCode>General</c:formatCode>
                <c:ptCount val="8"/>
                <c:pt idx="0">
                  <c:v>7652</c:v>
                </c:pt>
                <c:pt idx="1">
                  <c:v>6472</c:v>
                </c:pt>
                <c:pt idx="2">
                  <c:v>8279</c:v>
                </c:pt>
                <c:pt idx="3">
                  <c:v>6589</c:v>
                </c:pt>
                <c:pt idx="4">
                  <c:v>6429</c:v>
                </c:pt>
                <c:pt idx="5">
                  <c:v>8620</c:v>
                </c:pt>
                <c:pt idx="6">
                  <c:v>5654</c:v>
                </c:pt>
                <c:pt idx="7">
                  <c:v>5577</c:v>
                </c:pt>
              </c:numCache>
            </c:numRef>
          </c:val>
          <c:extLst xmlns:c16r2="http://schemas.microsoft.com/office/drawing/2015/06/chart">
            <c:ext xmlns:c16="http://schemas.microsoft.com/office/drawing/2014/chart" uri="{C3380CC4-5D6E-409C-BE32-E72D297353CC}">
              <c16:uniqueId val="{00000002-20DB-4DC7-8B93-3048CF0FA972}"/>
            </c:ext>
          </c:extLst>
        </c:ser>
        <c:ser>
          <c:idx val="3"/>
          <c:order val="3"/>
          <c:tx>
            <c:strRef>
              <c:f>'pt word'!$F$202</c:f>
              <c:strCache>
                <c:ptCount val="1"/>
                <c:pt idx="0">
                  <c:v>An 2014</c:v>
                </c:pt>
              </c:strCache>
            </c:strRef>
          </c:tx>
          <c:spPr>
            <a:solidFill>
              <a:schemeClr val="accent4"/>
            </a:solidFill>
            <a:ln>
              <a:noFill/>
            </a:ln>
            <a:effectLst/>
          </c:spPr>
          <c:cat>
            <c:strRef>
              <c:f>'pt word'!$B$203:$B$210</c:f>
              <c:strCache>
                <c:ptCount val="8"/>
                <c:pt idx="0">
                  <c:v>Regiunea N-V</c:v>
                </c:pt>
                <c:pt idx="1">
                  <c:v>Regiunea CENTRU</c:v>
                </c:pt>
                <c:pt idx="2">
                  <c:v>Regiunea N-E</c:v>
                </c:pt>
                <c:pt idx="3">
                  <c:v>Regiunea S-E</c:v>
                </c:pt>
                <c:pt idx="4">
                  <c:v>Regiunea Sud-Muntenia</c:v>
                </c:pt>
                <c:pt idx="5">
                  <c:v>Regiunea B-If</c:v>
                </c:pt>
                <c:pt idx="6">
                  <c:v>Regiunea S-V Oltenia</c:v>
                </c:pt>
                <c:pt idx="7">
                  <c:v>Regiunea Vest</c:v>
                </c:pt>
              </c:strCache>
            </c:strRef>
          </c:cat>
          <c:val>
            <c:numRef>
              <c:f>'pt word'!$F$203:$F$210</c:f>
              <c:numCache>
                <c:formatCode>General</c:formatCode>
                <c:ptCount val="8"/>
                <c:pt idx="0">
                  <c:v>7723</c:v>
                </c:pt>
                <c:pt idx="1">
                  <c:v>6655</c:v>
                </c:pt>
                <c:pt idx="2">
                  <c:v>8481</c:v>
                </c:pt>
                <c:pt idx="3">
                  <c:v>6959</c:v>
                </c:pt>
                <c:pt idx="4">
                  <c:v>6621</c:v>
                </c:pt>
                <c:pt idx="5">
                  <c:v>9328</c:v>
                </c:pt>
                <c:pt idx="6">
                  <c:v>5446</c:v>
                </c:pt>
                <c:pt idx="7">
                  <c:v>5423</c:v>
                </c:pt>
              </c:numCache>
            </c:numRef>
          </c:val>
          <c:extLst xmlns:c16r2="http://schemas.microsoft.com/office/drawing/2015/06/chart">
            <c:ext xmlns:c16="http://schemas.microsoft.com/office/drawing/2014/chart" uri="{C3380CC4-5D6E-409C-BE32-E72D297353CC}">
              <c16:uniqueId val="{00000003-20DB-4DC7-8B93-3048CF0FA972}"/>
            </c:ext>
          </c:extLst>
        </c:ser>
        <c:ser>
          <c:idx val="4"/>
          <c:order val="4"/>
          <c:tx>
            <c:strRef>
              <c:f>'pt word'!$G$202</c:f>
              <c:strCache>
                <c:ptCount val="1"/>
                <c:pt idx="0">
                  <c:v>An 2015</c:v>
                </c:pt>
              </c:strCache>
            </c:strRef>
          </c:tx>
          <c:spPr>
            <a:solidFill>
              <a:schemeClr val="accent5"/>
            </a:solidFill>
            <a:ln>
              <a:noFill/>
            </a:ln>
            <a:effectLst/>
          </c:spPr>
          <c:cat>
            <c:strRef>
              <c:f>'pt word'!$B$203:$B$210</c:f>
              <c:strCache>
                <c:ptCount val="8"/>
                <c:pt idx="0">
                  <c:v>Regiunea N-V</c:v>
                </c:pt>
                <c:pt idx="1">
                  <c:v>Regiunea CENTRU</c:v>
                </c:pt>
                <c:pt idx="2">
                  <c:v>Regiunea N-E</c:v>
                </c:pt>
                <c:pt idx="3">
                  <c:v>Regiunea S-E</c:v>
                </c:pt>
                <c:pt idx="4">
                  <c:v>Regiunea Sud-Muntenia</c:v>
                </c:pt>
                <c:pt idx="5">
                  <c:v>Regiunea B-If</c:v>
                </c:pt>
                <c:pt idx="6">
                  <c:v>Regiunea S-V Oltenia</c:v>
                </c:pt>
                <c:pt idx="7">
                  <c:v>Regiunea Vest</c:v>
                </c:pt>
              </c:strCache>
            </c:strRef>
          </c:cat>
          <c:val>
            <c:numRef>
              <c:f>'pt word'!$G$203:$G$210</c:f>
              <c:numCache>
                <c:formatCode>General</c:formatCode>
                <c:ptCount val="8"/>
                <c:pt idx="0">
                  <c:v>7878</c:v>
                </c:pt>
                <c:pt idx="1">
                  <c:v>6810</c:v>
                </c:pt>
                <c:pt idx="2">
                  <c:v>8709</c:v>
                </c:pt>
                <c:pt idx="3">
                  <c:v>7316</c:v>
                </c:pt>
                <c:pt idx="4">
                  <c:v>6874</c:v>
                </c:pt>
                <c:pt idx="5">
                  <c:v>10206</c:v>
                </c:pt>
                <c:pt idx="6">
                  <c:v>5558</c:v>
                </c:pt>
                <c:pt idx="7">
                  <c:v>5550</c:v>
                </c:pt>
              </c:numCache>
            </c:numRef>
          </c:val>
          <c:extLst xmlns:c16r2="http://schemas.microsoft.com/office/drawing/2015/06/chart">
            <c:ext xmlns:c16="http://schemas.microsoft.com/office/drawing/2014/chart" uri="{C3380CC4-5D6E-409C-BE32-E72D297353CC}">
              <c16:uniqueId val="{00000004-20DB-4DC7-8B93-3048CF0FA972}"/>
            </c:ext>
          </c:extLst>
        </c:ser>
        <c:gapWidth val="219"/>
        <c:overlap val="-27"/>
        <c:axId val="84177280"/>
        <c:axId val="84178816"/>
      </c:barChart>
      <c:catAx>
        <c:axId val="84177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78816"/>
        <c:crosses val="autoZero"/>
        <c:auto val="1"/>
        <c:lblAlgn val="ctr"/>
        <c:lblOffset val="100"/>
      </c:catAx>
      <c:valAx>
        <c:axId val="84178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7728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0" i="0" baseline="0">
                <a:effectLst/>
                <a:latin typeface="Arial Narrow" panose="020B0606020202030204" pitchFamily="34" charset="0"/>
              </a:rPr>
              <a:t>Nr. unități sanitare raportat la 1000 locuitori la nivel național și regional în anul 2015</a:t>
            </a:r>
            <a:endParaRPr lang="en-US" sz="1000">
              <a:effectLst/>
              <a:latin typeface="Arial Narrow" panose="020B0606020202030204" pitchFamily="34" charset="0"/>
            </a:endParaRPr>
          </a:p>
        </c:rich>
      </c:tx>
      <c:layout/>
      <c:spPr>
        <a:noFill/>
        <a:ln>
          <a:noFill/>
        </a:ln>
        <a:effectLst/>
      </c:spPr>
    </c:title>
    <c:plotArea>
      <c:layout/>
      <c:barChart>
        <c:barDir val="col"/>
        <c:grouping val="clustered"/>
        <c:ser>
          <c:idx val="0"/>
          <c:order val="0"/>
          <c:tx>
            <c:strRef>
              <c:f>Foaie2!$A$1</c:f>
              <c:strCache>
                <c:ptCount val="1"/>
                <c:pt idx="0">
                  <c:v>Regiunea BUCURESTI - ILFOV</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Foaie2!$B$1</c:f>
              <c:numCache>
                <c:formatCode>#,##0.00</c:formatCode>
                <c:ptCount val="1"/>
                <c:pt idx="0">
                  <c:v>4.4680851063829765</c:v>
                </c:pt>
              </c:numCache>
            </c:numRef>
          </c:val>
          <c:extLst xmlns:c16r2="http://schemas.microsoft.com/office/drawing/2015/06/chart">
            <c:ext xmlns:c16="http://schemas.microsoft.com/office/drawing/2014/chart" uri="{C3380CC4-5D6E-409C-BE32-E72D297353CC}">
              <c16:uniqueId val="{00000000-8217-4295-9879-96EF44B6864E}"/>
            </c:ext>
          </c:extLst>
        </c:ser>
        <c:ser>
          <c:idx val="1"/>
          <c:order val="1"/>
          <c:tx>
            <c:strRef>
              <c:f>Foaie2!$A$2</c:f>
              <c:strCache>
                <c:ptCount val="1"/>
                <c:pt idx="0">
                  <c:v>Regiunea VEST</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Foaie2!$B$2</c:f>
              <c:numCache>
                <c:formatCode>#,##0.00</c:formatCode>
                <c:ptCount val="1"/>
                <c:pt idx="0">
                  <c:v>3.0633280989979368</c:v>
                </c:pt>
              </c:numCache>
            </c:numRef>
          </c:val>
          <c:extLst xmlns:c16r2="http://schemas.microsoft.com/office/drawing/2015/06/chart">
            <c:ext xmlns:c16="http://schemas.microsoft.com/office/drawing/2014/chart" uri="{C3380CC4-5D6E-409C-BE32-E72D297353CC}">
              <c16:uniqueId val="{00000001-8217-4295-9879-96EF44B6864E}"/>
            </c:ext>
          </c:extLst>
        </c:ser>
        <c:ser>
          <c:idx val="2"/>
          <c:order val="2"/>
          <c:tx>
            <c:strRef>
              <c:f>Foaie2!$A$3</c:f>
              <c:strCache>
                <c:ptCount val="1"/>
                <c:pt idx="0">
                  <c:v>Regiunea NORD-VEST</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Foaie2!$B$3</c:f>
              <c:numCache>
                <c:formatCode>#,##0.00</c:formatCode>
                <c:ptCount val="1"/>
                <c:pt idx="0">
                  <c:v>3.0469421703680784</c:v>
                </c:pt>
              </c:numCache>
            </c:numRef>
          </c:val>
          <c:extLst xmlns:c16r2="http://schemas.microsoft.com/office/drawing/2015/06/chart">
            <c:ext xmlns:c16="http://schemas.microsoft.com/office/drawing/2014/chart" uri="{C3380CC4-5D6E-409C-BE32-E72D297353CC}">
              <c16:uniqueId val="{00000002-8217-4295-9879-96EF44B6864E}"/>
            </c:ext>
          </c:extLst>
        </c:ser>
        <c:ser>
          <c:idx val="4"/>
          <c:order val="3"/>
          <c:tx>
            <c:strRef>
              <c:f>Foaie2!$A$4</c:f>
              <c:strCache>
                <c:ptCount val="1"/>
                <c:pt idx="0">
                  <c:v>Regiunea SUD-EST</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Foaie2!$B$4</c:f>
              <c:numCache>
                <c:formatCode>#,##0.00</c:formatCode>
                <c:ptCount val="1"/>
                <c:pt idx="0">
                  <c:v>2.935379914233621</c:v>
                </c:pt>
              </c:numCache>
            </c:numRef>
          </c:val>
          <c:extLst xmlns:c16r2="http://schemas.microsoft.com/office/drawing/2015/06/chart">
            <c:ext xmlns:c16="http://schemas.microsoft.com/office/drawing/2014/chart" uri="{C3380CC4-5D6E-409C-BE32-E72D297353CC}">
              <c16:uniqueId val="{00000003-8217-4295-9879-96EF44B6864E}"/>
            </c:ext>
          </c:extLst>
        </c:ser>
        <c:ser>
          <c:idx val="5"/>
          <c:order val="4"/>
          <c:tx>
            <c:strRef>
              <c:f>Foaie2!$A$5</c:f>
              <c:strCache>
                <c:ptCount val="1"/>
                <c:pt idx="0">
                  <c:v>Regiunea CENTRU</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Foaie2!$B$5</c:f>
              <c:numCache>
                <c:formatCode>#,##0.00</c:formatCode>
                <c:ptCount val="1"/>
                <c:pt idx="0">
                  <c:v>2.8976910806004912</c:v>
                </c:pt>
              </c:numCache>
            </c:numRef>
          </c:val>
          <c:extLst xmlns:c16r2="http://schemas.microsoft.com/office/drawing/2015/06/chart">
            <c:ext xmlns:c16="http://schemas.microsoft.com/office/drawing/2014/chart" uri="{C3380CC4-5D6E-409C-BE32-E72D297353CC}">
              <c16:uniqueId val="{00000004-8217-4295-9879-96EF44B6864E}"/>
            </c:ext>
          </c:extLst>
        </c:ser>
        <c:ser>
          <c:idx val="6"/>
          <c:order val="5"/>
          <c:tx>
            <c:strRef>
              <c:f>Foaie2!$A$6</c:f>
              <c:strCache>
                <c:ptCount val="1"/>
                <c:pt idx="0">
                  <c:v>Regiunea SUD-VEST OLTENIA</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Foaie2!$B$6</c:f>
              <c:numCache>
                <c:formatCode>#,##0.00</c:formatCode>
                <c:ptCount val="1"/>
                <c:pt idx="0">
                  <c:v>2.7572644840720599</c:v>
                </c:pt>
              </c:numCache>
            </c:numRef>
          </c:val>
          <c:extLst xmlns:c16r2="http://schemas.microsoft.com/office/drawing/2015/06/chart">
            <c:ext xmlns:c16="http://schemas.microsoft.com/office/drawing/2014/chart" uri="{C3380CC4-5D6E-409C-BE32-E72D297353CC}">
              <c16:uniqueId val="{00000005-8217-4295-9879-96EF44B6864E}"/>
            </c:ext>
          </c:extLst>
        </c:ser>
        <c:ser>
          <c:idx val="7"/>
          <c:order val="6"/>
          <c:tx>
            <c:strRef>
              <c:f>Foaie2!$A$7</c:f>
              <c:strCache>
                <c:ptCount val="1"/>
                <c:pt idx="0">
                  <c:v>Regiunea NORD-EST</c:v>
                </c:pt>
              </c:strCache>
            </c:strRef>
          </c:tx>
          <c:spPr>
            <a:solidFill>
              <a:schemeClr val="accent2">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Foaie2!$B$7</c:f>
              <c:numCache>
                <c:formatCode>#,##0.00</c:formatCode>
                <c:ptCount val="1"/>
                <c:pt idx="0">
                  <c:v>2.663630207750316</c:v>
                </c:pt>
              </c:numCache>
            </c:numRef>
          </c:val>
          <c:extLst xmlns:c16r2="http://schemas.microsoft.com/office/drawing/2015/06/chart">
            <c:ext xmlns:c16="http://schemas.microsoft.com/office/drawing/2014/chart" uri="{C3380CC4-5D6E-409C-BE32-E72D297353CC}">
              <c16:uniqueId val="{00000006-8217-4295-9879-96EF44B6864E}"/>
            </c:ext>
          </c:extLst>
        </c:ser>
        <c:ser>
          <c:idx val="8"/>
          <c:order val="7"/>
          <c:tx>
            <c:strRef>
              <c:f>Foaie2!$A$8</c:f>
              <c:strCache>
                <c:ptCount val="1"/>
                <c:pt idx="0">
                  <c:v>Regiunea SUD-MUNTENIA</c:v>
                </c:pt>
              </c:strCache>
            </c:strRef>
          </c:tx>
          <c:spPr>
            <a:solidFill>
              <a:schemeClr val="accent3">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Foaie2!$B$8</c:f>
              <c:numCache>
                <c:formatCode>#,##0.00</c:formatCode>
                <c:ptCount val="1"/>
                <c:pt idx="0">
                  <c:v>2.2454615478593003</c:v>
                </c:pt>
              </c:numCache>
            </c:numRef>
          </c:val>
          <c:extLst xmlns:c16r2="http://schemas.microsoft.com/office/drawing/2015/06/chart">
            <c:ext xmlns:c16="http://schemas.microsoft.com/office/drawing/2014/chart" uri="{C3380CC4-5D6E-409C-BE32-E72D297353CC}">
              <c16:uniqueId val="{00000007-8217-4295-9879-96EF44B6864E}"/>
            </c:ext>
          </c:extLst>
        </c:ser>
        <c:dLbls>
          <c:showVal val="1"/>
        </c:dLbls>
        <c:overlap val="-25"/>
        <c:axId val="84564224"/>
        <c:axId val="84598784"/>
      </c:barChart>
      <c:catAx>
        <c:axId val="84564224"/>
        <c:scaling>
          <c:orientation val="minMax"/>
        </c:scaling>
        <c:delete val="1"/>
        <c:axPos val="b"/>
        <c:numFmt formatCode="General" sourceLinked="1"/>
        <c:majorTickMark val="none"/>
        <c:tickLblPos val="nextTo"/>
        <c:crossAx val="84598784"/>
        <c:crosses val="autoZero"/>
        <c:auto val="1"/>
        <c:lblAlgn val="ctr"/>
        <c:lblOffset val="100"/>
      </c:catAx>
      <c:valAx>
        <c:axId val="84598784"/>
        <c:scaling>
          <c:orientation val="minMax"/>
        </c:scaling>
        <c:delete val="1"/>
        <c:axPos val="l"/>
        <c:numFmt formatCode="#,##0.00" sourceLinked="1"/>
        <c:majorTickMark val="none"/>
        <c:tickLblPos val="nextTo"/>
        <c:crossAx val="84564224"/>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en-US"/>
  <c:style val="3"/>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2"/>
                </a:solidFill>
                <a:latin typeface="+mn-lt"/>
                <a:ea typeface="+mn-ea"/>
                <a:cs typeface="+mn-cs"/>
              </a:defRPr>
            </a:pPr>
            <a:r>
              <a:rPr lang="ro-RO" sz="1049"/>
              <a:t>Evoluția nr. de unități active pe piața de servicii medicale din România </a:t>
            </a:r>
          </a:p>
          <a:p>
            <a:pPr>
              <a:defRPr sz="1598" b="1" i="0" u="none" strike="noStrike" kern="1200" baseline="0">
                <a:solidFill>
                  <a:schemeClr val="tx2"/>
                </a:solidFill>
                <a:latin typeface="+mn-lt"/>
                <a:ea typeface="+mn-ea"/>
                <a:cs typeface="+mn-cs"/>
              </a:defRPr>
            </a:pPr>
            <a:r>
              <a:rPr lang="ro-RO" sz="1049"/>
              <a:t>în perioada 2010-2014</a:t>
            </a:r>
            <a:endParaRPr lang="en-US" sz="1050"/>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Foaie12!$B$1</c:f>
              <c:strCache>
                <c:ptCount val="1"/>
                <c:pt idx="0">
                  <c:v>Anul 2010</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Arial Narrow" panose="020B0606020202030204" pitchFamily="34" charset="0"/>
                    <a:ea typeface="+mn-ea"/>
                    <a:cs typeface="+mn-cs"/>
                  </a:defRPr>
                </a:pPr>
                <a:endParaRPr lang="en-US"/>
              </a:p>
            </c:txPr>
            <c:showVal val="1"/>
          </c:dLbls>
          <c:cat>
            <c:strRef>
              <c:f>Foaie12!$A$2:$A$6</c:f>
              <c:strCache>
                <c:ptCount val="5"/>
                <c:pt idx="0">
                  <c:v>8610 - Activitati de asistenta spitaliceasca</c:v>
                </c:pt>
                <c:pt idx="1">
                  <c:v>8621 - Activitati de asistenta medicala generala</c:v>
                </c:pt>
                <c:pt idx="2">
                  <c:v>8622 - Activitati de asistenta medicala specializata</c:v>
                </c:pt>
                <c:pt idx="3">
                  <c:v>8623 - Activitati de asistenta stomatologica</c:v>
                </c:pt>
                <c:pt idx="4">
                  <c:v>8690 - Alte activitati referitoare la sanatatea umana</c:v>
                </c:pt>
              </c:strCache>
            </c:strRef>
          </c:cat>
          <c:val>
            <c:numRef>
              <c:f>Foaie12!$B$2:$B$6</c:f>
              <c:numCache>
                <c:formatCode>General</c:formatCode>
                <c:ptCount val="5"/>
                <c:pt idx="0">
                  <c:v>140</c:v>
                </c:pt>
                <c:pt idx="1">
                  <c:v>1494</c:v>
                </c:pt>
                <c:pt idx="2">
                  <c:v>2339</c:v>
                </c:pt>
                <c:pt idx="3">
                  <c:v>3082</c:v>
                </c:pt>
                <c:pt idx="4">
                  <c:v>1644</c:v>
                </c:pt>
              </c:numCache>
            </c:numRef>
          </c:val>
        </c:ser>
        <c:ser>
          <c:idx val="1"/>
          <c:order val="1"/>
          <c:tx>
            <c:strRef>
              <c:f>Foaie12!$C$1</c:f>
              <c:strCache>
                <c:ptCount val="1"/>
                <c:pt idx="0">
                  <c:v>Anul 2011</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Arial Narrow" panose="020B0606020202030204" pitchFamily="34" charset="0"/>
                    <a:ea typeface="+mn-ea"/>
                    <a:cs typeface="+mn-cs"/>
                  </a:defRPr>
                </a:pPr>
                <a:endParaRPr lang="en-US"/>
              </a:p>
            </c:txPr>
            <c:showVal val="1"/>
          </c:dLbls>
          <c:cat>
            <c:strRef>
              <c:f>Foaie12!$A$2:$A$6</c:f>
              <c:strCache>
                <c:ptCount val="5"/>
                <c:pt idx="0">
                  <c:v>8610 - Activitati de asistenta spitaliceasca</c:v>
                </c:pt>
                <c:pt idx="1">
                  <c:v>8621 - Activitati de asistenta medicala generala</c:v>
                </c:pt>
                <c:pt idx="2">
                  <c:v>8622 - Activitati de asistenta medicala specializata</c:v>
                </c:pt>
                <c:pt idx="3">
                  <c:v>8623 - Activitati de asistenta stomatologica</c:v>
                </c:pt>
                <c:pt idx="4">
                  <c:v>8690 - Alte activitati referitoare la sanatatea umana</c:v>
                </c:pt>
              </c:strCache>
            </c:strRef>
          </c:cat>
          <c:val>
            <c:numRef>
              <c:f>Foaie12!$C$2:$C$6</c:f>
              <c:numCache>
                <c:formatCode>General</c:formatCode>
                <c:ptCount val="5"/>
                <c:pt idx="0">
                  <c:v>134</c:v>
                </c:pt>
                <c:pt idx="1">
                  <c:v>1434</c:v>
                </c:pt>
                <c:pt idx="2">
                  <c:v>2391</c:v>
                </c:pt>
                <c:pt idx="3">
                  <c:v>2911</c:v>
                </c:pt>
                <c:pt idx="4">
                  <c:v>1594</c:v>
                </c:pt>
              </c:numCache>
            </c:numRef>
          </c:val>
        </c:ser>
        <c:ser>
          <c:idx val="2"/>
          <c:order val="2"/>
          <c:tx>
            <c:strRef>
              <c:f>Foaie12!$D$1</c:f>
              <c:strCache>
                <c:ptCount val="1"/>
                <c:pt idx="0">
                  <c:v>Anul 2012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Arial Narrow" panose="020B0606020202030204" pitchFamily="34" charset="0"/>
                    <a:ea typeface="+mn-ea"/>
                    <a:cs typeface="+mn-cs"/>
                  </a:defRPr>
                </a:pPr>
                <a:endParaRPr lang="en-US"/>
              </a:p>
            </c:txPr>
            <c:showVal val="1"/>
          </c:dLbls>
          <c:cat>
            <c:strRef>
              <c:f>Foaie12!$A$2:$A$6</c:f>
              <c:strCache>
                <c:ptCount val="5"/>
                <c:pt idx="0">
                  <c:v>8610 - Activitati de asistenta spitaliceasca</c:v>
                </c:pt>
                <c:pt idx="1">
                  <c:v>8621 - Activitati de asistenta medicala generala</c:v>
                </c:pt>
                <c:pt idx="2">
                  <c:v>8622 - Activitati de asistenta medicala specializata</c:v>
                </c:pt>
                <c:pt idx="3">
                  <c:v>8623 - Activitati de asistenta stomatologica</c:v>
                </c:pt>
                <c:pt idx="4">
                  <c:v>8690 - Alte activitati referitoare la sanatatea umana</c:v>
                </c:pt>
              </c:strCache>
            </c:strRef>
          </c:cat>
          <c:val>
            <c:numRef>
              <c:f>Foaie12!$D$2:$D$6</c:f>
              <c:numCache>
                <c:formatCode>General</c:formatCode>
                <c:ptCount val="5"/>
                <c:pt idx="0">
                  <c:v>147</c:v>
                </c:pt>
                <c:pt idx="1">
                  <c:v>1530</c:v>
                </c:pt>
                <c:pt idx="2">
                  <c:v>2604</c:v>
                </c:pt>
                <c:pt idx="3">
                  <c:v>3063</c:v>
                </c:pt>
                <c:pt idx="4">
                  <c:v>1712</c:v>
                </c:pt>
              </c:numCache>
            </c:numRef>
          </c:val>
        </c:ser>
        <c:ser>
          <c:idx val="3"/>
          <c:order val="3"/>
          <c:tx>
            <c:strRef>
              <c:f>Foaie12!$E$1</c:f>
              <c:strCache>
                <c:ptCount val="1"/>
                <c:pt idx="0">
                  <c:v>Anul 2013</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Arial Narrow" panose="020B0606020202030204" pitchFamily="34" charset="0"/>
                    <a:ea typeface="+mn-ea"/>
                    <a:cs typeface="+mn-cs"/>
                  </a:defRPr>
                </a:pPr>
                <a:endParaRPr lang="en-US"/>
              </a:p>
            </c:txPr>
            <c:showVal val="1"/>
          </c:dLbls>
          <c:cat>
            <c:strRef>
              <c:f>Foaie12!$A$2:$A$6</c:f>
              <c:strCache>
                <c:ptCount val="5"/>
                <c:pt idx="0">
                  <c:v>8610 - Activitati de asistenta spitaliceasca</c:v>
                </c:pt>
                <c:pt idx="1">
                  <c:v>8621 - Activitati de asistenta medicala generala</c:v>
                </c:pt>
                <c:pt idx="2">
                  <c:v>8622 - Activitati de asistenta medicala specializata</c:v>
                </c:pt>
                <c:pt idx="3">
                  <c:v>8623 - Activitati de asistenta stomatologica</c:v>
                </c:pt>
                <c:pt idx="4">
                  <c:v>8690 - Alte activitati referitoare la sanatatea umana</c:v>
                </c:pt>
              </c:strCache>
            </c:strRef>
          </c:cat>
          <c:val>
            <c:numRef>
              <c:f>Foaie12!$E$2:$E$6</c:f>
              <c:numCache>
                <c:formatCode>General</c:formatCode>
                <c:ptCount val="5"/>
                <c:pt idx="0">
                  <c:v>181</c:v>
                </c:pt>
                <c:pt idx="1">
                  <c:v>1555</c:v>
                </c:pt>
                <c:pt idx="2">
                  <c:v>2787</c:v>
                </c:pt>
                <c:pt idx="3">
                  <c:v>3152</c:v>
                </c:pt>
                <c:pt idx="4">
                  <c:v>1823</c:v>
                </c:pt>
              </c:numCache>
            </c:numRef>
          </c:val>
        </c:ser>
        <c:ser>
          <c:idx val="4"/>
          <c:order val="4"/>
          <c:tx>
            <c:strRef>
              <c:f>Foaie12!$F$1</c:f>
              <c:strCache>
                <c:ptCount val="1"/>
                <c:pt idx="0">
                  <c:v>Anul 2014</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Arial Narrow" panose="020B0606020202030204" pitchFamily="34" charset="0"/>
                    <a:ea typeface="+mn-ea"/>
                    <a:cs typeface="+mn-cs"/>
                  </a:defRPr>
                </a:pPr>
                <a:endParaRPr lang="en-US"/>
              </a:p>
            </c:txPr>
            <c:showVal val="1"/>
          </c:dLbls>
          <c:cat>
            <c:strRef>
              <c:f>Foaie12!$A$2:$A$6</c:f>
              <c:strCache>
                <c:ptCount val="5"/>
                <c:pt idx="0">
                  <c:v>8610 - Activitati de asistenta spitaliceasca</c:v>
                </c:pt>
                <c:pt idx="1">
                  <c:v>8621 - Activitati de asistenta medicala generala</c:v>
                </c:pt>
                <c:pt idx="2">
                  <c:v>8622 - Activitati de asistenta medicala specializata</c:v>
                </c:pt>
                <c:pt idx="3">
                  <c:v>8623 - Activitati de asistenta stomatologica</c:v>
                </c:pt>
                <c:pt idx="4">
                  <c:v>8690 - Alte activitati referitoare la sanatatea umana</c:v>
                </c:pt>
              </c:strCache>
            </c:strRef>
          </c:cat>
          <c:val>
            <c:numRef>
              <c:f>Foaie12!$F$2:$F$6</c:f>
              <c:numCache>
                <c:formatCode>General</c:formatCode>
                <c:ptCount val="5"/>
                <c:pt idx="0">
                  <c:v>203</c:v>
                </c:pt>
                <c:pt idx="1">
                  <c:v>1558</c:v>
                </c:pt>
                <c:pt idx="2">
                  <c:v>3019</c:v>
                </c:pt>
                <c:pt idx="3">
                  <c:v>3294</c:v>
                </c:pt>
                <c:pt idx="4">
                  <c:v>1912</c:v>
                </c:pt>
              </c:numCache>
            </c:numRef>
          </c:val>
        </c:ser>
        <c:shape val="box"/>
        <c:axId val="84660608"/>
        <c:axId val="84662144"/>
        <c:axId val="0"/>
      </c:bar3DChart>
      <c:catAx>
        <c:axId val="84660608"/>
        <c:scaling>
          <c:orientation val="minMax"/>
        </c:scaling>
        <c:axPos val="b"/>
        <c:numFmt formatCode="General" sourceLinked="1"/>
        <c:majorTickMark val="none"/>
        <c:tickLblPos val="nextTo"/>
        <c:spPr>
          <a:noFill/>
          <a:ln w="9520"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662144"/>
        <c:crosses val="autoZero"/>
        <c:auto val="1"/>
        <c:lblAlgn val="ctr"/>
        <c:lblOffset val="100"/>
      </c:catAx>
      <c:valAx>
        <c:axId val="84662144"/>
        <c:scaling>
          <c:orientation val="minMax"/>
        </c:scaling>
        <c:axPos val="l"/>
        <c:majorGridlines>
          <c:spPr>
            <a:ln w="9520"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660608"/>
        <c:crosses val="autoZero"/>
        <c:crossBetween val="between"/>
      </c:valAx>
      <c:spPr>
        <a:noFill/>
        <a:ln w="25387">
          <a:noFill/>
        </a:ln>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chart>
  <c:spPr>
    <a:solidFill>
      <a:schemeClr val="bg1"/>
    </a:solidFill>
    <a:ln w="9520" cap="flat" cmpd="sng" algn="ctr">
      <a:solidFill>
        <a:schemeClr val="tx2">
          <a:lumMod val="15000"/>
          <a:lumOff val="85000"/>
        </a:schemeClr>
      </a:solidFill>
      <a:round/>
    </a:ln>
    <a:effectLst/>
  </c:spPr>
  <c:txPr>
    <a:bodyPr/>
    <a:lstStyle/>
    <a:p>
      <a:pPr>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a:t>Evoluția nr. de unități active în Regiunea Centru în perioada 2010-2014</a:t>
            </a:r>
            <a:endParaRPr lang="en-US" sz="1100"/>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Foaie12!$B$35</c:f>
              <c:strCache>
                <c:ptCount val="1"/>
                <c:pt idx="0">
                  <c:v>Anul 2010</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Foaie12!$A$36:$A$40</c:f>
              <c:strCache>
                <c:ptCount val="5"/>
                <c:pt idx="0">
                  <c:v>8610 Activitati de asistenta spitaliceasca</c:v>
                </c:pt>
                <c:pt idx="1">
                  <c:v>8621 Activitati de asistenta medicala generala</c:v>
                </c:pt>
                <c:pt idx="2">
                  <c:v>8622 Activitati de asistenta medicala specializata</c:v>
                </c:pt>
                <c:pt idx="3">
                  <c:v>8623 Activitati de asistenta stomatologica</c:v>
                </c:pt>
                <c:pt idx="4">
                  <c:v>8690 Alte activitati referitoare la sanatatea umana</c:v>
                </c:pt>
              </c:strCache>
            </c:strRef>
          </c:cat>
          <c:val>
            <c:numRef>
              <c:f>Foaie12!$B$36:$B$40</c:f>
              <c:numCache>
                <c:formatCode>General</c:formatCode>
                <c:ptCount val="5"/>
                <c:pt idx="0">
                  <c:v>15</c:v>
                </c:pt>
                <c:pt idx="1">
                  <c:v>137</c:v>
                </c:pt>
                <c:pt idx="2">
                  <c:v>305</c:v>
                </c:pt>
                <c:pt idx="3">
                  <c:v>315</c:v>
                </c:pt>
                <c:pt idx="4">
                  <c:v>212</c:v>
                </c:pt>
              </c:numCache>
            </c:numRef>
          </c:val>
          <c:extLst xmlns:c16r2="http://schemas.microsoft.com/office/drawing/2015/06/chart">
            <c:ext xmlns:c16="http://schemas.microsoft.com/office/drawing/2014/chart" uri="{C3380CC4-5D6E-409C-BE32-E72D297353CC}">
              <c16:uniqueId val="{00000000-0CF9-4118-B910-C1DA74860542}"/>
            </c:ext>
          </c:extLst>
        </c:ser>
        <c:ser>
          <c:idx val="1"/>
          <c:order val="1"/>
          <c:tx>
            <c:strRef>
              <c:f>Foaie12!$C$35</c:f>
              <c:strCache>
                <c:ptCount val="1"/>
                <c:pt idx="0">
                  <c:v>Anul 2011</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Foaie12!$A$36:$A$40</c:f>
              <c:strCache>
                <c:ptCount val="5"/>
                <c:pt idx="0">
                  <c:v>8610 Activitati de asistenta spitaliceasca</c:v>
                </c:pt>
                <c:pt idx="1">
                  <c:v>8621 Activitati de asistenta medicala generala</c:v>
                </c:pt>
                <c:pt idx="2">
                  <c:v>8622 Activitati de asistenta medicala specializata</c:v>
                </c:pt>
                <c:pt idx="3">
                  <c:v>8623 Activitati de asistenta stomatologica</c:v>
                </c:pt>
                <c:pt idx="4">
                  <c:v>8690 Alte activitati referitoare la sanatatea umana</c:v>
                </c:pt>
              </c:strCache>
            </c:strRef>
          </c:cat>
          <c:val>
            <c:numRef>
              <c:f>Foaie12!$C$36:$C$40</c:f>
              <c:numCache>
                <c:formatCode>General</c:formatCode>
                <c:ptCount val="5"/>
                <c:pt idx="0">
                  <c:v>13</c:v>
                </c:pt>
                <c:pt idx="1">
                  <c:v>136</c:v>
                </c:pt>
                <c:pt idx="2">
                  <c:v>323</c:v>
                </c:pt>
                <c:pt idx="3">
                  <c:v>300</c:v>
                </c:pt>
                <c:pt idx="4">
                  <c:v>207</c:v>
                </c:pt>
              </c:numCache>
            </c:numRef>
          </c:val>
          <c:extLst xmlns:c16r2="http://schemas.microsoft.com/office/drawing/2015/06/chart">
            <c:ext xmlns:c16="http://schemas.microsoft.com/office/drawing/2014/chart" uri="{C3380CC4-5D6E-409C-BE32-E72D297353CC}">
              <c16:uniqueId val="{00000001-0CF9-4118-B910-C1DA74860542}"/>
            </c:ext>
          </c:extLst>
        </c:ser>
        <c:ser>
          <c:idx val="2"/>
          <c:order val="2"/>
          <c:tx>
            <c:strRef>
              <c:f>Foaie12!$D$35</c:f>
              <c:strCache>
                <c:ptCount val="1"/>
                <c:pt idx="0">
                  <c:v>Anul 2012</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Foaie12!$A$36:$A$40</c:f>
              <c:strCache>
                <c:ptCount val="5"/>
                <c:pt idx="0">
                  <c:v>8610 Activitati de asistenta spitaliceasca</c:v>
                </c:pt>
                <c:pt idx="1">
                  <c:v>8621 Activitati de asistenta medicala generala</c:v>
                </c:pt>
                <c:pt idx="2">
                  <c:v>8622 Activitati de asistenta medicala specializata</c:v>
                </c:pt>
                <c:pt idx="3">
                  <c:v>8623 Activitati de asistenta stomatologica</c:v>
                </c:pt>
                <c:pt idx="4">
                  <c:v>8690 Alte activitati referitoare la sanatatea umana</c:v>
                </c:pt>
              </c:strCache>
            </c:strRef>
          </c:cat>
          <c:val>
            <c:numRef>
              <c:f>Foaie12!$D$36:$D$40</c:f>
              <c:numCache>
                <c:formatCode>General</c:formatCode>
                <c:ptCount val="5"/>
                <c:pt idx="0">
                  <c:v>14</c:v>
                </c:pt>
                <c:pt idx="1">
                  <c:v>141</c:v>
                </c:pt>
                <c:pt idx="2">
                  <c:v>344</c:v>
                </c:pt>
                <c:pt idx="3">
                  <c:v>314</c:v>
                </c:pt>
                <c:pt idx="4">
                  <c:v>223</c:v>
                </c:pt>
              </c:numCache>
            </c:numRef>
          </c:val>
          <c:extLst xmlns:c16r2="http://schemas.microsoft.com/office/drawing/2015/06/chart">
            <c:ext xmlns:c16="http://schemas.microsoft.com/office/drawing/2014/chart" uri="{C3380CC4-5D6E-409C-BE32-E72D297353CC}">
              <c16:uniqueId val="{00000002-0CF9-4118-B910-C1DA74860542}"/>
            </c:ext>
          </c:extLst>
        </c:ser>
        <c:ser>
          <c:idx val="3"/>
          <c:order val="3"/>
          <c:tx>
            <c:strRef>
              <c:f>Foaie12!$E$35</c:f>
              <c:strCache>
                <c:ptCount val="1"/>
                <c:pt idx="0">
                  <c:v>Anul 2013</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Foaie12!$A$36:$A$40</c:f>
              <c:strCache>
                <c:ptCount val="5"/>
                <c:pt idx="0">
                  <c:v>8610 Activitati de asistenta spitaliceasca</c:v>
                </c:pt>
                <c:pt idx="1">
                  <c:v>8621 Activitati de asistenta medicala generala</c:v>
                </c:pt>
                <c:pt idx="2">
                  <c:v>8622 Activitati de asistenta medicala specializata</c:v>
                </c:pt>
                <c:pt idx="3">
                  <c:v>8623 Activitati de asistenta stomatologica</c:v>
                </c:pt>
                <c:pt idx="4">
                  <c:v>8690 Alte activitati referitoare la sanatatea umana</c:v>
                </c:pt>
              </c:strCache>
            </c:strRef>
          </c:cat>
          <c:val>
            <c:numRef>
              <c:f>Foaie12!$E$36:$E$40</c:f>
              <c:numCache>
                <c:formatCode>General</c:formatCode>
                <c:ptCount val="5"/>
                <c:pt idx="0">
                  <c:v>15</c:v>
                </c:pt>
                <c:pt idx="1">
                  <c:v>142</c:v>
                </c:pt>
                <c:pt idx="2">
                  <c:v>381</c:v>
                </c:pt>
                <c:pt idx="3">
                  <c:v>314</c:v>
                </c:pt>
                <c:pt idx="4">
                  <c:v>239</c:v>
                </c:pt>
              </c:numCache>
            </c:numRef>
          </c:val>
          <c:extLst xmlns:c16r2="http://schemas.microsoft.com/office/drawing/2015/06/chart">
            <c:ext xmlns:c16="http://schemas.microsoft.com/office/drawing/2014/chart" uri="{C3380CC4-5D6E-409C-BE32-E72D297353CC}">
              <c16:uniqueId val="{00000003-0CF9-4118-B910-C1DA74860542}"/>
            </c:ext>
          </c:extLst>
        </c:ser>
        <c:ser>
          <c:idx val="4"/>
          <c:order val="4"/>
          <c:tx>
            <c:strRef>
              <c:f>Foaie12!$F$35</c:f>
              <c:strCache>
                <c:ptCount val="1"/>
                <c:pt idx="0">
                  <c:v>Anul 2014</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Foaie12!$A$36:$A$40</c:f>
              <c:strCache>
                <c:ptCount val="5"/>
                <c:pt idx="0">
                  <c:v>8610 Activitati de asistenta spitaliceasca</c:v>
                </c:pt>
                <c:pt idx="1">
                  <c:v>8621 Activitati de asistenta medicala generala</c:v>
                </c:pt>
                <c:pt idx="2">
                  <c:v>8622 Activitati de asistenta medicala specializata</c:v>
                </c:pt>
                <c:pt idx="3">
                  <c:v>8623 Activitati de asistenta stomatologica</c:v>
                </c:pt>
                <c:pt idx="4">
                  <c:v>8690 Alte activitati referitoare la sanatatea umana</c:v>
                </c:pt>
              </c:strCache>
            </c:strRef>
          </c:cat>
          <c:val>
            <c:numRef>
              <c:f>Foaie12!$F$36:$F$40</c:f>
              <c:numCache>
                <c:formatCode>General</c:formatCode>
                <c:ptCount val="5"/>
                <c:pt idx="0">
                  <c:v>16</c:v>
                </c:pt>
                <c:pt idx="1">
                  <c:v>137</c:v>
                </c:pt>
                <c:pt idx="2">
                  <c:v>408</c:v>
                </c:pt>
                <c:pt idx="3">
                  <c:v>323</c:v>
                </c:pt>
                <c:pt idx="4">
                  <c:v>239</c:v>
                </c:pt>
              </c:numCache>
            </c:numRef>
          </c:val>
          <c:extLst xmlns:c16r2="http://schemas.microsoft.com/office/drawing/2015/06/chart">
            <c:ext xmlns:c16="http://schemas.microsoft.com/office/drawing/2014/chart" uri="{C3380CC4-5D6E-409C-BE32-E72D297353CC}">
              <c16:uniqueId val="{00000004-0CF9-4118-B910-C1DA74860542}"/>
            </c:ext>
          </c:extLst>
        </c:ser>
        <c:dLbls>
          <c:showVal val="1"/>
        </c:dLbls>
        <c:shape val="box"/>
        <c:axId val="85528576"/>
        <c:axId val="85530112"/>
        <c:axId val="0"/>
      </c:bar3DChart>
      <c:catAx>
        <c:axId val="855285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30112"/>
        <c:crosses val="autoZero"/>
        <c:auto val="1"/>
        <c:lblAlgn val="ctr"/>
        <c:lblOffset val="100"/>
      </c:catAx>
      <c:valAx>
        <c:axId val="855301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285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Foaie10!$B$1</c:f>
              <c:strCache>
                <c:ptCount val="1"/>
                <c:pt idx="0">
                  <c:v>Anul 2010</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Foaie10!$A$2:$A$5</c:f>
              <c:strCache>
                <c:ptCount val="4"/>
                <c:pt idx="0">
                  <c:v>2110 - Fabricarea produselor farmaceutice de baza</c:v>
                </c:pt>
                <c:pt idx="1">
                  <c:v>2120 - Fabricarea preparatelor farmaceutice</c:v>
                </c:pt>
                <c:pt idx="2">
                  <c:v>2660 - Fabricarea de echipamente pentru radiologie, electrodiagnostic si electroterapie</c:v>
                </c:pt>
                <c:pt idx="3">
                  <c:v>3250 - Productia de dispozitive, aparate si instrumente medicale si stomatologice</c:v>
                </c:pt>
              </c:strCache>
            </c:strRef>
          </c:cat>
          <c:val>
            <c:numRef>
              <c:f>Foaie10!$B$2:$B$5</c:f>
              <c:numCache>
                <c:formatCode>General</c:formatCode>
                <c:ptCount val="4"/>
                <c:pt idx="0">
                  <c:v>43</c:v>
                </c:pt>
                <c:pt idx="1">
                  <c:v>92</c:v>
                </c:pt>
                <c:pt idx="2">
                  <c:v>59</c:v>
                </c:pt>
                <c:pt idx="3">
                  <c:v>747</c:v>
                </c:pt>
              </c:numCache>
            </c:numRef>
          </c:val>
          <c:extLst xmlns:c16r2="http://schemas.microsoft.com/office/drawing/2015/06/chart">
            <c:ext xmlns:c16="http://schemas.microsoft.com/office/drawing/2014/chart" uri="{C3380CC4-5D6E-409C-BE32-E72D297353CC}">
              <c16:uniqueId val="{00000000-0FD9-41BF-ACD4-7E8234B877B0}"/>
            </c:ext>
          </c:extLst>
        </c:ser>
        <c:ser>
          <c:idx val="1"/>
          <c:order val="1"/>
          <c:tx>
            <c:strRef>
              <c:f>Foaie10!$C$1</c:f>
              <c:strCache>
                <c:ptCount val="1"/>
                <c:pt idx="0">
                  <c:v>Anul 2011</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Foaie10!$A$2:$A$5</c:f>
              <c:strCache>
                <c:ptCount val="4"/>
                <c:pt idx="0">
                  <c:v>2110 - Fabricarea produselor farmaceutice de baza</c:v>
                </c:pt>
                <c:pt idx="1">
                  <c:v>2120 - Fabricarea preparatelor farmaceutice</c:v>
                </c:pt>
                <c:pt idx="2">
                  <c:v>2660 - Fabricarea de echipamente pentru radiologie, electrodiagnostic si electroterapie</c:v>
                </c:pt>
                <c:pt idx="3">
                  <c:v>3250 - Productia de dispozitive, aparate si instrumente medicale si stomatologice</c:v>
                </c:pt>
              </c:strCache>
            </c:strRef>
          </c:cat>
          <c:val>
            <c:numRef>
              <c:f>Foaie10!$C$2:$C$5</c:f>
              <c:numCache>
                <c:formatCode>General</c:formatCode>
                <c:ptCount val="4"/>
                <c:pt idx="0">
                  <c:v>30</c:v>
                </c:pt>
                <c:pt idx="1">
                  <c:v>91</c:v>
                </c:pt>
                <c:pt idx="2">
                  <c:v>44</c:v>
                </c:pt>
                <c:pt idx="3">
                  <c:v>710</c:v>
                </c:pt>
              </c:numCache>
            </c:numRef>
          </c:val>
          <c:extLst xmlns:c16r2="http://schemas.microsoft.com/office/drawing/2015/06/chart">
            <c:ext xmlns:c16="http://schemas.microsoft.com/office/drawing/2014/chart" uri="{C3380CC4-5D6E-409C-BE32-E72D297353CC}">
              <c16:uniqueId val="{00000001-0FD9-41BF-ACD4-7E8234B877B0}"/>
            </c:ext>
          </c:extLst>
        </c:ser>
        <c:ser>
          <c:idx val="2"/>
          <c:order val="2"/>
          <c:tx>
            <c:strRef>
              <c:f>Foaie10!$D$1</c:f>
              <c:strCache>
                <c:ptCount val="1"/>
                <c:pt idx="0">
                  <c:v>Anul 2012</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Foaie10!$A$2:$A$5</c:f>
              <c:strCache>
                <c:ptCount val="4"/>
                <c:pt idx="0">
                  <c:v>2110 - Fabricarea produselor farmaceutice de baza</c:v>
                </c:pt>
                <c:pt idx="1">
                  <c:v>2120 - Fabricarea preparatelor farmaceutice</c:v>
                </c:pt>
                <c:pt idx="2">
                  <c:v>2660 - Fabricarea de echipamente pentru radiologie, electrodiagnostic si electroterapie</c:v>
                </c:pt>
                <c:pt idx="3">
                  <c:v>3250 - Productia de dispozitive, aparate si instrumente medicale si stomatologice</c:v>
                </c:pt>
              </c:strCache>
            </c:strRef>
          </c:cat>
          <c:val>
            <c:numRef>
              <c:f>Foaie10!$D$2:$D$5</c:f>
              <c:numCache>
                <c:formatCode>General</c:formatCode>
                <c:ptCount val="4"/>
                <c:pt idx="0">
                  <c:v>34</c:v>
                </c:pt>
                <c:pt idx="1">
                  <c:v>98</c:v>
                </c:pt>
                <c:pt idx="2">
                  <c:v>47</c:v>
                </c:pt>
                <c:pt idx="3">
                  <c:v>774</c:v>
                </c:pt>
              </c:numCache>
            </c:numRef>
          </c:val>
          <c:extLst xmlns:c16r2="http://schemas.microsoft.com/office/drawing/2015/06/chart">
            <c:ext xmlns:c16="http://schemas.microsoft.com/office/drawing/2014/chart" uri="{C3380CC4-5D6E-409C-BE32-E72D297353CC}">
              <c16:uniqueId val="{00000002-0FD9-41BF-ACD4-7E8234B877B0}"/>
            </c:ext>
          </c:extLst>
        </c:ser>
        <c:ser>
          <c:idx val="3"/>
          <c:order val="3"/>
          <c:tx>
            <c:strRef>
              <c:f>Foaie10!$E$1</c:f>
              <c:strCache>
                <c:ptCount val="1"/>
                <c:pt idx="0">
                  <c:v>Anul 2013</c:v>
                </c:pt>
              </c:strCache>
            </c:strRef>
          </c:tx>
          <c:spPr>
            <a:solidFill>
              <a:schemeClr val="accent1">
                <a:lumMod val="60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Foaie10!$A$2:$A$5</c:f>
              <c:strCache>
                <c:ptCount val="4"/>
                <c:pt idx="0">
                  <c:v>2110 - Fabricarea produselor farmaceutice de baza</c:v>
                </c:pt>
                <c:pt idx="1">
                  <c:v>2120 - Fabricarea preparatelor farmaceutice</c:v>
                </c:pt>
                <c:pt idx="2">
                  <c:v>2660 - Fabricarea de echipamente pentru radiologie, electrodiagnostic si electroterapie</c:v>
                </c:pt>
                <c:pt idx="3">
                  <c:v>3250 - Productia de dispozitive, aparate si instrumente medicale si stomatologice</c:v>
                </c:pt>
              </c:strCache>
            </c:strRef>
          </c:cat>
          <c:val>
            <c:numRef>
              <c:f>Foaie10!$E$2:$E$5</c:f>
              <c:numCache>
                <c:formatCode>General</c:formatCode>
                <c:ptCount val="4"/>
                <c:pt idx="0">
                  <c:v>38</c:v>
                </c:pt>
                <c:pt idx="1">
                  <c:v>108</c:v>
                </c:pt>
                <c:pt idx="2">
                  <c:v>46</c:v>
                </c:pt>
                <c:pt idx="3">
                  <c:v>833</c:v>
                </c:pt>
              </c:numCache>
            </c:numRef>
          </c:val>
          <c:extLst xmlns:c16r2="http://schemas.microsoft.com/office/drawing/2015/06/chart">
            <c:ext xmlns:c16="http://schemas.microsoft.com/office/drawing/2014/chart" uri="{C3380CC4-5D6E-409C-BE32-E72D297353CC}">
              <c16:uniqueId val="{00000003-0FD9-41BF-ACD4-7E8234B877B0}"/>
            </c:ext>
          </c:extLst>
        </c:ser>
        <c:ser>
          <c:idx val="4"/>
          <c:order val="4"/>
          <c:tx>
            <c:strRef>
              <c:f>Foaie10!$F$1</c:f>
              <c:strCache>
                <c:ptCount val="1"/>
                <c:pt idx="0">
                  <c:v>Anul 2014</c:v>
                </c:pt>
              </c:strCache>
            </c:strRef>
          </c:tx>
          <c:spPr>
            <a:solidFill>
              <a:schemeClr val="accent3">
                <a:lumMod val="60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Foaie10!$A$2:$A$5</c:f>
              <c:strCache>
                <c:ptCount val="4"/>
                <c:pt idx="0">
                  <c:v>2110 - Fabricarea produselor farmaceutice de baza</c:v>
                </c:pt>
                <c:pt idx="1">
                  <c:v>2120 - Fabricarea preparatelor farmaceutice</c:v>
                </c:pt>
                <c:pt idx="2">
                  <c:v>2660 - Fabricarea de echipamente pentru radiologie, electrodiagnostic si electroterapie</c:v>
                </c:pt>
                <c:pt idx="3">
                  <c:v>3250 - Productia de dispozitive, aparate si instrumente medicale si stomatologice</c:v>
                </c:pt>
              </c:strCache>
            </c:strRef>
          </c:cat>
          <c:val>
            <c:numRef>
              <c:f>Foaie10!$F$2:$F$5</c:f>
              <c:numCache>
                <c:formatCode>General</c:formatCode>
                <c:ptCount val="4"/>
                <c:pt idx="0">
                  <c:v>31</c:v>
                </c:pt>
                <c:pt idx="1">
                  <c:v>117</c:v>
                </c:pt>
                <c:pt idx="2">
                  <c:v>46</c:v>
                </c:pt>
                <c:pt idx="3">
                  <c:v>908</c:v>
                </c:pt>
              </c:numCache>
            </c:numRef>
          </c:val>
          <c:extLst xmlns:c16r2="http://schemas.microsoft.com/office/drawing/2015/06/chart">
            <c:ext xmlns:c16="http://schemas.microsoft.com/office/drawing/2014/chart" uri="{C3380CC4-5D6E-409C-BE32-E72D297353CC}">
              <c16:uniqueId val="{00000004-0FD9-41BF-ACD4-7E8234B877B0}"/>
            </c:ext>
          </c:extLst>
        </c:ser>
        <c:dLbls>
          <c:showVal val="1"/>
        </c:dLbls>
        <c:shape val="box"/>
        <c:axId val="85641856"/>
        <c:axId val="85868928"/>
        <c:axId val="0"/>
      </c:bar3DChart>
      <c:dateAx>
        <c:axId val="856418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5868928"/>
        <c:crosses val="autoZero"/>
        <c:lblOffset val="100"/>
        <c:baseTimeUnit val="days"/>
      </c:dateAx>
      <c:valAx>
        <c:axId val="858689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18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 </a:t>
            </a:r>
            <a:r>
              <a:rPr lang="en-US" sz="999">
                <a:latin typeface="Arial Narrow" panose="020B0606020202030204" pitchFamily="34" charset="0"/>
              </a:rPr>
              <a:t>Evolu</a:t>
            </a:r>
            <a:r>
              <a:rPr lang="ro-RO" sz="999">
                <a:latin typeface="Arial Narrow" panose="020B0606020202030204" pitchFamily="34" charset="0"/>
              </a:rPr>
              <a:t>ția consolidată a principalilor indicatori economici în perioada</a:t>
            </a:r>
            <a:r>
              <a:rPr lang="en-US" sz="999">
                <a:latin typeface="Arial Narrow" panose="020B0606020202030204" pitchFamily="34" charset="0"/>
              </a:rPr>
              <a:t> 2011-2015</a:t>
            </a:r>
            <a:r>
              <a:rPr lang="ro-RO" sz="999">
                <a:latin typeface="Arial Narrow" panose="020B0606020202030204" pitchFamily="34" charset="0"/>
              </a:rPr>
              <a:t> </a:t>
            </a:r>
            <a:endParaRPr lang="en-US" sz="1000">
              <a:latin typeface="Arial Narrow" panose="020B0606020202030204" pitchFamily="34" charset="0"/>
            </a:endParaRPr>
          </a:p>
        </c:rich>
      </c:tx>
      <c:layout/>
      <c:spPr>
        <a:noFill/>
        <a:ln>
          <a:noFill/>
        </a:ln>
        <a:effectLst/>
      </c:spPr>
    </c:title>
    <c:plotArea>
      <c:layout/>
      <c:lineChart>
        <c:grouping val="standard"/>
        <c:ser>
          <c:idx val="0"/>
          <c:order val="0"/>
          <c:tx>
            <c:strRef>
              <c:f>Foaie1!$B$209</c:f>
              <c:strCache>
                <c:ptCount val="1"/>
                <c:pt idx="0">
                  <c:v>Active</c:v>
                </c:pt>
              </c:strCache>
            </c:strRef>
          </c:tx>
          <c:spPr>
            <a:ln w="28554" cap="rnd">
              <a:solidFill>
                <a:schemeClr val="accent2"/>
              </a:solidFill>
              <a:round/>
            </a:ln>
            <a:effectLst/>
          </c:spPr>
          <c:marker>
            <c:symbol val="circle"/>
            <c:size val="4"/>
            <c:spPr>
              <a:solidFill>
                <a:schemeClr val="accent2"/>
              </a:solidFill>
              <a:ln w="9518">
                <a:solidFill>
                  <a:schemeClr val="accent2"/>
                </a:solidFill>
              </a:ln>
              <a:effectLst/>
            </c:spPr>
          </c:marker>
          <c:cat>
            <c:numRef>
              <c:f>Foaie1!$A$210:$A$214</c:f>
              <c:numCache>
                <c:formatCode>General</c:formatCode>
                <c:ptCount val="5"/>
                <c:pt idx="0">
                  <c:v>2011</c:v>
                </c:pt>
                <c:pt idx="1">
                  <c:v>2012</c:v>
                </c:pt>
                <c:pt idx="2">
                  <c:v>2013</c:v>
                </c:pt>
                <c:pt idx="3">
                  <c:v>2014</c:v>
                </c:pt>
                <c:pt idx="4">
                  <c:v>2015</c:v>
                </c:pt>
              </c:numCache>
            </c:numRef>
          </c:cat>
          <c:val>
            <c:numRef>
              <c:f>Foaie1!$B$210:$B$214</c:f>
              <c:numCache>
                <c:formatCode>#,##0.00;[Red]#,##0.00</c:formatCode>
                <c:ptCount val="5"/>
                <c:pt idx="0">
                  <c:v>1023.664886</c:v>
                </c:pt>
                <c:pt idx="1">
                  <c:v>1067.4854270000001</c:v>
                </c:pt>
                <c:pt idx="2">
                  <c:v>1034.2885570000012</c:v>
                </c:pt>
                <c:pt idx="3">
                  <c:v>1167.779366</c:v>
                </c:pt>
                <c:pt idx="4">
                  <c:v>1164.12888</c:v>
                </c:pt>
              </c:numCache>
            </c:numRef>
          </c:val>
        </c:ser>
        <c:ser>
          <c:idx val="1"/>
          <c:order val="1"/>
          <c:tx>
            <c:strRef>
              <c:f>Foaie1!$C$209</c:f>
              <c:strCache>
                <c:ptCount val="1"/>
                <c:pt idx="0">
                  <c:v>Capitaluri</c:v>
                </c:pt>
              </c:strCache>
            </c:strRef>
          </c:tx>
          <c:spPr>
            <a:ln w="28554" cap="rnd">
              <a:solidFill>
                <a:schemeClr val="accent4"/>
              </a:solidFill>
              <a:round/>
            </a:ln>
            <a:effectLst/>
          </c:spPr>
          <c:marker>
            <c:symbol val="circle"/>
            <c:size val="4"/>
            <c:spPr>
              <a:solidFill>
                <a:schemeClr val="accent4"/>
              </a:solidFill>
              <a:ln w="9518">
                <a:solidFill>
                  <a:schemeClr val="accent4"/>
                </a:solidFill>
              </a:ln>
              <a:effectLst/>
            </c:spPr>
          </c:marker>
          <c:cat>
            <c:numRef>
              <c:f>Foaie1!$A$210:$A$214</c:f>
              <c:numCache>
                <c:formatCode>General</c:formatCode>
                <c:ptCount val="5"/>
                <c:pt idx="0">
                  <c:v>2011</c:v>
                </c:pt>
                <c:pt idx="1">
                  <c:v>2012</c:v>
                </c:pt>
                <c:pt idx="2">
                  <c:v>2013</c:v>
                </c:pt>
                <c:pt idx="3">
                  <c:v>2014</c:v>
                </c:pt>
                <c:pt idx="4">
                  <c:v>2015</c:v>
                </c:pt>
              </c:numCache>
            </c:numRef>
          </c:cat>
          <c:val>
            <c:numRef>
              <c:f>Foaie1!$C$210:$C$214</c:f>
              <c:numCache>
                <c:formatCode>#,##0.00;[Red]#,##0.00</c:formatCode>
                <c:ptCount val="5"/>
                <c:pt idx="0">
                  <c:v>438.64586400000036</c:v>
                </c:pt>
                <c:pt idx="1">
                  <c:v>556.78669500000001</c:v>
                </c:pt>
                <c:pt idx="2">
                  <c:v>528.47992499999998</c:v>
                </c:pt>
                <c:pt idx="3">
                  <c:v>539.14949799999999</c:v>
                </c:pt>
                <c:pt idx="4">
                  <c:v>651.79074200000059</c:v>
                </c:pt>
              </c:numCache>
            </c:numRef>
          </c:val>
        </c:ser>
        <c:ser>
          <c:idx val="2"/>
          <c:order val="2"/>
          <c:tx>
            <c:strRef>
              <c:f>Foaie1!$D$209</c:f>
              <c:strCache>
                <c:ptCount val="1"/>
                <c:pt idx="0">
                  <c:v>CA</c:v>
                </c:pt>
              </c:strCache>
            </c:strRef>
          </c:tx>
          <c:spPr>
            <a:ln w="28554" cap="rnd">
              <a:solidFill>
                <a:schemeClr val="accent6"/>
              </a:solidFill>
              <a:round/>
            </a:ln>
            <a:effectLst/>
          </c:spPr>
          <c:marker>
            <c:symbol val="circle"/>
            <c:size val="4"/>
            <c:spPr>
              <a:solidFill>
                <a:schemeClr val="accent6"/>
              </a:solidFill>
              <a:ln w="9518">
                <a:solidFill>
                  <a:schemeClr val="accent6"/>
                </a:solidFill>
              </a:ln>
              <a:effectLst/>
            </c:spPr>
          </c:marker>
          <c:cat>
            <c:numRef>
              <c:f>Foaie1!$A$210:$A$214</c:f>
              <c:numCache>
                <c:formatCode>General</c:formatCode>
                <c:ptCount val="5"/>
                <c:pt idx="0">
                  <c:v>2011</c:v>
                </c:pt>
                <c:pt idx="1">
                  <c:v>2012</c:v>
                </c:pt>
                <c:pt idx="2">
                  <c:v>2013</c:v>
                </c:pt>
                <c:pt idx="3">
                  <c:v>2014</c:v>
                </c:pt>
                <c:pt idx="4">
                  <c:v>2015</c:v>
                </c:pt>
              </c:numCache>
            </c:numRef>
          </c:cat>
          <c:val>
            <c:numRef>
              <c:f>Foaie1!$D$210:$D$214</c:f>
              <c:numCache>
                <c:formatCode>#,##0.00;[Red]#,##0.00</c:formatCode>
                <c:ptCount val="5"/>
                <c:pt idx="0">
                  <c:v>1015.593922</c:v>
                </c:pt>
                <c:pt idx="1">
                  <c:v>1100.5618629999999</c:v>
                </c:pt>
                <c:pt idx="2">
                  <c:v>1139.3080339999999</c:v>
                </c:pt>
                <c:pt idx="3">
                  <c:v>1153.367033</c:v>
                </c:pt>
                <c:pt idx="4">
                  <c:v>1446.1074429999992</c:v>
                </c:pt>
              </c:numCache>
            </c:numRef>
          </c:val>
        </c:ser>
        <c:ser>
          <c:idx val="3"/>
          <c:order val="3"/>
          <c:tx>
            <c:strRef>
              <c:f>Foaie1!$E$209</c:f>
              <c:strCache>
                <c:ptCount val="1"/>
                <c:pt idx="0">
                  <c:v>Profit</c:v>
                </c:pt>
              </c:strCache>
            </c:strRef>
          </c:tx>
          <c:spPr>
            <a:ln w="28554" cap="rnd">
              <a:solidFill>
                <a:schemeClr val="accent2">
                  <a:lumMod val="60000"/>
                </a:schemeClr>
              </a:solidFill>
              <a:round/>
            </a:ln>
            <a:effectLst/>
          </c:spPr>
          <c:marker>
            <c:symbol val="circle"/>
            <c:size val="4"/>
            <c:spPr>
              <a:solidFill>
                <a:schemeClr val="accent2">
                  <a:lumMod val="60000"/>
                </a:schemeClr>
              </a:solidFill>
              <a:ln w="9518">
                <a:solidFill>
                  <a:schemeClr val="accent2">
                    <a:lumMod val="60000"/>
                  </a:schemeClr>
                </a:solidFill>
              </a:ln>
              <a:effectLst/>
            </c:spPr>
          </c:marker>
          <c:cat>
            <c:numRef>
              <c:f>Foaie1!$A$210:$A$214</c:f>
              <c:numCache>
                <c:formatCode>General</c:formatCode>
                <c:ptCount val="5"/>
                <c:pt idx="0">
                  <c:v>2011</c:v>
                </c:pt>
                <c:pt idx="1">
                  <c:v>2012</c:v>
                </c:pt>
                <c:pt idx="2">
                  <c:v>2013</c:v>
                </c:pt>
                <c:pt idx="3">
                  <c:v>2014</c:v>
                </c:pt>
                <c:pt idx="4">
                  <c:v>2015</c:v>
                </c:pt>
              </c:numCache>
            </c:numRef>
          </c:cat>
          <c:val>
            <c:numRef>
              <c:f>Foaie1!$E$210:$E$214</c:f>
              <c:numCache>
                <c:formatCode>#,##0.00;[Red]#,##0.00</c:formatCode>
                <c:ptCount val="5"/>
                <c:pt idx="0">
                  <c:v>-93.005866999999981</c:v>
                </c:pt>
                <c:pt idx="1">
                  <c:v>59.648641000000005</c:v>
                </c:pt>
                <c:pt idx="2">
                  <c:v>13.122332</c:v>
                </c:pt>
                <c:pt idx="3">
                  <c:v>-42.941239000000003</c:v>
                </c:pt>
                <c:pt idx="4">
                  <c:v>56.855307000000003</c:v>
                </c:pt>
              </c:numCache>
            </c:numRef>
          </c:val>
        </c:ser>
        <c:marker val="1"/>
        <c:axId val="85893888"/>
        <c:axId val="85895808"/>
      </c:lineChart>
      <c:catAx>
        <c:axId val="85893888"/>
        <c:scaling>
          <c:orientation val="minMax"/>
        </c:scaling>
        <c:axPos val="b"/>
        <c:numFmt formatCode="General" sourceLinked="1"/>
        <c:maj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85895808"/>
        <c:crosses val="autoZero"/>
        <c:auto val="1"/>
        <c:lblAlgn val="ctr"/>
        <c:lblOffset val="100"/>
      </c:catAx>
      <c:valAx>
        <c:axId val="85895808"/>
        <c:scaling>
          <c:orientation val="minMax"/>
        </c:scaling>
        <c:axPos val="l"/>
        <c:majorGridlines>
          <c:spPr>
            <a:ln w="9518" cap="flat" cmpd="sng" algn="ctr">
              <a:solidFill>
                <a:schemeClr val="tx1">
                  <a:lumMod val="15000"/>
                  <a:lumOff val="85000"/>
                </a:schemeClr>
              </a:solidFill>
              <a:round/>
            </a:ln>
            <a:effectLst/>
          </c:spPr>
        </c:majorGridlines>
        <c:numFmt formatCode="#,##0.00;[Red]#,##0.0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85893888"/>
        <c:crosses val="autoZero"/>
        <c:crossBetween val="between"/>
      </c:valAx>
      <c:spPr>
        <a:noFill/>
        <a:ln w="25381">
          <a:noFill/>
        </a:ln>
      </c:spPr>
    </c:plotArea>
    <c:legend>
      <c:legendPos val="b"/>
      <c:layout/>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Foaie15!$A$2</c:f>
              <c:strCache>
                <c:ptCount val="1"/>
                <c:pt idx="0">
                  <c:v>Medicina umana (inclusiv stomatologie)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Foaie15!$B$1:$D$1</c:f>
              <c:strCache>
                <c:ptCount val="3"/>
                <c:pt idx="0">
                  <c:v>Anul 2011</c:v>
                </c:pt>
                <c:pt idx="1">
                  <c:v>Anul 2012</c:v>
                </c:pt>
                <c:pt idx="2">
                  <c:v>Anul 2013</c:v>
                </c:pt>
              </c:strCache>
            </c:strRef>
          </c:cat>
          <c:val>
            <c:numRef>
              <c:f>Foaie15!$B$2:$D$2</c:f>
              <c:numCache>
                <c:formatCode>General</c:formatCode>
                <c:ptCount val="3"/>
                <c:pt idx="0">
                  <c:v>7473</c:v>
                </c:pt>
                <c:pt idx="1">
                  <c:v>7621</c:v>
                </c:pt>
                <c:pt idx="2">
                  <c:v>7581</c:v>
                </c:pt>
              </c:numCache>
            </c:numRef>
          </c:val>
          <c:extLst xmlns:c16r2="http://schemas.microsoft.com/office/drawing/2015/06/chart">
            <c:ext xmlns:c16="http://schemas.microsoft.com/office/drawing/2014/chart" uri="{C3380CC4-5D6E-409C-BE32-E72D297353CC}">
              <c16:uniqueId val="{00000000-27A7-450F-A75F-00910A1BA824}"/>
            </c:ext>
          </c:extLst>
        </c:ser>
        <c:ser>
          <c:idx val="1"/>
          <c:order val="1"/>
          <c:tx>
            <c:strRef>
              <c:f>Foaie15!$A$3</c:f>
              <c:strCache>
                <c:ptCount val="1"/>
                <c:pt idx="0">
                  <c:v>Farmacie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3.2697547683923744E-2"/>
                  <c:y val="-2.15924426450743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A7-450F-A75F-00910A1BA824}"/>
                </c:ext>
              </c:extLst>
            </c:dLbl>
            <c:dLbl>
              <c:idx val="1"/>
              <c:layout>
                <c:manualLayout>
                  <c:x val="4.359673024523162E-2"/>
                  <c:y val="-3.778677462887993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7A7-450F-A75F-00910A1BA824}"/>
                </c:ext>
              </c:extLst>
            </c:dLbl>
            <c:dLbl>
              <c:idx val="2"/>
              <c:layout>
                <c:manualLayout>
                  <c:x val="5.4495912806539551E-2"/>
                  <c:y val="-5.398110661268552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A7-450F-A75F-00910A1BA8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Foaie15!$B$1:$D$1</c:f>
              <c:strCache>
                <c:ptCount val="3"/>
                <c:pt idx="0">
                  <c:v>Anul 2011</c:v>
                </c:pt>
                <c:pt idx="1">
                  <c:v>Anul 2012</c:v>
                </c:pt>
                <c:pt idx="2">
                  <c:v>Anul 2013</c:v>
                </c:pt>
              </c:strCache>
            </c:strRef>
          </c:cat>
          <c:val>
            <c:numRef>
              <c:f>Foaie15!$B$3:$D$3</c:f>
              <c:numCache>
                <c:formatCode>General</c:formatCode>
                <c:ptCount val="3"/>
                <c:pt idx="0">
                  <c:v>1961</c:v>
                </c:pt>
                <c:pt idx="1">
                  <c:v>1816</c:v>
                </c:pt>
                <c:pt idx="2">
                  <c:v>1669</c:v>
                </c:pt>
              </c:numCache>
            </c:numRef>
          </c:val>
          <c:extLst xmlns:c16r2="http://schemas.microsoft.com/office/drawing/2015/06/chart">
            <c:ext xmlns:c16="http://schemas.microsoft.com/office/drawing/2014/chart" uri="{C3380CC4-5D6E-409C-BE32-E72D297353CC}">
              <c16:uniqueId val="{00000004-27A7-450F-A75F-00910A1BA824}"/>
            </c:ext>
          </c:extLst>
        </c:ser>
        <c:dLbls>
          <c:showVal val="1"/>
        </c:dLbls>
        <c:shape val="box"/>
        <c:axId val="86463616"/>
        <c:axId val="86465152"/>
        <c:axId val="157646336"/>
      </c:bar3DChart>
      <c:catAx>
        <c:axId val="864636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65152"/>
        <c:crosses val="autoZero"/>
        <c:auto val="1"/>
        <c:lblAlgn val="ctr"/>
        <c:lblOffset val="100"/>
      </c:catAx>
      <c:valAx>
        <c:axId val="86465152"/>
        <c:scaling>
          <c:orientation val="minMax"/>
        </c:scaling>
        <c:delete val="1"/>
        <c:axPos val="l"/>
        <c:numFmt formatCode="General" sourceLinked="1"/>
        <c:majorTickMark val="none"/>
        <c:tickLblPos val="nextTo"/>
        <c:crossAx val="86463616"/>
        <c:crosses val="autoZero"/>
        <c:crossBetween val="between"/>
      </c:valAx>
      <c:serAx>
        <c:axId val="157646336"/>
        <c:scaling>
          <c:orientation val="minMax"/>
        </c:scaling>
        <c:delete val="1"/>
        <c:axPos val="b"/>
        <c:majorTickMark val="none"/>
        <c:tickLblPos val="nextTo"/>
        <c:crossAx val="86465152"/>
        <c:crosses val="autoZero"/>
      </c:serAx>
      <c:spPr>
        <a:noFill/>
        <a:ln>
          <a:noFill/>
        </a:ln>
        <a:effectLst/>
      </c:spPr>
    </c:plotArea>
    <c:legend>
      <c:legendPos val="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8" b="1" i="0" u="none" strike="noStrike" kern="1200" baseline="0">
                <a:solidFill>
                  <a:schemeClr val="dk1">
                    <a:lumMod val="75000"/>
                    <a:lumOff val="25000"/>
                  </a:schemeClr>
                </a:solidFill>
                <a:latin typeface="+mn-lt"/>
                <a:ea typeface="+mn-ea"/>
                <a:cs typeface="+mn-cs"/>
              </a:defRPr>
            </a:pPr>
            <a:r>
              <a:rPr lang="en-US" sz="1105">
                <a:latin typeface="Arial Narrow" panose="020B0606020202030204" pitchFamily="34" charset="0"/>
              </a:rPr>
              <a:t>P</a:t>
            </a:r>
            <a:r>
              <a:rPr lang="ro-RO" sz="1105">
                <a:latin typeface="Arial Narrow" panose="020B0606020202030204" pitchFamily="34" charset="0"/>
              </a:rPr>
              <a:t>ondere absolvenți farmacie în anul 2013</a:t>
            </a:r>
            <a:endParaRPr lang="en-US" sz="1100">
              <a:latin typeface="Arial Narrow" panose="020B0606020202030204" pitchFamily="34" charset="0"/>
            </a:endParaRPr>
          </a:p>
        </c:rich>
      </c:tx>
      <c:layout/>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4" b="1" i="0" u="none" strike="noStrike" kern="1200" baseline="0">
                    <a:solidFill>
                      <a:schemeClr val="lt1"/>
                    </a:solidFill>
                    <a:latin typeface="+mn-lt"/>
                    <a:ea typeface="+mn-ea"/>
                    <a:cs typeface="+mn-cs"/>
                  </a:defRPr>
                </a:pPr>
                <a:endParaRPr lang="en-US"/>
              </a:p>
            </c:txPr>
            <c:dLblPos val="ctr"/>
            <c:showPercent val="1"/>
            <c:showLeaderLines val="1"/>
            <c:leaderLines>
              <c:spPr>
                <a:ln w="9567">
                  <a:solidFill>
                    <a:schemeClr val="dk1">
                      <a:lumMod val="50000"/>
                      <a:lumOff val="50000"/>
                    </a:schemeClr>
                  </a:solidFill>
                </a:ln>
                <a:effectLst/>
              </c:spPr>
            </c:leaderLines>
          </c:dLbls>
          <c:cat>
            <c:strRef>
              <c:f>Foaie15!$B$31:$B$37</c:f>
              <c:strCache>
                <c:ptCount val="7"/>
                <c:pt idx="0">
                  <c:v>Regiunea NORD-VEST</c:v>
                </c:pt>
                <c:pt idx="1">
                  <c:v>Regiunea CENTRU</c:v>
                </c:pt>
                <c:pt idx="2">
                  <c:v>Regiunea NORD-EST</c:v>
                </c:pt>
                <c:pt idx="3">
                  <c:v>Regiunea SUD-EST</c:v>
                </c:pt>
                <c:pt idx="4">
                  <c:v>Regiunea BUCURESTI - ILFOV</c:v>
                </c:pt>
                <c:pt idx="5">
                  <c:v>Regiunea SUD-VEST OLTENIA</c:v>
                </c:pt>
                <c:pt idx="6">
                  <c:v>Regiunea VEST</c:v>
                </c:pt>
              </c:strCache>
            </c:strRef>
          </c:cat>
          <c:val>
            <c:numRef>
              <c:f>Foaie15!$C$31:$C$37</c:f>
              <c:numCache>
                <c:formatCode>General</c:formatCode>
                <c:ptCount val="7"/>
                <c:pt idx="0">
                  <c:v>308</c:v>
                </c:pt>
                <c:pt idx="1">
                  <c:v>133</c:v>
                </c:pt>
                <c:pt idx="2">
                  <c:v>243</c:v>
                </c:pt>
                <c:pt idx="3">
                  <c:v>319</c:v>
                </c:pt>
                <c:pt idx="4">
                  <c:v>228</c:v>
                </c:pt>
                <c:pt idx="5">
                  <c:v>79</c:v>
                </c:pt>
                <c:pt idx="6">
                  <c:v>359</c:v>
                </c:pt>
              </c:numCache>
            </c:numRef>
          </c:val>
        </c:ser>
        <c:firstSliceAng val="0"/>
      </c:pieChart>
      <c:spPr>
        <a:noFill/>
        <a:ln w="25511">
          <a:noFill/>
        </a:ln>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603" b="0" i="0" u="none" strike="noStrike" kern="1200" baseline="0">
              <a:solidFill>
                <a:schemeClr val="dk1">
                  <a:lumMod val="75000"/>
                  <a:lumOff val="25000"/>
                </a:schemeClr>
              </a:solidFill>
              <a:latin typeface="Arial Narrow" panose="020B0606020202030204" pitchFamily="34" charset="0"/>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67" cap="flat" cmpd="sng" algn="ctr">
      <a:solidFill>
        <a:schemeClr val="dk1">
          <a:lumMod val="25000"/>
          <a:lumOff val="75000"/>
        </a:schemeClr>
      </a:solidFill>
      <a:round/>
    </a:ln>
    <a:effectLst/>
  </c:spPr>
  <c:txPr>
    <a:bodyPr/>
    <a:lstStyle/>
    <a:p>
      <a:pPr>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100">
                <a:latin typeface="Arial Narrow" panose="020B0606020202030204" pitchFamily="34" charset="0"/>
              </a:rPr>
              <a:t>Pondere absolvenți medicină umană în anul 2013</a:t>
            </a:r>
            <a:endParaRPr lang="en-US" sz="1100">
              <a:latin typeface="Arial Narrow" panose="020B0606020202030204" pitchFamily="34" charset="0"/>
            </a:endParaRPr>
          </a:p>
        </c:rich>
      </c:tx>
      <c:layout/>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5DB-4534-AD18-7F2E6E1D9B9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5DB-4534-AD18-7F2E6E1D9B9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5DB-4534-AD18-7F2E6E1D9B9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5DB-4534-AD18-7F2E6E1D9B98}"/>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5DB-4534-AD18-7F2E6E1D9B98}"/>
              </c:ext>
            </c:extLst>
          </c:dPt>
          <c:dPt>
            <c:idx val="5"/>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5DB-4534-AD18-7F2E6E1D9B98}"/>
              </c:ext>
            </c:extLst>
          </c:dPt>
          <c:dPt>
            <c:idx val="6"/>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65DB-4534-AD18-7F2E6E1D9B98}"/>
              </c:ext>
            </c:extLst>
          </c:dPt>
          <c:dPt>
            <c:idx val="7"/>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65DB-4534-AD18-7F2E6E1D9B98}"/>
              </c:ext>
            </c:extLst>
          </c:dPt>
          <c:dLbls>
            <c:dLbl>
              <c:idx val="3"/>
              <c:layout>
                <c:manualLayout>
                  <c:x val="1.282356372120152E-2"/>
                  <c:y val="-6.5557013706620176E-2"/>
                </c:manualLayout>
              </c:layout>
              <c:dLblPos val="bestFit"/>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5DB-4534-AD18-7F2E6E1D9B9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Foaie15!$B$22:$B$29</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Foaie15!$D$22:$D$29</c:f>
              <c:numCache>
                <c:formatCode>General</c:formatCode>
                <c:ptCount val="8"/>
                <c:pt idx="0">
                  <c:v>1142</c:v>
                </c:pt>
                <c:pt idx="1">
                  <c:v>1045</c:v>
                </c:pt>
                <c:pt idx="2">
                  <c:v>1249</c:v>
                </c:pt>
                <c:pt idx="3">
                  <c:v>666</c:v>
                </c:pt>
                <c:pt idx="4">
                  <c:v>165</c:v>
                </c:pt>
                <c:pt idx="5">
                  <c:v>1434</c:v>
                </c:pt>
                <c:pt idx="6">
                  <c:v>494</c:v>
                </c:pt>
                <c:pt idx="7">
                  <c:v>1386</c:v>
                </c:pt>
              </c:numCache>
            </c:numRef>
          </c:val>
          <c:extLst xmlns:c16r2="http://schemas.microsoft.com/office/drawing/2015/06/chart">
            <c:ext xmlns:c16="http://schemas.microsoft.com/office/drawing/2014/chart" uri="{C3380CC4-5D6E-409C-BE32-E72D297353CC}">
              <c16:uniqueId val="{00000010-65DB-4534-AD18-7F2E6E1D9B98}"/>
            </c:ext>
          </c:extLst>
        </c:ser>
        <c:dLbls>
          <c:showPercent val="1"/>
        </c:dLbls>
        <c:firstSliceAng val="0"/>
      </c:pie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Arial Narrow" panose="020B0606020202030204" pitchFamily="34" charset="0"/>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a:pPr>
            <a:r>
              <a:rPr lang="en-US" sz="1200"/>
              <a:t>Ponderea industriei auto in totalul exporturilor (%, 2014)</a:t>
            </a:r>
          </a:p>
        </c:rich>
      </c:tx>
      <c:layout/>
    </c:title>
    <c:plotArea>
      <c:layout>
        <c:manualLayout>
          <c:layoutTarget val="inner"/>
          <c:xMode val="edge"/>
          <c:yMode val="edge"/>
          <c:x val="0.21574337403758123"/>
          <c:y val="0.15615902973960316"/>
          <c:w val="0.55865496480222332"/>
          <c:h val="0.76903902279391101"/>
        </c:manualLayout>
      </c:layout>
      <c:radarChart>
        <c:radarStyle val="marker"/>
        <c:ser>
          <c:idx val="0"/>
          <c:order val="0"/>
          <c:cat>
            <c:strRef>
              <c:f>Foaie20!$I$22:$I$29</c:f>
              <c:strCache>
                <c:ptCount val="8"/>
                <c:pt idx="0">
                  <c:v>Romania</c:v>
                </c:pt>
                <c:pt idx="1">
                  <c:v>Regiunea Centru</c:v>
                </c:pt>
                <c:pt idx="2">
                  <c:v>Alba</c:v>
                </c:pt>
                <c:pt idx="3">
                  <c:v>Brasov</c:v>
                </c:pt>
                <c:pt idx="4">
                  <c:v>Covasna</c:v>
                </c:pt>
                <c:pt idx="5">
                  <c:v>Harghita</c:v>
                </c:pt>
                <c:pt idx="6">
                  <c:v>Mures</c:v>
                </c:pt>
                <c:pt idx="7">
                  <c:v>Sibiu</c:v>
                </c:pt>
              </c:strCache>
            </c:strRef>
          </c:cat>
          <c:val>
            <c:numRef>
              <c:f>Foaie20!$J$22:$J$29</c:f>
              <c:numCache>
                <c:formatCode>General</c:formatCode>
                <c:ptCount val="8"/>
                <c:pt idx="0">
                  <c:v>14.191100179411768</c:v>
                </c:pt>
                <c:pt idx="1">
                  <c:v>16.560917645862766</c:v>
                </c:pt>
                <c:pt idx="2">
                  <c:v>16.572427808348117</c:v>
                </c:pt>
                <c:pt idx="3">
                  <c:v>24.440129246993795</c:v>
                </c:pt>
                <c:pt idx="4">
                  <c:v>3.7717880065809601</c:v>
                </c:pt>
                <c:pt idx="5">
                  <c:v>9.9901930837124659</c:v>
                </c:pt>
                <c:pt idx="6">
                  <c:v>4.6619246687880382</c:v>
                </c:pt>
                <c:pt idx="7">
                  <c:v>15.2736667675698</c:v>
                </c:pt>
              </c:numCache>
            </c:numRef>
          </c:val>
        </c:ser>
        <c:axId val="133776512"/>
        <c:axId val="133778048"/>
      </c:radarChart>
      <c:catAx>
        <c:axId val="133776512"/>
        <c:scaling>
          <c:orientation val="minMax"/>
        </c:scaling>
        <c:axPos val="b"/>
        <c:majorGridlines/>
        <c:tickLblPos val="nextTo"/>
        <c:txPr>
          <a:bodyPr/>
          <a:lstStyle/>
          <a:p>
            <a:pPr>
              <a:defRPr lang="ro-RO" b="1"/>
            </a:pPr>
            <a:endParaRPr lang="en-US"/>
          </a:p>
        </c:txPr>
        <c:crossAx val="133778048"/>
        <c:crosses val="autoZero"/>
        <c:auto val="1"/>
        <c:lblAlgn val="ctr"/>
        <c:lblOffset val="100"/>
      </c:catAx>
      <c:valAx>
        <c:axId val="133778048"/>
        <c:scaling>
          <c:orientation val="minMax"/>
        </c:scaling>
        <c:axPos val="l"/>
        <c:majorGridlines/>
        <c:numFmt formatCode="General" sourceLinked="1"/>
        <c:majorTickMark val="cross"/>
        <c:tickLblPos val="nextTo"/>
        <c:txPr>
          <a:bodyPr/>
          <a:lstStyle/>
          <a:p>
            <a:pPr>
              <a:defRPr lang="ro-RO"/>
            </a:pPr>
            <a:endParaRPr lang="en-US"/>
          </a:p>
        </c:txPr>
        <c:crossAx val="133776512"/>
        <c:crosses val="autoZero"/>
        <c:crossBetween val="between"/>
      </c:valAx>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view3D>
      <c:rAngAx val="1"/>
    </c:view3D>
    <c:sideWall>
      <c:spPr>
        <a:gradFill>
          <a:gsLst>
            <a:gs pos="0">
              <a:sysClr val="window" lastClr="FFFFFF">
                <a:lumMod val="95000"/>
                <a:alpha val="0"/>
              </a:sysClr>
            </a:gs>
            <a:gs pos="17999">
              <a:srgbClr val="99CCFF"/>
            </a:gs>
            <a:gs pos="36000">
              <a:srgbClr val="9966FF"/>
            </a:gs>
            <a:gs pos="61000">
              <a:srgbClr val="CC99FF"/>
            </a:gs>
            <a:gs pos="82001">
              <a:srgbClr val="99CCFF"/>
            </a:gs>
            <a:gs pos="100000">
              <a:srgbClr val="CCCCFF"/>
            </a:gs>
          </a:gsLst>
        </a:gradFill>
      </c:spPr>
    </c:sideWall>
    <c:backWall>
      <c:spPr>
        <a:gradFill>
          <a:gsLst>
            <a:gs pos="0">
              <a:sysClr val="window" lastClr="FFFFFF">
                <a:lumMod val="95000"/>
                <a:alpha val="0"/>
              </a:sysClr>
            </a:gs>
            <a:gs pos="17999">
              <a:srgbClr val="99CCFF"/>
            </a:gs>
            <a:gs pos="36000">
              <a:srgbClr val="9966FF"/>
            </a:gs>
            <a:gs pos="61000">
              <a:srgbClr val="CC99FF"/>
            </a:gs>
            <a:gs pos="82001">
              <a:srgbClr val="99CCFF"/>
            </a:gs>
            <a:gs pos="100000">
              <a:srgbClr val="CCCCFF"/>
            </a:gs>
          </a:gsLst>
          <a:path path="circle">
            <a:fillToRect l="100000" t="100000"/>
          </a:path>
        </a:gradFill>
      </c:spPr>
    </c:backWall>
    <c:plotArea>
      <c:layout>
        <c:manualLayout>
          <c:layoutTarget val="inner"/>
          <c:xMode val="edge"/>
          <c:yMode val="edge"/>
          <c:x val="7.7246544181977281E-2"/>
          <c:y val="4.2908288637833573E-2"/>
          <c:w val="0.91700237470316159"/>
          <c:h val="0.81840470684658861"/>
        </c:manualLayout>
      </c:layout>
      <c:bar3DChart>
        <c:barDir val="col"/>
        <c:grouping val="clustered"/>
        <c:ser>
          <c:idx val="0"/>
          <c:order val="0"/>
          <c:tx>
            <c:strRef>
              <c:f>Foaie1!$C$12</c:f>
              <c:strCache>
                <c:ptCount val="1"/>
                <c:pt idx="0">
                  <c:v>2015</c:v>
                </c:pt>
              </c:strCache>
            </c:strRef>
          </c:tx>
          <c:spPr>
            <a:solidFill>
              <a:srgbClr val="FFC000"/>
            </a:solidFill>
          </c:spPr>
          <c:cat>
            <c:strRef>
              <c:f>Foaie1!$B$13:$B$20</c:f>
              <c:strCache>
                <c:ptCount val="8"/>
                <c:pt idx="0">
                  <c:v>Olanda</c:v>
                </c:pt>
                <c:pt idx="1">
                  <c:v>Franta</c:v>
                </c:pt>
                <c:pt idx="2">
                  <c:v>Regatul Unit</c:v>
                </c:pt>
                <c:pt idx="3">
                  <c:v>Spania</c:v>
                </c:pt>
                <c:pt idx="4">
                  <c:v>Suedia</c:v>
                </c:pt>
                <c:pt idx="5">
                  <c:v>Germania</c:v>
                </c:pt>
                <c:pt idx="6">
                  <c:v>Italia</c:v>
                </c:pt>
                <c:pt idx="7">
                  <c:v>Statele Unite</c:v>
                </c:pt>
              </c:strCache>
            </c:strRef>
          </c:cat>
          <c:val>
            <c:numRef>
              <c:f>Foaie1!$C$13:$C$20</c:f>
              <c:numCache>
                <c:formatCode>General</c:formatCode>
                <c:ptCount val="8"/>
                <c:pt idx="0">
                  <c:v>17.7</c:v>
                </c:pt>
                <c:pt idx="1">
                  <c:v>18.399999999999999</c:v>
                </c:pt>
                <c:pt idx="2">
                  <c:v>17.8</c:v>
                </c:pt>
                <c:pt idx="3">
                  <c:v>18.5</c:v>
                </c:pt>
                <c:pt idx="4">
                  <c:v>19.600000000000001</c:v>
                </c:pt>
                <c:pt idx="5">
                  <c:v>21</c:v>
                </c:pt>
                <c:pt idx="6">
                  <c:v>21.7</c:v>
                </c:pt>
                <c:pt idx="7">
                  <c:v>16</c:v>
                </c:pt>
              </c:numCache>
            </c:numRef>
          </c:val>
        </c:ser>
        <c:ser>
          <c:idx val="1"/>
          <c:order val="1"/>
          <c:tx>
            <c:strRef>
              <c:f>Foaie1!$D$12</c:f>
              <c:strCache>
                <c:ptCount val="1"/>
                <c:pt idx="0">
                  <c:v>2050</c:v>
                </c:pt>
              </c:strCache>
            </c:strRef>
          </c:tx>
          <c:spPr>
            <a:solidFill>
              <a:srgbClr val="7030A0"/>
            </a:solidFill>
          </c:spPr>
          <c:cat>
            <c:strRef>
              <c:f>Foaie1!$B$13:$B$20</c:f>
              <c:strCache>
                <c:ptCount val="8"/>
                <c:pt idx="0">
                  <c:v>Olanda</c:v>
                </c:pt>
                <c:pt idx="1">
                  <c:v>Franta</c:v>
                </c:pt>
                <c:pt idx="2">
                  <c:v>Regatul Unit</c:v>
                </c:pt>
                <c:pt idx="3">
                  <c:v>Spania</c:v>
                </c:pt>
                <c:pt idx="4">
                  <c:v>Suedia</c:v>
                </c:pt>
                <c:pt idx="5">
                  <c:v>Germania</c:v>
                </c:pt>
                <c:pt idx="6">
                  <c:v>Italia</c:v>
                </c:pt>
                <c:pt idx="7">
                  <c:v>Statele Unite</c:v>
                </c:pt>
              </c:strCache>
            </c:strRef>
          </c:cat>
          <c:val>
            <c:numRef>
              <c:f>Foaie1!$D$13:$D$20</c:f>
              <c:numCache>
                <c:formatCode>General</c:formatCode>
                <c:ptCount val="8"/>
                <c:pt idx="0">
                  <c:v>31</c:v>
                </c:pt>
                <c:pt idx="1">
                  <c:v>32</c:v>
                </c:pt>
                <c:pt idx="2">
                  <c:v>29</c:v>
                </c:pt>
                <c:pt idx="3">
                  <c:v>31</c:v>
                </c:pt>
                <c:pt idx="4">
                  <c:v>30</c:v>
                </c:pt>
                <c:pt idx="5">
                  <c:v>37</c:v>
                </c:pt>
                <c:pt idx="6">
                  <c:v>38</c:v>
                </c:pt>
                <c:pt idx="7">
                  <c:v>27</c:v>
                </c:pt>
              </c:numCache>
            </c:numRef>
          </c:val>
        </c:ser>
        <c:shape val="box"/>
        <c:axId val="86829312"/>
        <c:axId val="86843392"/>
        <c:axId val="0"/>
      </c:bar3DChart>
      <c:catAx>
        <c:axId val="86829312"/>
        <c:scaling>
          <c:orientation val="minMax"/>
        </c:scaling>
        <c:axPos val="b"/>
        <c:tickLblPos val="nextTo"/>
        <c:crossAx val="86843392"/>
        <c:crosses val="autoZero"/>
        <c:auto val="1"/>
        <c:lblAlgn val="ctr"/>
        <c:lblOffset val="100"/>
      </c:catAx>
      <c:valAx>
        <c:axId val="86843392"/>
        <c:scaling>
          <c:orientation val="minMax"/>
        </c:scaling>
        <c:axPos val="l"/>
        <c:majorGridlines/>
        <c:numFmt formatCode="General" sourceLinked="1"/>
        <c:tickLblPos val="nextTo"/>
        <c:crossAx val="86829312"/>
        <c:crosses val="autoZero"/>
        <c:crossBetween val="between"/>
      </c:valAx>
    </c:plotArea>
    <c:legend>
      <c:legendPos val="r"/>
      <c:layout>
        <c:manualLayout>
          <c:xMode val="edge"/>
          <c:yMode val="edge"/>
          <c:x val="0.34753817515731067"/>
          <c:y val="7.9459043234880913E-2"/>
          <c:w val="0.11575013771597129"/>
          <c:h val="0.12044763969721158"/>
        </c:manualLayout>
      </c:layout>
      <c:spPr>
        <a:solidFill>
          <a:schemeClr val="bg1"/>
        </a:solidFill>
      </c:spPr>
      <c:txPr>
        <a:bodyPr/>
        <a:lstStyle/>
        <a:p>
          <a:pPr>
            <a:defRPr sz="1100" b="1"/>
          </a:pPr>
          <a:endParaRPr lang="en-US"/>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sideWall>
      <c:spPr>
        <a:solidFill>
          <a:schemeClr val="accent5">
            <a:lumMod val="40000"/>
            <a:lumOff val="60000"/>
          </a:schemeClr>
        </a:solidFill>
      </c:spPr>
    </c:sideWall>
    <c:backWall>
      <c:spPr>
        <a:solidFill>
          <a:schemeClr val="accent5">
            <a:lumMod val="40000"/>
            <a:lumOff val="60000"/>
          </a:schemeClr>
        </a:solidFill>
      </c:spPr>
    </c:backWall>
    <c:plotArea>
      <c:layout>
        <c:manualLayout>
          <c:layoutTarget val="inner"/>
          <c:xMode val="edge"/>
          <c:yMode val="edge"/>
          <c:x val="0.14082174103237124"/>
          <c:y val="5.1400554097404488E-2"/>
          <c:w val="0.84304068241470442"/>
          <c:h val="0.61848500908540283"/>
        </c:manualLayout>
      </c:layout>
      <c:bar3DChart>
        <c:barDir val="col"/>
        <c:grouping val="clustered"/>
        <c:ser>
          <c:idx val="1"/>
          <c:order val="1"/>
          <c:tx>
            <c:strRef>
              <c:f>'capacitatea de cazare turistica'!$B$6</c:f>
            </c:strRef>
          </c:tx>
          <c:cat>
            <c:multiLvlStrRef>
              <c:f>'capacitatea de cazare turistica'!$E$3:$O$3</c:f>
            </c:multiLvlStrRef>
          </c:cat>
          <c:val>
            <c:numRef>
              <c:f>'capacitatea de cazare turistica'!$E$6:$O$6</c:f>
            </c:numRef>
          </c:val>
        </c:ser>
        <c:ser>
          <c:idx val="0"/>
          <c:order val="0"/>
          <c:tx>
            <c:strRef>
              <c:f>[balnear.xlsx]Foaie2!$B$4</c:f>
              <c:strCache>
                <c:ptCount val="1"/>
                <c:pt idx="0">
                  <c:v>Romania</c:v>
                </c:pt>
              </c:strCache>
            </c:strRef>
          </c:tx>
          <c:spPr>
            <a:solidFill>
              <a:srgbClr val="7030A0"/>
            </a:solidFill>
          </c:spPr>
          <c:cat>
            <c:strRef>
              <c:f>[balnear.xlsx]Foaie2!$C$2:$M$2</c:f>
              <c:strCache>
                <c:ptCount val="11"/>
                <c:pt idx="0">
                  <c:v>Anul 2005</c:v>
                </c:pt>
                <c:pt idx="1">
                  <c:v>Anul 2006</c:v>
                </c:pt>
                <c:pt idx="2">
                  <c:v>Anul 2007</c:v>
                </c:pt>
                <c:pt idx="3">
                  <c:v>Anul 2008</c:v>
                </c:pt>
                <c:pt idx="4">
                  <c:v>Anul 2009</c:v>
                </c:pt>
                <c:pt idx="5">
                  <c:v>Anul 2010</c:v>
                </c:pt>
                <c:pt idx="6">
                  <c:v>Anul 2011</c:v>
                </c:pt>
                <c:pt idx="7">
                  <c:v>Anul 2012</c:v>
                </c:pt>
                <c:pt idx="8">
                  <c:v>Anul 2013</c:v>
                </c:pt>
                <c:pt idx="9">
                  <c:v>Anul 2014</c:v>
                </c:pt>
                <c:pt idx="10">
                  <c:v>Anul 2015</c:v>
                </c:pt>
              </c:strCache>
            </c:strRef>
          </c:cat>
          <c:val>
            <c:numRef>
              <c:f>[balnear.xlsx]Foaie2!$C$4:$M$4</c:f>
              <c:numCache>
                <c:formatCode>General</c:formatCode>
                <c:ptCount val="11"/>
                <c:pt idx="0">
                  <c:v>282661</c:v>
                </c:pt>
                <c:pt idx="1">
                  <c:v>287158</c:v>
                </c:pt>
                <c:pt idx="2">
                  <c:v>283701</c:v>
                </c:pt>
                <c:pt idx="3">
                  <c:v>294210</c:v>
                </c:pt>
                <c:pt idx="4">
                  <c:v>303486</c:v>
                </c:pt>
                <c:pt idx="5">
                  <c:v>311698</c:v>
                </c:pt>
                <c:pt idx="6">
                  <c:v>278503</c:v>
                </c:pt>
                <c:pt idx="7">
                  <c:v>301109</c:v>
                </c:pt>
                <c:pt idx="8">
                  <c:v>305707</c:v>
                </c:pt>
                <c:pt idx="9">
                  <c:v>311288</c:v>
                </c:pt>
                <c:pt idx="10">
                  <c:v>328313</c:v>
                </c:pt>
              </c:numCache>
            </c:numRef>
          </c:val>
        </c:ser>
        <c:shape val="box"/>
        <c:axId val="86850560"/>
        <c:axId val="86856448"/>
        <c:axId val="0"/>
      </c:bar3DChart>
      <c:catAx>
        <c:axId val="86850560"/>
        <c:scaling>
          <c:orientation val="minMax"/>
        </c:scaling>
        <c:axPos val="b"/>
        <c:tickLblPos val="nextTo"/>
        <c:crossAx val="86856448"/>
        <c:crosses val="autoZero"/>
        <c:auto val="1"/>
        <c:lblAlgn val="ctr"/>
        <c:lblOffset val="100"/>
      </c:catAx>
      <c:valAx>
        <c:axId val="86856448"/>
        <c:scaling>
          <c:orientation val="minMax"/>
        </c:scaling>
        <c:axPos val="l"/>
        <c:majorGridlines/>
        <c:numFmt formatCode="General" sourceLinked="1"/>
        <c:tickLblPos val="nextTo"/>
        <c:crossAx val="86850560"/>
        <c:crosses val="autoZero"/>
        <c:crossBetween val="between"/>
      </c:valAx>
    </c:plotArea>
    <c:legend>
      <c:legendPos val="r"/>
      <c:legendEntry>
        <c:idx val="0"/>
        <c:delete val="1"/>
      </c:legendEntry>
      <c:layout>
        <c:manualLayout>
          <c:xMode val="edge"/>
          <c:yMode val="edge"/>
          <c:x val="0.26997338874307381"/>
          <c:y val="9.0619742243758017E-2"/>
          <c:w val="0.24391550014581609"/>
          <c:h val="8.3717191601050026E-2"/>
        </c:manualLayout>
      </c:layout>
      <c:spPr>
        <a:solidFill>
          <a:schemeClr val="bg1"/>
        </a:solidFill>
      </c:sp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12673840769903771"/>
          <c:y val="6.065981335666374E-2"/>
          <c:w val="0.84738801399825014"/>
          <c:h val="0.78896580635754165"/>
        </c:manualLayout>
      </c:layout>
      <c:barChart>
        <c:barDir val="col"/>
        <c:grouping val="clustered"/>
        <c:ser>
          <c:idx val="1"/>
          <c:order val="1"/>
          <c:tx>
            <c:strRef>
              <c:f>'capacitatea de cazare turistica'!$B$7</c:f>
            </c:strRef>
          </c:tx>
          <c:cat>
            <c:multiLvlStrRef>
              <c:f>'capacitatea de cazare turistica'!$E$3:$O$3</c:f>
            </c:multiLvlStrRef>
          </c:cat>
          <c:val>
            <c:numRef>
              <c:f>'capacitatea de cazare turistica'!$E$7:$O$7</c:f>
            </c:numRef>
          </c:val>
        </c:ser>
        <c:ser>
          <c:idx val="0"/>
          <c:order val="0"/>
          <c:tx>
            <c:strRef>
              <c:f>[balnear.xlsx]Foaie2!$B$5</c:f>
              <c:strCache>
                <c:ptCount val="1"/>
                <c:pt idx="0">
                  <c:v>Regiunea CENTRU</c:v>
                </c:pt>
              </c:strCache>
            </c:strRef>
          </c:tx>
          <c:spPr>
            <a:solidFill>
              <a:schemeClr val="tx2">
                <a:lumMod val="60000"/>
                <a:lumOff val="40000"/>
              </a:schemeClr>
            </a:solidFill>
          </c:spPr>
          <c:cat>
            <c:strRef>
              <c:f>[balnear.xlsx]Foaie2!$C$2:$M$2</c:f>
              <c:strCache>
                <c:ptCount val="11"/>
                <c:pt idx="0">
                  <c:v>Anul 2005</c:v>
                </c:pt>
                <c:pt idx="1">
                  <c:v>Anul 2006</c:v>
                </c:pt>
                <c:pt idx="2">
                  <c:v>Anul 2007</c:v>
                </c:pt>
                <c:pt idx="3">
                  <c:v>Anul 2008</c:v>
                </c:pt>
                <c:pt idx="4">
                  <c:v>Anul 2009</c:v>
                </c:pt>
                <c:pt idx="5">
                  <c:v>Anul 2010</c:v>
                </c:pt>
                <c:pt idx="6">
                  <c:v>Anul 2011</c:v>
                </c:pt>
                <c:pt idx="7">
                  <c:v>Anul 2012</c:v>
                </c:pt>
                <c:pt idx="8">
                  <c:v>Anul 2013</c:v>
                </c:pt>
                <c:pt idx="9">
                  <c:v>Anul 2014</c:v>
                </c:pt>
                <c:pt idx="10">
                  <c:v>Anul 2015</c:v>
                </c:pt>
              </c:strCache>
            </c:strRef>
          </c:cat>
          <c:val>
            <c:numRef>
              <c:f>[balnear.xlsx]Foaie2!$C$5:$M$5</c:f>
              <c:numCache>
                <c:formatCode>General</c:formatCode>
                <c:ptCount val="11"/>
                <c:pt idx="0">
                  <c:v>35479</c:v>
                </c:pt>
                <c:pt idx="1">
                  <c:v>37025</c:v>
                </c:pt>
                <c:pt idx="2">
                  <c:v>35380</c:v>
                </c:pt>
                <c:pt idx="3">
                  <c:v>39302</c:v>
                </c:pt>
                <c:pt idx="4">
                  <c:v>38453</c:v>
                </c:pt>
                <c:pt idx="5">
                  <c:v>42029</c:v>
                </c:pt>
                <c:pt idx="6">
                  <c:v>45388</c:v>
                </c:pt>
                <c:pt idx="7">
                  <c:v>53787</c:v>
                </c:pt>
                <c:pt idx="8">
                  <c:v>57536</c:v>
                </c:pt>
                <c:pt idx="9">
                  <c:v>60597</c:v>
                </c:pt>
                <c:pt idx="10">
                  <c:v>68899</c:v>
                </c:pt>
              </c:numCache>
            </c:numRef>
          </c:val>
        </c:ser>
        <c:axId val="86881408"/>
        <c:axId val="86882944"/>
      </c:barChart>
      <c:catAx>
        <c:axId val="86881408"/>
        <c:scaling>
          <c:orientation val="minMax"/>
        </c:scaling>
        <c:axPos val="b"/>
        <c:tickLblPos val="nextTo"/>
        <c:crossAx val="86882944"/>
        <c:crosses val="autoZero"/>
        <c:auto val="1"/>
        <c:lblAlgn val="ctr"/>
        <c:lblOffset val="100"/>
      </c:catAx>
      <c:valAx>
        <c:axId val="86882944"/>
        <c:scaling>
          <c:orientation val="minMax"/>
        </c:scaling>
        <c:axPos val="l"/>
        <c:majorGridlines/>
        <c:numFmt formatCode="General" sourceLinked="1"/>
        <c:tickLblPos val="nextTo"/>
        <c:crossAx val="86881408"/>
        <c:crosses val="autoZero"/>
        <c:crossBetween val="between"/>
      </c:valAx>
      <c:spPr>
        <a:solidFill>
          <a:schemeClr val="accent5">
            <a:lumMod val="20000"/>
            <a:lumOff val="80000"/>
          </a:schemeClr>
        </a:solidFill>
      </c:spPr>
    </c:plotArea>
    <c:legend>
      <c:legendPos val="r"/>
      <c:legendEntry>
        <c:idx val="0"/>
        <c:delete val="1"/>
      </c:legendEntry>
      <c:layout>
        <c:manualLayout>
          <c:xMode val="edge"/>
          <c:yMode val="edge"/>
          <c:x val="0.20542286380869071"/>
          <c:y val="9.1688118312134054E-2"/>
          <c:w val="0.39864428404782976"/>
          <c:h val="8.3717191601050026E-2"/>
        </c:manualLayout>
      </c:layout>
      <c:spPr>
        <a:solidFill>
          <a:schemeClr val="bg1"/>
        </a:solidFill>
      </c:sp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16"/>
  <c:chart>
    <c:plotArea>
      <c:layout>
        <c:manualLayout>
          <c:layoutTarget val="inner"/>
          <c:xMode val="edge"/>
          <c:yMode val="edge"/>
          <c:x val="0.17057174103237099"/>
          <c:y val="5.0925925925925923E-2"/>
          <c:w val="0.785212700987859"/>
          <c:h val="0.82184784193642468"/>
        </c:manualLayout>
      </c:layout>
      <c:barChart>
        <c:barDir val="bar"/>
        <c:grouping val="clustered"/>
        <c:ser>
          <c:idx val="1"/>
          <c:order val="1"/>
          <c:tx>
            <c:strRef>
              <c:f>'cap de cazare turism balnear'!$C$6</c:f>
            </c:strRef>
          </c:tx>
          <c:cat>
            <c:multiLvlStrRef>
              <c:f>'cap de cazare turism balnear'!$D$3:$N$3</c:f>
            </c:multiLvlStrRef>
          </c:cat>
          <c:val>
            <c:numRef>
              <c:f>'cap de cazare turism balnear'!$D$6:$N$6</c:f>
            </c:numRef>
          </c:val>
        </c:ser>
        <c:ser>
          <c:idx val="0"/>
          <c:order val="0"/>
          <c:spPr>
            <a:solidFill>
              <a:srgbClr val="7030A0"/>
            </a:solidFill>
          </c:spPr>
          <c:trendline>
            <c:spPr>
              <a:ln w="19050">
                <a:solidFill>
                  <a:schemeClr val="tx2">
                    <a:lumMod val="60000"/>
                    <a:lumOff val="40000"/>
                  </a:schemeClr>
                </a:solidFill>
              </a:ln>
            </c:spPr>
            <c:trendlineType val="linear"/>
          </c:trendline>
          <c:cat>
            <c:strRef>
              <c:f>[balnear.xlsx]Foaie3!$D$3:$N$3</c:f>
              <c:strCache>
                <c:ptCount val="11"/>
                <c:pt idx="0">
                  <c:v>Anul 2005</c:v>
                </c:pt>
                <c:pt idx="1">
                  <c:v>Anul 2006</c:v>
                </c:pt>
                <c:pt idx="2">
                  <c:v>Anul 2007</c:v>
                </c:pt>
                <c:pt idx="3">
                  <c:v>Anul 2008</c:v>
                </c:pt>
                <c:pt idx="4">
                  <c:v>Anul 2009</c:v>
                </c:pt>
                <c:pt idx="5">
                  <c:v>Anul 2010</c:v>
                </c:pt>
                <c:pt idx="6">
                  <c:v>Anul 2011</c:v>
                </c:pt>
                <c:pt idx="7">
                  <c:v>Anul 2012</c:v>
                </c:pt>
                <c:pt idx="8">
                  <c:v>Anul 2013</c:v>
                </c:pt>
                <c:pt idx="9">
                  <c:v>Anul 2014</c:v>
                </c:pt>
                <c:pt idx="10">
                  <c:v>Anul 2015</c:v>
                </c:pt>
              </c:strCache>
            </c:strRef>
          </c:cat>
          <c:val>
            <c:numRef>
              <c:f>[balnear.xlsx]Foaie3!$D$5:$N$5</c:f>
              <c:numCache>
                <c:formatCode>General</c:formatCode>
                <c:ptCount val="11"/>
                <c:pt idx="0">
                  <c:v>39090</c:v>
                </c:pt>
                <c:pt idx="1">
                  <c:v>39413</c:v>
                </c:pt>
                <c:pt idx="2">
                  <c:v>38404</c:v>
                </c:pt>
                <c:pt idx="3">
                  <c:v>38462</c:v>
                </c:pt>
                <c:pt idx="4">
                  <c:v>37419</c:v>
                </c:pt>
                <c:pt idx="5">
                  <c:v>36706</c:v>
                </c:pt>
                <c:pt idx="6">
                  <c:v>37810</c:v>
                </c:pt>
                <c:pt idx="7">
                  <c:v>39279</c:v>
                </c:pt>
                <c:pt idx="8">
                  <c:v>39953</c:v>
                </c:pt>
                <c:pt idx="9">
                  <c:v>33576</c:v>
                </c:pt>
                <c:pt idx="10">
                  <c:v>35342</c:v>
                </c:pt>
              </c:numCache>
            </c:numRef>
          </c:val>
        </c:ser>
        <c:axId val="86913024"/>
        <c:axId val="86914560"/>
      </c:barChart>
      <c:catAx>
        <c:axId val="86913024"/>
        <c:scaling>
          <c:orientation val="minMax"/>
        </c:scaling>
        <c:axPos val="l"/>
        <c:tickLblPos val="nextTo"/>
        <c:crossAx val="86914560"/>
        <c:crosses val="autoZero"/>
        <c:auto val="1"/>
        <c:lblAlgn val="ctr"/>
        <c:lblOffset val="100"/>
      </c:catAx>
      <c:valAx>
        <c:axId val="86914560"/>
        <c:scaling>
          <c:orientation val="minMax"/>
          <c:max val="40000"/>
          <c:min val="30000"/>
        </c:scaling>
        <c:axPos val="b"/>
        <c:majorGridlines/>
        <c:numFmt formatCode="General" sourceLinked="1"/>
        <c:tickLblPos val="nextTo"/>
        <c:crossAx val="86913024"/>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c:spPr>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3437993261222991"/>
          <c:y val="4.6609087358889807E-2"/>
          <c:w val="0.86561988574957671"/>
          <c:h val="0.74913509340744444"/>
        </c:manualLayout>
      </c:layout>
      <c:bar3DChart>
        <c:barDir val="col"/>
        <c:grouping val="percentStacked"/>
        <c:ser>
          <c:idx val="0"/>
          <c:order val="0"/>
          <c:tx>
            <c:strRef>
              <c:f>Foaie4!$B$8</c:f>
              <c:strCache>
                <c:ptCount val="1"/>
                <c:pt idx="0">
                  <c:v>Romani</c:v>
                </c:pt>
              </c:strCache>
            </c:strRef>
          </c:tx>
          <c:spPr>
            <a:solidFill>
              <a:srgbClr val="00B0F0"/>
            </a:solidFill>
          </c:spPr>
          <c:cat>
            <c:strRef>
              <c:f>Foaie4!$C$2:$H$2</c:f>
              <c:strCache>
                <c:ptCount val="6"/>
                <c:pt idx="0">
                  <c:v>Anul 2010</c:v>
                </c:pt>
                <c:pt idx="1">
                  <c:v>Anul 2011</c:v>
                </c:pt>
                <c:pt idx="2">
                  <c:v>Anul 2012</c:v>
                </c:pt>
                <c:pt idx="3">
                  <c:v>Anul 2013</c:v>
                </c:pt>
                <c:pt idx="4">
                  <c:v>Anul 2014</c:v>
                </c:pt>
                <c:pt idx="5">
                  <c:v>Anul 2015</c:v>
                </c:pt>
              </c:strCache>
            </c:strRef>
          </c:cat>
          <c:val>
            <c:numRef>
              <c:f>Foaie4!$C$8:$H$8</c:f>
              <c:numCache>
                <c:formatCode>General</c:formatCode>
                <c:ptCount val="6"/>
                <c:pt idx="0">
                  <c:v>546068</c:v>
                </c:pt>
                <c:pt idx="1">
                  <c:v>662466</c:v>
                </c:pt>
                <c:pt idx="2">
                  <c:v>666693</c:v>
                </c:pt>
                <c:pt idx="3">
                  <c:v>646228</c:v>
                </c:pt>
                <c:pt idx="4">
                  <c:v>621966</c:v>
                </c:pt>
                <c:pt idx="5">
                  <c:v>744491</c:v>
                </c:pt>
              </c:numCache>
            </c:numRef>
          </c:val>
        </c:ser>
        <c:ser>
          <c:idx val="1"/>
          <c:order val="1"/>
          <c:tx>
            <c:strRef>
              <c:f>Foaie4!$B$9</c:f>
              <c:strCache>
                <c:ptCount val="1"/>
                <c:pt idx="0">
                  <c:v>Straini</c:v>
                </c:pt>
              </c:strCache>
            </c:strRef>
          </c:tx>
          <c:spPr>
            <a:solidFill>
              <a:srgbClr val="FFC000"/>
            </a:solidFill>
          </c:spPr>
          <c:cat>
            <c:strRef>
              <c:f>Foaie4!$C$2:$H$2</c:f>
              <c:strCache>
                <c:ptCount val="6"/>
                <c:pt idx="0">
                  <c:v>Anul 2010</c:v>
                </c:pt>
                <c:pt idx="1">
                  <c:v>Anul 2011</c:v>
                </c:pt>
                <c:pt idx="2">
                  <c:v>Anul 2012</c:v>
                </c:pt>
                <c:pt idx="3">
                  <c:v>Anul 2013</c:v>
                </c:pt>
                <c:pt idx="4">
                  <c:v>Anul 2014</c:v>
                </c:pt>
                <c:pt idx="5">
                  <c:v>Anul 2015</c:v>
                </c:pt>
              </c:strCache>
            </c:strRef>
          </c:cat>
          <c:val>
            <c:numRef>
              <c:f>Foaie4!$C$9:$H$9</c:f>
              <c:numCache>
                <c:formatCode>General</c:formatCode>
                <c:ptCount val="6"/>
                <c:pt idx="0">
                  <c:v>22189</c:v>
                </c:pt>
                <c:pt idx="1">
                  <c:v>26729</c:v>
                </c:pt>
                <c:pt idx="2">
                  <c:v>29487</c:v>
                </c:pt>
                <c:pt idx="3">
                  <c:v>32308</c:v>
                </c:pt>
                <c:pt idx="4">
                  <c:v>33599</c:v>
                </c:pt>
                <c:pt idx="5">
                  <c:v>43456</c:v>
                </c:pt>
              </c:numCache>
            </c:numRef>
          </c:val>
        </c:ser>
        <c:shape val="cylinder"/>
        <c:axId val="86944384"/>
        <c:axId val="86962560"/>
        <c:axId val="0"/>
      </c:bar3DChart>
      <c:catAx>
        <c:axId val="86944384"/>
        <c:scaling>
          <c:orientation val="minMax"/>
        </c:scaling>
        <c:axPos val="b"/>
        <c:tickLblPos val="nextTo"/>
        <c:crossAx val="86962560"/>
        <c:crosses val="autoZero"/>
        <c:auto val="1"/>
        <c:lblAlgn val="ctr"/>
        <c:lblOffset val="100"/>
      </c:catAx>
      <c:valAx>
        <c:axId val="86962560"/>
        <c:scaling>
          <c:orientation val="minMax"/>
          <c:min val="0.8"/>
        </c:scaling>
        <c:axPos val="l"/>
        <c:minorGridlines>
          <c:spPr>
            <a:ln>
              <a:solidFill>
                <a:schemeClr val="tx2">
                  <a:lumMod val="75000"/>
                </a:schemeClr>
              </a:solidFill>
            </a:ln>
          </c:spPr>
        </c:minorGridlines>
        <c:numFmt formatCode="0%" sourceLinked="1"/>
        <c:tickLblPos val="nextTo"/>
        <c:spPr>
          <a:noFill/>
        </c:spPr>
        <c:txPr>
          <a:bodyPr/>
          <a:lstStyle/>
          <a:p>
            <a:pPr>
              <a:defRPr b="1"/>
            </a:pPr>
            <a:endParaRPr lang="en-US"/>
          </a:p>
        </c:txPr>
        <c:crossAx val="86944384"/>
        <c:crosses val="autoZero"/>
        <c:crossBetween val="between"/>
      </c:valAx>
      <c:dTable>
        <c:showHorzBorder val="1"/>
        <c:showVertBorder val="1"/>
        <c:showOutline val="1"/>
        <c:showKeys val="1"/>
        <c:txPr>
          <a:bodyPr/>
          <a:lstStyle/>
          <a:p>
            <a:pPr rtl="0">
              <a:defRPr b="1"/>
            </a:pPr>
            <a:endParaRPr lang="en-US"/>
          </a:p>
        </c:txPr>
      </c:dTable>
      <c:spPr>
        <a:gradFill flip="none" rotWithShape="1">
          <a:gsLst>
            <a:gs pos="0">
              <a:srgbClr val="CCCCFF">
                <a:alpha val="0"/>
              </a:srgbClr>
            </a:gs>
            <a:gs pos="17999">
              <a:srgbClr val="99CCFF"/>
            </a:gs>
            <a:gs pos="36000">
              <a:srgbClr val="9966FF"/>
            </a:gs>
            <a:gs pos="61000">
              <a:srgbClr val="CC99FF"/>
            </a:gs>
            <a:gs pos="82001">
              <a:srgbClr val="99CCFF"/>
            </a:gs>
            <a:gs pos="100000">
              <a:srgbClr val="CCCCFF"/>
            </a:gs>
          </a:gsLst>
          <a:path path="circle">
            <a:fillToRect l="100000" t="100000"/>
          </a:path>
          <a:tileRect r="-100000" b="-100000"/>
        </a:gradFill>
      </c:spPr>
    </c:plotArea>
    <c:plotVisOnly val="1"/>
  </c:chart>
  <c:spPr>
    <a:noFill/>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sideWall>
      <c:spPr>
        <a:solidFill>
          <a:schemeClr val="accent5">
            <a:lumMod val="20000"/>
            <a:lumOff val="80000"/>
          </a:schemeClr>
        </a:solidFill>
      </c:spPr>
    </c:sideWall>
    <c:backWall>
      <c:spPr>
        <a:solidFill>
          <a:schemeClr val="accent5">
            <a:lumMod val="20000"/>
            <a:lumOff val="80000"/>
          </a:schemeClr>
        </a:solidFill>
      </c:spPr>
    </c:backWall>
    <c:plotArea>
      <c:layout>
        <c:manualLayout>
          <c:layoutTarget val="inner"/>
          <c:xMode val="edge"/>
          <c:yMode val="edge"/>
          <c:x val="0.10071241094863176"/>
          <c:y val="5.6501322548689066E-2"/>
          <c:w val="0.81860078465801722"/>
          <c:h val="0.80364689146681378"/>
        </c:manualLayout>
      </c:layout>
      <c:bar3DChart>
        <c:barDir val="col"/>
        <c:grouping val="percentStacked"/>
        <c:ser>
          <c:idx val="2"/>
          <c:order val="2"/>
          <c:tx>
            <c:strRef>
              <c:f>innoptari!$B$10</c:f>
            </c:strRef>
          </c:tx>
          <c:cat>
            <c:multiLvlStrRef>
              <c:f>innoptari!$C$3:$M$3</c:f>
            </c:multiLvlStrRef>
          </c:cat>
          <c:val>
            <c:numRef>
              <c:f>innoptari!$C$10:$M$10</c:f>
            </c:numRef>
          </c:val>
        </c:ser>
        <c:ser>
          <c:idx val="3"/>
          <c:order val="3"/>
          <c:tx>
            <c:strRef>
              <c:f>innoptari!$B$11</c:f>
            </c:strRef>
          </c:tx>
          <c:cat>
            <c:multiLvlStrRef>
              <c:f>innoptari!$C$3:$M$3</c:f>
            </c:multiLvlStrRef>
          </c:cat>
          <c:val>
            <c:numRef>
              <c:f>innoptari!$C$11:$M$11</c:f>
            </c:numRef>
          </c:val>
        </c:ser>
        <c:ser>
          <c:idx val="0"/>
          <c:order val="0"/>
          <c:tx>
            <c:strRef>
              <c:f>[balnear.xlsx]Foaie5!$B$8</c:f>
              <c:strCache>
                <c:ptCount val="1"/>
                <c:pt idx="0">
                  <c:v>Romani</c:v>
                </c:pt>
              </c:strCache>
            </c:strRef>
          </c:tx>
          <c:spPr>
            <a:solidFill>
              <a:srgbClr val="7030A0"/>
            </a:solidFill>
          </c:spPr>
          <c:cat>
            <c:strRef>
              <c:f>[balnear.xlsx]Foaie5!$C$2:$H$2</c:f>
              <c:strCache>
                <c:ptCount val="6"/>
                <c:pt idx="0">
                  <c:v>Anul 2010</c:v>
                </c:pt>
                <c:pt idx="1">
                  <c:v>Anul 2011</c:v>
                </c:pt>
                <c:pt idx="2">
                  <c:v>Anul 2012</c:v>
                </c:pt>
                <c:pt idx="3">
                  <c:v>Anul 2013</c:v>
                </c:pt>
                <c:pt idx="4">
                  <c:v>Anul 2014</c:v>
                </c:pt>
                <c:pt idx="5">
                  <c:v>Anul 2015</c:v>
                </c:pt>
              </c:strCache>
            </c:strRef>
          </c:cat>
          <c:val>
            <c:numRef>
              <c:f>[balnear.xlsx]Foaie5!$C$8:$H$8</c:f>
              <c:numCache>
                <c:formatCode>General</c:formatCode>
                <c:ptCount val="6"/>
                <c:pt idx="0">
                  <c:v>3820672</c:v>
                </c:pt>
                <c:pt idx="1">
                  <c:v>4238654</c:v>
                </c:pt>
                <c:pt idx="2">
                  <c:v>4156939</c:v>
                </c:pt>
                <c:pt idx="3">
                  <c:v>4008964</c:v>
                </c:pt>
                <c:pt idx="4">
                  <c:v>3444268</c:v>
                </c:pt>
                <c:pt idx="5">
                  <c:v>3747388</c:v>
                </c:pt>
              </c:numCache>
            </c:numRef>
          </c:val>
        </c:ser>
        <c:ser>
          <c:idx val="1"/>
          <c:order val="1"/>
          <c:tx>
            <c:strRef>
              <c:f>[balnear.xlsx]Foaie5!$B$9</c:f>
              <c:strCache>
                <c:ptCount val="1"/>
                <c:pt idx="0">
                  <c:v>Straini</c:v>
                </c:pt>
              </c:strCache>
            </c:strRef>
          </c:tx>
          <c:spPr>
            <a:solidFill>
              <a:srgbClr val="FFC000"/>
            </a:solidFill>
          </c:spPr>
          <c:cat>
            <c:strRef>
              <c:f>[balnear.xlsx]Foaie5!$C$2:$H$2</c:f>
              <c:strCache>
                <c:ptCount val="6"/>
                <c:pt idx="0">
                  <c:v>Anul 2010</c:v>
                </c:pt>
                <c:pt idx="1">
                  <c:v>Anul 2011</c:v>
                </c:pt>
                <c:pt idx="2">
                  <c:v>Anul 2012</c:v>
                </c:pt>
                <c:pt idx="3">
                  <c:v>Anul 2013</c:v>
                </c:pt>
                <c:pt idx="4">
                  <c:v>Anul 2014</c:v>
                </c:pt>
                <c:pt idx="5">
                  <c:v>Anul 2015</c:v>
                </c:pt>
              </c:strCache>
            </c:strRef>
          </c:cat>
          <c:val>
            <c:numRef>
              <c:f>[balnear.xlsx]Foaie5!$C$9:$H$9</c:f>
              <c:numCache>
                <c:formatCode>General</c:formatCode>
                <c:ptCount val="6"/>
                <c:pt idx="0">
                  <c:v>89637</c:v>
                </c:pt>
                <c:pt idx="1">
                  <c:v>103503</c:v>
                </c:pt>
                <c:pt idx="2">
                  <c:v>111534</c:v>
                </c:pt>
                <c:pt idx="3">
                  <c:v>129070</c:v>
                </c:pt>
                <c:pt idx="4">
                  <c:v>133126</c:v>
                </c:pt>
                <c:pt idx="5">
                  <c:v>170001</c:v>
                </c:pt>
              </c:numCache>
            </c:numRef>
          </c:val>
        </c:ser>
        <c:shape val="cylinder"/>
        <c:axId val="86984960"/>
        <c:axId val="86994944"/>
        <c:axId val="0"/>
      </c:bar3DChart>
      <c:catAx>
        <c:axId val="86984960"/>
        <c:scaling>
          <c:orientation val="minMax"/>
        </c:scaling>
        <c:axPos val="b"/>
        <c:tickLblPos val="nextTo"/>
        <c:crossAx val="86994944"/>
        <c:crosses val="autoZero"/>
        <c:auto val="1"/>
        <c:lblAlgn val="ctr"/>
        <c:lblOffset val="100"/>
      </c:catAx>
      <c:valAx>
        <c:axId val="86994944"/>
        <c:scaling>
          <c:orientation val="minMax"/>
          <c:min val="0.8"/>
        </c:scaling>
        <c:axPos val="l"/>
        <c:majorGridlines/>
        <c:numFmt formatCode="0%" sourceLinked="1"/>
        <c:tickLblPos val="nextTo"/>
        <c:crossAx val="86984960"/>
        <c:crosses val="autoZero"/>
        <c:crossBetween val="between"/>
      </c:valAx>
    </c:plotArea>
    <c:legend>
      <c:legendPos val="r"/>
      <c:layout>
        <c:manualLayout>
          <c:xMode val="edge"/>
          <c:yMode val="edge"/>
          <c:x val="0.89041455183955476"/>
          <c:y val="0.31798727493693746"/>
          <c:w val="0.10575982880188757"/>
          <c:h val="0.22913528805008324"/>
        </c:manualLayout>
      </c:layout>
      <c:spPr>
        <a:noFill/>
      </c:spP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39"/>
  <c:chart>
    <c:view3D>
      <c:rAngAx val="1"/>
    </c:view3D>
    <c:plotArea>
      <c:layout>
        <c:manualLayout>
          <c:layoutTarget val="inner"/>
          <c:xMode val="edge"/>
          <c:yMode val="edge"/>
          <c:x val="4.8878863115083576E-2"/>
          <c:y val="5.1400554097404488E-2"/>
          <c:w val="0.95084609018467614"/>
          <c:h val="0.76453375619714203"/>
        </c:manualLayout>
      </c:layout>
      <c:bar3DChart>
        <c:barDir val="col"/>
        <c:grouping val="clustered"/>
        <c:ser>
          <c:idx val="0"/>
          <c:order val="0"/>
          <c:tx>
            <c:strRef>
              <c:f>Foaie8!$C$16</c:f>
              <c:strCache>
                <c:ptCount val="1"/>
                <c:pt idx="0">
                  <c:v>Anul 1990</c:v>
                </c:pt>
              </c:strCache>
            </c:strRef>
          </c:tx>
          <c:cat>
            <c:strRef>
              <c:f>Foaie8!$B$17:$B$24</c:f>
              <c:strCache>
                <c:ptCount val="8"/>
                <c:pt idx="0">
                  <c:v>Romania</c:v>
                </c:pt>
                <c:pt idx="1">
                  <c:v>Regiunea CENTRU</c:v>
                </c:pt>
                <c:pt idx="2">
                  <c:v>Alba</c:v>
                </c:pt>
                <c:pt idx="3">
                  <c:v>Brasov</c:v>
                </c:pt>
                <c:pt idx="4">
                  <c:v>Covasna</c:v>
                </c:pt>
                <c:pt idx="5">
                  <c:v>Harghita</c:v>
                </c:pt>
                <c:pt idx="6">
                  <c:v>Mures</c:v>
                </c:pt>
                <c:pt idx="7">
                  <c:v>Sibiu</c:v>
                </c:pt>
              </c:strCache>
            </c:strRef>
          </c:cat>
          <c:val>
            <c:numRef>
              <c:f>Foaie8!$C$17:$C$24</c:f>
              <c:numCache>
                <c:formatCode>General</c:formatCode>
                <c:ptCount val="8"/>
                <c:pt idx="0">
                  <c:v>3.6231135362173292</c:v>
                </c:pt>
                <c:pt idx="1">
                  <c:v>3.1679823553508446</c:v>
                </c:pt>
                <c:pt idx="2">
                  <c:v>1.9275035496533881</c:v>
                </c:pt>
                <c:pt idx="3">
                  <c:v>3.0511833431643436</c:v>
                </c:pt>
                <c:pt idx="4">
                  <c:v>6.2110596340219884</c:v>
                </c:pt>
                <c:pt idx="5">
                  <c:v>3.9579230045780638</c:v>
                </c:pt>
                <c:pt idx="6">
                  <c:v>3.5723380087277232</c:v>
                </c:pt>
                <c:pt idx="7">
                  <c:v>2.1869033236511322</c:v>
                </c:pt>
              </c:numCache>
            </c:numRef>
          </c:val>
        </c:ser>
        <c:ser>
          <c:idx val="1"/>
          <c:order val="1"/>
          <c:tx>
            <c:strRef>
              <c:f>Foaie8!$D$16</c:f>
              <c:strCache>
                <c:ptCount val="1"/>
                <c:pt idx="0">
                  <c:v>Anul 2000</c:v>
                </c:pt>
              </c:strCache>
            </c:strRef>
          </c:tx>
          <c:cat>
            <c:strRef>
              <c:f>Foaie8!$B$17:$B$24</c:f>
              <c:strCache>
                <c:ptCount val="8"/>
                <c:pt idx="0">
                  <c:v>Romania</c:v>
                </c:pt>
                <c:pt idx="1">
                  <c:v>Regiunea CENTRU</c:v>
                </c:pt>
                <c:pt idx="2">
                  <c:v>Alba</c:v>
                </c:pt>
                <c:pt idx="3">
                  <c:v>Brasov</c:v>
                </c:pt>
                <c:pt idx="4">
                  <c:v>Covasna</c:v>
                </c:pt>
                <c:pt idx="5">
                  <c:v>Harghita</c:v>
                </c:pt>
                <c:pt idx="6">
                  <c:v>Mures</c:v>
                </c:pt>
                <c:pt idx="7">
                  <c:v>Sibiu</c:v>
                </c:pt>
              </c:strCache>
            </c:strRef>
          </c:cat>
          <c:val>
            <c:numRef>
              <c:f>Foaie8!$D$17:$D$24</c:f>
              <c:numCache>
                <c:formatCode>General</c:formatCode>
                <c:ptCount val="8"/>
                <c:pt idx="0">
                  <c:v>3.5866285213253555</c:v>
                </c:pt>
                <c:pt idx="1">
                  <c:v>2.9495860180430942</c:v>
                </c:pt>
                <c:pt idx="2">
                  <c:v>1.7477442770534561</c:v>
                </c:pt>
                <c:pt idx="3">
                  <c:v>2.7291813485473697</c:v>
                </c:pt>
                <c:pt idx="4">
                  <c:v>7.2249487243806394</c:v>
                </c:pt>
                <c:pt idx="5">
                  <c:v>4.1055363124021165</c:v>
                </c:pt>
                <c:pt idx="6">
                  <c:v>2.5482076089247871</c:v>
                </c:pt>
                <c:pt idx="7">
                  <c:v>1.7553271528583634</c:v>
                </c:pt>
              </c:numCache>
            </c:numRef>
          </c:val>
        </c:ser>
        <c:ser>
          <c:idx val="2"/>
          <c:order val="2"/>
          <c:tx>
            <c:strRef>
              <c:f>Foaie8!$E$16</c:f>
              <c:strCache>
                <c:ptCount val="1"/>
                <c:pt idx="0">
                  <c:v>Anul 2010</c:v>
                </c:pt>
              </c:strCache>
            </c:strRef>
          </c:tx>
          <c:cat>
            <c:strRef>
              <c:f>Foaie8!$B$17:$B$24</c:f>
              <c:strCache>
                <c:ptCount val="8"/>
                <c:pt idx="0">
                  <c:v>Romania</c:v>
                </c:pt>
                <c:pt idx="1">
                  <c:v>Regiunea CENTRU</c:v>
                </c:pt>
                <c:pt idx="2">
                  <c:v>Alba</c:v>
                </c:pt>
                <c:pt idx="3">
                  <c:v>Brasov</c:v>
                </c:pt>
                <c:pt idx="4">
                  <c:v>Covasna</c:v>
                </c:pt>
                <c:pt idx="5">
                  <c:v>Harghita</c:v>
                </c:pt>
                <c:pt idx="6">
                  <c:v>Mures</c:v>
                </c:pt>
                <c:pt idx="7">
                  <c:v>Sibiu</c:v>
                </c:pt>
              </c:strCache>
            </c:strRef>
          </c:cat>
          <c:val>
            <c:numRef>
              <c:f>Foaie8!$E$17:$E$24</c:f>
              <c:numCache>
                <c:formatCode>General</c:formatCode>
                <c:ptCount val="8"/>
                <c:pt idx="0">
                  <c:v>2.643138034339263</c:v>
                </c:pt>
                <c:pt idx="1">
                  <c:v>2.4131798485562452</c:v>
                </c:pt>
                <c:pt idx="2">
                  <c:v>2.1131945315439715</c:v>
                </c:pt>
                <c:pt idx="3">
                  <c:v>2.1134955977702687</c:v>
                </c:pt>
                <c:pt idx="4">
                  <c:v>6.714803813774882</c:v>
                </c:pt>
                <c:pt idx="5">
                  <c:v>2.7009535455503522</c:v>
                </c:pt>
                <c:pt idx="6">
                  <c:v>2.5714074439240777</c:v>
                </c:pt>
                <c:pt idx="7">
                  <c:v>1.7598019237932481</c:v>
                </c:pt>
              </c:numCache>
            </c:numRef>
          </c:val>
        </c:ser>
        <c:ser>
          <c:idx val="3"/>
          <c:order val="3"/>
          <c:tx>
            <c:strRef>
              <c:f>Foaie8!$F$16</c:f>
              <c:strCache>
                <c:ptCount val="1"/>
                <c:pt idx="0">
                  <c:v>Anul 2015</c:v>
                </c:pt>
              </c:strCache>
            </c:strRef>
          </c:tx>
          <c:cat>
            <c:strRef>
              <c:f>Foaie8!$B$17:$B$24</c:f>
              <c:strCache>
                <c:ptCount val="8"/>
                <c:pt idx="0">
                  <c:v>Romania</c:v>
                </c:pt>
                <c:pt idx="1">
                  <c:v>Regiunea CENTRU</c:v>
                </c:pt>
                <c:pt idx="2">
                  <c:v>Alba</c:v>
                </c:pt>
                <c:pt idx="3">
                  <c:v>Brasov</c:v>
                </c:pt>
                <c:pt idx="4">
                  <c:v>Covasna</c:v>
                </c:pt>
                <c:pt idx="5">
                  <c:v>Harghita</c:v>
                </c:pt>
                <c:pt idx="6">
                  <c:v>Mures</c:v>
                </c:pt>
                <c:pt idx="7">
                  <c:v>Sibiu</c:v>
                </c:pt>
              </c:strCache>
            </c:strRef>
          </c:cat>
          <c:val>
            <c:numRef>
              <c:f>Foaie8!$F$17:$F$24</c:f>
              <c:numCache>
                <c:formatCode>General</c:formatCode>
                <c:ptCount val="8"/>
                <c:pt idx="0">
                  <c:v>2.3683952946559792</c:v>
                </c:pt>
                <c:pt idx="1">
                  <c:v>2.1538118158859691</c:v>
                </c:pt>
                <c:pt idx="2">
                  <c:v>2.028156410090137</c:v>
                </c:pt>
                <c:pt idx="3">
                  <c:v>2.0659151303978227</c:v>
                </c:pt>
                <c:pt idx="4">
                  <c:v>4.9434419330336423</c:v>
                </c:pt>
                <c:pt idx="5">
                  <c:v>2.6457671303255759</c:v>
                </c:pt>
                <c:pt idx="6">
                  <c:v>2.0760493338795811</c:v>
                </c:pt>
                <c:pt idx="7">
                  <c:v>1.6893009979229878</c:v>
                </c:pt>
              </c:numCache>
            </c:numRef>
          </c:val>
        </c:ser>
        <c:shape val="cylinder"/>
        <c:axId val="149569920"/>
        <c:axId val="149571456"/>
        <c:axId val="0"/>
      </c:bar3DChart>
      <c:catAx>
        <c:axId val="149569920"/>
        <c:scaling>
          <c:orientation val="minMax"/>
        </c:scaling>
        <c:axPos val="b"/>
        <c:tickLblPos val="nextTo"/>
        <c:crossAx val="149571456"/>
        <c:crosses val="autoZero"/>
        <c:auto val="1"/>
        <c:lblAlgn val="ctr"/>
        <c:lblOffset val="100"/>
      </c:catAx>
      <c:valAx>
        <c:axId val="149571456"/>
        <c:scaling>
          <c:orientation val="minMax"/>
        </c:scaling>
        <c:axPos val="l"/>
        <c:majorGridlines/>
        <c:numFmt formatCode="General" sourceLinked="1"/>
        <c:tickLblPos val="nextTo"/>
        <c:crossAx val="149569920"/>
        <c:crosses val="autoZero"/>
        <c:crossBetween val="between"/>
      </c:valAx>
    </c:plotArea>
    <c:legend>
      <c:legendPos val="r"/>
      <c:layout>
        <c:manualLayout>
          <c:xMode val="edge"/>
          <c:yMode val="edge"/>
          <c:x val="0.16368891726372037"/>
          <c:y val="7.3306357538641426E-2"/>
          <c:w val="0.66333810976330654"/>
          <c:h val="6.1720618256051414E-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lang="ro-RO"/>
            </a:pPr>
            <a:r>
              <a:rPr lang="en-US" sz="1400"/>
              <a:t>Evolutia numarului</a:t>
            </a:r>
            <a:r>
              <a:rPr lang="en-US" sz="1400" baseline="0"/>
              <a:t> mediu de salariati din industria auto</a:t>
            </a:r>
            <a:endParaRPr lang="vi-VN" sz="1400"/>
          </a:p>
        </c:rich>
      </c:tx>
      <c:layout/>
    </c:title>
    <c:plotArea>
      <c:layout/>
      <c:barChart>
        <c:barDir val="col"/>
        <c:grouping val="clustered"/>
        <c:ser>
          <c:idx val="0"/>
          <c:order val="0"/>
          <c:tx>
            <c:strRef>
              <c:f>Foaie4!$D$3</c:f>
              <c:strCache>
                <c:ptCount val="1"/>
                <c:pt idx="0">
                  <c:v>2008</c:v>
                </c:pt>
              </c:strCache>
            </c:strRef>
          </c:tx>
          <c:cat>
            <c:strRef>
              <c:f>Foaie4!$C$4:$C$9</c:f>
              <c:strCache>
                <c:ptCount val="6"/>
                <c:pt idx="0">
                  <c:v>Alba</c:v>
                </c:pt>
                <c:pt idx="1">
                  <c:v>Brașov</c:v>
                </c:pt>
                <c:pt idx="2">
                  <c:v>Covasna</c:v>
                </c:pt>
                <c:pt idx="3">
                  <c:v>Harghita</c:v>
                </c:pt>
                <c:pt idx="4">
                  <c:v>Mureș</c:v>
                </c:pt>
                <c:pt idx="5">
                  <c:v>Sibiu</c:v>
                </c:pt>
              </c:strCache>
            </c:strRef>
          </c:cat>
          <c:val>
            <c:numRef>
              <c:f>Foaie4!$D$4:$D$9</c:f>
              <c:numCache>
                <c:formatCode>General</c:formatCode>
                <c:ptCount val="6"/>
                <c:pt idx="0">
                  <c:v>2598</c:v>
                </c:pt>
                <c:pt idx="1">
                  <c:v>7351</c:v>
                </c:pt>
                <c:pt idx="2">
                  <c:v>775</c:v>
                </c:pt>
                <c:pt idx="3">
                  <c:v>121</c:v>
                </c:pt>
                <c:pt idx="4">
                  <c:v>1191</c:v>
                </c:pt>
                <c:pt idx="5">
                  <c:v>9869</c:v>
                </c:pt>
              </c:numCache>
            </c:numRef>
          </c:val>
        </c:ser>
        <c:ser>
          <c:idx val="1"/>
          <c:order val="1"/>
          <c:tx>
            <c:strRef>
              <c:f>Foaie4!$E$3</c:f>
              <c:strCache>
                <c:ptCount val="1"/>
                <c:pt idx="0">
                  <c:v>2010</c:v>
                </c:pt>
              </c:strCache>
            </c:strRef>
          </c:tx>
          <c:cat>
            <c:strRef>
              <c:f>Foaie4!$C$4:$C$9</c:f>
              <c:strCache>
                <c:ptCount val="6"/>
                <c:pt idx="0">
                  <c:v>Alba</c:v>
                </c:pt>
                <c:pt idx="1">
                  <c:v>Brașov</c:v>
                </c:pt>
                <c:pt idx="2">
                  <c:v>Covasna</c:v>
                </c:pt>
                <c:pt idx="3">
                  <c:v>Harghita</c:v>
                </c:pt>
                <c:pt idx="4">
                  <c:v>Mureș</c:v>
                </c:pt>
                <c:pt idx="5">
                  <c:v>Sibiu</c:v>
                </c:pt>
              </c:strCache>
            </c:strRef>
          </c:cat>
          <c:val>
            <c:numRef>
              <c:f>Foaie4!$E$4:$E$9</c:f>
              <c:numCache>
                <c:formatCode>General</c:formatCode>
                <c:ptCount val="6"/>
                <c:pt idx="0">
                  <c:v>1698</c:v>
                </c:pt>
                <c:pt idx="1">
                  <c:v>6440</c:v>
                </c:pt>
                <c:pt idx="2">
                  <c:v>848</c:v>
                </c:pt>
                <c:pt idx="3">
                  <c:v>94</c:v>
                </c:pt>
                <c:pt idx="4">
                  <c:v>1026</c:v>
                </c:pt>
                <c:pt idx="5">
                  <c:v>9348</c:v>
                </c:pt>
              </c:numCache>
            </c:numRef>
          </c:val>
        </c:ser>
        <c:ser>
          <c:idx val="2"/>
          <c:order val="2"/>
          <c:tx>
            <c:strRef>
              <c:f>Foaie4!$F$3</c:f>
              <c:strCache>
                <c:ptCount val="1"/>
                <c:pt idx="0">
                  <c:v>2012</c:v>
                </c:pt>
              </c:strCache>
            </c:strRef>
          </c:tx>
          <c:cat>
            <c:strRef>
              <c:f>Foaie4!$C$4:$C$9</c:f>
              <c:strCache>
                <c:ptCount val="6"/>
                <c:pt idx="0">
                  <c:v>Alba</c:v>
                </c:pt>
                <c:pt idx="1">
                  <c:v>Brașov</c:v>
                </c:pt>
                <c:pt idx="2">
                  <c:v>Covasna</c:v>
                </c:pt>
                <c:pt idx="3">
                  <c:v>Harghita</c:v>
                </c:pt>
                <c:pt idx="4">
                  <c:v>Mureș</c:v>
                </c:pt>
                <c:pt idx="5">
                  <c:v>Sibiu</c:v>
                </c:pt>
              </c:strCache>
            </c:strRef>
          </c:cat>
          <c:val>
            <c:numRef>
              <c:f>Foaie4!$F$4:$F$9</c:f>
              <c:numCache>
                <c:formatCode>General</c:formatCode>
                <c:ptCount val="6"/>
                <c:pt idx="0">
                  <c:v>2656</c:v>
                </c:pt>
                <c:pt idx="1">
                  <c:v>7808</c:v>
                </c:pt>
                <c:pt idx="2">
                  <c:v>937</c:v>
                </c:pt>
                <c:pt idx="3">
                  <c:v>158</c:v>
                </c:pt>
                <c:pt idx="4">
                  <c:v>1184</c:v>
                </c:pt>
                <c:pt idx="5">
                  <c:v>10869</c:v>
                </c:pt>
              </c:numCache>
            </c:numRef>
          </c:val>
        </c:ser>
        <c:ser>
          <c:idx val="3"/>
          <c:order val="3"/>
          <c:tx>
            <c:strRef>
              <c:f>Foaie4!$G$3</c:f>
              <c:strCache>
                <c:ptCount val="1"/>
                <c:pt idx="0">
                  <c:v>2014</c:v>
                </c:pt>
              </c:strCache>
            </c:strRef>
          </c:tx>
          <c:cat>
            <c:strRef>
              <c:f>Foaie4!$C$4:$C$9</c:f>
              <c:strCache>
                <c:ptCount val="6"/>
                <c:pt idx="0">
                  <c:v>Alba</c:v>
                </c:pt>
                <c:pt idx="1">
                  <c:v>Brașov</c:v>
                </c:pt>
                <c:pt idx="2">
                  <c:v>Covasna</c:v>
                </c:pt>
                <c:pt idx="3">
                  <c:v>Harghita</c:v>
                </c:pt>
                <c:pt idx="4">
                  <c:v>Mureș</c:v>
                </c:pt>
                <c:pt idx="5">
                  <c:v>Sibiu</c:v>
                </c:pt>
              </c:strCache>
            </c:strRef>
          </c:cat>
          <c:val>
            <c:numRef>
              <c:f>Foaie4!$G$4:$G$9</c:f>
              <c:numCache>
                <c:formatCode>General</c:formatCode>
                <c:ptCount val="6"/>
                <c:pt idx="0">
                  <c:v>2918</c:v>
                </c:pt>
                <c:pt idx="1">
                  <c:v>8404</c:v>
                </c:pt>
                <c:pt idx="2">
                  <c:v>3198</c:v>
                </c:pt>
                <c:pt idx="3">
                  <c:v>255</c:v>
                </c:pt>
                <c:pt idx="4">
                  <c:v>951</c:v>
                </c:pt>
                <c:pt idx="5">
                  <c:v>12021</c:v>
                </c:pt>
              </c:numCache>
            </c:numRef>
          </c:val>
        </c:ser>
        <c:axId val="135721728"/>
        <c:axId val="135723264"/>
      </c:barChart>
      <c:catAx>
        <c:axId val="135721728"/>
        <c:scaling>
          <c:orientation val="minMax"/>
        </c:scaling>
        <c:axPos val="b"/>
        <c:numFmt formatCode="General" sourceLinked="1"/>
        <c:tickLblPos val="nextTo"/>
        <c:txPr>
          <a:bodyPr/>
          <a:lstStyle/>
          <a:p>
            <a:pPr>
              <a:defRPr lang="ro-RO"/>
            </a:pPr>
            <a:endParaRPr lang="en-US"/>
          </a:p>
        </c:txPr>
        <c:crossAx val="135723264"/>
        <c:crosses val="autoZero"/>
        <c:auto val="1"/>
        <c:lblAlgn val="ctr"/>
        <c:lblOffset val="100"/>
      </c:catAx>
      <c:valAx>
        <c:axId val="135723264"/>
        <c:scaling>
          <c:orientation val="minMax"/>
        </c:scaling>
        <c:axPos val="l"/>
        <c:majorGridlines/>
        <c:title>
          <c:tx>
            <c:rich>
              <a:bodyPr rot="-5400000" vert="horz"/>
              <a:lstStyle/>
              <a:p>
                <a:pPr>
                  <a:defRPr lang="ro-RO"/>
                </a:pPr>
                <a:r>
                  <a:rPr lang="en-US"/>
                  <a:t>nr. persoane</a:t>
                </a:r>
              </a:p>
            </c:rich>
          </c:tx>
          <c:layout/>
        </c:title>
        <c:numFmt formatCode="General" sourceLinked="1"/>
        <c:tickLblPos val="nextTo"/>
        <c:txPr>
          <a:bodyPr/>
          <a:lstStyle/>
          <a:p>
            <a:pPr>
              <a:defRPr lang="ro-RO"/>
            </a:pPr>
            <a:endParaRPr lang="en-US"/>
          </a:p>
        </c:txPr>
        <c:crossAx val="135721728"/>
        <c:crosses val="autoZero"/>
        <c:crossBetween val="between"/>
      </c:valAx>
      <c:spPr>
        <a:blipFill dpi="0" rotWithShape="1">
          <a:blip xmlns:r="http://schemas.openxmlformats.org/officeDocument/2006/relationships" r:embed="rId1">
            <a:alphaModFix amt="20000"/>
          </a:blip>
          <a:srcRect/>
          <a:tile tx="0" ty="0" sx="100000" sy="100000" flip="none" algn="tl"/>
        </a:blipFill>
      </c:spPr>
    </c:plotArea>
    <c:legend>
      <c:legendPos val="r"/>
      <c:layout/>
      <c:txPr>
        <a:bodyPr/>
        <a:lstStyle/>
        <a:p>
          <a:pPr>
            <a:defRPr lang="ro-RO"/>
          </a:pPr>
          <a:endParaRPr lang="en-US"/>
        </a:p>
      </c:txPr>
    </c:legend>
    <c:plotVisOnly val="1"/>
  </c:chart>
  <c:spPr>
    <a:blipFill dpi="0" rotWithShape="1">
      <a:blip xmlns:r="http://schemas.openxmlformats.org/officeDocument/2006/relationships" r:embed="rId1">
        <a:alphaModFix amt="20000"/>
      </a:blip>
      <a:srcRect/>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o-RO"/>
            </a:pPr>
            <a:r>
              <a:rPr lang="en-US" sz="1200"/>
              <a:t>Industria</a:t>
            </a:r>
            <a:r>
              <a:rPr lang="en-US" sz="1200" baseline="0"/>
              <a:t> auto in totalul fortei de munca si indicele de specializare sectoriala a fortei de munca</a:t>
            </a:r>
            <a:endParaRPr lang="vi-VN" sz="1200"/>
          </a:p>
        </c:rich>
      </c:tx>
      <c:layout/>
    </c:title>
    <c:plotArea>
      <c:layout>
        <c:manualLayout>
          <c:layoutTarget val="inner"/>
          <c:xMode val="edge"/>
          <c:yMode val="edge"/>
          <c:x val="4.3613602353759842E-2"/>
          <c:y val="0.15901810660764229"/>
          <c:w val="0.70598161765887402"/>
          <c:h val="0.59840802157794593"/>
        </c:manualLayout>
      </c:layout>
      <c:barChart>
        <c:barDir val="col"/>
        <c:grouping val="clustered"/>
        <c:ser>
          <c:idx val="0"/>
          <c:order val="0"/>
          <c:tx>
            <c:strRef>
              <c:f>Foaie2!$D$4</c:f>
              <c:strCache>
                <c:ptCount val="1"/>
                <c:pt idx="0">
                  <c:v>Ponderea ind. auto în totalul forței de muncă (%)</c:v>
                </c:pt>
              </c:strCache>
            </c:strRef>
          </c:tx>
          <c:cat>
            <c:strRef>
              <c:f>Foaie2!$C$5:$C$12</c:f>
              <c:strCache>
                <c:ptCount val="8"/>
                <c:pt idx="0">
                  <c:v> VEST</c:v>
                </c:pt>
                <c:pt idx="1">
                  <c:v>SUD-MUNTENIA</c:v>
                </c:pt>
                <c:pt idx="2">
                  <c:v>CENTRU</c:v>
                </c:pt>
                <c:pt idx="3">
                  <c:v>NORD-VEST</c:v>
                </c:pt>
                <c:pt idx="4">
                  <c:v>SUD-VEST OLTENIA</c:v>
                </c:pt>
                <c:pt idx="5">
                  <c:v>NORD-EST</c:v>
                </c:pt>
                <c:pt idx="6">
                  <c:v>BUCURESTI - ILFOV</c:v>
                </c:pt>
                <c:pt idx="7">
                  <c:v>SUD-EST</c:v>
                </c:pt>
              </c:strCache>
            </c:strRef>
          </c:cat>
          <c:val>
            <c:numRef>
              <c:f>Foaie2!$D$5:$D$12</c:f>
              <c:numCache>
                <c:formatCode>General</c:formatCode>
                <c:ptCount val="8"/>
                <c:pt idx="0">
                  <c:v>10.6</c:v>
                </c:pt>
                <c:pt idx="1">
                  <c:v>5.8</c:v>
                </c:pt>
                <c:pt idx="2">
                  <c:v>4.8</c:v>
                </c:pt>
                <c:pt idx="3">
                  <c:v>3.6</c:v>
                </c:pt>
                <c:pt idx="4">
                  <c:v>1.9000000000000001</c:v>
                </c:pt>
                <c:pt idx="5">
                  <c:v>0.4</c:v>
                </c:pt>
                <c:pt idx="6">
                  <c:v>0.2</c:v>
                </c:pt>
                <c:pt idx="7">
                  <c:v>0.1</c:v>
                </c:pt>
              </c:numCache>
            </c:numRef>
          </c:val>
        </c:ser>
        <c:axId val="146584320"/>
        <c:axId val="146585856"/>
      </c:barChart>
      <c:lineChart>
        <c:grouping val="standard"/>
        <c:ser>
          <c:idx val="1"/>
          <c:order val="1"/>
          <c:tx>
            <c:strRef>
              <c:f>Foaie2!$E$4</c:f>
              <c:strCache>
                <c:ptCount val="1"/>
                <c:pt idx="0">
                  <c:v>Indicele de specializare sectorială a fortei de munca</c:v>
                </c:pt>
              </c:strCache>
            </c:strRef>
          </c:tx>
          <c:marker>
            <c:symbol val="square"/>
            <c:size val="5"/>
          </c:marker>
          <c:cat>
            <c:strRef>
              <c:f>Foaie2!$C$5:$C$12</c:f>
              <c:strCache>
                <c:ptCount val="8"/>
                <c:pt idx="0">
                  <c:v> VEST</c:v>
                </c:pt>
                <c:pt idx="1">
                  <c:v>SUD-MUNTENIA</c:v>
                </c:pt>
                <c:pt idx="2">
                  <c:v>CENTRU</c:v>
                </c:pt>
                <c:pt idx="3">
                  <c:v>NORD-VEST</c:v>
                </c:pt>
                <c:pt idx="4">
                  <c:v>SUD-VEST OLTENIA</c:v>
                </c:pt>
                <c:pt idx="5">
                  <c:v>NORD-EST</c:v>
                </c:pt>
                <c:pt idx="6">
                  <c:v>BUCURESTI - ILFOV</c:v>
                </c:pt>
                <c:pt idx="7">
                  <c:v>SUD-EST</c:v>
                </c:pt>
              </c:strCache>
            </c:strRef>
          </c:cat>
          <c:val>
            <c:numRef>
              <c:f>Foaie2!$E$5:$E$12</c:f>
              <c:numCache>
                <c:formatCode>General</c:formatCode>
                <c:ptCount val="8"/>
                <c:pt idx="0">
                  <c:v>3.32</c:v>
                </c:pt>
                <c:pt idx="1">
                  <c:v>1.83</c:v>
                </c:pt>
                <c:pt idx="2">
                  <c:v>1.5</c:v>
                </c:pt>
                <c:pt idx="3">
                  <c:v>1.1299999999999975</c:v>
                </c:pt>
                <c:pt idx="4">
                  <c:v>0.60000000000000064</c:v>
                </c:pt>
                <c:pt idx="5">
                  <c:v>0.12000000000000002</c:v>
                </c:pt>
                <c:pt idx="6">
                  <c:v>6.0000000000000032E-2</c:v>
                </c:pt>
                <c:pt idx="7">
                  <c:v>3.0000000000000002E-2</c:v>
                </c:pt>
              </c:numCache>
            </c:numRef>
          </c:val>
        </c:ser>
        <c:marker val="1"/>
        <c:axId val="146615296"/>
        <c:axId val="146612992"/>
      </c:lineChart>
      <c:catAx>
        <c:axId val="146584320"/>
        <c:scaling>
          <c:orientation val="minMax"/>
        </c:scaling>
        <c:axPos val="b"/>
        <c:majorTickMark val="none"/>
        <c:tickLblPos val="nextTo"/>
        <c:txPr>
          <a:bodyPr/>
          <a:lstStyle/>
          <a:p>
            <a:pPr>
              <a:defRPr lang="ro-RO" sz="800"/>
            </a:pPr>
            <a:endParaRPr lang="en-US"/>
          </a:p>
        </c:txPr>
        <c:crossAx val="146585856"/>
        <c:crosses val="autoZero"/>
        <c:auto val="1"/>
        <c:lblAlgn val="ctr"/>
        <c:lblOffset val="100"/>
      </c:catAx>
      <c:valAx>
        <c:axId val="146585856"/>
        <c:scaling>
          <c:orientation val="minMax"/>
        </c:scaling>
        <c:axPos val="l"/>
        <c:majorGridlines/>
        <c:title>
          <c:tx>
            <c:rich>
              <a:bodyPr/>
              <a:lstStyle/>
              <a:p>
                <a:pPr>
                  <a:defRPr lang="ro-RO" sz="1200" b="1"/>
                </a:pPr>
                <a:r>
                  <a:rPr lang="en-US" sz="1200" b="1"/>
                  <a:t>-%-</a:t>
                </a:r>
              </a:p>
            </c:rich>
          </c:tx>
          <c:layout>
            <c:manualLayout>
              <c:xMode val="edge"/>
              <c:yMode val="edge"/>
              <c:x val="6.2967335694608514E-3"/>
              <c:y val="4.3023816995344293E-2"/>
            </c:manualLayout>
          </c:layout>
        </c:title>
        <c:numFmt formatCode="General" sourceLinked="1"/>
        <c:majorTickMark val="none"/>
        <c:tickLblPos val="nextTo"/>
        <c:txPr>
          <a:bodyPr/>
          <a:lstStyle/>
          <a:p>
            <a:pPr>
              <a:defRPr lang="ro-RO"/>
            </a:pPr>
            <a:endParaRPr lang="en-US"/>
          </a:p>
        </c:txPr>
        <c:crossAx val="146584320"/>
        <c:crosses val="autoZero"/>
        <c:crossBetween val="between"/>
      </c:valAx>
      <c:valAx>
        <c:axId val="146612992"/>
        <c:scaling>
          <c:orientation val="minMax"/>
        </c:scaling>
        <c:axPos val="r"/>
        <c:title>
          <c:tx>
            <c:rich>
              <a:bodyPr rot="-5400000" vert="horz"/>
              <a:lstStyle/>
              <a:p>
                <a:pPr>
                  <a:defRPr lang="ro-RO"/>
                </a:pPr>
                <a:r>
                  <a:rPr lang="en-US"/>
                  <a:t>Valoare indice spec</a:t>
                </a:r>
              </a:p>
            </c:rich>
          </c:tx>
          <c:layout/>
        </c:title>
        <c:numFmt formatCode="General" sourceLinked="1"/>
        <c:tickLblPos val="nextTo"/>
        <c:txPr>
          <a:bodyPr/>
          <a:lstStyle/>
          <a:p>
            <a:pPr>
              <a:defRPr lang="ro-RO"/>
            </a:pPr>
            <a:endParaRPr lang="en-US"/>
          </a:p>
        </c:txPr>
        <c:crossAx val="146615296"/>
        <c:crosses val="max"/>
        <c:crossBetween val="between"/>
        <c:majorUnit val="0.2"/>
      </c:valAx>
      <c:catAx>
        <c:axId val="146615296"/>
        <c:scaling>
          <c:orientation val="minMax"/>
        </c:scaling>
        <c:delete val="1"/>
        <c:axPos val="b"/>
        <c:tickLblPos val="nextTo"/>
        <c:crossAx val="146612992"/>
        <c:crosses val="autoZero"/>
        <c:auto val="1"/>
        <c:lblAlgn val="ctr"/>
        <c:lblOffset val="100"/>
      </c:catAx>
      <c:spPr>
        <a:blipFill dpi="0" rotWithShape="1">
          <a:blip xmlns:r="http://schemas.openxmlformats.org/officeDocument/2006/relationships" r:embed="rId1">
            <a:alphaModFix amt="20000"/>
          </a:blip>
          <a:srcRect/>
          <a:tile tx="0" ty="0" sx="100000" sy="100000" flip="none" algn="tl"/>
        </a:blipFill>
      </c:spPr>
    </c:plotArea>
    <c:legend>
      <c:legendPos val="r"/>
      <c:legendEntry>
        <c:idx val="0"/>
        <c:txPr>
          <a:bodyPr/>
          <a:lstStyle/>
          <a:p>
            <a:pPr rtl="0">
              <a:defRPr sz="900"/>
            </a:pPr>
            <a:endParaRPr lang="en-US"/>
          </a:p>
        </c:txPr>
      </c:legendEntry>
      <c:legendEntry>
        <c:idx val="1"/>
        <c:txPr>
          <a:bodyPr/>
          <a:lstStyle/>
          <a:p>
            <a:pPr rtl="0">
              <a:defRPr sz="900" baseline="0"/>
            </a:pPr>
            <a:endParaRPr lang="en-US"/>
          </a:p>
        </c:txPr>
      </c:legendEntry>
      <c:layout>
        <c:manualLayout>
          <c:xMode val="edge"/>
          <c:yMode val="edge"/>
          <c:x val="0.85143853546084514"/>
          <c:y val="0.100445793971526"/>
          <c:w val="0.13858632254301545"/>
          <c:h val="0.78970409354144089"/>
        </c:manualLayout>
      </c:layout>
      <c:spPr>
        <a:blipFill dpi="0" rotWithShape="1">
          <a:blip xmlns:r="http://schemas.openxmlformats.org/officeDocument/2006/relationships" r:embed="rId1">
            <a:alphaModFix amt="10000"/>
          </a:blip>
          <a:srcRect/>
          <a:tile tx="0" ty="0" sx="100000" sy="100000" flip="none" algn="tl"/>
        </a:blipFill>
      </c:spPr>
      <c:txPr>
        <a:bodyPr/>
        <a:lstStyle/>
        <a:p>
          <a:pPr rtl="0">
            <a:defRPr lang="ro-RO"/>
          </a:pPr>
          <a:endParaRPr lang="en-US"/>
        </a:p>
      </c:txPr>
    </c:legend>
    <c:plotVisOnly val="1"/>
    <c:dispBlanksAs val="gap"/>
  </c:chart>
  <c:spPr>
    <a:blipFill dpi="0" rotWithShape="1">
      <a:blip xmlns:r="http://schemas.openxmlformats.org/officeDocument/2006/relationships" r:embed="rId1">
        <a:alphaModFix amt="20000"/>
      </a:blip>
      <a:srcRect/>
      <a:tile tx="0" ty="0" sx="100000" sy="100000" flip="none" algn="tl"/>
    </a:blipFill>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Foaie1!$B$13:$B$14</c:f>
              <c:strCache>
                <c:ptCount val="1"/>
                <c:pt idx="0">
                  <c:v>TOTAL active (mil. lei)</c:v>
                </c:pt>
              </c:strCache>
            </c:strRef>
          </c:tx>
          <c:marker>
            <c:symbol val="none"/>
          </c:marker>
          <c:dLbls>
            <c:txPr>
              <a:bodyPr/>
              <a:lstStyle/>
              <a:p>
                <a:pPr>
                  <a:defRPr lang="ro-RO"/>
                </a:pPr>
                <a:endParaRPr lang="en-US"/>
              </a:p>
            </c:txPr>
            <c:showVal val="1"/>
          </c:dLbls>
          <c:cat>
            <c:numRef>
              <c:f>Foaie1!$A$15:$A$20</c:f>
              <c:numCache>
                <c:formatCode>General</c:formatCode>
                <c:ptCount val="6"/>
                <c:pt idx="0">
                  <c:v>2010</c:v>
                </c:pt>
                <c:pt idx="1">
                  <c:v>2011</c:v>
                </c:pt>
                <c:pt idx="2">
                  <c:v>2012</c:v>
                </c:pt>
                <c:pt idx="3">
                  <c:v>2013</c:v>
                </c:pt>
                <c:pt idx="4">
                  <c:v>2014</c:v>
                </c:pt>
                <c:pt idx="5">
                  <c:v>2015</c:v>
                </c:pt>
              </c:numCache>
            </c:numRef>
          </c:cat>
          <c:val>
            <c:numRef>
              <c:f>Foaie1!$B$15:$B$20</c:f>
              <c:numCache>
                <c:formatCode>#,##0.0</c:formatCode>
                <c:ptCount val="6"/>
                <c:pt idx="0">
                  <c:v>280.58187699999979</c:v>
                </c:pt>
                <c:pt idx="1">
                  <c:v>466.11394999999999</c:v>
                </c:pt>
                <c:pt idx="2">
                  <c:v>527.60677100000044</c:v>
                </c:pt>
                <c:pt idx="3">
                  <c:v>575.67494200000044</c:v>
                </c:pt>
                <c:pt idx="4">
                  <c:v>571.85330999999996</c:v>
                </c:pt>
                <c:pt idx="5">
                  <c:v>692.92753099999959</c:v>
                </c:pt>
              </c:numCache>
            </c:numRef>
          </c:val>
        </c:ser>
        <c:ser>
          <c:idx val="1"/>
          <c:order val="1"/>
          <c:tx>
            <c:strRef>
              <c:f>Foaie1!$C$13:$C$14</c:f>
              <c:strCache>
                <c:ptCount val="1"/>
                <c:pt idx="0">
                  <c:v>TOTAL capitaluri (mil lei)</c:v>
                </c:pt>
              </c:strCache>
            </c:strRef>
          </c:tx>
          <c:marker>
            <c:symbol val="none"/>
          </c:marker>
          <c:dLbls>
            <c:txPr>
              <a:bodyPr/>
              <a:lstStyle/>
              <a:p>
                <a:pPr>
                  <a:defRPr lang="ro-RO"/>
                </a:pPr>
                <a:endParaRPr lang="en-US"/>
              </a:p>
            </c:txPr>
            <c:showVal val="1"/>
          </c:dLbls>
          <c:cat>
            <c:numRef>
              <c:f>Foaie1!$A$15:$A$20</c:f>
              <c:numCache>
                <c:formatCode>General</c:formatCode>
                <c:ptCount val="6"/>
                <c:pt idx="0">
                  <c:v>2010</c:v>
                </c:pt>
                <c:pt idx="1">
                  <c:v>2011</c:v>
                </c:pt>
                <c:pt idx="2">
                  <c:v>2012</c:v>
                </c:pt>
                <c:pt idx="3">
                  <c:v>2013</c:v>
                </c:pt>
                <c:pt idx="4">
                  <c:v>2014</c:v>
                </c:pt>
                <c:pt idx="5">
                  <c:v>2015</c:v>
                </c:pt>
              </c:numCache>
            </c:numRef>
          </c:cat>
          <c:val>
            <c:numRef>
              <c:f>Foaie1!$C$15:$C$20</c:f>
              <c:numCache>
                <c:formatCode>#,##0.0</c:formatCode>
                <c:ptCount val="6"/>
                <c:pt idx="0">
                  <c:v>125.8587319999999</c:v>
                </c:pt>
                <c:pt idx="1">
                  <c:v>126.18837999999994</c:v>
                </c:pt>
                <c:pt idx="2">
                  <c:v>149.746197</c:v>
                </c:pt>
                <c:pt idx="3">
                  <c:v>107.57845399999998</c:v>
                </c:pt>
                <c:pt idx="4">
                  <c:v>252.43022400000001</c:v>
                </c:pt>
                <c:pt idx="5">
                  <c:v>332.46836499999978</c:v>
                </c:pt>
              </c:numCache>
            </c:numRef>
          </c:val>
        </c:ser>
        <c:ser>
          <c:idx val="2"/>
          <c:order val="2"/>
          <c:tx>
            <c:strRef>
              <c:f>Foaie1!$D$13:$D$14</c:f>
              <c:strCache>
                <c:ptCount val="1"/>
                <c:pt idx="0">
                  <c:v>TOTAL cifra de afaceri (mil. lei)</c:v>
                </c:pt>
              </c:strCache>
            </c:strRef>
          </c:tx>
          <c:marker>
            <c:symbol val="none"/>
          </c:marker>
          <c:dLbls>
            <c:txPr>
              <a:bodyPr/>
              <a:lstStyle/>
              <a:p>
                <a:pPr>
                  <a:defRPr lang="ro-RO"/>
                </a:pPr>
                <a:endParaRPr lang="en-US"/>
              </a:p>
            </c:txPr>
            <c:showVal val="1"/>
          </c:dLbls>
          <c:cat>
            <c:numRef>
              <c:f>Foaie1!$A$15:$A$20</c:f>
              <c:numCache>
                <c:formatCode>General</c:formatCode>
                <c:ptCount val="6"/>
                <c:pt idx="0">
                  <c:v>2010</c:v>
                </c:pt>
                <c:pt idx="1">
                  <c:v>2011</c:v>
                </c:pt>
                <c:pt idx="2">
                  <c:v>2012</c:v>
                </c:pt>
                <c:pt idx="3">
                  <c:v>2013</c:v>
                </c:pt>
                <c:pt idx="4">
                  <c:v>2014</c:v>
                </c:pt>
                <c:pt idx="5">
                  <c:v>2015</c:v>
                </c:pt>
              </c:numCache>
            </c:numRef>
          </c:cat>
          <c:val>
            <c:numRef>
              <c:f>Foaie1!$D$15:$D$20</c:f>
              <c:numCache>
                <c:formatCode>#,##0.0</c:formatCode>
                <c:ptCount val="6"/>
                <c:pt idx="0">
                  <c:v>189.33735200000001</c:v>
                </c:pt>
                <c:pt idx="1">
                  <c:v>252.004198</c:v>
                </c:pt>
                <c:pt idx="2">
                  <c:v>357.05086000000023</c:v>
                </c:pt>
                <c:pt idx="3">
                  <c:v>441.21145599999966</c:v>
                </c:pt>
                <c:pt idx="4">
                  <c:v>494.18964400000021</c:v>
                </c:pt>
                <c:pt idx="5">
                  <c:v>512.4449039999995</c:v>
                </c:pt>
              </c:numCache>
            </c:numRef>
          </c:val>
        </c:ser>
        <c:ser>
          <c:idx val="3"/>
          <c:order val="3"/>
          <c:tx>
            <c:strRef>
              <c:f>Foaie1!$E$13:$E$14</c:f>
              <c:strCache>
                <c:ptCount val="1"/>
                <c:pt idx="0">
                  <c:v>TOTAL nr. mediu de salariati</c:v>
                </c:pt>
              </c:strCache>
            </c:strRef>
          </c:tx>
          <c:marker>
            <c:symbol val="none"/>
          </c:marker>
          <c:dLbls>
            <c:txPr>
              <a:bodyPr/>
              <a:lstStyle/>
              <a:p>
                <a:pPr>
                  <a:defRPr lang="ro-RO"/>
                </a:pPr>
                <a:endParaRPr lang="en-US"/>
              </a:p>
            </c:txPr>
            <c:showVal val="1"/>
          </c:dLbls>
          <c:cat>
            <c:numRef>
              <c:f>Foaie1!$A$15:$A$20</c:f>
              <c:numCache>
                <c:formatCode>General</c:formatCode>
                <c:ptCount val="6"/>
                <c:pt idx="0">
                  <c:v>2010</c:v>
                </c:pt>
                <c:pt idx="1">
                  <c:v>2011</c:v>
                </c:pt>
                <c:pt idx="2">
                  <c:v>2012</c:v>
                </c:pt>
                <c:pt idx="3">
                  <c:v>2013</c:v>
                </c:pt>
                <c:pt idx="4">
                  <c:v>2014</c:v>
                </c:pt>
                <c:pt idx="5">
                  <c:v>2015</c:v>
                </c:pt>
              </c:numCache>
            </c:numRef>
          </c:cat>
          <c:val>
            <c:numRef>
              <c:f>Foaie1!$E$15:$E$20</c:f>
              <c:numCache>
                <c:formatCode>#,##0.0</c:formatCode>
                <c:ptCount val="6"/>
                <c:pt idx="0">
                  <c:v>639</c:v>
                </c:pt>
                <c:pt idx="1">
                  <c:v>790</c:v>
                </c:pt>
                <c:pt idx="2">
                  <c:v>1127</c:v>
                </c:pt>
                <c:pt idx="3">
                  <c:v>1314</c:v>
                </c:pt>
                <c:pt idx="4">
                  <c:v>1417</c:v>
                </c:pt>
                <c:pt idx="5">
                  <c:v>1491</c:v>
                </c:pt>
              </c:numCache>
            </c:numRef>
          </c:val>
        </c:ser>
        <c:ser>
          <c:idx val="4"/>
          <c:order val="4"/>
          <c:tx>
            <c:strRef>
              <c:f>Foaie1!$F$13:$F$14</c:f>
              <c:strCache>
                <c:ptCount val="1"/>
                <c:pt idx="0">
                  <c:v>TOTAL profit (mil. lei)</c:v>
                </c:pt>
              </c:strCache>
            </c:strRef>
          </c:tx>
          <c:marker>
            <c:symbol val="none"/>
          </c:marker>
          <c:dLbls>
            <c:txPr>
              <a:bodyPr/>
              <a:lstStyle/>
              <a:p>
                <a:pPr>
                  <a:defRPr lang="ro-RO"/>
                </a:pPr>
                <a:endParaRPr lang="en-US"/>
              </a:p>
            </c:txPr>
            <c:showVal val="1"/>
          </c:dLbls>
          <c:cat>
            <c:numRef>
              <c:f>Foaie1!$A$15:$A$20</c:f>
              <c:numCache>
                <c:formatCode>General</c:formatCode>
                <c:ptCount val="6"/>
                <c:pt idx="0">
                  <c:v>2010</c:v>
                </c:pt>
                <c:pt idx="1">
                  <c:v>2011</c:v>
                </c:pt>
                <c:pt idx="2">
                  <c:v>2012</c:v>
                </c:pt>
                <c:pt idx="3">
                  <c:v>2013</c:v>
                </c:pt>
                <c:pt idx="4">
                  <c:v>2014</c:v>
                </c:pt>
                <c:pt idx="5">
                  <c:v>2015</c:v>
                </c:pt>
              </c:numCache>
            </c:numRef>
          </c:cat>
          <c:val>
            <c:numRef>
              <c:f>Foaie1!$F$15:$F$20</c:f>
              <c:numCache>
                <c:formatCode>#,##0.0</c:formatCode>
                <c:ptCount val="6"/>
                <c:pt idx="0">
                  <c:v>0.13395499999999999</c:v>
                </c:pt>
                <c:pt idx="1">
                  <c:v>2.5529139999999981</c:v>
                </c:pt>
                <c:pt idx="2">
                  <c:v>28.659355000000023</c:v>
                </c:pt>
                <c:pt idx="3">
                  <c:v>50.157826999999997</c:v>
                </c:pt>
                <c:pt idx="4">
                  <c:v>54.608959000000013</c:v>
                </c:pt>
                <c:pt idx="5">
                  <c:v>71.972969000000006</c:v>
                </c:pt>
              </c:numCache>
            </c:numRef>
          </c:val>
        </c:ser>
        <c:marker val="1"/>
        <c:axId val="151531520"/>
        <c:axId val="151533056"/>
      </c:lineChart>
      <c:catAx>
        <c:axId val="151531520"/>
        <c:scaling>
          <c:orientation val="minMax"/>
        </c:scaling>
        <c:axPos val="b"/>
        <c:numFmt formatCode="General" sourceLinked="1"/>
        <c:tickLblPos val="nextTo"/>
        <c:txPr>
          <a:bodyPr/>
          <a:lstStyle/>
          <a:p>
            <a:pPr>
              <a:defRPr lang="ro-RO"/>
            </a:pPr>
            <a:endParaRPr lang="en-US"/>
          </a:p>
        </c:txPr>
        <c:crossAx val="151533056"/>
        <c:crosses val="autoZero"/>
        <c:auto val="1"/>
        <c:lblAlgn val="ctr"/>
        <c:lblOffset val="100"/>
      </c:catAx>
      <c:valAx>
        <c:axId val="151533056"/>
        <c:scaling>
          <c:orientation val="minMax"/>
        </c:scaling>
        <c:axPos val="l"/>
        <c:majorGridlines/>
        <c:numFmt formatCode="#,##0.0" sourceLinked="1"/>
        <c:tickLblPos val="nextTo"/>
        <c:txPr>
          <a:bodyPr/>
          <a:lstStyle/>
          <a:p>
            <a:pPr>
              <a:defRPr lang="ro-RO"/>
            </a:pPr>
            <a:endParaRPr lang="en-US"/>
          </a:p>
        </c:txPr>
        <c:crossAx val="151531520"/>
        <c:crosses val="autoZero"/>
        <c:crossBetween val="between"/>
      </c:valAx>
    </c:plotArea>
    <c:legend>
      <c:legendPos val="r"/>
      <c:layout/>
      <c:txPr>
        <a:bodyPr/>
        <a:lstStyle/>
        <a:p>
          <a:pPr>
            <a:defRPr lang="ro-RO"/>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Foaie1!$B$3</c:f>
              <c:strCache>
                <c:ptCount val="1"/>
                <c:pt idx="0">
                  <c:v>Economia nationala</c:v>
                </c:pt>
              </c:strCache>
            </c:strRef>
          </c:tx>
          <c:marker>
            <c:symbol val="none"/>
          </c:marker>
          <c:dLbls>
            <c:txPr>
              <a:bodyPr/>
              <a:lstStyle/>
              <a:p>
                <a:pPr>
                  <a:defRPr lang="ro-RO"/>
                </a:pPr>
                <a:endParaRPr lang="en-US"/>
              </a:p>
            </c:txPr>
            <c:showVal val="1"/>
          </c:dLbls>
          <c:cat>
            <c:numRef>
              <c:f>Foaie1!$A$4:$A$9</c:f>
              <c:numCache>
                <c:formatCode>General</c:formatCode>
                <c:ptCount val="6"/>
                <c:pt idx="0">
                  <c:v>2010</c:v>
                </c:pt>
                <c:pt idx="1">
                  <c:v>2011</c:v>
                </c:pt>
                <c:pt idx="2">
                  <c:v>2012</c:v>
                </c:pt>
                <c:pt idx="3">
                  <c:v>2013</c:v>
                </c:pt>
                <c:pt idx="4">
                  <c:v>2014</c:v>
                </c:pt>
                <c:pt idx="5">
                  <c:v>2015</c:v>
                </c:pt>
              </c:numCache>
            </c:numRef>
          </c:cat>
          <c:val>
            <c:numRef>
              <c:f>Foaie1!$B$4:$B$9</c:f>
              <c:numCache>
                <c:formatCode>0.00%</c:formatCode>
                <c:ptCount val="6"/>
                <c:pt idx="0">
                  <c:v>1</c:v>
                </c:pt>
                <c:pt idx="1">
                  <c:v>1.29</c:v>
                </c:pt>
                <c:pt idx="2">
                  <c:v>1.3900000000000001</c:v>
                </c:pt>
                <c:pt idx="3">
                  <c:v>1.05</c:v>
                </c:pt>
                <c:pt idx="4">
                  <c:v>1.36</c:v>
                </c:pt>
                <c:pt idx="5">
                  <c:v>1.1100000000000001</c:v>
                </c:pt>
              </c:numCache>
            </c:numRef>
          </c:val>
        </c:ser>
        <c:ser>
          <c:idx val="1"/>
          <c:order val="1"/>
          <c:tx>
            <c:strRef>
              <c:f>Foaie1!$C$3</c:f>
              <c:strCache>
                <c:ptCount val="1"/>
                <c:pt idx="0">
                  <c:v>Sector regional</c:v>
                </c:pt>
              </c:strCache>
            </c:strRef>
          </c:tx>
          <c:marker>
            <c:symbol val="none"/>
          </c:marker>
          <c:dLbls>
            <c:txPr>
              <a:bodyPr/>
              <a:lstStyle/>
              <a:p>
                <a:pPr>
                  <a:defRPr lang="ro-RO"/>
                </a:pPr>
                <a:endParaRPr lang="en-US"/>
              </a:p>
            </c:txPr>
            <c:showVal val="1"/>
          </c:dLbls>
          <c:cat>
            <c:numRef>
              <c:f>Foaie1!$A$4:$A$9</c:f>
              <c:numCache>
                <c:formatCode>General</c:formatCode>
                <c:ptCount val="6"/>
                <c:pt idx="0">
                  <c:v>2010</c:v>
                </c:pt>
                <c:pt idx="1">
                  <c:v>2011</c:v>
                </c:pt>
                <c:pt idx="2">
                  <c:v>2012</c:v>
                </c:pt>
                <c:pt idx="3">
                  <c:v>2013</c:v>
                </c:pt>
                <c:pt idx="4">
                  <c:v>2014</c:v>
                </c:pt>
                <c:pt idx="5">
                  <c:v>2015</c:v>
                </c:pt>
              </c:numCache>
            </c:numRef>
          </c:cat>
          <c:val>
            <c:numRef>
              <c:f>Foaie1!$C$4:$C$9</c:f>
              <c:numCache>
                <c:formatCode>0.00%</c:formatCode>
                <c:ptCount val="6"/>
                <c:pt idx="0">
                  <c:v>1</c:v>
                </c:pt>
                <c:pt idx="1">
                  <c:v>1.6610833927298638</c:v>
                </c:pt>
                <c:pt idx="2">
                  <c:v>1.8802565930149679</c:v>
                </c:pt>
                <c:pt idx="3">
                  <c:v>2.0516749821810407</c:v>
                </c:pt>
                <c:pt idx="4">
                  <c:v>2.0381325730577342</c:v>
                </c:pt>
                <c:pt idx="5">
                  <c:v>2.4693513898788289</c:v>
                </c:pt>
              </c:numCache>
            </c:numRef>
          </c:val>
        </c:ser>
        <c:marker val="1"/>
        <c:axId val="153055616"/>
        <c:axId val="154590208"/>
      </c:lineChart>
      <c:catAx>
        <c:axId val="153055616"/>
        <c:scaling>
          <c:orientation val="minMax"/>
        </c:scaling>
        <c:axPos val="b"/>
        <c:numFmt formatCode="General" sourceLinked="1"/>
        <c:tickLblPos val="nextTo"/>
        <c:txPr>
          <a:bodyPr/>
          <a:lstStyle/>
          <a:p>
            <a:pPr>
              <a:defRPr lang="ro-RO"/>
            </a:pPr>
            <a:endParaRPr lang="en-US"/>
          </a:p>
        </c:txPr>
        <c:crossAx val="154590208"/>
        <c:crosses val="autoZero"/>
        <c:auto val="1"/>
        <c:lblAlgn val="ctr"/>
        <c:lblOffset val="100"/>
      </c:catAx>
      <c:valAx>
        <c:axId val="154590208"/>
        <c:scaling>
          <c:orientation val="minMax"/>
        </c:scaling>
        <c:axPos val="l"/>
        <c:majorGridlines/>
        <c:numFmt formatCode="0.00%" sourceLinked="1"/>
        <c:tickLblPos val="nextTo"/>
        <c:txPr>
          <a:bodyPr/>
          <a:lstStyle/>
          <a:p>
            <a:pPr>
              <a:defRPr lang="ro-RO"/>
            </a:pPr>
            <a:endParaRPr lang="en-US"/>
          </a:p>
        </c:txPr>
        <c:crossAx val="153055616"/>
        <c:crosses val="autoZero"/>
        <c:crossBetween val="between"/>
      </c:valAx>
    </c:plotArea>
    <c:legend>
      <c:legendPos val="r"/>
      <c:layout/>
      <c:txPr>
        <a:bodyPr/>
        <a:lstStyle/>
        <a:p>
          <a:pPr>
            <a:defRPr lang="ro-RO"/>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2.0833333333333467E-2"/>
          <c:y val="3.9351851851851853E-2"/>
          <c:w val="0.97916677274462849"/>
          <c:h val="0.95889882542962934"/>
        </c:manualLayout>
      </c:layout>
      <c:pie3DChart>
        <c:varyColors val="1"/>
        <c:ser>
          <c:idx val="0"/>
          <c:order val="0"/>
          <c:dPt>
            <c:idx val="4"/>
            <c:explosion val="14"/>
          </c:dPt>
          <c:dLbls>
            <c:dLbl>
              <c:idx val="0"/>
              <c:layout>
                <c:manualLayout>
                  <c:x val="-0.12881211618882571"/>
                  <c:y val="9.2503987240829352E-2"/>
                </c:manualLayout>
              </c:layout>
              <c:showCatName val="1"/>
              <c:showPercent val="1"/>
            </c:dLbl>
            <c:dLbl>
              <c:idx val="5"/>
              <c:layout>
                <c:manualLayout>
                  <c:x val="0.11381280689196129"/>
                  <c:y val="6.7998844642027434E-2"/>
                </c:manualLayout>
              </c:layout>
              <c:showCatName val="1"/>
              <c:showPercent val="1"/>
            </c:dLbl>
            <c:numFmt formatCode="0.0%" sourceLinked="0"/>
            <c:txPr>
              <a:bodyPr/>
              <a:lstStyle/>
              <a:p>
                <a:pPr>
                  <a:defRPr lang="en-US" sz="1200" b="1">
                    <a:solidFill>
                      <a:schemeClr val="bg1"/>
                    </a:solidFill>
                  </a:defRPr>
                </a:pPr>
                <a:endParaRPr lang="en-US"/>
              </a:p>
            </c:txPr>
            <c:showCatName val="1"/>
            <c:showPercent val="1"/>
          </c:dLbls>
          <c:cat>
            <c:strRef>
              <c:f>Foaie3!$A$8:$A$13</c:f>
              <c:strCache>
                <c:ptCount val="6"/>
                <c:pt idx="0">
                  <c:v>Alba</c:v>
                </c:pt>
                <c:pt idx="1">
                  <c:v>Brasov</c:v>
                </c:pt>
                <c:pt idx="2">
                  <c:v>Covasna</c:v>
                </c:pt>
                <c:pt idx="3">
                  <c:v>Harghita</c:v>
                </c:pt>
                <c:pt idx="4">
                  <c:v>Mures</c:v>
                </c:pt>
                <c:pt idx="5">
                  <c:v>Sibiu</c:v>
                </c:pt>
              </c:strCache>
            </c:strRef>
          </c:cat>
          <c:val>
            <c:numRef>
              <c:f>Foaie3!$B$8:$B$13</c:f>
              <c:numCache>
                <c:formatCode>General</c:formatCode>
                <c:ptCount val="6"/>
                <c:pt idx="0">
                  <c:v>1785795</c:v>
                </c:pt>
                <c:pt idx="1">
                  <c:v>1508325</c:v>
                </c:pt>
                <c:pt idx="2">
                  <c:v>1134951</c:v>
                </c:pt>
                <c:pt idx="3">
                  <c:v>1333480</c:v>
                </c:pt>
                <c:pt idx="4">
                  <c:v>2179168</c:v>
                </c:pt>
                <c:pt idx="5">
                  <c:v>1047693</c:v>
                </c:pt>
              </c:numCache>
            </c:numRef>
          </c:val>
        </c:ser>
        <c:dLbls>
          <c:showVal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9A2272-B3F1-4DAE-BBF9-70E446152ED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o-RO"/>
        </a:p>
      </dgm:t>
    </dgm:pt>
    <dgm:pt modelId="{1E5CFA24-9830-42E6-BD51-4F16CA8EA47A}">
      <dgm:prSet phldrT="[Text]"/>
      <dgm:spPr/>
      <dgm:t>
        <a:bodyPr/>
        <a:lstStyle/>
        <a:p>
          <a:r>
            <a:rPr lang="ro-RO" b="1">
              <a:latin typeface="Arial Narrow" panose="020B0606020202030204" pitchFamily="34" charset="0"/>
            </a:rPr>
            <a:t>Tier IV</a:t>
          </a:r>
        </a:p>
      </dgm:t>
    </dgm:pt>
    <dgm:pt modelId="{2F0F67EA-1AC5-4D51-8B89-70C8AFF55FCF}" type="parTrans" cxnId="{45586D5D-2420-402E-BF47-2C23452F9F64}">
      <dgm:prSet/>
      <dgm:spPr/>
      <dgm:t>
        <a:bodyPr/>
        <a:lstStyle/>
        <a:p>
          <a:endParaRPr lang="ro-RO"/>
        </a:p>
      </dgm:t>
    </dgm:pt>
    <dgm:pt modelId="{B9053357-366B-4B70-B921-CF052F570704}" type="sibTrans" cxnId="{45586D5D-2420-402E-BF47-2C23452F9F64}">
      <dgm:prSet/>
      <dgm:spPr/>
      <dgm:t>
        <a:bodyPr/>
        <a:lstStyle/>
        <a:p>
          <a:endParaRPr lang="ro-RO"/>
        </a:p>
      </dgm:t>
    </dgm:pt>
    <dgm:pt modelId="{5C0C69BE-C450-462B-AA5D-EC19B32DC750}">
      <dgm:prSet phldrT="[Text]"/>
      <dgm:spPr/>
      <dgm:t>
        <a:bodyPr/>
        <a:lstStyle/>
        <a:p>
          <a:r>
            <a:rPr lang="ro-RO">
              <a:latin typeface="Arial Narrow" panose="020B0606020202030204" pitchFamily="34" charset="0"/>
            </a:rPr>
            <a:t>Servicii suport - include furnizori care asigura servicii de productie generale catre producatorii Tier III, Tier II si Tier I. Aceste servicii pot include forjare, turnare, presare, procesare chimica, acoperire, tratamente termice, inspectie si testare, prelucrare de precizie, sudura, logistica si distributie</a:t>
          </a:r>
        </a:p>
      </dgm:t>
    </dgm:pt>
    <dgm:pt modelId="{AFC5A708-7746-4541-A0EC-B2DF1D3AEF18}" type="parTrans" cxnId="{D07106C7-D68C-4490-8B32-2EA4A747BCA5}">
      <dgm:prSet/>
      <dgm:spPr/>
      <dgm:t>
        <a:bodyPr/>
        <a:lstStyle/>
        <a:p>
          <a:endParaRPr lang="ro-RO"/>
        </a:p>
      </dgm:t>
    </dgm:pt>
    <dgm:pt modelId="{26571D72-80C3-48E1-963F-863E6003ECCE}" type="sibTrans" cxnId="{D07106C7-D68C-4490-8B32-2EA4A747BCA5}">
      <dgm:prSet/>
      <dgm:spPr/>
      <dgm:t>
        <a:bodyPr/>
        <a:lstStyle/>
        <a:p>
          <a:endParaRPr lang="ro-RO"/>
        </a:p>
      </dgm:t>
    </dgm:pt>
    <dgm:pt modelId="{09038262-EC07-45F9-B6FA-7C049040F8CB}">
      <dgm:prSet phldrT="[Text]"/>
      <dgm:spPr/>
      <dgm:t>
        <a:bodyPr/>
        <a:lstStyle/>
        <a:p>
          <a:r>
            <a:rPr lang="ro-RO" b="1">
              <a:latin typeface="Arial Narrow" panose="020B0606020202030204" pitchFamily="34" charset="0"/>
            </a:rPr>
            <a:t>Tier III</a:t>
          </a:r>
        </a:p>
      </dgm:t>
    </dgm:pt>
    <dgm:pt modelId="{B550E0C9-13CD-4F90-A0F3-A56B37B83A14}" type="parTrans" cxnId="{315D0459-4E08-4EF5-8344-B6E5F4D64227}">
      <dgm:prSet/>
      <dgm:spPr/>
      <dgm:t>
        <a:bodyPr/>
        <a:lstStyle/>
        <a:p>
          <a:endParaRPr lang="ro-RO"/>
        </a:p>
      </dgm:t>
    </dgm:pt>
    <dgm:pt modelId="{3BCD1334-3BFB-4C60-A438-3953A1F9D014}" type="sibTrans" cxnId="{315D0459-4E08-4EF5-8344-B6E5F4D64227}">
      <dgm:prSet/>
      <dgm:spPr/>
      <dgm:t>
        <a:bodyPr/>
        <a:lstStyle/>
        <a:p>
          <a:endParaRPr lang="ro-RO"/>
        </a:p>
      </dgm:t>
    </dgm:pt>
    <dgm:pt modelId="{3BE333DE-521B-4582-AAF6-09C2423DE0C3}">
      <dgm:prSet phldrT="[Text]"/>
      <dgm:spPr/>
      <dgm:t>
        <a:bodyPr/>
        <a:lstStyle/>
        <a:p>
          <a:r>
            <a:rPr lang="ro-RO">
              <a:latin typeface="Arial Narrow" panose="020B0606020202030204" pitchFamily="34" charset="0"/>
            </a:rPr>
            <a:t>Furnizori OEM, producatori de piese si subansamble - include furnizori care realizeaza designul si produc anumite componente si piese ale ansambelor aparatelor de zbor. Ei furnizeaza direct atat spre operatorii Tier I cat si Tier II. </a:t>
          </a:r>
        </a:p>
      </dgm:t>
    </dgm:pt>
    <dgm:pt modelId="{B2931271-5E0C-4ADD-8C89-4ED8FCDDFBF7}" type="parTrans" cxnId="{305E3B6A-B2E3-480C-89E5-A76666E8BEFC}">
      <dgm:prSet/>
      <dgm:spPr/>
      <dgm:t>
        <a:bodyPr/>
        <a:lstStyle/>
        <a:p>
          <a:endParaRPr lang="ro-RO"/>
        </a:p>
      </dgm:t>
    </dgm:pt>
    <dgm:pt modelId="{84979F0C-3A17-4CA6-AE25-8A1E5E99F84E}" type="sibTrans" cxnId="{305E3B6A-B2E3-480C-89E5-A76666E8BEFC}">
      <dgm:prSet/>
      <dgm:spPr/>
      <dgm:t>
        <a:bodyPr/>
        <a:lstStyle/>
        <a:p>
          <a:endParaRPr lang="ro-RO"/>
        </a:p>
      </dgm:t>
    </dgm:pt>
    <dgm:pt modelId="{93E3223B-E9DF-4ECE-90ED-1E6E634F3726}">
      <dgm:prSet phldrT="[Text]"/>
      <dgm:spPr/>
      <dgm:t>
        <a:bodyPr/>
        <a:lstStyle/>
        <a:p>
          <a:r>
            <a:rPr lang="ro-RO" b="1">
              <a:latin typeface="Arial Narrow" panose="020B0606020202030204" pitchFamily="34" charset="0"/>
            </a:rPr>
            <a:t>Tier II</a:t>
          </a:r>
        </a:p>
      </dgm:t>
    </dgm:pt>
    <dgm:pt modelId="{360BBEC7-B6EB-4A85-A11D-2F3FEA2CC861}" type="parTrans" cxnId="{DB83F9AC-809E-4D65-BD3A-077EBB96B4A5}">
      <dgm:prSet/>
      <dgm:spPr/>
      <dgm:t>
        <a:bodyPr/>
        <a:lstStyle/>
        <a:p>
          <a:endParaRPr lang="ro-RO"/>
        </a:p>
      </dgm:t>
    </dgm:pt>
    <dgm:pt modelId="{D84DF5EC-6BD5-4ED3-B15F-90C9E21768F6}" type="sibTrans" cxnId="{DB83F9AC-809E-4D65-BD3A-077EBB96B4A5}">
      <dgm:prSet/>
      <dgm:spPr/>
      <dgm:t>
        <a:bodyPr/>
        <a:lstStyle/>
        <a:p>
          <a:endParaRPr lang="ro-RO"/>
        </a:p>
      </dgm:t>
    </dgm:pt>
    <dgm:pt modelId="{1B274BE5-A824-4904-9FB2-EC48A8CAD4C8}">
      <dgm:prSet phldrT="[Text]"/>
      <dgm:spPr/>
      <dgm:t>
        <a:bodyPr/>
        <a:lstStyle/>
        <a:p>
          <a:r>
            <a:rPr lang="ro-RO">
              <a:latin typeface="Arial Narrow" panose="020B0606020202030204" pitchFamily="34" charset="0"/>
            </a:rPr>
            <a:t>Furnizori OEM, producatori - include producatori care realizeaza conceptia, productia si asamblarea componentelor majore precum motoare, fuzelaje, ampenaje, aripi si tren de aterizare. Ei furnizeaza aceste ansamble si producatorilor Tier I</a:t>
          </a:r>
        </a:p>
      </dgm:t>
    </dgm:pt>
    <dgm:pt modelId="{76B443F1-5DEC-4700-978B-1AFA08D6D68D}" type="parTrans" cxnId="{55A77B3B-EAB0-4E70-BE07-817FB3EA78D0}">
      <dgm:prSet/>
      <dgm:spPr/>
      <dgm:t>
        <a:bodyPr/>
        <a:lstStyle/>
        <a:p>
          <a:endParaRPr lang="ro-RO"/>
        </a:p>
      </dgm:t>
    </dgm:pt>
    <dgm:pt modelId="{D53DBC03-8004-444B-975B-89718F29FC9E}" type="sibTrans" cxnId="{55A77B3B-EAB0-4E70-BE07-817FB3EA78D0}">
      <dgm:prSet/>
      <dgm:spPr/>
      <dgm:t>
        <a:bodyPr/>
        <a:lstStyle/>
        <a:p>
          <a:endParaRPr lang="ro-RO"/>
        </a:p>
      </dgm:t>
    </dgm:pt>
    <dgm:pt modelId="{16000CA5-C755-487F-85D0-A769044B7C8F}">
      <dgm:prSet/>
      <dgm:spPr/>
      <dgm:t>
        <a:bodyPr/>
        <a:lstStyle/>
        <a:p>
          <a:r>
            <a:rPr lang="ro-RO" b="1">
              <a:latin typeface="Arial Narrow" panose="020B0606020202030204" pitchFamily="34" charset="0"/>
            </a:rPr>
            <a:t>Tier I</a:t>
          </a:r>
        </a:p>
      </dgm:t>
    </dgm:pt>
    <dgm:pt modelId="{6FA3C688-F3B3-4A36-95C3-AD80BADFC099}" type="parTrans" cxnId="{9F1A865E-EC92-4852-B09E-5322BF423593}">
      <dgm:prSet/>
      <dgm:spPr/>
      <dgm:t>
        <a:bodyPr/>
        <a:lstStyle/>
        <a:p>
          <a:endParaRPr lang="ro-RO"/>
        </a:p>
      </dgm:t>
    </dgm:pt>
    <dgm:pt modelId="{40497332-D1F9-4DCB-8103-6A63AB754111}" type="sibTrans" cxnId="{9F1A865E-EC92-4852-B09E-5322BF423593}">
      <dgm:prSet/>
      <dgm:spPr/>
      <dgm:t>
        <a:bodyPr/>
        <a:lstStyle/>
        <a:p>
          <a:endParaRPr lang="ro-RO"/>
        </a:p>
      </dgm:t>
    </dgm:pt>
    <dgm:pt modelId="{0F602DFD-AD8C-4F21-9FBA-1E3AACDF7ED8}">
      <dgm:prSet/>
      <dgm:spPr/>
      <dgm:t>
        <a:bodyPr/>
        <a:lstStyle/>
        <a:p>
          <a:r>
            <a:rPr lang="ro-RO">
              <a:latin typeface="Arial Narrow" panose="020B0606020202030204" pitchFamily="34" charset="0"/>
            </a:rPr>
            <a:t>Include companii care proiecteaza si asambleaza aparate de zbor complete, le livreaza operatorilor si detin proprietatea intelectuala a produsului final. </a:t>
          </a:r>
        </a:p>
      </dgm:t>
    </dgm:pt>
    <dgm:pt modelId="{5B760618-474D-41A5-88F6-1DE5F6B46C55}" type="parTrans" cxnId="{B2A3B54F-4778-4F52-8815-F31C0DAA4A01}">
      <dgm:prSet/>
      <dgm:spPr/>
      <dgm:t>
        <a:bodyPr/>
        <a:lstStyle/>
        <a:p>
          <a:endParaRPr lang="ro-RO"/>
        </a:p>
      </dgm:t>
    </dgm:pt>
    <dgm:pt modelId="{F1380605-837B-4473-B3DB-D131BA1984BC}" type="sibTrans" cxnId="{B2A3B54F-4778-4F52-8815-F31C0DAA4A01}">
      <dgm:prSet/>
      <dgm:spPr/>
      <dgm:t>
        <a:bodyPr/>
        <a:lstStyle/>
        <a:p>
          <a:endParaRPr lang="ro-RO"/>
        </a:p>
      </dgm:t>
    </dgm:pt>
    <dgm:pt modelId="{6B7F27FC-0CFC-4BF0-922E-9635136BB036}" type="pres">
      <dgm:prSet presAssocID="{379A2272-B3F1-4DAE-BBF9-70E446152ED5}" presName="linearFlow" presStyleCnt="0">
        <dgm:presLayoutVars>
          <dgm:dir/>
          <dgm:animLvl val="lvl"/>
          <dgm:resizeHandles val="exact"/>
        </dgm:presLayoutVars>
      </dgm:prSet>
      <dgm:spPr/>
      <dgm:t>
        <a:bodyPr/>
        <a:lstStyle/>
        <a:p>
          <a:endParaRPr lang="ro-RO"/>
        </a:p>
      </dgm:t>
    </dgm:pt>
    <dgm:pt modelId="{5327976E-7B9E-47C7-9697-20160AA48639}" type="pres">
      <dgm:prSet presAssocID="{1E5CFA24-9830-42E6-BD51-4F16CA8EA47A}" presName="composite" presStyleCnt="0"/>
      <dgm:spPr/>
    </dgm:pt>
    <dgm:pt modelId="{85DCE1E3-75C6-47AB-9130-D96D2692E8BA}" type="pres">
      <dgm:prSet presAssocID="{1E5CFA24-9830-42E6-BD51-4F16CA8EA47A}" presName="parentText" presStyleLbl="alignNode1" presStyleIdx="0" presStyleCnt="4">
        <dgm:presLayoutVars>
          <dgm:chMax val="1"/>
          <dgm:bulletEnabled val="1"/>
        </dgm:presLayoutVars>
      </dgm:prSet>
      <dgm:spPr/>
      <dgm:t>
        <a:bodyPr/>
        <a:lstStyle/>
        <a:p>
          <a:endParaRPr lang="ro-RO"/>
        </a:p>
      </dgm:t>
    </dgm:pt>
    <dgm:pt modelId="{F490014D-D3C8-4131-B3AB-4B5525DB1154}" type="pres">
      <dgm:prSet presAssocID="{1E5CFA24-9830-42E6-BD51-4F16CA8EA47A}" presName="descendantText" presStyleLbl="alignAcc1" presStyleIdx="0" presStyleCnt="4">
        <dgm:presLayoutVars>
          <dgm:bulletEnabled val="1"/>
        </dgm:presLayoutVars>
      </dgm:prSet>
      <dgm:spPr/>
      <dgm:t>
        <a:bodyPr/>
        <a:lstStyle/>
        <a:p>
          <a:endParaRPr lang="ro-RO"/>
        </a:p>
      </dgm:t>
    </dgm:pt>
    <dgm:pt modelId="{799ECB0F-121F-4F01-9747-A7FA94C34DFE}" type="pres">
      <dgm:prSet presAssocID="{B9053357-366B-4B70-B921-CF052F570704}" presName="sp" presStyleCnt="0"/>
      <dgm:spPr/>
    </dgm:pt>
    <dgm:pt modelId="{98693149-E0E9-45C0-878B-565F41C89108}" type="pres">
      <dgm:prSet presAssocID="{09038262-EC07-45F9-B6FA-7C049040F8CB}" presName="composite" presStyleCnt="0"/>
      <dgm:spPr/>
    </dgm:pt>
    <dgm:pt modelId="{028288CE-7F58-44E0-87E8-DDC1754D295A}" type="pres">
      <dgm:prSet presAssocID="{09038262-EC07-45F9-B6FA-7C049040F8CB}" presName="parentText" presStyleLbl="alignNode1" presStyleIdx="1" presStyleCnt="4">
        <dgm:presLayoutVars>
          <dgm:chMax val="1"/>
          <dgm:bulletEnabled val="1"/>
        </dgm:presLayoutVars>
      </dgm:prSet>
      <dgm:spPr/>
      <dgm:t>
        <a:bodyPr/>
        <a:lstStyle/>
        <a:p>
          <a:endParaRPr lang="ro-RO"/>
        </a:p>
      </dgm:t>
    </dgm:pt>
    <dgm:pt modelId="{ED8E4F1C-D363-4964-9B9C-B15AE2FF2583}" type="pres">
      <dgm:prSet presAssocID="{09038262-EC07-45F9-B6FA-7C049040F8CB}" presName="descendantText" presStyleLbl="alignAcc1" presStyleIdx="1" presStyleCnt="4">
        <dgm:presLayoutVars>
          <dgm:bulletEnabled val="1"/>
        </dgm:presLayoutVars>
      </dgm:prSet>
      <dgm:spPr/>
      <dgm:t>
        <a:bodyPr/>
        <a:lstStyle/>
        <a:p>
          <a:endParaRPr lang="ro-RO"/>
        </a:p>
      </dgm:t>
    </dgm:pt>
    <dgm:pt modelId="{35833992-F933-4D82-9B71-C105BCA21452}" type="pres">
      <dgm:prSet presAssocID="{3BCD1334-3BFB-4C60-A438-3953A1F9D014}" presName="sp" presStyleCnt="0"/>
      <dgm:spPr/>
    </dgm:pt>
    <dgm:pt modelId="{F3C1BE4B-5875-416D-A19B-575EEA4BDE26}" type="pres">
      <dgm:prSet presAssocID="{93E3223B-E9DF-4ECE-90ED-1E6E634F3726}" presName="composite" presStyleCnt="0"/>
      <dgm:spPr/>
    </dgm:pt>
    <dgm:pt modelId="{B2A6095B-F97A-4F4E-80E9-745DF825CFAA}" type="pres">
      <dgm:prSet presAssocID="{93E3223B-E9DF-4ECE-90ED-1E6E634F3726}" presName="parentText" presStyleLbl="alignNode1" presStyleIdx="2" presStyleCnt="4">
        <dgm:presLayoutVars>
          <dgm:chMax val="1"/>
          <dgm:bulletEnabled val="1"/>
        </dgm:presLayoutVars>
      </dgm:prSet>
      <dgm:spPr/>
      <dgm:t>
        <a:bodyPr/>
        <a:lstStyle/>
        <a:p>
          <a:endParaRPr lang="ro-RO"/>
        </a:p>
      </dgm:t>
    </dgm:pt>
    <dgm:pt modelId="{92EEB089-1876-4986-9C3B-BE8EA9A2C980}" type="pres">
      <dgm:prSet presAssocID="{93E3223B-E9DF-4ECE-90ED-1E6E634F3726}" presName="descendantText" presStyleLbl="alignAcc1" presStyleIdx="2" presStyleCnt="4">
        <dgm:presLayoutVars>
          <dgm:bulletEnabled val="1"/>
        </dgm:presLayoutVars>
      </dgm:prSet>
      <dgm:spPr/>
      <dgm:t>
        <a:bodyPr/>
        <a:lstStyle/>
        <a:p>
          <a:endParaRPr lang="ro-RO"/>
        </a:p>
      </dgm:t>
    </dgm:pt>
    <dgm:pt modelId="{EB212A5B-AEE8-4C83-A63F-BF23C12565CE}" type="pres">
      <dgm:prSet presAssocID="{D84DF5EC-6BD5-4ED3-B15F-90C9E21768F6}" presName="sp" presStyleCnt="0"/>
      <dgm:spPr/>
    </dgm:pt>
    <dgm:pt modelId="{EF2FE80E-B071-4277-992C-E3CFFB7F1415}" type="pres">
      <dgm:prSet presAssocID="{16000CA5-C755-487F-85D0-A769044B7C8F}" presName="composite" presStyleCnt="0"/>
      <dgm:spPr/>
    </dgm:pt>
    <dgm:pt modelId="{FC74D3D9-58DF-4B5C-B590-CFD94E5CF81A}" type="pres">
      <dgm:prSet presAssocID="{16000CA5-C755-487F-85D0-A769044B7C8F}" presName="parentText" presStyleLbl="alignNode1" presStyleIdx="3" presStyleCnt="4">
        <dgm:presLayoutVars>
          <dgm:chMax val="1"/>
          <dgm:bulletEnabled val="1"/>
        </dgm:presLayoutVars>
      </dgm:prSet>
      <dgm:spPr/>
      <dgm:t>
        <a:bodyPr/>
        <a:lstStyle/>
        <a:p>
          <a:endParaRPr lang="ro-RO"/>
        </a:p>
      </dgm:t>
    </dgm:pt>
    <dgm:pt modelId="{8C70A0CE-820A-4EC2-93C5-8770C9D17D0B}" type="pres">
      <dgm:prSet presAssocID="{16000CA5-C755-487F-85D0-A769044B7C8F}" presName="descendantText" presStyleLbl="alignAcc1" presStyleIdx="3" presStyleCnt="4">
        <dgm:presLayoutVars>
          <dgm:bulletEnabled val="1"/>
        </dgm:presLayoutVars>
      </dgm:prSet>
      <dgm:spPr/>
      <dgm:t>
        <a:bodyPr/>
        <a:lstStyle/>
        <a:p>
          <a:endParaRPr lang="ro-RO"/>
        </a:p>
      </dgm:t>
    </dgm:pt>
  </dgm:ptLst>
  <dgm:cxnLst>
    <dgm:cxn modelId="{315D0459-4E08-4EF5-8344-B6E5F4D64227}" srcId="{379A2272-B3F1-4DAE-BBF9-70E446152ED5}" destId="{09038262-EC07-45F9-B6FA-7C049040F8CB}" srcOrd="1" destOrd="0" parTransId="{B550E0C9-13CD-4F90-A0F3-A56B37B83A14}" sibTransId="{3BCD1334-3BFB-4C60-A438-3953A1F9D014}"/>
    <dgm:cxn modelId="{D07106C7-D68C-4490-8B32-2EA4A747BCA5}" srcId="{1E5CFA24-9830-42E6-BD51-4F16CA8EA47A}" destId="{5C0C69BE-C450-462B-AA5D-EC19B32DC750}" srcOrd="0" destOrd="0" parTransId="{AFC5A708-7746-4541-A0EC-B2DF1D3AEF18}" sibTransId="{26571D72-80C3-48E1-963F-863E6003ECCE}"/>
    <dgm:cxn modelId="{B2A3B54F-4778-4F52-8815-F31C0DAA4A01}" srcId="{16000CA5-C755-487F-85D0-A769044B7C8F}" destId="{0F602DFD-AD8C-4F21-9FBA-1E3AACDF7ED8}" srcOrd="0" destOrd="0" parTransId="{5B760618-474D-41A5-88F6-1DE5F6B46C55}" sibTransId="{F1380605-837B-4473-B3DB-D131BA1984BC}"/>
    <dgm:cxn modelId="{1BD095D4-6F8C-46DC-B23E-9C0B2909A24D}" type="presOf" srcId="{0F602DFD-AD8C-4F21-9FBA-1E3AACDF7ED8}" destId="{8C70A0CE-820A-4EC2-93C5-8770C9D17D0B}" srcOrd="0" destOrd="0" presId="urn:microsoft.com/office/officeart/2005/8/layout/chevron2"/>
    <dgm:cxn modelId="{45586D5D-2420-402E-BF47-2C23452F9F64}" srcId="{379A2272-B3F1-4DAE-BBF9-70E446152ED5}" destId="{1E5CFA24-9830-42E6-BD51-4F16CA8EA47A}" srcOrd="0" destOrd="0" parTransId="{2F0F67EA-1AC5-4D51-8B89-70C8AFF55FCF}" sibTransId="{B9053357-366B-4B70-B921-CF052F570704}"/>
    <dgm:cxn modelId="{9F1A865E-EC92-4852-B09E-5322BF423593}" srcId="{379A2272-B3F1-4DAE-BBF9-70E446152ED5}" destId="{16000CA5-C755-487F-85D0-A769044B7C8F}" srcOrd="3" destOrd="0" parTransId="{6FA3C688-F3B3-4A36-95C3-AD80BADFC099}" sibTransId="{40497332-D1F9-4DCB-8103-6A63AB754111}"/>
    <dgm:cxn modelId="{86C4994C-077E-4CF0-9707-3AA32487FF4C}" type="presOf" srcId="{93E3223B-E9DF-4ECE-90ED-1E6E634F3726}" destId="{B2A6095B-F97A-4F4E-80E9-745DF825CFAA}" srcOrd="0" destOrd="0" presId="urn:microsoft.com/office/officeart/2005/8/layout/chevron2"/>
    <dgm:cxn modelId="{05FD6C5A-42D2-42A2-8863-71E95719029C}" type="presOf" srcId="{09038262-EC07-45F9-B6FA-7C049040F8CB}" destId="{028288CE-7F58-44E0-87E8-DDC1754D295A}" srcOrd="0" destOrd="0" presId="urn:microsoft.com/office/officeart/2005/8/layout/chevron2"/>
    <dgm:cxn modelId="{FDA3A436-4A44-4346-B4AC-9DAB12A5AD17}" type="presOf" srcId="{16000CA5-C755-487F-85D0-A769044B7C8F}" destId="{FC74D3D9-58DF-4B5C-B590-CFD94E5CF81A}" srcOrd="0" destOrd="0" presId="urn:microsoft.com/office/officeart/2005/8/layout/chevron2"/>
    <dgm:cxn modelId="{608BA005-A106-4D60-BCE8-3262C43567C1}" type="presOf" srcId="{1E5CFA24-9830-42E6-BD51-4F16CA8EA47A}" destId="{85DCE1E3-75C6-47AB-9130-D96D2692E8BA}" srcOrd="0" destOrd="0" presId="urn:microsoft.com/office/officeart/2005/8/layout/chevron2"/>
    <dgm:cxn modelId="{DAF62756-A47E-4D36-B2FF-FAC2781CC3F1}" type="presOf" srcId="{379A2272-B3F1-4DAE-BBF9-70E446152ED5}" destId="{6B7F27FC-0CFC-4BF0-922E-9635136BB036}" srcOrd="0" destOrd="0" presId="urn:microsoft.com/office/officeart/2005/8/layout/chevron2"/>
    <dgm:cxn modelId="{A6CC33A8-B223-4D0F-B370-A04410CCF7FC}" type="presOf" srcId="{1B274BE5-A824-4904-9FB2-EC48A8CAD4C8}" destId="{92EEB089-1876-4986-9C3B-BE8EA9A2C980}" srcOrd="0" destOrd="0" presId="urn:microsoft.com/office/officeart/2005/8/layout/chevron2"/>
    <dgm:cxn modelId="{DB83F9AC-809E-4D65-BD3A-077EBB96B4A5}" srcId="{379A2272-B3F1-4DAE-BBF9-70E446152ED5}" destId="{93E3223B-E9DF-4ECE-90ED-1E6E634F3726}" srcOrd="2" destOrd="0" parTransId="{360BBEC7-B6EB-4A85-A11D-2F3FEA2CC861}" sibTransId="{D84DF5EC-6BD5-4ED3-B15F-90C9E21768F6}"/>
    <dgm:cxn modelId="{4A258FA0-79D5-4742-9A17-AFC1C06E42B6}" type="presOf" srcId="{5C0C69BE-C450-462B-AA5D-EC19B32DC750}" destId="{F490014D-D3C8-4131-B3AB-4B5525DB1154}" srcOrd="0" destOrd="0" presId="urn:microsoft.com/office/officeart/2005/8/layout/chevron2"/>
    <dgm:cxn modelId="{884CCFA3-233A-4BCF-B87E-BE98048E2B75}" type="presOf" srcId="{3BE333DE-521B-4582-AAF6-09C2423DE0C3}" destId="{ED8E4F1C-D363-4964-9B9C-B15AE2FF2583}" srcOrd="0" destOrd="0" presId="urn:microsoft.com/office/officeart/2005/8/layout/chevron2"/>
    <dgm:cxn modelId="{55A77B3B-EAB0-4E70-BE07-817FB3EA78D0}" srcId="{93E3223B-E9DF-4ECE-90ED-1E6E634F3726}" destId="{1B274BE5-A824-4904-9FB2-EC48A8CAD4C8}" srcOrd="0" destOrd="0" parTransId="{76B443F1-5DEC-4700-978B-1AFA08D6D68D}" sibTransId="{D53DBC03-8004-444B-975B-89718F29FC9E}"/>
    <dgm:cxn modelId="{305E3B6A-B2E3-480C-89E5-A76666E8BEFC}" srcId="{09038262-EC07-45F9-B6FA-7C049040F8CB}" destId="{3BE333DE-521B-4582-AAF6-09C2423DE0C3}" srcOrd="0" destOrd="0" parTransId="{B2931271-5E0C-4ADD-8C89-4ED8FCDDFBF7}" sibTransId="{84979F0C-3A17-4CA6-AE25-8A1E5E99F84E}"/>
    <dgm:cxn modelId="{42AFAFB5-2276-49F3-8D1B-3F9E6ACAF63C}" type="presParOf" srcId="{6B7F27FC-0CFC-4BF0-922E-9635136BB036}" destId="{5327976E-7B9E-47C7-9697-20160AA48639}" srcOrd="0" destOrd="0" presId="urn:microsoft.com/office/officeart/2005/8/layout/chevron2"/>
    <dgm:cxn modelId="{BC63A432-EB12-4BE1-BB86-EE6332873E4B}" type="presParOf" srcId="{5327976E-7B9E-47C7-9697-20160AA48639}" destId="{85DCE1E3-75C6-47AB-9130-D96D2692E8BA}" srcOrd="0" destOrd="0" presId="urn:microsoft.com/office/officeart/2005/8/layout/chevron2"/>
    <dgm:cxn modelId="{96170393-BDA8-4760-965C-7B2256FD658B}" type="presParOf" srcId="{5327976E-7B9E-47C7-9697-20160AA48639}" destId="{F490014D-D3C8-4131-B3AB-4B5525DB1154}" srcOrd="1" destOrd="0" presId="urn:microsoft.com/office/officeart/2005/8/layout/chevron2"/>
    <dgm:cxn modelId="{91E06349-786C-44E3-8156-494657D8C81A}" type="presParOf" srcId="{6B7F27FC-0CFC-4BF0-922E-9635136BB036}" destId="{799ECB0F-121F-4F01-9747-A7FA94C34DFE}" srcOrd="1" destOrd="0" presId="urn:microsoft.com/office/officeart/2005/8/layout/chevron2"/>
    <dgm:cxn modelId="{1065766B-57B2-4EAC-A778-F64BB5811D44}" type="presParOf" srcId="{6B7F27FC-0CFC-4BF0-922E-9635136BB036}" destId="{98693149-E0E9-45C0-878B-565F41C89108}" srcOrd="2" destOrd="0" presId="urn:microsoft.com/office/officeart/2005/8/layout/chevron2"/>
    <dgm:cxn modelId="{868C102A-99E3-469B-8782-0E700236959D}" type="presParOf" srcId="{98693149-E0E9-45C0-878B-565F41C89108}" destId="{028288CE-7F58-44E0-87E8-DDC1754D295A}" srcOrd="0" destOrd="0" presId="urn:microsoft.com/office/officeart/2005/8/layout/chevron2"/>
    <dgm:cxn modelId="{FA211747-790F-47C4-86AD-3F4926BD1B1C}" type="presParOf" srcId="{98693149-E0E9-45C0-878B-565F41C89108}" destId="{ED8E4F1C-D363-4964-9B9C-B15AE2FF2583}" srcOrd="1" destOrd="0" presId="urn:microsoft.com/office/officeart/2005/8/layout/chevron2"/>
    <dgm:cxn modelId="{F9D6E80A-B5BA-4570-84EF-57EEB2B07073}" type="presParOf" srcId="{6B7F27FC-0CFC-4BF0-922E-9635136BB036}" destId="{35833992-F933-4D82-9B71-C105BCA21452}" srcOrd="3" destOrd="0" presId="urn:microsoft.com/office/officeart/2005/8/layout/chevron2"/>
    <dgm:cxn modelId="{BA67F5FB-DE1C-46B5-AEEA-1D856B813B18}" type="presParOf" srcId="{6B7F27FC-0CFC-4BF0-922E-9635136BB036}" destId="{F3C1BE4B-5875-416D-A19B-575EEA4BDE26}" srcOrd="4" destOrd="0" presId="urn:microsoft.com/office/officeart/2005/8/layout/chevron2"/>
    <dgm:cxn modelId="{5459BC28-C6E6-46B4-9E27-F9A0F4E265B6}" type="presParOf" srcId="{F3C1BE4B-5875-416D-A19B-575EEA4BDE26}" destId="{B2A6095B-F97A-4F4E-80E9-745DF825CFAA}" srcOrd="0" destOrd="0" presId="urn:microsoft.com/office/officeart/2005/8/layout/chevron2"/>
    <dgm:cxn modelId="{1DDEB1DE-4067-4B7A-AE6A-899A472227D7}" type="presParOf" srcId="{F3C1BE4B-5875-416D-A19B-575EEA4BDE26}" destId="{92EEB089-1876-4986-9C3B-BE8EA9A2C980}" srcOrd="1" destOrd="0" presId="urn:microsoft.com/office/officeart/2005/8/layout/chevron2"/>
    <dgm:cxn modelId="{DF8D1E5E-44CC-4034-8552-9987FB2B7BFA}" type="presParOf" srcId="{6B7F27FC-0CFC-4BF0-922E-9635136BB036}" destId="{EB212A5B-AEE8-4C83-A63F-BF23C12565CE}" srcOrd="5" destOrd="0" presId="urn:microsoft.com/office/officeart/2005/8/layout/chevron2"/>
    <dgm:cxn modelId="{08002C8B-3C6A-4756-9164-5353108C89A3}" type="presParOf" srcId="{6B7F27FC-0CFC-4BF0-922E-9635136BB036}" destId="{EF2FE80E-B071-4277-992C-E3CFFB7F1415}" srcOrd="6" destOrd="0" presId="urn:microsoft.com/office/officeart/2005/8/layout/chevron2"/>
    <dgm:cxn modelId="{E2125C5E-12A4-42D1-B56F-C68C21D038B2}" type="presParOf" srcId="{EF2FE80E-B071-4277-992C-E3CFFB7F1415}" destId="{FC74D3D9-58DF-4B5C-B590-CFD94E5CF81A}" srcOrd="0" destOrd="0" presId="urn:microsoft.com/office/officeart/2005/8/layout/chevron2"/>
    <dgm:cxn modelId="{B2D457D3-5D78-42B6-B03B-8FD8F83C989A}" type="presParOf" srcId="{EF2FE80E-B071-4277-992C-E3CFFB7F1415}" destId="{8C70A0CE-820A-4EC2-93C5-8770C9D17D0B}" srcOrd="1" destOrd="0" presId="urn:microsoft.com/office/officeart/2005/8/layout/chevron2"/>
  </dgm:cxnLst>
  <dgm:bg/>
  <dgm:whole>
    <a:ln w="9525" cap="flat" cmpd="sng" algn="ctr">
      <a:noFill/>
      <a:prstDash val="solid"/>
      <a:round/>
      <a:headEnd type="none" w="med" len="med"/>
      <a:tailEnd type="none" w="med" len="med"/>
    </a:ln>
  </dgm:whole>
</dgm:dataModel>
</file>

<file path=word/diagrams/data2.xml><?xml version="1.0" encoding="utf-8"?>
<dgm:dataModel xmlns:dgm="http://schemas.openxmlformats.org/drawingml/2006/diagram" xmlns:a="http://schemas.openxmlformats.org/drawingml/2006/main">
  <dgm:ptLst>
    <dgm:pt modelId="{EF2F112B-5313-4B13-A21A-C3D7487E0741}" type="doc">
      <dgm:prSet loTypeId="urn:microsoft.com/office/officeart/2009/layout/CircleArrowProcess" loCatId="process" qsTypeId="urn:microsoft.com/office/officeart/2005/8/quickstyle/3d4" qsCatId="3D" csTypeId="urn:microsoft.com/office/officeart/2005/8/colors/colorful1#1" csCatId="colorful" phldr="1"/>
      <dgm:spPr/>
      <dgm:t>
        <a:bodyPr/>
        <a:lstStyle/>
        <a:p>
          <a:endParaRPr lang="ro-RO"/>
        </a:p>
      </dgm:t>
    </dgm:pt>
    <dgm:pt modelId="{253A9486-EBF8-4672-9A1D-BD804214D1F5}">
      <dgm:prSet phldrT="[Text]" custT="1"/>
      <dgm:spPr>
        <a:xfrm>
          <a:off x="930072" y="338270"/>
          <a:ext cx="609262" cy="304495"/>
        </a:xfrm>
        <a:prstGeom prst="rect">
          <a:avLst/>
        </a:prstGeom>
        <a:noFill/>
        <a:ln>
          <a:noFill/>
        </a:ln>
        <a:effectLst/>
      </dgm:spPr>
      <dgm:t>
        <a:bodyPr/>
        <a:lstStyle/>
        <a:p>
          <a:pPr algn="ctr"/>
          <a:endParaRPr lang="ro-RO" sz="800" b="1">
            <a:solidFill>
              <a:sysClr val="windowText" lastClr="000000">
                <a:hueOff val="0"/>
                <a:satOff val="0"/>
                <a:lumOff val="0"/>
                <a:alphaOff val="0"/>
              </a:sysClr>
            </a:solidFill>
            <a:latin typeface="Arial Narrow" panose="020B0606020202030204" pitchFamily="34" charset="0"/>
            <a:ea typeface="+mn-ea"/>
            <a:cs typeface="+mn-cs"/>
          </a:endParaRPr>
        </a:p>
        <a:p>
          <a:pPr algn="ctr"/>
          <a:r>
            <a:rPr lang="ro-RO" sz="800" b="1">
              <a:solidFill>
                <a:sysClr val="windowText" lastClr="000000">
                  <a:hueOff val="0"/>
                  <a:satOff val="0"/>
                  <a:lumOff val="0"/>
                  <a:alphaOff val="0"/>
                </a:sysClr>
              </a:solidFill>
              <a:latin typeface="Arial Narrow" panose="020B0606020202030204" pitchFamily="34" charset="0"/>
              <a:ea typeface="+mn-ea"/>
              <a:cs typeface="+mn-cs"/>
            </a:rPr>
            <a:t>Materiale și produse avansate</a:t>
          </a:r>
        </a:p>
      </dgm:t>
    </dgm:pt>
    <dgm:pt modelId="{A7859ACE-6EA4-4C88-B2B3-BE369CEF2200}" type="parTrans" cxnId="{DEFE02BA-F5C1-40FA-BA1A-500E8A2550A7}">
      <dgm:prSet/>
      <dgm:spPr/>
      <dgm:t>
        <a:bodyPr/>
        <a:lstStyle/>
        <a:p>
          <a:pPr algn="r"/>
          <a:endParaRPr lang="ro-RO"/>
        </a:p>
      </dgm:t>
    </dgm:pt>
    <dgm:pt modelId="{4FE01626-267F-4F60-82AC-1EFDD6A1F6F5}" type="sibTrans" cxnId="{DEFE02BA-F5C1-40FA-BA1A-500E8A2550A7}">
      <dgm:prSet/>
      <dgm:spPr>
        <a:xfrm>
          <a:off x="282592" y="3510627"/>
          <a:ext cx="640651" cy="640343"/>
        </a:xfrm>
      </dgm:spPr>
      <dgm:t>
        <a:bodyPr/>
        <a:lstStyle/>
        <a:p>
          <a:pPr algn="r"/>
          <a:endParaRPr lang="ro-RO"/>
        </a:p>
      </dgm:t>
    </dgm:pt>
    <dgm:pt modelId="{005773A6-FD1B-401D-9467-45FD2451D4AA}">
      <dgm:prSet phldrT="[Text]" custT="1"/>
      <dgm:spPr>
        <a:xfrm>
          <a:off x="1779148" y="323878"/>
          <a:ext cx="654522" cy="434187"/>
        </a:xfrm>
        <a:prstGeom prst="rect">
          <a:avLst/>
        </a:prstGeom>
        <a:noFill/>
        <a:ln>
          <a:noFill/>
        </a:ln>
        <a:effectLst/>
      </dgm:spPr>
      <dgm:t>
        <a:bodyPr/>
        <a:lstStyle/>
        <a:p>
          <a:pPr algn="ctr"/>
          <a:endParaRPr lang="ro-RO" sz="800">
            <a:solidFill>
              <a:sysClr val="windowText" lastClr="000000">
                <a:hueOff val="0"/>
                <a:satOff val="0"/>
                <a:lumOff val="0"/>
                <a:alphaOff val="0"/>
              </a:sysClr>
            </a:solidFill>
            <a:latin typeface="Calibri"/>
            <a:ea typeface="+mn-ea"/>
            <a:cs typeface="+mn-cs"/>
          </a:endParaRPr>
        </a:p>
      </dgm:t>
    </dgm:pt>
    <dgm:pt modelId="{8DD3467A-FA41-46D7-AE73-B60ABC307AD0}" type="parTrans" cxnId="{5FADFEC5-E5E3-4200-AE9A-2DA8780D80E4}">
      <dgm:prSet/>
      <dgm:spPr/>
      <dgm:t>
        <a:bodyPr/>
        <a:lstStyle/>
        <a:p>
          <a:pPr algn="r"/>
          <a:endParaRPr lang="ro-RO"/>
        </a:p>
      </dgm:t>
    </dgm:pt>
    <dgm:pt modelId="{EB33ACFD-3C6A-4C45-97A8-ABB8BE2A8687}" type="sibTrans" cxnId="{5FADFEC5-E5E3-4200-AE9A-2DA8780D80E4}">
      <dgm:prSet/>
      <dgm:spPr/>
      <dgm:t>
        <a:bodyPr/>
        <a:lstStyle/>
        <a:p>
          <a:pPr algn="r"/>
          <a:endParaRPr lang="ro-RO"/>
        </a:p>
      </dgm:t>
    </dgm:pt>
    <dgm:pt modelId="{96D69B97-F986-4764-A312-E58C8C3ED496}">
      <dgm:prSet custT="1"/>
      <dgm:spPr>
        <a:xfrm>
          <a:off x="930072" y="1652520"/>
          <a:ext cx="609262" cy="304495"/>
        </a:xfrm>
        <a:prstGeom prst="rect">
          <a:avLst/>
        </a:prstGeom>
        <a:noFill/>
        <a:ln>
          <a:noFill/>
        </a:ln>
        <a:effectLst/>
      </dgm:spPr>
      <dgm:t>
        <a:bodyPr/>
        <a:lstStyle/>
        <a:p>
          <a:pPr algn="ctr"/>
          <a:r>
            <a:rPr lang="ro-RO" sz="800" b="1">
              <a:solidFill>
                <a:sysClr val="windowText" lastClr="000000">
                  <a:hueOff val="0"/>
                  <a:satOff val="0"/>
                  <a:lumOff val="0"/>
                  <a:alphaOff val="0"/>
                </a:sysClr>
              </a:solidFill>
              <a:latin typeface="Arial Narrow" panose="020B0606020202030204" pitchFamily="34" charset="0"/>
              <a:ea typeface="+mn-ea"/>
              <a:cs typeface="+mn-cs"/>
            </a:rPr>
            <a:t>Așezări durabile</a:t>
          </a:r>
        </a:p>
      </dgm:t>
    </dgm:pt>
    <dgm:pt modelId="{71A777B8-0D03-4FEF-8D13-1E723FD60A71}" type="parTrans" cxnId="{18A6FC18-2AB4-4D91-8C5B-599E80586517}">
      <dgm:prSet/>
      <dgm:spPr/>
      <dgm:t>
        <a:bodyPr/>
        <a:lstStyle/>
        <a:p>
          <a:pPr algn="r"/>
          <a:endParaRPr lang="ro-RO"/>
        </a:p>
      </dgm:t>
    </dgm:pt>
    <dgm:pt modelId="{E2F464E7-D524-4D54-99A1-1FAFD25192DA}" type="sibTrans" cxnId="{18A6FC18-2AB4-4D91-8C5B-599E80586517}">
      <dgm:prSet/>
      <dgm:spPr>
        <a:xfrm>
          <a:off x="2154054" y="2440179"/>
          <a:ext cx="640651" cy="640343"/>
        </a:xfrm>
      </dgm:spPr>
      <dgm:t>
        <a:bodyPr/>
        <a:lstStyle/>
        <a:p>
          <a:pPr algn="r"/>
          <a:endParaRPr lang="ro-RO"/>
        </a:p>
      </dgm:t>
    </dgm:pt>
    <dgm:pt modelId="{83FE6A83-B4D0-4A2C-A9C4-2F9FFA0A479D}">
      <dgm:prSet custT="1"/>
      <dgm:spPr>
        <a:xfrm>
          <a:off x="625543" y="2281247"/>
          <a:ext cx="609262" cy="304495"/>
        </a:xfrm>
        <a:prstGeom prst="rect">
          <a:avLst/>
        </a:prstGeom>
        <a:noFill/>
        <a:ln>
          <a:noFill/>
        </a:ln>
        <a:effectLst/>
      </dgm:spPr>
      <dgm:t>
        <a:bodyPr/>
        <a:lstStyle/>
        <a:p>
          <a:pPr algn="ctr"/>
          <a:r>
            <a:rPr lang="ro-RO" sz="800" b="1">
              <a:solidFill>
                <a:sysClr val="windowText" lastClr="000000">
                  <a:hueOff val="0"/>
                  <a:satOff val="0"/>
                  <a:lumOff val="0"/>
                  <a:alphaOff val="0"/>
                </a:sysClr>
              </a:solidFill>
              <a:latin typeface="Arial Narrow" panose="020B0606020202030204" pitchFamily="34" charset="0"/>
              <a:ea typeface="+mn-ea"/>
              <a:cs typeface="+mn-cs"/>
            </a:rPr>
            <a:t>Infrastructură și sisteme suport</a:t>
          </a:r>
          <a:endParaRPr lang="ro-RO" sz="700" b="1">
            <a:solidFill>
              <a:sysClr val="windowText" lastClr="000000">
                <a:hueOff val="0"/>
                <a:satOff val="0"/>
                <a:lumOff val="0"/>
                <a:alphaOff val="0"/>
              </a:sysClr>
            </a:solidFill>
            <a:latin typeface="Arial Narrow" panose="020B0606020202030204" pitchFamily="34" charset="0"/>
            <a:ea typeface="+mn-ea"/>
            <a:cs typeface="+mn-cs"/>
          </a:endParaRPr>
        </a:p>
      </dgm:t>
    </dgm:pt>
    <dgm:pt modelId="{D27D5BF4-7245-460C-AD64-22C021355D76}" type="parTrans" cxnId="{8A2136F1-4DFF-4DC9-8BBC-5B9E35A9BBA3}">
      <dgm:prSet/>
      <dgm:spPr/>
      <dgm:t>
        <a:bodyPr/>
        <a:lstStyle/>
        <a:p>
          <a:pPr algn="r"/>
          <a:endParaRPr lang="ro-RO"/>
        </a:p>
      </dgm:t>
    </dgm:pt>
    <dgm:pt modelId="{5639BFBF-58D8-4849-B78F-93AB774DD14E}" type="sibTrans" cxnId="{8A2136F1-4DFF-4DC9-8BBC-5B9E35A9BBA3}">
      <dgm:prSet/>
      <dgm:spPr>
        <a:xfrm>
          <a:off x="2498269" y="1626947"/>
          <a:ext cx="640651" cy="640343"/>
        </a:xfrm>
      </dgm:spPr>
      <dgm:t>
        <a:bodyPr/>
        <a:lstStyle/>
        <a:p>
          <a:pPr algn="r"/>
          <a:endParaRPr lang="ro-RO"/>
        </a:p>
      </dgm:t>
    </dgm:pt>
    <dgm:pt modelId="{9961646A-F94E-43A2-840D-E0F0B8509E45}">
      <dgm:prSet custT="1"/>
      <dgm:spPr>
        <a:xfrm>
          <a:off x="930072" y="2909973"/>
          <a:ext cx="609262" cy="304495"/>
        </a:xfrm>
        <a:prstGeom prst="rect">
          <a:avLst/>
        </a:prstGeom>
        <a:noFill/>
        <a:ln>
          <a:noFill/>
        </a:ln>
        <a:effectLst/>
      </dgm:spPr>
      <dgm:t>
        <a:bodyPr/>
        <a:lstStyle/>
        <a:p>
          <a:pPr algn="ctr"/>
          <a:r>
            <a:rPr lang="ro-RO" sz="800" b="1">
              <a:solidFill>
                <a:sysClr val="windowText" lastClr="000000">
                  <a:hueOff val="0"/>
                  <a:satOff val="0"/>
                  <a:lumOff val="0"/>
                  <a:alphaOff val="0"/>
                </a:sysClr>
              </a:solidFill>
              <a:latin typeface="Arial Narrow" panose="020B0606020202030204" pitchFamily="34" charset="0"/>
              <a:ea typeface="+mn-ea"/>
              <a:cs typeface="+mn-cs"/>
            </a:rPr>
            <a:t>Organizarea și managementul la nivel de întreprindere </a:t>
          </a:r>
        </a:p>
      </dgm:t>
    </dgm:pt>
    <dgm:pt modelId="{6FFAC5E0-4384-4FED-9F92-867BDBCE86AC}" type="parTrans" cxnId="{D4DE25AC-3BF9-4E22-825B-6597905AFE38}">
      <dgm:prSet/>
      <dgm:spPr/>
      <dgm:t>
        <a:bodyPr/>
        <a:lstStyle/>
        <a:p>
          <a:pPr algn="r"/>
          <a:endParaRPr lang="ro-RO"/>
        </a:p>
      </dgm:t>
    </dgm:pt>
    <dgm:pt modelId="{D9422F90-A190-4F97-ADDB-81AB03CF04AB}" type="sibTrans" cxnId="{D4DE25AC-3BF9-4E22-825B-6597905AFE38}">
      <dgm:prSet/>
      <dgm:spPr>
        <a:xfrm>
          <a:off x="2689378" y="799082"/>
          <a:ext cx="640651" cy="640343"/>
        </a:xfrm>
      </dgm:spPr>
      <dgm:t>
        <a:bodyPr/>
        <a:lstStyle/>
        <a:p>
          <a:pPr algn="r"/>
          <a:endParaRPr lang="ro-RO"/>
        </a:p>
      </dgm:t>
    </dgm:pt>
    <dgm:pt modelId="{54CBEA9C-1083-4DCB-B0E1-F37B3B6C9AEE}">
      <dgm:prSet custT="1"/>
      <dgm:spPr>
        <a:xfrm>
          <a:off x="625543" y="1024147"/>
          <a:ext cx="609262" cy="304495"/>
        </a:xfrm>
        <a:prstGeom prst="rect">
          <a:avLst/>
        </a:prstGeom>
        <a:noFill/>
        <a:ln>
          <a:noFill/>
        </a:ln>
        <a:effectLst/>
      </dgm:spPr>
      <dgm:t>
        <a:bodyPr/>
        <a:lstStyle/>
        <a:p>
          <a:pPr algn="ctr"/>
          <a:r>
            <a:rPr lang="ro-RO" sz="800" b="1">
              <a:solidFill>
                <a:sysClr val="windowText" lastClr="000000">
                  <a:hueOff val="0"/>
                  <a:satOff val="0"/>
                  <a:lumOff val="0"/>
                  <a:alphaOff val="0"/>
                </a:sysClr>
              </a:solidFill>
              <a:latin typeface="Arial Narrow" panose="020B0606020202030204" pitchFamily="34" charset="0"/>
              <a:ea typeface="+mn-ea"/>
              <a:cs typeface="+mn-cs"/>
            </a:rPr>
            <a:t>Clădiri eficiente</a:t>
          </a:r>
        </a:p>
      </dgm:t>
    </dgm:pt>
    <dgm:pt modelId="{C545B874-1FEE-419E-B570-BD409613CC62}" type="sibTrans" cxnId="{2113E4F3-3BDF-43CE-BBAB-5DEA089674A4}">
      <dgm:prSet/>
      <dgm:spPr>
        <a:xfrm>
          <a:off x="1496029" y="3072821"/>
          <a:ext cx="640651" cy="640343"/>
        </a:xfrm>
      </dgm:spPr>
      <dgm:t>
        <a:bodyPr/>
        <a:lstStyle/>
        <a:p>
          <a:pPr algn="r"/>
          <a:endParaRPr lang="ro-RO"/>
        </a:p>
      </dgm:t>
    </dgm:pt>
    <dgm:pt modelId="{41F4A1D4-32D6-4753-8580-807F1381C230}" type="parTrans" cxnId="{2113E4F3-3BDF-43CE-BBAB-5DEA089674A4}">
      <dgm:prSet/>
      <dgm:spPr/>
      <dgm:t>
        <a:bodyPr/>
        <a:lstStyle/>
        <a:p>
          <a:pPr algn="r"/>
          <a:endParaRPr lang="ro-RO"/>
        </a:p>
      </dgm:t>
    </dgm:pt>
    <dgm:pt modelId="{3D6F7E3F-064E-4234-8E8B-3595BC55F844}" type="pres">
      <dgm:prSet presAssocID="{EF2F112B-5313-4B13-A21A-C3D7487E0741}" presName="Name0" presStyleCnt="0">
        <dgm:presLayoutVars>
          <dgm:chMax val="7"/>
          <dgm:chPref val="7"/>
          <dgm:dir/>
          <dgm:animLvl val="lvl"/>
        </dgm:presLayoutVars>
      </dgm:prSet>
      <dgm:spPr/>
      <dgm:t>
        <a:bodyPr/>
        <a:lstStyle/>
        <a:p>
          <a:endParaRPr lang="ro-RO"/>
        </a:p>
      </dgm:t>
    </dgm:pt>
    <dgm:pt modelId="{C087B9DC-0DC7-464C-B8B6-E0A361099840}" type="pres">
      <dgm:prSet presAssocID="{253A9486-EBF8-4672-9A1D-BD804214D1F5}" presName="Accent1" presStyleCnt="0"/>
      <dgm:spPr/>
      <dgm:t>
        <a:bodyPr/>
        <a:lstStyle/>
        <a:p>
          <a:endParaRPr lang="ro-RO"/>
        </a:p>
      </dgm:t>
    </dgm:pt>
    <dgm:pt modelId="{E94281F1-F460-4F51-8DF7-C7BCDE8899F3}" type="pres">
      <dgm:prSet presAssocID="{253A9486-EBF8-4672-9A1D-BD804214D1F5}" presName="Accent" presStyleLbl="node1" presStyleIdx="0" presStyleCnt="5"/>
      <dgm:spPr>
        <a:xfrm>
          <a:off x="689029" y="0"/>
          <a:ext cx="1091757" cy="1091812"/>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o-RO"/>
        </a:p>
      </dgm:t>
    </dgm:pt>
    <dgm:pt modelId="{F4025A24-3A5D-4666-A195-E923B3A4637F}" type="pres">
      <dgm:prSet presAssocID="{253A9486-EBF8-4672-9A1D-BD804214D1F5}" presName="Child1" presStyleLbl="revTx" presStyleIdx="0" presStyleCnt="6">
        <dgm:presLayoutVars>
          <dgm:chMax val="0"/>
          <dgm:chPref val="0"/>
          <dgm:bulletEnabled val="1"/>
        </dgm:presLayoutVars>
      </dgm:prSet>
      <dgm:spPr/>
      <dgm:t>
        <a:bodyPr/>
        <a:lstStyle/>
        <a:p>
          <a:endParaRPr lang="ro-RO"/>
        </a:p>
      </dgm:t>
    </dgm:pt>
    <dgm:pt modelId="{FCC5D587-9B4D-45D5-9FD6-23E94194DF0D}" type="pres">
      <dgm:prSet presAssocID="{253A9486-EBF8-4672-9A1D-BD804214D1F5}" presName="Parent1" presStyleLbl="revTx" presStyleIdx="1" presStyleCnt="6" custLinFactNeighborY="-18769">
        <dgm:presLayoutVars>
          <dgm:chMax val="1"/>
          <dgm:chPref val="1"/>
          <dgm:bulletEnabled val="1"/>
        </dgm:presLayoutVars>
      </dgm:prSet>
      <dgm:spPr/>
      <dgm:t>
        <a:bodyPr/>
        <a:lstStyle/>
        <a:p>
          <a:endParaRPr lang="ro-RO"/>
        </a:p>
      </dgm:t>
    </dgm:pt>
    <dgm:pt modelId="{0299865F-7647-4F8E-8922-86E15A841FC8}" type="pres">
      <dgm:prSet presAssocID="{54CBEA9C-1083-4DCB-B0E1-F37B3B6C9AEE}" presName="Accent2" presStyleCnt="0"/>
      <dgm:spPr/>
      <dgm:t>
        <a:bodyPr/>
        <a:lstStyle/>
        <a:p>
          <a:endParaRPr lang="ro-RO"/>
        </a:p>
      </dgm:t>
    </dgm:pt>
    <dgm:pt modelId="{4CC16315-2F18-45F5-9D37-EA0403645FC6}" type="pres">
      <dgm:prSet presAssocID="{54CBEA9C-1083-4DCB-B0E1-F37B3B6C9AEE}" presName="Accent" presStyleLbl="node1" presStyleIdx="1" presStyleCnt="5"/>
      <dgm:spPr>
        <a:xfrm>
          <a:off x="385729" y="627316"/>
          <a:ext cx="1091757" cy="1091812"/>
        </a:xfrm>
        <a:prstGeom prst="leftCircularArrow">
          <a:avLst>
            <a:gd name="adj1" fmla="val 10980"/>
            <a:gd name="adj2" fmla="val 1142322"/>
            <a:gd name="adj3" fmla="val 6300000"/>
            <a:gd name="adj4" fmla="val 18900000"/>
            <a:gd name="adj5" fmla="val 125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o-RO"/>
        </a:p>
      </dgm:t>
    </dgm:pt>
    <dgm:pt modelId="{8CAEFDC1-5ACF-49B1-8B03-E24FFFE5704C}" type="pres">
      <dgm:prSet presAssocID="{54CBEA9C-1083-4DCB-B0E1-F37B3B6C9AEE}" presName="Parent2" presStyleLbl="revTx" presStyleIdx="2" presStyleCnt="6">
        <dgm:presLayoutVars>
          <dgm:chMax val="1"/>
          <dgm:chPref val="1"/>
          <dgm:bulletEnabled val="1"/>
        </dgm:presLayoutVars>
      </dgm:prSet>
      <dgm:spPr/>
      <dgm:t>
        <a:bodyPr/>
        <a:lstStyle/>
        <a:p>
          <a:endParaRPr lang="ro-RO"/>
        </a:p>
      </dgm:t>
    </dgm:pt>
    <dgm:pt modelId="{679819F9-64DD-41E0-97E6-5F1A833B6595}" type="pres">
      <dgm:prSet presAssocID="{96D69B97-F986-4764-A312-E58C8C3ED496}" presName="Accent3" presStyleCnt="0"/>
      <dgm:spPr/>
      <dgm:t>
        <a:bodyPr/>
        <a:lstStyle/>
        <a:p>
          <a:endParaRPr lang="ro-RO"/>
        </a:p>
      </dgm:t>
    </dgm:pt>
    <dgm:pt modelId="{2BA164CC-F9FA-4971-8301-711E915928F0}" type="pres">
      <dgm:prSet presAssocID="{96D69B97-F986-4764-A312-E58C8C3ED496}" presName="Accent" presStyleLbl="node1" presStyleIdx="2" presStyleCnt="5"/>
      <dgm:spPr>
        <a:xfrm>
          <a:off x="689029" y="1257452"/>
          <a:ext cx="1091757" cy="1091812"/>
        </a:xfrm>
        <a:prstGeom prst="circularArrow">
          <a:avLst>
            <a:gd name="adj1" fmla="val 10980"/>
            <a:gd name="adj2" fmla="val 1142322"/>
            <a:gd name="adj3" fmla="val 4500000"/>
            <a:gd name="adj4" fmla="val 13500000"/>
            <a:gd name="adj5" fmla="val 125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o-RO"/>
        </a:p>
      </dgm:t>
    </dgm:pt>
    <dgm:pt modelId="{A367D619-88FC-45CF-96C4-877BCD1F3410}" type="pres">
      <dgm:prSet presAssocID="{96D69B97-F986-4764-A312-E58C8C3ED496}" presName="Parent3" presStyleLbl="revTx" presStyleIdx="3" presStyleCnt="6">
        <dgm:presLayoutVars>
          <dgm:chMax val="1"/>
          <dgm:chPref val="1"/>
          <dgm:bulletEnabled val="1"/>
        </dgm:presLayoutVars>
      </dgm:prSet>
      <dgm:spPr/>
      <dgm:t>
        <a:bodyPr/>
        <a:lstStyle/>
        <a:p>
          <a:endParaRPr lang="ro-RO"/>
        </a:p>
      </dgm:t>
    </dgm:pt>
    <dgm:pt modelId="{C7503D7A-D5CD-4E81-A99F-9B4D891A9FF6}" type="pres">
      <dgm:prSet presAssocID="{83FE6A83-B4D0-4A2C-A9C4-2F9FFA0A479D}" presName="Accent4" presStyleCnt="0"/>
      <dgm:spPr/>
      <dgm:t>
        <a:bodyPr/>
        <a:lstStyle/>
        <a:p>
          <a:endParaRPr lang="ro-RO"/>
        </a:p>
      </dgm:t>
    </dgm:pt>
    <dgm:pt modelId="{52C92EDA-8F7F-4A78-8FE1-C1B7210D02CF}" type="pres">
      <dgm:prSet presAssocID="{83FE6A83-B4D0-4A2C-A9C4-2F9FFA0A479D}" presName="Accent" presStyleLbl="node1" presStyleIdx="3" presStyleCnt="5"/>
      <dgm:spPr>
        <a:xfrm>
          <a:off x="385729" y="1885826"/>
          <a:ext cx="1091757" cy="1091812"/>
        </a:xfrm>
        <a:prstGeom prst="leftCircularArrow">
          <a:avLst>
            <a:gd name="adj1" fmla="val 10980"/>
            <a:gd name="adj2" fmla="val 1142322"/>
            <a:gd name="adj3" fmla="val 6300000"/>
            <a:gd name="adj4" fmla="val 18900000"/>
            <a:gd name="adj5" fmla="val 12500"/>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o-RO"/>
        </a:p>
      </dgm:t>
    </dgm:pt>
    <dgm:pt modelId="{9D43915C-20BA-4E45-B5CB-592BA95FCE4F}" type="pres">
      <dgm:prSet presAssocID="{83FE6A83-B4D0-4A2C-A9C4-2F9FFA0A479D}" presName="Parent4" presStyleLbl="revTx" presStyleIdx="4" presStyleCnt="6">
        <dgm:presLayoutVars>
          <dgm:chMax val="1"/>
          <dgm:chPref val="1"/>
          <dgm:bulletEnabled val="1"/>
        </dgm:presLayoutVars>
      </dgm:prSet>
      <dgm:spPr/>
      <dgm:t>
        <a:bodyPr/>
        <a:lstStyle/>
        <a:p>
          <a:endParaRPr lang="ro-RO"/>
        </a:p>
      </dgm:t>
    </dgm:pt>
    <dgm:pt modelId="{5925B896-A0FD-40D7-AE65-CD25AB2D6B66}" type="pres">
      <dgm:prSet presAssocID="{9961646A-F94E-43A2-840D-E0F0B8509E45}" presName="Accent5" presStyleCnt="0"/>
      <dgm:spPr/>
      <dgm:t>
        <a:bodyPr/>
        <a:lstStyle/>
        <a:p>
          <a:endParaRPr lang="ro-RO"/>
        </a:p>
      </dgm:t>
    </dgm:pt>
    <dgm:pt modelId="{A3018907-9C72-47F2-94AE-D5B701F16380}" type="pres">
      <dgm:prSet presAssocID="{9961646A-F94E-43A2-840D-E0F0B8509E45}" presName="Accent" presStyleLbl="node1" presStyleIdx="4" presStyleCnt="5"/>
      <dgm:spPr>
        <a:xfrm>
          <a:off x="766646" y="2585742"/>
          <a:ext cx="937957" cy="938507"/>
        </a:xfrm>
        <a:prstGeom prst="blockArc">
          <a:avLst>
            <a:gd name="adj1" fmla="val 13500000"/>
            <a:gd name="adj2" fmla="val 10800000"/>
            <a:gd name="adj3" fmla="val 12740"/>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o-RO"/>
        </a:p>
      </dgm:t>
    </dgm:pt>
    <dgm:pt modelId="{E42D9D15-AF0C-4B2F-9535-894A7E1CEEAE}" type="pres">
      <dgm:prSet presAssocID="{9961646A-F94E-43A2-840D-E0F0B8509E45}" presName="Parent5" presStyleLbl="revTx" presStyleIdx="5" presStyleCnt="6">
        <dgm:presLayoutVars>
          <dgm:chMax val="1"/>
          <dgm:chPref val="1"/>
          <dgm:bulletEnabled val="1"/>
        </dgm:presLayoutVars>
      </dgm:prSet>
      <dgm:spPr/>
      <dgm:t>
        <a:bodyPr/>
        <a:lstStyle/>
        <a:p>
          <a:endParaRPr lang="ro-RO"/>
        </a:p>
      </dgm:t>
    </dgm:pt>
  </dgm:ptLst>
  <dgm:cxnLst>
    <dgm:cxn modelId="{E588ECDD-8175-4332-B238-6D2E9B84DEF9}" type="presOf" srcId="{EF2F112B-5313-4B13-A21A-C3D7487E0741}" destId="{3D6F7E3F-064E-4234-8E8B-3595BC55F844}" srcOrd="0" destOrd="0" presId="urn:microsoft.com/office/officeart/2009/layout/CircleArrowProcess"/>
    <dgm:cxn modelId="{95E0C472-8289-4790-AD97-DEE7C5770C8D}" type="presOf" srcId="{9961646A-F94E-43A2-840D-E0F0B8509E45}" destId="{E42D9D15-AF0C-4B2F-9535-894A7E1CEEAE}" srcOrd="0" destOrd="0" presId="urn:microsoft.com/office/officeart/2009/layout/CircleArrowProcess"/>
    <dgm:cxn modelId="{DEFE02BA-F5C1-40FA-BA1A-500E8A2550A7}" srcId="{EF2F112B-5313-4B13-A21A-C3D7487E0741}" destId="{253A9486-EBF8-4672-9A1D-BD804214D1F5}" srcOrd="0" destOrd="0" parTransId="{A7859ACE-6EA4-4C88-B2B3-BE369CEF2200}" sibTransId="{4FE01626-267F-4F60-82AC-1EFDD6A1F6F5}"/>
    <dgm:cxn modelId="{5D9F1D29-9E08-48F4-9DC8-C83D2C0ED4FE}" type="presOf" srcId="{83FE6A83-B4D0-4A2C-A9C4-2F9FFA0A479D}" destId="{9D43915C-20BA-4E45-B5CB-592BA95FCE4F}" srcOrd="0" destOrd="0" presId="urn:microsoft.com/office/officeart/2009/layout/CircleArrowProcess"/>
    <dgm:cxn modelId="{18A6FC18-2AB4-4D91-8C5B-599E80586517}" srcId="{EF2F112B-5313-4B13-A21A-C3D7487E0741}" destId="{96D69B97-F986-4764-A312-E58C8C3ED496}" srcOrd="2" destOrd="0" parTransId="{71A777B8-0D03-4FEF-8D13-1E723FD60A71}" sibTransId="{E2F464E7-D524-4D54-99A1-1FAFD25192DA}"/>
    <dgm:cxn modelId="{9F134860-91DC-4F2E-BDBF-CC43F7996517}" type="presOf" srcId="{253A9486-EBF8-4672-9A1D-BD804214D1F5}" destId="{FCC5D587-9B4D-45D5-9FD6-23E94194DF0D}" srcOrd="0" destOrd="0" presId="urn:microsoft.com/office/officeart/2009/layout/CircleArrowProcess"/>
    <dgm:cxn modelId="{8A2136F1-4DFF-4DC9-8BBC-5B9E35A9BBA3}" srcId="{EF2F112B-5313-4B13-A21A-C3D7487E0741}" destId="{83FE6A83-B4D0-4A2C-A9C4-2F9FFA0A479D}" srcOrd="3" destOrd="0" parTransId="{D27D5BF4-7245-460C-AD64-22C021355D76}" sibTransId="{5639BFBF-58D8-4849-B78F-93AB774DD14E}"/>
    <dgm:cxn modelId="{D4DE25AC-3BF9-4E22-825B-6597905AFE38}" srcId="{EF2F112B-5313-4B13-A21A-C3D7487E0741}" destId="{9961646A-F94E-43A2-840D-E0F0B8509E45}" srcOrd="4" destOrd="0" parTransId="{6FFAC5E0-4384-4FED-9F92-867BDBCE86AC}" sibTransId="{D9422F90-A190-4F97-ADDB-81AB03CF04AB}"/>
    <dgm:cxn modelId="{E31960E1-EEC4-42B5-90ED-CE1A0F2A89C7}" type="presOf" srcId="{96D69B97-F986-4764-A312-E58C8C3ED496}" destId="{A367D619-88FC-45CF-96C4-877BCD1F3410}" srcOrd="0" destOrd="0" presId="urn:microsoft.com/office/officeart/2009/layout/CircleArrowProcess"/>
    <dgm:cxn modelId="{5CF1AA65-94E0-4EBF-A98E-0F1E954BD8E8}" type="presOf" srcId="{005773A6-FD1B-401D-9467-45FD2451D4AA}" destId="{F4025A24-3A5D-4666-A195-E923B3A4637F}" srcOrd="0" destOrd="0" presId="urn:microsoft.com/office/officeart/2009/layout/CircleArrowProcess"/>
    <dgm:cxn modelId="{2113E4F3-3BDF-43CE-BBAB-5DEA089674A4}" srcId="{EF2F112B-5313-4B13-A21A-C3D7487E0741}" destId="{54CBEA9C-1083-4DCB-B0E1-F37B3B6C9AEE}" srcOrd="1" destOrd="0" parTransId="{41F4A1D4-32D6-4753-8580-807F1381C230}" sibTransId="{C545B874-1FEE-419E-B570-BD409613CC62}"/>
    <dgm:cxn modelId="{5FADFEC5-E5E3-4200-AE9A-2DA8780D80E4}" srcId="{253A9486-EBF8-4672-9A1D-BD804214D1F5}" destId="{005773A6-FD1B-401D-9467-45FD2451D4AA}" srcOrd="0" destOrd="0" parTransId="{8DD3467A-FA41-46D7-AE73-B60ABC307AD0}" sibTransId="{EB33ACFD-3C6A-4C45-97A8-ABB8BE2A8687}"/>
    <dgm:cxn modelId="{E0D1DBFF-814C-4C52-BDF8-361BE0A90BBD}" type="presOf" srcId="{54CBEA9C-1083-4DCB-B0E1-F37B3B6C9AEE}" destId="{8CAEFDC1-5ACF-49B1-8B03-E24FFFE5704C}" srcOrd="0" destOrd="0" presId="urn:microsoft.com/office/officeart/2009/layout/CircleArrowProcess"/>
    <dgm:cxn modelId="{1CB6A6A3-12C0-47D9-BEED-D79391CD995F}" type="presParOf" srcId="{3D6F7E3F-064E-4234-8E8B-3595BC55F844}" destId="{C087B9DC-0DC7-464C-B8B6-E0A361099840}" srcOrd="0" destOrd="0" presId="urn:microsoft.com/office/officeart/2009/layout/CircleArrowProcess"/>
    <dgm:cxn modelId="{A8213701-906B-4944-8589-9A0D384205F5}" type="presParOf" srcId="{C087B9DC-0DC7-464C-B8B6-E0A361099840}" destId="{E94281F1-F460-4F51-8DF7-C7BCDE8899F3}" srcOrd="0" destOrd="0" presId="urn:microsoft.com/office/officeart/2009/layout/CircleArrowProcess"/>
    <dgm:cxn modelId="{33C442F5-0312-4B74-A2C7-5E53B3F5DB54}" type="presParOf" srcId="{3D6F7E3F-064E-4234-8E8B-3595BC55F844}" destId="{F4025A24-3A5D-4666-A195-E923B3A4637F}" srcOrd="1" destOrd="0" presId="urn:microsoft.com/office/officeart/2009/layout/CircleArrowProcess"/>
    <dgm:cxn modelId="{7A174CCB-8CE9-4F5F-9F23-E66475C22C2D}" type="presParOf" srcId="{3D6F7E3F-064E-4234-8E8B-3595BC55F844}" destId="{FCC5D587-9B4D-45D5-9FD6-23E94194DF0D}" srcOrd="2" destOrd="0" presId="urn:microsoft.com/office/officeart/2009/layout/CircleArrowProcess"/>
    <dgm:cxn modelId="{5A695E57-D580-4A28-85B9-EBF62A242A84}" type="presParOf" srcId="{3D6F7E3F-064E-4234-8E8B-3595BC55F844}" destId="{0299865F-7647-4F8E-8922-86E15A841FC8}" srcOrd="3" destOrd="0" presId="urn:microsoft.com/office/officeart/2009/layout/CircleArrowProcess"/>
    <dgm:cxn modelId="{A05CD03C-84A7-4B20-B473-092724CB1B9F}" type="presParOf" srcId="{0299865F-7647-4F8E-8922-86E15A841FC8}" destId="{4CC16315-2F18-45F5-9D37-EA0403645FC6}" srcOrd="0" destOrd="0" presId="urn:microsoft.com/office/officeart/2009/layout/CircleArrowProcess"/>
    <dgm:cxn modelId="{57CC43A8-F191-43F1-A21C-D0A6E6F28955}" type="presParOf" srcId="{3D6F7E3F-064E-4234-8E8B-3595BC55F844}" destId="{8CAEFDC1-5ACF-49B1-8B03-E24FFFE5704C}" srcOrd="4" destOrd="0" presId="urn:microsoft.com/office/officeart/2009/layout/CircleArrowProcess"/>
    <dgm:cxn modelId="{06BBDD7C-7D44-43C5-83A9-AC749AC0EC1E}" type="presParOf" srcId="{3D6F7E3F-064E-4234-8E8B-3595BC55F844}" destId="{679819F9-64DD-41E0-97E6-5F1A833B6595}" srcOrd="5" destOrd="0" presId="urn:microsoft.com/office/officeart/2009/layout/CircleArrowProcess"/>
    <dgm:cxn modelId="{B512BF90-0D9B-421D-A709-F79EAA162379}" type="presParOf" srcId="{679819F9-64DD-41E0-97E6-5F1A833B6595}" destId="{2BA164CC-F9FA-4971-8301-711E915928F0}" srcOrd="0" destOrd="0" presId="urn:microsoft.com/office/officeart/2009/layout/CircleArrowProcess"/>
    <dgm:cxn modelId="{B3B48088-F57D-4520-BD32-15F8E71F671D}" type="presParOf" srcId="{3D6F7E3F-064E-4234-8E8B-3595BC55F844}" destId="{A367D619-88FC-45CF-96C4-877BCD1F3410}" srcOrd="6" destOrd="0" presId="urn:microsoft.com/office/officeart/2009/layout/CircleArrowProcess"/>
    <dgm:cxn modelId="{54CFF9AB-C29D-4C00-BD94-D6D182FFD53E}" type="presParOf" srcId="{3D6F7E3F-064E-4234-8E8B-3595BC55F844}" destId="{C7503D7A-D5CD-4E81-A99F-9B4D891A9FF6}" srcOrd="7" destOrd="0" presId="urn:microsoft.com/office/officeart/2009/layout/CircleArrowProcess"/>
    <dgm:cxn modelId="{3CB927EA-118D-4A27-848C-0481F4431A90}" type="presParOf" srcId="{C7503D7A-D5CD-4E81-A99F-9B4D891A9FF6}" destId="{52C92EDA-8F7F-4A78-8FE1-C1B7210D02CF}" srcOrd="0" destOrd="0" presId="urn:microsoft.com/office/officeart/2009/layout/CircleArrowProcess"/>
    <dgm:cxn modelId="{491F47CB-3B05-4B28-BBF9-CA8DFFD73201}" type="presParOf" srcId="{3D6F7E3F-064E-4234-8E8B-3595BC55F844}" destId="{9D43915C-20BA-4E45-B5CB-592BA95FCE4F}" srcOrd="8" destOrd="0" presId="urn:microsoft.com/office/officeart/2009/layout/CircleArrowProcess"/>
    <dgm:cxn modelId="{0069C948-DBE6-4F46-ACB9-78DF6C6D9D6F}" type="presParOf" srcId="{3D6F7E3F-064E-4234-8E8B-3595BC55F844}" destId="{5925B896-A0FD-40D7-AE65-CD25AB2D6B66}" srcOrd="9" destOrd="0" presId="urn:microsoft.com/office/officeart/2009/layout/CircleArrowProcess"/>
    <dgm:cxn modelId="{E161B202-5A23-49D3-8086-5FAF9B74A0E9}" type="presParOf" srcId="{5925B896-A0FD-40D7-AE65-CD25AB2D6B66}" destId="{A3018907-9C72-47F2-94AE-D5B701F16380}" srcOrd="0" destOrd="0" presId="urn:microsoft.com/office/officeart/2009/layout/CircleArrowProcess"/>
    <dgm:cxn modelId="{48B3907D-B842-4602-839B-722191C4F21F}" type="presParOf" srcId="{3D6F7E3F-064E-4234-8E8B-3595BC55F844}" destId="{E42D9D15-AF0C-4B2F-9535-894A7E1CEEAE}" srcOrd="10" destOrd="0" presId="urn:microsoft.com/office/officeart/2009/layout/CircleArrowProcess"/>
  </dgm:cxnLst>
  <dgm:bg>
    <a:solidFill>
      <a:schemeClr val="accent1">
        <a:lumMod val="20000"/>
        <a:lumOff val="80000"/>
      </a:schemeClr>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EF7611-C99A-4693-93AC-AD85D2735218}" type="doc">
      <dgm:prSet loTypeId="urn:microsoft.com/office/officeart/2009/3/layout/RandomtoResultProcess" loCatId="process" qsTypeId="urn:microsoft.com/office/officeart/2005/8/quickstyle/3d1" qsCatId="3D" csTypeId="urn:microsoft.com/office/officeart/2005/8/colors/accent2_2" csCatId="accent2" phldr="1"/>
      <dgm:spPr/>
      <dgm:t>
        <a:bodyPr/>
        <a:lstStyle/>
        <a:p>
          <a:endParaRPr lang="ro-RO"/>
        </a:p>
      </dgm:t>
    </dgm:pt>
    <dgm:pt modelId="{0B32ECF4-C0D3-42A2-9C6B-74920395AA1E}">
      <dgm:prSet phldrT="[Text]" custT="1"/>
      <dgm:spPr>
        <a:xfrm>
          <a:off x="49946" y="896215"/>
          <a:ext cx="745489" cy="245672"/>
        </a:xfrm>
        <a:prstGeom prst="rect">
          <a:avLst/>
        </a:prstGeom>
        <a:noFill/>
        <a:ln>
          <a:noFill/>
        </a:ln>
        <a:effectLst/>
      </dgm:spPr>
      <dgm:t>
        <a:bodyPr/>
        <a:lstStyle/>
        <a:p>
          <a:r>
            <a:rPr lang="ro-RO" sz="800">
              <a:solidFill>
                <a:sysClr val="windowText" lastClr="000000">
                  <a:hueOff val="0"/>
                  <a:satOff val="0"/>
                  <a:lumOff val="0"/>
                  <a:alphaOff val="0"/>
                </a:sysClr>
              </a:solidFill>
              <a:latin typeface="Arial Narrow" panose="020B0606020202030204" pitchFamily="34" charset="0"/>
              <a:ea typeface="+mn-ea"/>
              <a:cs typeface="+mn-cs"/>
            </a:rPr>
            <a:t>Resurse</a:t>
          </a:r>
          <a:r>
            <a:rPr lang="ro-RO" sz="500">
              <a:solidFill>
                <a:sysClr val="windowText" lastClr="000000">
                  <a:hueOff val="0"/>
                  <a:satOff val="0"/>
                  <a:lumOff val="0"/>
                  <a:alphaOff val="0"/>
                </a:sysClr>
              </a:solidFill>
              <a:latin typeface="Arial Narrow" panose="020B0606020202030204" pitchFamily="34" charset="0"/>
              <a:ea typeface="+mn-ea"/>
              <a:cs typeface="+mn-cs"/>
            </a:rPr>
            <a:t> </a:t>
          </a:r>
          <a:r>
            <a:rPr lang="ro-RO" sz="800">
              <a:solidFill>
                <a:sysClr val="windowText" lastClr="000000">
                  <a:hueOff val="0"/>
                  <a:satOff val="0"/>
                  <a:lumOff val="0"/>
                  <a:alphaOff val="0"/>
                </a:sysClr>
              </a:solidFill>
              <a:latin typeface="Arial Narrow" panose="020B0606020202030204" pitchFamily="34" charset="0"/>
              <a:ea typeface="+mn-ea"/>
              <a:cs typeface="+mn-cs"/>
            </a:rPr>
            <a:t>naturale</a:t>
          </a:r>
          <a:endParaRPr lang="ro-RO" sz="500">
            <a:solidFill>
              <a:sysClr val="windowText" lastClr="000000">
                <a:hueOff val="0"/>
                <a:satOff val="0"/>
                <a:lumOff val="0"/>
                <a:alphaOff val="0"/>
              </a:sysClr>
            </a:solidFill>
            <a:latin typeface="Arial Narrow" panose="020B0606020202030204" pitchFamily="34" charset="0"/>
            <a:ea typeface="+mn-ea"/>
            <a:cs typeface="+mn-cs"/>
          </a:endParaRPr>
        </a:p>
      </dgm:t>
    </dgm:pt>
    <dgm:pt modelId="{7534B86A-C00A-4803-B5F2-5092B35BFB34}" type="parTrans" cxnId="{6D06E943-8D06-450F-A092-36102E85BDE1}">
      <dgm:prSet/>
      <dgm:spPr/>
      <dgm:t>
        <a:bodyPr/>
        <a:lstStyle/>
        <a:p>
          <a:endParaRPr lang="ro-RO" sz="1400">
            <a:solidFill>
              <a:schemeClr val="bg1"/>
            </a:solidFill>
          </a:endParaRPr>
        </a:p>
      </dgm:t>
    </dgm:pt>
    <dgm:pt modelId="{9A1EFD7C-A2CF-4C8E-AC17-C6DA0655683F}" type="sibTrans" cxnId="{6D06E943-8D06-450F-A092-36102E85BDE1}">
      <dgm:prSet/>
      <dgm:spPr/>
      <dgm:t>
        <a:bodyPr/>
        <a:lstStyle/>
        <a:p>
          <a:endParaRPr lang="ro-RO" sz="1400">
            <a:solidFill>
              <a:schemeClr val="bg1"/>
            </a:solidFill>
          </a:endParaRPr>
        </a:p>
      </dgm:t>
    </dgm:pt>
    <dgm:pt modelId="{CD2C17BE-8E15-4676-BCCB-C65096C28CDE}">
      <dgm:prSet phldrT="[Text]" custT="1"/>
      <dgm:spPr>
        <a:xfrm>
          <a:off x="49946" y="1414254"/>
          <a:ext cx="745489" cy="460270"/>
        </a:xfrm>
        <a:prstGeom prst="rect">
          <a:avLst/>
        </a:prstGeom>
        <a:noFill/>
        <a:ln>
          <a:noFill/>
        </a:ln>
        <a:effectLst/>
      </dgm:spPr>
      <dgm:t>
        <a:bodyPr/>
        <a:lstStyle/>
        <a:p>
          <a:pPr>
            <a:lnSpc>
              <a:spcPct val="100000"/>
            </a:lnSpc>
            <a:spcAft>
              <a:spcPts val="0"/>
            </a:spcAft>
          </a:pPr>
          <a:endParaRPr lang="ro-RO" sz="700" b="1">
            <a:solidFill>
              <a:sysClr val="windowText" lastClr="000000">
                <a:hueOff val="0"/>
                <a:satOff val="0"/>
                <a:lumOff val="0"/>
                <a:alphaOff val="0"/>
              </a:sysClr>
            </a:solidFill>
            <a:latin typeface="Arial Narrow" panose="020B0606020202030204" pitchFamily="34" charset="0"/>
            <a:ea typeface="+mn-ea"/>
            <a:cs typeface="+mn-cs"/>
          </a:endParaRPr>
        </a:p>
      </dgm:t>
    </dgm:pt>
    <dgm:pt modelId="{9AB1F902-A8B4-4BD3-9439-313F5B14F81B}" type="parTrans" cxnId="{DF94B341-09EE-4878-A12B-FA293C0A19EA}">
      <dgm:prSet/>
      <dgm:spPr/>
      <dgm:t>
        <a:bodyPr/>
        <a:lstStyle/>
        <a:p>
          <a:endParaRPr lang="ro-RO" sz="1400">
            <a:solidFill>
              <a:schemeClr val="bg1"/>
            </a:solidFill>
          </a:endParaRPr>
        </a:p>
      </dgm:t>
    </dgm:pt>
    <dgm:pt modelId="{FF1AC0C1-0748-4F55-8544-258B771DC927}" type="sibTrans" cxnId="{DF94B341-09EE-4878-A12B-FA293C0A19EA}">
      <dgm:prSet/>
      <dgm:spPr/>
      <dgm:t>
        <a:bodyPr/>
        <a:lstStyle/>
        <a:p>
          <a:endParaRPr lang="ro-RO" sz="1400">
            <a:solidFill>
              <a:schemeClr val="bg1"/>
            </a:solidFill>
          </a:endParaRPr>
        </a:p>
      </dgm:t>
    </dgm:pt>
    <dgm:pt modelId="{2BBDED09-59FC-4F2A-937A-4EEFDD08021E}">
      <dgm:prSet phldrT="[Text]" custT="1"/>
      <dgm:spPr>
        <a:xfrm>
          <a:off x="1096727" y="755196"/>
          <a:ext cx="746385" cy="522469"/>
        </a:xfrm>
        <a:prstGeom prst="rect">
          <a:avLst/>
        </a:prstGeom>
        <a:noFill/>
        <a:ln>
          <a:noFill/>
        </a:ln>
        <a:effectLst/>
      </dgm:spPr>
      <dgm:t>
        <a:bodyPr/>
        <a:lstStyle/>
        <a:p>
          <a:r>
            <a:rPr lang="ro-RO" sz="800" b="1">
              <a:solidFill>
                <a:sysClr val="windowText" lastClr="000000">
                  <a:hueOff val="0"/>
                  <a:satOff val="0"/>
                  <a:lumOff val="0"/>
                  <a:alphaOff val="0"/>
                </a:sysClr>
              </a:solidFill>
              <a:latin typeface="Arial Narrow" panose="020B0606020202030204" pitchFamily="34" charset="0"/>
              <a:ea typeface="+mn-ea"/>
              <a:cs typeface="+mn-cs"/>
            </a:rPr>
            <a:t>Activitate econmică dezvoltată</a:t>
          </a:r>
        </a:p>
      </dgm:t>
    </dgm:pt>
    <dgm:pt modelId="{F12D505E-3F2E-4C52-8896-7C289083CA63}" type="parTrans" cxnId="{B7B3C955-6774-4B0F-BA0F-79876288DCB7}">
      <dgm:prSet/>
      <dgm:spPr/>
      <dgm:t>
        <a:bodyPr/>
        <a:lstStyle/>
        <a:p>
          <a:endParaRPr lang="ro-RO" sz="1400">
            <a:solidFill>
              <a:schemeClr val="bg1"/>
            </a:solidFill>
          </a:endParaRPr>
        </a:p>
      </dgm:t>
    </dgm:pt>
    <dgm:pt modelId="{44B9C729-CC5C-46D8-B3F4-97B0C0F52B36}" type="sibTrans" cxnId="{B7B3C955-6774-4B0F-BA0F-79876288DCB7}">
      <dgm:prSet/>
      <dgm:spPr/>
      <dgm:t>
        <a:bodyPr/>
        <a:lstStyle/>
        <a:p>
          <a:endParaRPr lang="ro-RO" sz="1400">
            <a:solidFill>
              <a:schemeClr val="bg1"/>
            </a:solidFill>
          </a:endParaRPr>
        </a:p>
      </dgm:t>
    </dgm:pt>
    <dgm:pt modelId="{927FAE49-00C9-4030-98EA-5851C740AEA7}">
      <dgm:prSet phldrT="[Text]" custT="1"/>
      <dgm:spPr>
        <a:xfrm>
          <a:off x="1096727" y="1414254"/>
          <a:ext cx="746385" cy="460270"/>
        </a:xfrm>
        <a:prstGeom prst="rect">
          <a:avLst/>
        </a:prstGeom>
        <a:noFill/>
        <a:ln>
          <a:noFill/>
        </a:ln>
        <a:effectLst/>
      </dgm:spPr>
      <dgm:t>
        <a:bodyPr/>
        <a:lstStyle/>
        <a:p>
          <a:pPr>
            <a:lnSpc>
              <a:spcPct val="100000"/>
            </a:lnSpc>
            <a:spcAft>
              <a:spcPts val="0"/>
            </a:spcAft>
          </a:pPr>
          <a:endParaRPr lang="ro-RO" sz="700" b="1">
            <a:solidFill>
              <a:sysClr val="windowText" lastClr="000000">
                <a:hueOff val="0"/>
                <a:satOff val="0"/>
                <a:lumOff val="0"/>
                <a:alphaOff val="0"/>
              </a:sysClr>
            </a:solidFill>
            <a:latin typeface="Arial Narrow" panose="020B0606020202030204" pitchFamily="34" charset="0"/>
            <a:ea typeface="+mn-ea"/>
            <a:cs typeface="+mn-cs"/>
          </a:endParaRPr>
        </a:p>
      </dgm:t>
    </dgm:pt>
    <dgm:pt modelId="{920A76F4-3C13-4E03-8657-E3840CCB1E89}" type="parTrans" cxnId="{7E11B1C8-8576-4C59-A720-597F7E636B86}">
      <dgm:prSet/>
      <dgm:spPr/>
      <dgm:t>
        <a:bodyPr/>
        <a:lstStyle/>
        <a:p>
          <a:endParaRPr lang="ro-RO" sz="1400">
            <a:solidFill>
              <a:schemeClr val="bg1"/>
            </a:solidFill>
          </a:endParaRPr>
        </a:p>
      </dgm:t>
    </dgm:pt>
    <dgm:pt modelId="{57DC3FBA-B508-4802-9607-1EB4D36C8BF4}" type="sibTrans" cxnId="{7E11B1C8-8576-4C59-A720-597F7E636B86}">
      <dgm:prSet/>
      <dgm:spPr/>
      <dgm:t>
        <a:bodyPr/>
        <a:lstStyle/>
        <a:p>
          <a:endParaRPr lang="ro-RO" sz="1400">
            <a:solidFill>
              <a:schemeClr val="bg1"/>
            </a:solidFill>
          </a:endParaRPr>
        </a:p>
      </dgm:t>
    </dgm:pt>
    <dgm:pt modelId="{DAD4FB7A-A48B-483B-9272-213CA506FBAB}">
      <dgm:prSet phldrT="[Text]" custT="1"/>
      <dgm:spPr>
        <a:xfrm>
          <a:off x="2116787" y="755196"/>
          <a:ext cx="746385" cy="522469"/>
        </a:xfrm>
        <a:prstGeom prst="rect">
          <a:avLst/>
        </a:prstGeom>
        <a:noFill/>
        <a:ln>
          <a:noFill/>
        </a:ln>
        <a:effectLst/>
      </dgm:spPr>
      <dgm:t>
        <a:bodyPr/>
        <a:lstStyle/>
        <a:p>
          <a:r>
            <a:rPr lang="ro-RO" sz="800" b="1">
              <a:solidFill>
                <a:sysClr val="windowText" lastClr="000000">
                  <a:hueOff val="0"/>
                  <a:satOff val="0"/>
                  <a:lumOff val="0"/>
                  <a:alphaOff val="0"/>
                </a:sysClr>
              </a:solidFill>
              <a:latin typeface="Arial Narrow" panose="020B0606020202030204" pitchFamily="34" charset="0"/>
              <a:ea typeface="+mn-ea"/>
              <a:cs typeface="+mn-cs"/>
            </a:rPr>
            <a:t>Dezvoltarea sustenabilă prin activități de CDI</a:t>
          </a:r>
        </a:p>
      </dgm:t>
    </dgm:pt>
    <dgm:pt modelId="{9E1A6F20-5E30-4E2B-AD5B-483227CAB07B}" type="parTrans" cxnId="{B509D931-5B40-48F6-AF5A-C8F237D339B6}">
      <dgm:prSet/>
      <dgm:spPr/>
      <dgm:t>
        <a:bodyPr/>
        <a:lstStyle/>
        <a:p>
          <a:endParaRPr lang="ro-RO" sz="1400">
            <a:solidFill>
              <a:schemeClr val="bg1"/>
            </a:solidFill>
          </a:endParaRPr>
        </a:p>
      </dgm:t>
    </dgm:pt>
    <dgm:pt modelId="{B3FE64DD-4C2A-4E09-8F4B-03974D79C6C5}" type="sibTrans" cxnId="{B509D931-5B40-48F6-AF5A-C8F237D339B6}">
      <dgm:prSet/>
      <dgm:spPr/>
      <dgm:t>
        <a:bodyPr/>
        <a:lstStyle/>
        <a:p>
          <a:endParaRPr lang="ro-RO" sz="1400">
            <a:solidFill>
              <a:schemeClr val="bg1"/>
            </a:solidFill>
          </a:endParaRPr>
        </a:p>
      </dgm:t>
    </dgm:pt>
    <dgm:pt modelId="{C5F99822-4264-4E80-8DBE-FF593B5F72CF}">
      <dgm:prSet/>
      <dgm:spPr>
        <a:xfrm>
          <a:off x="3166702" y="711764"/>
          <a:ext cx="634427" cy="634427"/>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o-RO" b="1">
              <a:solidFill>
                <a:sysClr val="window" lastClr="FFFFFF"/>
              </a:solidFill>
              <a:latin typeface="Calibri" panose="020F0502020204030204"/>
              <a:ea typeface="+mn-ea"/>
              <a:cs typeface="+mn-cs"/>
            </a:rPr>
            <a:t>materiale și produse lemoase  avansate</a:t>
          </a:r>
        </a:p>
      </dgm:t>
    </dgm:pt>
    <dgm:pt modelId="{DA9E902C-7E9A-407F-AE52-FB13ADEC4060}" type="parTrans" cxnId="{20E88AD8-C216-451A-BAC3-628D82FABED1}">
      <dgm:prSet/>
      <dgm:spPr/>
      <dgm:t>
        <a:bodyPr/>
        <a:lstStyle/>
        <a:p>
          <a:endParaRPr lang="ro-RO"/>
        </a:p>
      </dgm:t>
    </dgm:pt>
    <dgm:pt modelId="{11CE1ED4-AA3D-4B27-8116-782B3F1188C6}" type="sibTrans" cxnId="{20E88AD8-C216-451A-BAC3-628D82FABED1}">
      <dgm:prSet/>
      <dgm:spPr/>
      <dgm:t>
        <a:bodyPr/>
        <a:lstStyle/>
        <a:p>
          <a:endParaRPr lang="ro-RO"/>
        </a:p>
      </dgm:t>
    </dgm:pt>
    <dgm:pt modelId="{263036DA-6CF4-48CC-A705-8F729B188506}" type="pres">
      <dgm:prSet presAssocID="{9CEF7611-C99A-4693-93AC-AD85D2735218}" presName="Name0" presStyleCnt="0">
        <dgm:presLayoutVars>
          <dgm:dir/>
          <dgm:animOne val="branch"/>
          <dgm:animLvl val="lvl"/>
        </dgm:presLayoutVars>
      </dgm:prSet>
      <dgm:spPr/>
      <dgm:t>
        <a:bodyPr/>
        <a:lstStyle/>
        <a:p>
          <a:endParaRPr lang="ro-RO"/>
        </a:p>
      </dgm:t>
    </dgm:pt>
    <dgm:pt modelId="{B20DF58B-280E-4707-B1A2-E36984C92DB8}" type="pres">
      <dgm:prSet presAssocID="{0B32ECF4-C0D3-42A2-9C6B-74920395AA1E}" presName="chaos" presStyleCnt="0"/>
      <dgm:spPr/>
      <dgm:t>
        <a:bodyPr/>
        <a:lstStyle/>
        <a:p>
          <a:endParaRPr lang="ro-RO"/>
        </a:p>
      </dgm:t>
    </dgm:pt>
    <dgm:pt modelId="{EFEF4695-CEDF-4ABC-B80C-2E809B7B4064}" type="pres">
      <dgm:prSet presAssocID="{0B32ECF4-C0D3-42A2-9C6B-74920395AA1E}" presName="parTx1" presStyleLbl="revTx" presStyleIdx="0" presStyleCnt="5"/>
      <dgm:spPr>
        <a:prstGeom prst="rect">
          <a:avLst/>
        </a:prstGeom>
      </dgm:spPr>
      <dgm:t>
        <a:bodyPr/>
        <a:lstStyle/>
        <a:p>
          <a:endParaRPr lang="ro-RO"/>
        </a:p>
      </dgm:t>
    </dgm:pt>
    <dgm:pt modelId="{70DAC1BA-2AFB-4A7F-8B7C-8900BFAA6B91}" type="pres">
      <dgm:prSet presAssocID="{0B32ECF4-C0D3-42A2-9C6B-74920395AA1E}" presName="desTx1" presStyleLbl="revTx" presStyleIdx="1" presStyleCnt="5">
        <dgm:presLayoutVars>
          <dgm:bulletEnabled val="1"/>
        </dgm:presLayoutVars>
      </dgm:prSet>
      <dgm:spPr>
        <a:prstGeom prst="rect">
          <a:avLst/>
        </a:prstGeom>
      </dgm:spPr>
      <dgm:t>
        <a:bodyPr/>
        <a:lstStyle/>
        <a:p>
          <a:endParaRPr lang="ro-RO"/>
        </a:p>
      </dgm:t>
    </dgm:pt>
    <dgm:pt modelId="{CEC947E9-BEF5-4D3D-B2CD-696517ECB8AF}" type="pres">
      <dgm:prSet presAssocID="{0B32ECF4-C0D3-42A2-9C6B-74920395AA1E}" presName="c1" presStyleLbl="node1" presStyleIdx="0" presStyleCnt="19"/>
      <dgm:spPr>
        <a:xfrm>
          <a:off x="49099" y="821496"/>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2AD265C9-544A-43D5-B095-EDBA15875CB7}" type="pres">
      <dgm:prSet presAssocID="{0B32ECF4-C0D3-42A2-9C6B-74920395AA1E}" presName="c2" presStyleLbl="node1" presStyleIdx="1" presStyleCnt="19"/>
      <dgm:spPr>
        <a:xfrm>
          <a:off x="90609" y="738476"/>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59431F09-C98A-46C7-95A7-ACF9FD82C8BB}" type="pres">
      <dgm:prSet presAssocID="{0B32ECF4-C0D3-42A2-9C6B-74920395AA1E}" presName="c3" presStyleLbl="node1" presStyleIdx="2" presStyleCnt="19"/>
      <dgm:spPr>
        <a:xfrm>
          <a:off x="190234" y="755080"/>
          <a:ext cx="93186" cy="931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A29C47D2-84DA-40D0-AA37-895856CC8A71}" type="pres">
      <dgm:prSet presAssocID="{0B32ECF4-C0D3-42A2-9C6B-74920395AA1E}" presName="c4" presStyleLbl="node1" presStyleIdx="3" presStyleCnt="19"/>
      <dgm:spPr>
        <a:xfrm>
          <a:off x="273254" y="663758"/>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CAA439A7-2B1F-435F-B454-CC4358C55351}" type="pres">
      <dgm:prSet presAssocID="{0B32ECF4-C0D3-42A2-9C6B-74920395AA1E}" presName="c5" presStyleLbl="node1" presStyleIdx="4" presStyleCnt="19"/>
      <dgm:spPr>
        <a:xfrm>
          <a:off x="381181" y="630549"/>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D0D9A607-ED98-42AE-8AE0-87842C3D528B}" type="pres">
      <dgm:prSet presAssocID="{0B32ECF4-C0D3-42A2-9C6B-74920395AA1E}" presName="c6" presStyleLbl="node1" presStyleIdx="5" presStyleCnt="19"/>
      <dgm:spPr>
        <a:xfrm>
          <a:off x="514014" y="688664"/>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A42C8669-286F-433E-910B-42A3A373ED16}" type="pres">
      <dgm:prSet presAssocID="{0B32ECF4-C0D3-42A2-9C6B-74920395AA1E}" presName="c7" presStyleLbl="node1" presStyleIdx="6" presStyleCnt="19"/>
      <dgm:spPr>
        <a:xfrm>
          <a:off x="597034" y="730174"/>
          <a:ext cx="93186" cy="931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C1BD2463-7C48-48AF-B0AC-D386731995E8}" type="pres">
      <dgm:prSet presAssocID="{0B32ECF4-C0D3-42A2-9C6B-74920395AA1E}" presName="c8" presStyleLbl="node1" presStyleIdx="7" presStyleCnt="19"/>
      <dgm:spPr>
        <a:xfrm>
          <a:off x="713263" y="821496"/>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F376A130-745E-4BD0-891B-389708B21AA0}" type="pres">
      <dgm:prSet presAssocID="{0B32ECF4-C0D3-42A2-9C6B-74920395AA1E}" presName="c9" presStyleLbl="node1" presStyleIdx="8" presStyleCnt="19"/>
      <dgm:spPr>
        <a:xfrm>
          <a:off x="763075" y="912819"/>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242D4126-E985-4CF0-A72A-8D5FA1C256CA}" type="pres">
      <dgm:prSet presAssocID="{0B32ECF4-C0D3-42A2-9C6B-74920395AA1E}" presName="c10" presStyleLbl="node1" presStyleIdx="9" presStyleCnt="19"/>
      <dgm:spPr>
        <a:xfrm>
          <a:off x="331369" y="738476"/>
          <a:ext cx="152486" cy="1524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32D1F802-A7F5-4D72-A11D-98DA46D3BC76}" type="pres">
      <dgm:prSet presAssocID="{0B32ECF4-C0D3-42A2-9C6B-74920395AA1E}" presName="c11" presStyleLbl="node1" presStyleIdx="10" presStyleCnt="19"/>
      <dgm:spPr>
        <a:xfrm>
          <a:off x="7589" y="1053954"/>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A828C63E-B820-4889-8C44-EE1597ECDFAC}" type="pres">
      <dgm:prSet presAssocID="{0B32ECF4-C0D3-42A2-9C6B-74920395AA1E}" presName="c12" presStyleLbl="node1" presStyleIdx="11" presStyleCnt="19"/>
      <dgm:spPr>
        <a:xfrm>
          <a:off x="57401" y="1128672"/>
          <a:ext cx="93186" cy="931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4CFA241E-6464-457D-8748-095609789092}" type="pres">
      <dgm:prSet presAssocID="{0B32ECF4-C0D3-42A2-9C6B-74920395AA1E}" presName="c13" presStyleLbl="node1" presStyleIdx="12" presStyleCnt="19"/>
      <dgm:spPr>
        <a:xfrm>
          <a:off x="181932" y="1195088"/>
          <a:ext cx="135543" cy="135543"/>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BB2852D5-DB25-4D38-89CD-CEC4FD240D71}" type="pres">
      <dgm:prSet presAssocID="{0B32ECF4-C0D3-42A2-9C6B-74920395AA1E}" presName="c14" presStyleLbl="node1" presStyleIdx="13" presStyleCnt="19"/>
      <dgm:spPr>
        <a:xfrm>
          <a:off x="356275" y="1303015"/>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E23A5AA9-A842-4B5E-91F8-D38B12314531}" type="pres">
      <dgm:prSet presAssocID="{0B32ECF4-C0D3-42A2-9C6B-74920395AA1E}" presName="c15" presStyleLbl="node1" presStyleIdx="14" presStyleCnt="19"/>
      <dgm:spPr>
        <a:xfrm>
          <a:off x="389483" y="1195088"/>
          <a:ext cx="93186" cy="931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E024DA74-35FE-4891-8BDD-7A85337B609A}" type="pres">
      <dgm:prSet presAssocID="{0B32ECF4-C0D3-42A2-9C6B-74920395AA1E}" presName="c16" presStyleLbl="node1" presStyleIdx="15" presStyleCnt="19"/>
      <dgm:spPr>
        <a:xfrm>
          <a:off x="472503" y="1311317"/>
          <a:ext cx="59300" cy="5930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BFFACFE1-D902-496C-84B0-95714356F7AC}" type="pres">
      <dgm:prSet presAssocID="{0B32ECF4-C0D3-42A2-9C6B-74920395AA1E}" presName="c17" presStyleLbl="node1" presStyleIdx="16" presStyleCnt="19"/>
      <dgm:spPr>
        <a:xfrm>
          <a:off x="547222" y="1178484"/>
          <a:ext cx="135543" cy="135543"/>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1896A2C8-427D-44C5-A8D0-008B25760616}" type="pres">
      <dgm:prSet presAssocID="{0B32ECF4-C0D3-42A2-9C6B-74920395AA1E}" presName="c18" presStyleLbl="node1" presStyleIdx="17" presStyleCnt="19"/>
      <dgm:spPr>
        <a:xfrm>
          <a:off x="729867" y="1145276"/>
          <a:ext cx="93186" cy="931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o-RO"/>
        </a:p>
      </dgm:t>
    </dgm:pt>
    <dgm:pt modelId="{A717C362-6A00-4D71-899B-06FC339509A9}" type="pres">
      <dgm:prSet presAssocID="{9A1EFD7C-A2CF-4C8E-AC17-C6DA0655683F}" presName="chevronComposite1" presStyleCnt="0"/>
      <dgm:spPr/>
      <dgm:t>
        <a:bodyPr/>
        <a:lstStyle/>
        <a:p>
          <a:endParaRPr lang="ro-RO"/>
        </a:p>
      </dgm:t>
    </dgm:pt>
    <dgm:pt modelId="{83EEB88A-5E4A-4DF8-9590-6929B1FD82C8}" type="pres">
      <dgm:prSet presAssocID="{9A1EFD7C-A2CF-4C8E-AC17-C6DA0655683F}" presName="chevron1" presStyleLbl="sibTrans2D1" presStyleIdx="0" presStyleCnt="3"/>
      <dgm:spPr>
        <a:xfrm>
          <a:off x="823053" y="754942"/>
          <a:ext cx="273674" cy="522474"/>
        </a:xfrm>
        <a:prstGeom prst="chevron">
          <a:avLst>
            <a:gd name="adj" fmla="val 62310"/>
          </a:avLst>
        </a:prstGeom>
        <a:gradFill rotWithShape="0">
          <a:gsLst>
            <a:gs pos="0">
              <a:srgbClr val="ED7D31">
                <a:tint val="60000"/>
                <a:hueOff val="0"/>
                <a:satOff val="0"/>
                <a:lumOff val="0"/>
                <a:alphaOff val="0"/>
                <a:satMod val="103000"/>
                <a:lumMod val="102000"/>
                <a:tint val="94000"/>
              </a:srgbClr>
            </a:gs>
            <a:gs pos="50000">
              <a:srgbClr val="ED7D31">
                <a:tint val="60000"/>
                <a:hueOff val="0"/>
                <a:satOff val="0"/>
                <a:lumOff val="0"/>
                <a:alphaOff val="0"/>
                <a:satMod val="110000"/>
                <a:lumMod val="100000"/>
                <a:shade val="100000"/>
              </a:srgbClr>
            </a:gs>
            <a:gs pos="100000">
              <a:srgbClr val="ED7D31">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ro-RO"/>
        </a:p>
      </dgm:t>
    </dgm:pt>
    <dgm:pt modelId="{20861F49-3E6B-4700-B72D-3CEC050175A3}" type="pres">
      <dgm:prSet presAssocID="{9A1EFD7C-A2CF-4C8E-AC17-C6DA0655683F}" presName="spChevron1" presStyleCnt="0"/>
      <dgm:spPr/>
      <dgm:t>
        <a:bodyPr/>
        <a:lstStyle/>
        <a:p>
          <a:endParaRPr lang="ro-RO"/>
        </a:p>
      </dgm:t>
    </dgm:pt>
    <dgm:pt modelId="{F4E81850-09F8-47C4-A68F-08BD6AF1BFDB}" type="pres">
      <dgm:prSet presAssocID="{2BBDED09-59FC-4F2A-937A-4EEFDD08021E}" presName="middle" presStyleCnt="0"/>
      <dgm:spPr/>
      <dgm:t>
        <a:bodyPr/>
        <a:lstStyle/>
        <a:p>
          <a:endParaRPr lang="ro-RO"/>
        </a:p>
      </dgm:t>
    </dgm:pt>
    <dgm:pt modelId="{644581ED-F637-4540-ACB1-7B32E5A624EE}" type="pres">
      <dgm:prSet presAssocID="{2BBDED09-59FC-4F2A-937A-4EEFDD08021E}" presName="parTxMid" presStyleLbl="revTx" presStyleIdx="2" presStyleCnt="5"/>
      <dgm:spPr>
        <a:prstGeom prst="rect">
          <a:avLst/>
        </a:prstGeom>
      </dgm:spPr>
      <dgm:t>
        <a:bodyPr/>
        <a:lstStyle/>
        <a:p>
          <a:endParaRPr lang="ro-RO"/>
        </a:p>
      </dgm:t>
    </dgm:pt>
    <dgm:pt modelId="{0D842036-39A7-4A86-B5EB-26B3CED93F2E}" type="pres">
      <dgm:prSet presAssocID="{2BBDED09-59FC-4F2A-937A-4EEFDD08021E}" presName="desTxMid" presStyleLbl="revTx" presStyleIdx="3" presStyleCnt="5">
        <dgm:presLayoutVars>
          <dgm:bulletEnabled val="1"/>
        </dgm:presLayoutVars>
      </dgm:prSet>
      <dgm:spPr>
        <a:prstGeom prst="rect">
          <a:avLst/>
        </a:prstGeom>
      </dgm:spPr>
      <dgm:t>
        <a:bodyPr/>
        <a:lstStyle/>
        <a:p>
          <a:endParaRPr lang="ro-RO"/>
        </a:p>
      </dgm:t>
    </dgm:pt>
    <dgm:pt modelId="{FD1938A4-D8E9-4BD6-BBDA-75F8DE74EEFB}" type="pres">
      <dgm:prSet presAssocID="{2BBDED09-59FC-4F2A-937A-4EEFDD08021E}" presName="spMid" presStyleCnt="0"/>
      <dgm:spPr/>
      <dgm:t>
        <a:bodyPr/>
        <a:lstStyle/>
        <a:p>
          <a:endParaRPr lang="ro-RO"/>
        </a:p>
      </dgm:t>
    </dgm:pt>
    <dgm:pt modelId="{D2C40991-B0FB-4DD6-B43C-D72F9100AC10}" type="pres">
      <dgm:prSet presAssocID="{44B9C729-CC5C-46D8-B3F4-97B0C0F52B36}" presName="chevronComposite1" presStyleCnt="0"/>
      <dgm:spPr/>
      <dgm:t>
        <a:bodyPr/>
        <a:lstStyle/>
        <a:p>
          <a:endParaRPr lang="ro-RO"/>
        </a:p>
      </dgm:t>
    </dgm:pt>
    <dgm:pt modelId="{6E4AC78D-81D5-4C46-89D5-6521853AE3D9}" type="pres">
      <dgm:prSet presAssocID="{44B9C729-CC5C-46D8-B3F4-97B0C0F52B36}" presName="chevron1" presStyleLbl="sibTrans2D1" presStyleIdx="1" presStyleCnt="3"/>
      <dgm:spPr>
        <a:xfrm>
          <a:off x="1843113" y="754942"/>
          <a:ext cx="273674" cy="522474"/>
        </a:xfrm>
        <a:prstGeom prst="chevron">
          <a:avLst>
            <a:gd name="adj" fmla="val 62310"/>
          </a:avLst>
        </a:prstGeom>
        <a:gradFill rotWithShape="0">
          <a:gsLst>
            <a:gs pos="0">
              <a:srgbClr val="ED7D31">
                <a:tint val="60000"/>
                <a:hueOff val="0"/>
                <a:satOff val="0"/>
                <a:lumOff val="0"/>
                <a:alphaOff val="0"/>
                <a:satMod val="103000"/>
                <a:lumMod val="102000"/>
                <a:tint val="94000"/>
              </a:srgbClr>
            </a:gs>
            <a:gs pos="50000">
              <a:srgbClr val="ED7D31">
                <a:tint val="60000"/>
                <a:hueOff val="0"/>
                <a:satOff val="0"/>
                <a:lumOff val="0"/>
                <a:alphaOff val="0"/>
                <a:satMod val="110000"/>
                <a:lumMod val="100000"/>
                <a:shade val="100000"/>
              </a:srgbClr>
            </a:gs>
            <a:gs pos="100000">
              <a:srgbClr val="ED7D31">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ro-RO"/>
        </a:p>
      </dgm:t>
    </dgm:pt>
    <dgm:pt modelId="{D9452918-3483-44D5-AAE3-8D232E6DC5B5}" type="pres">
      <dgm:prSet presAssocID="{44B9C729-CC5C-46D8-B3F4-97B0C0F52B36}" presName="spChevron1" presStyleCnt="0"/>
      <dgm:spPr/>
      <dgm:t>
        <a:bodyPr/>
        <a:lstStyle/>
        <a:p>
          <a:endParaRPr lang="ro-RO"/>
        </a:p>
      </dgm:t>
    </dgm:pt>
    <dgm:pt modelId="{778D2D06-E881-4310-8278-B051E9013BE1}" type="pres">
      <dgm:prSet presAssocID="{DAD4FB7A-A48B-483B-9272-213CA506FBAB}" presName="middle" presStyleCnt="0"/>
      <dgm:spPr/>
      <dgm:t>
        <a:bodyPr/>
        <a:lstStyle/>
        <a:p>
          <a:endParaRPr lang="ro-RO"/>
        </a:p>
      </dgm:t>
    </dgm:pt>
    <dgm:pt modelId="{69F4F093-F9AD-4383-A6EA-F991C05463C3}" type="pres">
      <dgm:prSet presAssocID="{DAD4FB7A-A48B-483B-9272-213CA506FBAB}" presName="parTxMid" presStyleLbl="revTx" presStyleIdx="4" presStyleCnt="5"/>
      <dgm:spPr>
        <a:prstGeom prst="rect">
          <a:avLst/>
        </a:prstGeom>
      </dgm:spPr>
      <dgm:t>
        <a:bodyPr/>
        <a:lstStyle/>
        <a:p>
          <a:endParaRPr lang="ro-RO"/>
        </a:p>
      </dgm:t>
    </dgm:pt>
    <dgm:pt modelId="{219FB56D-2DFE-49FB-A4E4-D23534F4EE88}" type="pres">
      <dgm:prSet presAssocID="{DAD4FB7A-A48B-483B-9272-213CA506FBAB}" presName="spMid" presStyleCnt="0"/>
      <dgm:spPr/>
      <dgm:t>
        <a:bodyPr/>
        <a:lstStyle/>
        <a:p>
          <a:endParaRPr lang="ro-RO"/>
        </a:p>
      </dgm:t>
    </dgm:pt>
    <dgm:pt modelId="{8ADEC857-098F-4498-958F-481FC0DC3FFE}" type="pres">
      <dgm:prSet presAssocID="{B3FE64DD-4C2A-4E09-8F4B-03974D79C6C5}" presName="chevronComposite1" presStyleCnt="0"/>
      <dgm:spPr/>
      <dgm:t>
        <a:bodyPr/>
        <a:lstStyle/>
        <a:p>
          <a:endParaRPr lang="ro-RO"/>
        </a:p>
      </dgm:t>
    </dgm:pt>
    <dgm:pt modelId="{D08F70E8-3235-4FBC-8997-34E0C02E02F8}" type="pres">
      <dgm:prSet presAssocID="{B3FE64DD-4C2A-4E09-8F4B-03974D79C6C5}" presName="chevron1" presStyleLbl="sibTrans2D1" presStyleIdx="2" presStyleCnt="3"/>
      <dgm:spPr>
        <a:xfrm>
          <a:off x="2863172" y="754942"/>
          <a:ext cx="273674" cy="522474"/>
        </a:xfrm>
        <a:prstGeom prst="chevron">
          <a:avLst>
            <a:gd name="adj" fmla="val 62310"/>
          </a:avLst>
        </a:prstGeom>
        <a:gradFill rotWithShape="0">
          <a:gsLst>
            <a:gs pos="0">
              <a:srgbClr val="ED7D31">
                <a:tint val="60000"/>
                <a:hueOff val="0"/>
                <a:satOff val="0"/>
                <a:lumOff val="0"/>
                <a:alphaOff val="0"/>
                <a:satMod val="103000"/>
                <a:lumMod val="102000"/>
                <a:tint val="94000"/>
              </a:srgbClr>
            </a:gs>
            <a:gs pos="50000">
              <a:srgbClr val="ED7D31">
                <a:tint val="60000"/>
                <a:hueOff val="0"/>
                <a:satOff val="0"/>
                <a:lumOff val="0"/>
                <a:alphaOff val="0"/>
                <a:satMod val="110000"/>
                <a:lumMod val="100000"/>
                <a:shade val="100000"/>
              </a:srgbClr>
            </a:gs>
            <a:gs pos="100000">
              <a:srgbClr val="ED7D31">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ro-RO"/>
        </a:p>
      </dgm:t>
    </dgm:pt>
    <dgm:pt modelId="{91EFD0C8-0EDB-47DC-BD67-B47AD968ABA4}" type="pres">
      <dgm:prSet presAssocID="{B3FE64DD-4C2A-4E09-8F4B-03974D79C6C5}" presName="spChevron1" presStyleCnt="0"/>
      <dgm:spPr/>
      <dgm:t>
        <a:bodyPr/>
        <a:lstStyle/>
        <a:p>
          <a:endParaRPr lang="ro-RO"/>
        </a:p>
      </dgm:t>
    </dgm:pt>
    <dgm:pt modelId="{AD9202ED-1B1F-4F09-8B82-B8F62D2E453D}" type="pres">
      <dgm:prSet presAssocID="{C5F99822-4264-4E80-8DBE-FF593B5F72CF}" presName="last" presStyleCnt="0"/>
      <dgm:spPr/>
      <dgm:t>
        <a:bodyPr/>
        <a:lstStyle/>
        <a:p>
          <a:endParaRPr lang="ro-RO"/>
        </a:p>
      </dgm:t>
    </dgm:pt>
    <dgm:pt modelId="{6C29FEE5-1EDE-414C-B514-704045470833}" type="pres">
      <dgm:prSet presAssocID="{C5F99822-4264-4E80-8DBE-FF593B5F72CF}" presName="circleTx" presStyleLbl="node1" presStyleIdx="18" presStyleCnt="19"/>
      <dgm:spPr>
        <a:prstGeom prst="ellipse">
          <a:avLst/>
        </a:prstGeom>
      </dgm:spPr>
      <dgm:t>
        <a:bodyPr/>
        <a:lstStyle/>
        <a:p>
          <a:endParaRPr lang="ro-RO"/>
        </a:p>
      </dgm:t>
    </dgm:pt>
    <dgm:pt modelId="{2C6ECE4B-6039-4339-BFFF-F3AE0F93F30D}" type="pres">
      <dgm:prSet presAssocID="{C5F99822-4264-4E80-8DBE-FF593B5F72CF}" presName="spN" presStyleCnt="0"/>
      <dgm:spPr/>
      <dgm:t>
        <a:bodyPr/>
        <a:lstStyle/>
        <a:p>
          <a:endParaRPr lang="ro-RO"/>
        </a:p>
      </dgm:t>
    </dgm:pt>
  </dgm:ptLst>
  <dgm:cxnLst>
    <dgm:cxn modelId="{ED66891D-A098-445E-90AE-12FA3D9895D7}" type="presOf" srcId="{CD2C17BE-8E15-4676-BCCB-C65096C28CDE}" destId="{70DAC1BA-2AFB-4A7F-8B7C-8900BFAA6B91}" srcOrd="0" destOrd="0" presId="urn:microsoft.com/office/officeart/2009/3/layout/RandomtoResultProcess"/>
    <dgm:cxn modelId="{9D596550-9529-491E-8011-8420DA4D797D}" type="presOf" srcId="{DAD4FB7A-A48B-483B-9272-213CA506FBAB}" destId="{69F4F093-F9AD-4383-A6EA-F991C05463C3}" srcOrd="0" destOrd="0" presId="urn:microsoft.com/office/officeart/2009/3/layout/RandomtoResultProcess"/>
    <dgm:cxn modelId="{2297DB06-024D-4E27-90E9-C0128EA9BD2F}" type="presOf" srcId="{9CEF7611-C99A-4693-93AC-AD85D2735218}" destId="{263036DA-6CF4-48CC-A705-8F729B188506}" srcOrd="0" destOrd="0" presId="urn:microsoft.com/office/officeart/2009/3/layout/RandomtoResultProcess"/>
    <dgm:cxn modelId="{20E88AD8-C216-451A-BAC3-628D82FABED1}" srcId="{9CEF7611-C99A-4693-93AC-AD85D2735218}" destId="{C5F99822-4264-4E80-8DBE-FF593B5F72CF}" srcOrd="3" destOrd="0" parTransId="{DA9E902C-7E9A-407F-AE52-FB13ADEC4060}" sibTransId="{11CE1ED4-AA3D-4B27-8116-782B3F1188C6}"/>
    <dgm:cxn modelId="{7E11B1C8-8576-4C59-A720-597F7E636B86}" srcId="{2BBDED09-59FC-4F2A-937A-4EEFDD08021E}" destId="{927FAE49-00C9-4030-98EA-5851C740AEA7}" srcOrd="0" destOrd="0" parTransId="{920A76F4-3C13-4E03-8657-E3840CCB1E89}" sibTransId="{57DC3FBA-B508-4802-9607-1EB4D36C8BF4}"/>
    <dgm:cxn modelId="{EF4A7DD2-DD54-4E8E-BC34-E95AB42E065C}" type="presOf" srcId="{927FAE49-00C9-4030-98EA-5851C740AEA7}" destId="{0D842036-39A7-4A86-B5EB-26B3CED93F2E}" srcOrd="0" destOrd="0" presId="urn:microsoft.com/office/officeart/2009/3/layout/RandomtoResultProcess"/>
    <dgm:cxn modelId="{DF94B341-09EE-4878-A12B-FA293C0A19EA}" srcId="{0B32ECF4-C0D3-42A2-9C6B-74920395AA1E}" destId="{CD2C17BE-8E15-4676-BCCB-C65096C28CDE}" srcOrd="0" destOrd="0" parTransId="{9AB1F902-A8B4-4BD3-9439-313F5B14F81B}" sibTransId="{FF1AC0C1-0748-4F55-8544-258B771DC927}"/>
    <dgm:cxn modelId="{6D06E943-8D06-450F-A092-36102E85BDE1}" srcId="{9CEF7611-C99A-4693-93AC-AD85D2735218}" destId="{0B32ECF4-C0D3-42A2-9C6B-74920395AA1E}" srcOrd="0" destOrd="0" parTransId="{7534B86A-C00A-4803-B5F2-5092B35BFB34}" sibTransId="{9A1EFD7C-A2CF-4C8E-AC17-C6DA0655683F}"/>
    <dgm:cxn modelId="{C86A0299-7312-4891-AE8A-C3BEFC22F06E}" type="presOf" srcId="{2BBDED09-59FC-4F2A-937A-4EEFDD08021E}" destId="{644581ED-F637-4540-ACB1-7B32E5A624EE}" srcOrd="0" destOrd="0" presId="urn:microsoft.com/office/officeart/2009/3/layout/RandomtoResultProcess"/>
    <dgm:cxn modelId="{CD6D8534-1815-40EC-AA71-81DFC19C8718}" type="presOf" srcId="{0B32ECF4-C0D3-42A2-9C6B-74920395AA1E}" destId="{EFEF4695-CEDF-4ABC-B80C-2E809B7B4064}" srcOrd="0" destOrd="0" presId="urn:microsoft.com/office/officeart/2009/3/layout/RandomtoResultProcess"/>
    <dgm:cxn modelId="{B7B3C955-6774-4B0F-BA0F-79876288DCB7}" srcId="{9CEF7611-C99A-4693-93AC-AD85D2735218}" destId="{2BBDED09-59FC-4F2A-937A-4EEFDD08021E}" srcOrd="1" destOrd="0" parTransId="{F12D505E-3F2E-4C52-8896-7C289083CA63}" sibTransId="{44B9C729-CC5C-46D8-B3F4-97B0C0F52B36}"/>
    <dgm:cxn modelId="{B509D931-5B40-48F6-AF5A-C8F237D339B6}" srcId="{9CEF7611-C99A-4693-93AC-AD85D2735218}" destId="{DAD4FB7A-A48B-483B-9272-213CA506FBAB}" srcOrd="2" destOrd="0" parTransId="{9E1A6F20-5E30-4E2B-AD5B-483227CAB07B}" sibTransId="{B3FE64DD-4C2A-4E09-8F4B-03974D79C6C5}"/>
    <dgm:cxn modelId="{43551F52-B04E-4E6E-BAA2-85C112C1FC09}" type="presOf" srcId="{C5F99822-4264-4E80-8DBE-FF593B5F72CF}" destId="{6C29FEE5-1EDE-414C-B514-704045470833}" srcOrd="0" destOrd="0" presId="urn:microsoft.com/office/officeart/2009/3/layout/RandomtoResultProcess"/>
    <dgm:cxn modelId="{AE335F1D-84AC-45FD-9BE9-64D294B65E32}" type="presParOf" srcId="{263036DA-6CF4-48CC-A705-8F729B188506}" destId="{B20DF58B-280E-4707-B1A2-E36984C92DB8}" srcOrd="0" destOrd="0" presId="urn:microsoft.com/office/officeart/2009/3/layout/RandomtoResultProcess"/>
    <dgm:cxn modelId="{3CD3CCDE-1189-4AEB-B0A9-9326A603E035}" type="presParOf" srcId="{B20DF58B-280E-4707-B1A2-E36984C92DB8}" destId="{EFEF4695-CEDF-4ABC-B80C-2E809B7B4064}" srcOrd="0" destOrd="0" presId="urn:microsoft.com/office/officeart/2009/3/layout/RandomtoResultProcess"/>
    <dgm:cxn modelId="{0ABC51E7-78B3-40DC-B3D4-1BD9124C712B}" type="presParOf" srcId="{B20DF58B-280E-4707-B1A2-E36984C92DB8}" destId="{70DAC1BA-2AFB-4A7F-8B7C-8900BFAA6B91}" srcOrd="1" destOrd="0" presId="urn:microsoft.com/office/officeart/2009/3/layout/RandomtoResultProcess"/>
    <dgm:cxn modelId="{F69E551E-CECC-4292-AA7C-E0BB63165753}" type="presParOf" srcId="{B20DF58B-280E-4707-B1A2-E36984C92DB8}" destId="{CEC947E9-BEF5-4D3D-B2CD-696517ECB8AF}" srcOrd="2" destOrd="0" presId="urn:microsoft.com/office/officeart/2009/3/layout/RandomtoResultProcess"/>
    <dgm:cxn modelId="{FA2A81AB-2030-4742-A5D8-495748591EF9}" type="presParOf" srcId="{B20DF58B-280E-4707-B1A2-E36984C92DB8}" destId="{2AD265C9-544A-43D5-B095-EDBA15875CB7}" srcOrd="3" destOrd="0" presId="urn:microsoft.com/office/officeart/2009/3/layout/RandomtoResultProcess"/>
    <dgm:cxn modelId="{9ACA3DA6-7389-4EEC-8218-ECEFB8CB01AB}" type="presParOf" srcId="{B20DF58B-280E-4707-B1A2-E36984C92DB8}" destId="{59431F09-C98A-46C7-95A7-ACF9FD82C8BB}" srcOrd="4" destOrd="0" presId="urn:microsoft.com/office/officeart/2009/3/layout/RandomtoResultProcess"/>
    <dgm:cxn modelId="{ECB38E9D-0664-4FAE-8A2A-73D3048EA2B3}" type="presParOf" srcId="{B20DF58B-280E-4707-B1A2-E36984C92DB8}" destId="{A29C47D2-84DA-40D0-AA37-895856CC8A71}" srcOrd="5" destOrd="0" presId="urn:microsoft.com/office/officeart/2009/3/layout/RandomtoResultProcess"/>
    <dgm:cxn modelId="{21DE7638-C4FB-4C56-83DD-2AE1D00251C2}" type="presParOf" srcId="{B20DF58B-280E-4707-B1A2-E36984C92DB8}" destId="{CAA439A7-2B1F-435F-B454-CC4358C55351}" srcOrd="6" destOrd="0" presId="urn:microsoft.com/office/officeart/2009/3/layout/RandomtoResultProcess"/>
    <dgm:cxn modelId="{7ADB3FBA-7DE7-4920-930F-D494336B650F}" type="presParOf" srcId="{B20DF58B-280E-4707-B1A2-E36984C92DB8}" destId="{D0D9A607-ED98-42AE-8AE0-87842C3D528B}" srcOrd="7" destOrd="0" presId="urn:microsoft.com/office/officeart/2009/3/layout/RandomtoResultProcess"/>
    <dgm:cxn modelId="{9E741829-77BF-47DE-BB37-37D852DAFC86}" type="presParOf" srcId="{B20DF58B-280E-4707-B1A2-E36984C92DB8}" destId="{A42C8669-286F-433E-910B-42A3A373ED16}" srcOrd="8" destOrd="0" presId="urn:microsoft.com/office/officeart/2009/3/layout/RandomtoResultProcess"/>
    <dgm:cxn modelId="{4A91A057-39CB-4883-8BC4-14DBCBA3851B}" type="presParOf" srcId="{B20DF58B-280E-4707-B1A2-E36984C92DB8}" destId="{C1BD2463-7C48-48AF-B0AC-D386731995E8}" srcOrd="9" destOrd="0" presId="urn:microsoft.com/office/officeart/2009/3/layout/RandomtoResultProcess"/>
    <dgm:cxn modelId="{D885F1A6-B759-429A-A5E6-8C295DDC3CBB}" type="presParOf" srcId="{B20DF58B-280E-4707-B1A2-E36984C92DB8}" destId="{F376A130-745E-4BD0-891B-389708B21AA0}" srcOrd="10" destOrd="0" presId="urn:microsoft.com/office/officeart/2009/3/layout/RandomtoResultProcess"/>
    <dgm:cxn modelId="{8BE842C1-50ED-4DDA-97D3-8956B4EDCFB4}" type="presParOf" srcId="{B20DF58B-280E-4707-B1A2-E36984C92DB8}" destId="{242D4126-E985-4CF0-A72A-8D5FA1C256CA}" srcOrd="11" destOrd="0" presId="urn:microsoft.com/office/officeart/2009/3/layout/RandomtoResultProcess"/>
    <dgm:cxn modelId="{EC9DB920-DC0E-4CF4-85DB-B6A710ED94B6}" type="presParOf" srcId="{B20DF58B-280E-4707-B1A2-E36984C92DB8}" destId="{32D1F802-A7F5-4D72-A11D-98DA46D3BC76}" srcOrd="12" destOrd="0" presId="urn:microsoft.com/office/officeart/2009/3/layout/RandomtoResultProcess"/>
    <dgm:cxn modelId="{CC4DEEDF-4C48-4938-AF47-042BEBC8DC2F}" type="presParOf" srcId="{B20DF58B-280E-4707-B1A2-E36984C92DB8}" destId="{A828C63E-B820-4889-8C44-EE1597ECDFAC}" srcOrd="13" destOrd="0" presId="urn:microsoft.com/office/officeart/2009/3/layout/RandomtoResultProcess"/>
    <dgm:cxn modelId="{A789EB38-873E-47FC-A6E3-6BC18EF0790B}" type="presParOf" srcId="{B20DF58B-280E-4707-B1A2-E36984C92DB8}" destId="{4CFA241E-6464-457D-8748-095609789092}" srcOrd="14" destOrd="0" presId="urn:microsoft.com/office/officeart/2009/3/layout/RandomtoResultProcess"/>
    <dgm:cxn modelId="{F66BD64B-9633-4FFC-8D14-0836E8430705}" type="presParOf" srcId="{B20DF58B-280E-4707-B1A2-E36984C92DB8}" destId="{BB2852D5-DB25-4D38-89CD-CEC4FD240D71}" srcOrd="15" destOrd="0" presId="urn:microsoft.com/office/officeart/2009/3/layout/RandomtoResultProcess"/>
    <dgm:cxn modelId="{32D73E45-A590-482B-98BD-823EDF62DE44}" type="presParOf" srcId="{B20DF58B-280E-4707-B1A2-E36984C92DB8}" destId="{E23A5AA9-A842-4B5E-91F8-D38B12314531}" srcOrd="16" destOrd="0" presId="urn:microsoft.com/office/officeart/2009/3/layout/RandomtoResultProcess"/>
    <dgm:cxn modelId="{8EB89E86-2E65-42D7-AB4B-7044B74CB3F1}" type="presParOf" srcId="{B20DF58B-280E-4707-B1A2-E36984C92DB8}" destId="{E024DA74-35FE-4891-8BDD-7A85337B609A}" srcOrd="17" destOrd="0" presId="urn:microsoft.com/office/officeart/2009/3/layout/RandomtoResultProcess"/>
    <dgm:cxn modelId="{528E39EE-A7A4-4C3E-9DA2-6DD150BDA057}" type="presParOf" srcId="{B20DF58B-280E-4707-B1A2-E36984C92DB8}" destId="{BFFACFE1-D902-496C-84B0-95714356F7AC}" srcOrd="18" destOrd="0" presId="urn:microsoft.com/office/officeart/2009/3/layout/RandomtoResultProcess"/>
    <dgm:cxn modelId="{E623A850-9610-4060-9398-FEBBCAB13251}" type="presParOf" srcId="{B20DF58B-280E-4707-B1A2-E36984C92DB8}" destId="{1896A2C8-427D-44C5-A8D0-008B25760616}" srcOrd="19" destOrd="0" presId="urn:microsoft.com/office/officeart/2009/3/layout/RandomtoResultProcess"/>
    <dgm:cxn modelId="{FC89B065-2489-4BD8-AFA0-DA2B07C8B04D}" type="presParOf" srcId="{263036DA-6CF4-48CC-A705-8F729B188506}" destId="{A717C362-6A00-4D71-899B-06FC339509A9}" srcOrd="1" destOrd="0" presId="urn:microsoft.com/office/officeart/2009/3/layout/RandomtoResultProcess"/>
    <dgm:cxn modelId="{3A89F4D6-E2FD-4116-AA33-FF324D7C8E5B}" type="presParOf" srcId="{A717C362-6A00-4D71-899B-06FC339509A9}" destId="{83EEB88A-5E4A-4DF8-9590-6929B1FD82C8}" srcOrd="0" destOrd="0" presId="urn:microsoft.com/office/officeart/2009/3/layout/RandomtoResultProcess"/>
    <dgm:cxn modelId="{DBC8D3BC-EEC5-4EC9-AA39-540BA0920354}" type="presParOf" srcId="{A717C362-6A00-4D71-899B-06FC339509A9}" destId="{20861F49-3E6B-4700-B72D-3CEC050175A3}" srcOrd="1" destOrd="0" presId="urn:microsoft.com/office/officeart/2009/3/layout/RandomtoResultProcess"/>
    <dgm:cxn modelId="{85011C54-34F1-45DD-A8EC-34B050BE27E3}" type="presParOf" srcId="{263036DA-6CF4-48CC-A705-8F729B188506}" destId="{F4E81850-09F8-47C4-A68F-08BD6AF1BFDB}" srcOrd="2" destOrd="0" presId="urn:microsoft.com/office/officeart/2009/3/layout/RandomtoResultProcess"/>
    <dgm:cxn modelId="{DCFC081A-C68E-4E7F-8F3B-41DA9357F886}" type="presParOf" srcId="{F4E81850-09F8-47C4-A68F-08BD6AF1BFDB}" destId="{644581ED-F637-4540-ACB1-7B32E5A624EE}" srcOrd="0" destOrd="0" presId="urn:microsoft.com/office/officeart/2009/3/layout/RandomtoResultProcess"/>
    <dgm:cxn modelId="{CD8F7257-B90D-4A5B-9284-EA9C5C094A19}" type="presParOf" srcId="{F4E81850-09F8-47C4-A68F-08BD6AF1BFDB}" destId="{0D842036-39A7-4A86-B5EB-26B3CED93F2E}" srcOrd="1" destOrd="0" presId="urn:microsoft.com/office/officeart/2009/3/layout/RandomtoResultProcess"/>
    <dgm:cxn modelId="{F024A800-FD05-45B0-AB2D-E73BF5B9D134}" type="presParOf" srcId="{F4E81850-09F8-47C4-A68F-08BD6AF1BFDB}" destId="{FD1938A4-D8E9-4BD6-BBDA-75F8DE74EEFB}" srcOrd="2" destOrd="0" presId="urn:microsoft.com/office/officeart/2009/3/layout/RandomtoResultProcess"/>
    <dgm:cxn modelId="{0E9CABFA-14B4-48A0-A8D4-DDE536881B16}" type="presParOf" srcId="{263036DA-6CF4-48CC-A705-8F729B188506}" destId="{D2C40991-B0FB-4DD6-B43C-D72F9100AC10}" srcOrd="3" destOrd="0" presId="urn:microsoft.com/office/officeart/2009/3/layout/RandomtoResultProcess"/>
    <dgm:cxn modelId="{06461E09-402E-46CE-9B28-4C4183E82E0F}" type="presParOf" srcId="{D2C40991-B0FB-4DD6-B43C-D72F9100AC10}" destId="{6E4AC78D-81D5-4C46-89D5-6521853AE3D9}" srcOrd="0" destOrd="0" presId="urn:microsoft.com/office/officeart/2009/3/layout/RandomtoResultProcess"/>
    <dgm:cxn modelId="{4A659CD2-1D99-4DA7-B9B1-611C15F96D35}" type="presParOf" srcId="{D2C40991-B0FB-4DD6-B43C-D72F9100AC10}" destId="{D9452918-3483-44D5-AAE3-8D232E6DC5B5}" srcOrd="1" destOrd="0" presId="urn:microsoft.com/office/officeart/2009/3/layout/RandomtoResultProcess"/>
    <dgm:cxn modelId="{66C3A571-E048-40CA-AFFF-C4083F7D41DF}" type="presParOf" srcId="{263036DA-6CF4-48CC-A705-8F729B188506}" destId="{778D2D06-E881-4310-8278-B051E9013BE1}" srcOrd="4" destOrd="0" presId="urn:microsoft.com/office/officeart/2009/3/layout/RandomtoResultProcess"/>
    <dgm:cxn modelId="{04209E5B-F2BC-4A5A-B320-215C1B2193BE}" type="presParOf" srcId="{778D2D06-E881-4310-8278-B051E9013BE1}" destId="{69F4F093-F9AD-4383-A6EA-F991C05463C3}" srcOrd="0" destOrd="0" presId="urn:microsoft.com/office/officeart/2009/3/layout/RandomtoResultProcess"/>
    <dgm:cxn modelId="{152E1E93-2F5C-4B4B-A437-EB27E215A772}" type="presParOf" srcId="{778D2D06-E881-4310-8278-B051E9013BE1}" destId="{219FB56D-2DFE-49FB-A4E4-D23534F4EE88}" srcOrd="1" destOrd="0" presId="urn:microsoft.com/office/officeart/2009/3/layout/RandomtoResultProcess"/>
    <dgm:cxn modelId="{03A714F7-E0AF-4D5A-A477-F014A23EC7FA}" type="presParOf" srcId="{263036DA-6CF4-48CC-A705-8F729B188506}" destId="{8ADEC857-098F-4498-958F-481FC0DC3FFE}" srcOrd="5" destOrd="0" presId="urn:microsoft.com/office/officeart/2009/3/layout/RandomtoResultProcess"/>
    <dgm:cxn modelId="{D31CB857-63A9-4F1F-8366-5514A62E9905}" type="presParOf" srcId="{8ADEC857-098F-4498-958F-481FC0DC3FFE}" destId="{D08F70E8-3235-4FBC-8997-34E0C02E02F8}" srcOrd="0" destOrd="0" presId="urn:microsoft.com/office/officeart/2009/3/layout/RandomtoResultProcess"/>
    <dgm:cxn modelId="{B9991301-2239-4A58-8838-9A7B85B225B7}" type="presParOf" srcId="{8ADEC857-098F-4498-958F-481FC0DC3FFE}" destId="{91EFD0C8-0EDB-47DC-BD67-B47AD968ABA4}" srcOrd="1" destOrd="0" presId="urn:microsoft.com/office/officeart/2009/3/layout/RandomtoResultProcess"/>
    <dgm:cxn modelId="{1CA73DE7-E6B4-4F11-A26B-6EB5787113E3}" type="presParOf" srcId="{263036DA-6CF4-48CC-A705-8F729B188506}" destId="{AD9202ED-1B1F-4F09-8B82-B8F62D2E453D}" srcOrd="6" destOrd="0" presId="urn:microsoft.com/office/officeart/2009/3/layout/RandomtoResultProcess"/>
    <dgm:cxn modelId="{6DBF22EA-90F7-4257-91D8-C67EC3888EBC}" type="presParOf" srcId="{AD9202ED-1B1F-4F09-8B82-B8F62D2E453D}" destId="{6C29FEE5-1EDE-414C-B514-704045470833}" srcOrd="0" destOrd="0" presId="urn:microsoft.com/office/officeart/2009/3/layout/RandomtoResultProcess"/>
    <dgm:cxn modelId="{EF741387-0A56-44D5-AB7D-0E727E181D52}" type="presParOf" srcId="{AD9202ED-1B1F-4F09-8B82-B8F62D2E453D}" destId="{2C6ECE4B-6039-4339-BFFF-F3AE0F93F30D}" srcOrd="1" destOrd="0" presId="urn:microsoft.com/office/officeart/2009/3/layout/RandomtoResultProcess"/>
  </dgm:cxnLst>
  <dgm:bg>
    <a:noFill/>
  </dgm:bg>
  <dgm:whole>
    <a:ln>
      <a:solidFill>
        <a:srgbClr val="00B0F0"/>
      </a:solidFill>
    </a:ln>
  </dgm:whole>
  <dgm:extLst>
    <a:ext uri="http://schemas.microsoft.com/office/drawing/2008/diagram">
      <dsp:dataModelExt xmlns:dsp="http://schemas.microsoft.com/office/drawing/2008/diagram" xmlns="" relId="rId5"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0.85786</cdr:x>
      <cdr:y>0.12308</cdr:y>
    </cdr:from>
    <cdr:to>
      <cdr:x>0.99997</cdr:x>
      <cdr:y>0.94829</cdr:y>
    </cdr:to>
    <cdr:sp macro="" textlink="">
      <cdr:nvSpPr>
        <cdr:cNvPr id="2" name="CasetăText 1"/>
        <cdr:cNvSpPr txBox="1"/>
      </cdr:nvSpPr>
      <cdr:spPr>
        <a:xfrm xmlns:a="http://schemas.openxmlformats.org/drawingml/2006/main">
          <a:off x="5148172" y="379562"/>
          <a:ext cx="852853" cy="25447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o-RO" sz="1100"/>
        </a:p>
      </cdr:txBody>
    </cdr:sp>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CB51A-0F5A-4796-A6C2-50AC79D2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203</Pages>
  <Words>69030</Words>
  <Characters>393472</Characters>
  <Application>Microsoft Office Word</Application>
  <DocSecurity>0</DocSecurity>
  <Lines>3278</Lines>
  <Paragraphs>923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roxana.tigan</dc:creator>
  <cp:keywords/>
  <dc:description/>
  <cp:lastModifiedBy>roxana.tigan</cp:lastModifiedBy>
  <cp:revision>8</cp:revision>
  <dcterms:created xsi:type="dcterms:W3CDTF">2016-11-18T07:51:00Z</dcterms:created>
  <dcterms:modified xsi:type="dcterms:W3CDTF">2016-11-18T10:01:00Z</dcterms:modified>
</cp:coreProperties>
</file>