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28482" w14:textId="1C92AEAE" w:rsidR="005A502D" w:rsidRPr="00A94974" w:rsidRDefault="005A502D" w:rsidP="00586064">
      <w:pPr>
        <w:shd w:val="clear" w:color="auto" w:fill="DEEAF6" w:themeFill="accent1" w:themeFillTint="33"/>
        <w:spacing w:after="0" w:line="240" w:lineRule="auto"/>
        <w:jc w:val="both"/>
        <w:rPr>
          <w:rFonts w:ascii="Trebuchet MS" w:hAnsi="Trebuchet MS"/>
          <w:color w:val="1F4E79" w:themeColor="accent1" w:themeShade="80"/>
        </w:rPr>
      </w:pPr>
      <w:r w:rsidRPr="00A94974">
        <w:rPr>
          <w:rFonts w:ascii="Trebuchet MS" w:hAnsi="Trebuchet MS"/>
          <w:b/>
          <w:color w:val="1F4E79" w:themeColor="accent1" w:themeShade="80"/>
        </w:rPr>
        <w:t>Program:</w:t>
      </w:r>
      <w:r w:rsidRPr="00A94974">
        <w:rPr>
          <w:rFonts w:ascii="Trebuchet MS" w:hAnsi="Trebuchet MS"/>
          <w:color w:val="1F4E79" w:themeColor="accent1" w:themeShade="80"/>
        </w:rPr>
        <w:t xml:space="preserve"> </w:t>
      </w:r>
      <w:r w:rsidRPr="00A94974">
        <w:rPr>
          <w:rFonts w:ascii="Trebuchet MS" w:hAnsi="Trebuchet MS"/>
          <w:b/>
          <w:bCs/>
          <w:iCs/>
          <w:color w:val="1F4E79" w:themeColor="accent1" w:themeShade="80"/>
        </w:rPr>
        <w:t>Programul Educație și Ocupare</w:t>
      </w:r>
    </w:p>
    <w:p w14:paraId="741436ED" w14:textId="77777777" w:rsidR="00D80341" w:rsidRPr="00A94974" w:rsidRDefault="005A502D" w:rsidP="00586064">
      <w:pPr>
        <w:shd w:val="clear" w:color="auto" w:fill="DEEAF6" w:themeFill="accent1" w:themeFillTint="33"/>
        <w:spacing w:after="0" w:line="240" w:lineRule="auto"/>
        <w:jc w:val="both"/>
        <w:rPr>
          <w:rFonts w:ascii="Trebuchet MS" w:hAnsi="Trebuchet MS"/>
          <w:b/>
          <w:color w:val="1F4E79" w:themeColor="accent1" w:themeShade="80"/>
        </w:rPr>
      </w:pPr>
      <w:r w:rsidRPr="00A94974">
        <w:rPr>
          <w:rFonts w:ascii="Trebuchet MS" w:hAnsi="Trebuchet MS"/>
          <w:b/>
          <w:color w:val="1F4E79" w:themeColor="accent1" w:themeShade="80"/>
        </w:rPr>
        <w:t>Prioritate</w:t>
      </w:r>
      <w:r w:rsidR="00D80341" w:rsidRPr="00A94974">
        <w:rPr>
          <w:rFonts w:ascii="Trebuchet MS" w:hAnsi="Trebuchet MS"/>
          <w:b/>
          <w:color w:val="1F4E79" w:themeColor="accent1" w:themeShade="80"/>
        </w:rPr>
        <w:t>7. Creșterea calității ofertei de educație și formare profesională pentru asigurarea echității sistemului și o mai bună adaptare la dinamica pieței muncii și la provocările inovării și progresului tehnologic</w:t>
      </w:r>
    </w:p>
    <w:p w14:paraId="0441A277" w14:textId="7111D916" w:rsidR="002D0550" w:rsidRPr="00A94974" w:rsidRDefault="005A502D" w:rsidP="00586064">
      <w:pPr>
        <w:shd w:val="clear" w:color="auto" w:fill="DEEAF6" w:themeFill="accent1" w:themeFillTint="33"/>
        <w:spacing w:after="0" w:line="240" w:lineRule="auto"/>
        <w:jc w:val="both"/>
        <w:rPr>
          <w:rFonts w:ascii="Trebuchet MS" w:hAnsi="Trebuchet MS"/>
          <w:bCs/>
          <w:i/>
          <w:iCs/>
          <w:color w:val="1F4E79" w:themeColor="accent1" w:themeShade="80"/>
        </w:rPr>
      </w:pPr>
      <w:r w:rsidRPr="00A94974">
        <w:rPr>
          <w:rFonts w:ascii="Trebuchet MS" w:hAnsi="Trebuchet MS"/>
          <w:b/>
          <w:color w:val="1F4E79" w:themeColor="accent1" w:themeShade="80"/>
        </w:rPr>
        <w:t xml:space="preserve">Obiectiv specific: </w:t>
      </w:r>
      <w:bookmarkStart w:id="0" w:name="_Hlk181012878"/>
      <w:r w:rsidR="00D80341" w:rsidRPr="00A94974">
        <w:rPr>
          <w:rFonts w:ascii="Trebuchet MS" w:hAnsi="Trebuchet MS"/>
          <w:b/>
          <w:color w:val="1F4E79" w:themeColor="accent1" w:themeShade="80"/>
        </w:rPr>
        <w:t>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prin promovarea introducerii sistemelor de formare duală și a sistemelor de ucenicie (FSE+)</w:t>
      </w:r>
    </w:p>
    <w:bookmarkEnd w:id="0"/>
    <w:p w14:paraId="2CCAFCAA" w14:textId="77777777" w:rsidR="00D80341" w:rsidRPr="00A94974" w:rsidRDefault="00B74F30" w:rsidP="002D0550">
      <w:pPr>
        <w:shd w:val="clear" w:color="auto" w:fill="DEEAF6" w:themeFill="accent1" w:themeFillTint="33"/>
        <w:spacing w:after="0" w:line="240" w:lineRule="auto"/>
        <w:jc w:val="both"/>
        <w:rPr>
          <w:rFonts w:ascii="Trebuchet MS" w:hAnsi="Trebuchet MS"/>
          <w:b/>
          <w:bCs/>
          <w:iCs/>
          <w:color w:val="1F4E79" w:themeColor="accent1" w:themeShade="80"/>
        </w:rPr>
      </w:pPr>
      <w:r w:rsidRPr="00A94974">
        <w:rPr>
          <w:rFonts w:ascii="Trebuchet MS" w:hAnsi="Trebuchet MS"/>
          <w:b/>
          <w:bCs/>
          <w:iCs/>
          <w:color w:val="1F4E79" w:themeColor="accent1" w:themeShade="80"/>
        </w:rPr>
        <w:t>Acțiunea</w:t>
      </w:r>
      <w:r w:rsidR="0035528F" w:rsidRPr="00A94974">
        <w:rPr>
          <w:rFonts w:ascii="Trebuchet MS" w:hAnsi="Trebuchet MS"/>
          <w:b/>
          <w:bCs/>
          <w:iCs/>
          <w:color w:val="1F4E79" w:themeColor="accent1" w:themeShade="80"/>
        </w:rPr>
        <w:t>:</w:t>
      </w:r>
      <w:r w:rsidRPr="00A94974">
        <w:rPr>
          <w:rFonts w:ascii="Trebuchet MS" w:hAnsi="Trebuchet MS"/>
          <w:b/>
          <w:bCs/>
          <w:iCs/>
          <w:color w:val="1F4E79" w:themeColor="accent1" w:themeShade="80"/>
        </w:rPr>
        <w:t xml:space="preserve"> </w:t>
      </w:r>
      <w:bookmarkStart w:id="1" w:name="_Hlk181012892"/>
      <w:r w:rsidR="00D80341" w:rsidRPr="00A94974">
        <w:rPr>
          <w:rFonts w:ascii="Trebuchet MS" w:hAnsi="Trebuchet MS"/>
          <w:b/>
          <w:bCs/>
          <w:iCs/>
          <w:color w:val="1F4E79" w:themeColor="accent1" w:themeShade="80"/>
        </w:rPr>
        <w:t>7.e.7.Sprijinirea mobilității transnaționale de tip Erasmus+</w:t>
      </w:r>
      <w:bookmarkEnd w:id="1"/>
    </w:p>
    <w:p w14:paraId="3B60ECEF" w14:textId="77777777" w:rsidR="005A502D" w:rsidRPr="00A94974" w:rsidRDefault="005A502D" w:rsidP="005A502D">
      <w:pPr>
        <w:spacing w:after="0" w:line="240" w:lineRule="auto"/>
        <w:rPr>
          <w:rFonts w:ascii="Trebuchet MS" w:hAnsi="Trebuchet MS"/>
          <w:color w:val="1F4E79" w:themeColor="accent1" w:themeShade="80"/>
        </w:rPr>
      </w:pPr>
    </w:p>
    <w:p w14:paraId="106E5BA7" w14:textId="77777777" w:rsidR="005A502D" w:rsidRPr="00A94974" w:rsidRDefault="005A502D" w:rsidP="005A502D">
      <w:pPr>
        <w:spacing w:after="0" w:line="240" w:lineRule="auto"/>
        <w:rPr>
          <w:rFonts w:ascii="Trebuchet MS" w:hAnsi="Trebuchet MS"/>
          <w:color w:val="1F4E79" w:themeColor="accent1" w:themeShade="80"/>
        </w:rPr>
      </w:pPr>
    </w:p>
    <w:p w14:paraId="74BECC70" w14:textId="1352D673" w:rsidR="005A502D" w:rsidRPr="00A94974" w:rsidRDefault="00312AB8" w:rsidP="00312AB8">
      <w:pPr>
        <w:spacing w:after="0" w:line="240" w:lineRule="auto"/>
        <w:jc w:val="right"/>
        <w:rPr>
          <w:rFonts w:ascii="Trebuchet MS" w:hAnsi="Trebuchet MS"/>
          <w:color w:val="1F4E79" w:themeColor="accent1" w:themeShade="80"/>
        </w:rPr>
      </w:pPr>
      <w:r w:rsidRPr="00A94974">
        <w:rPr>
          <w:rFonts w:ascii="Trebuchet MS" w:hAnsi="Trebuchet MS"/>
          <w:color w:val="1F4E79" w:themeColor="accent1" w:themeShade="80"/>
        </w:rPr>
        <w:t>Anexă la Ordinul nr..................</w:t>
      </w:r>
    </w:p>
    <w:p w14:paraId="5F098B8A" w14:textId="77777777" w:rsidR="005A502D" w:rsidRPr="00A94974" w:rsidRDefault="005A502D" w:rsidP="005A502D">
      <w:pPr>
        <w:spacing w:after="0" w:line="240" w:lineRule="auto"/>
        <w:rPr>
          <w:rFonts w:ascii="Trebuchet MS" w:hAnsi="Trebuchet MS"/>
          <w:color w:val="1F4E79" w:themeColor="accent1" w:themeShade="80"/>
        </w:rPr>
      </w:pPr>
    </w:p>
    <w:p w14:paraId="50D910F8" w14:textId="77777777" w:rsidR="005A502D" w:rsidRPr="00A94974" w:rsidRDefault="005A502D" w:rsidP="005A502D">
      <w:pPr>
        <w:spacing w:after="0" w:line="240" w:lineRule="auto"/>
        <w:rPr>
          <w:rFonts w:ascii="Trebuchet MS" w:hAnsi="Trebuchet MS"/>
          <w:color w:val="1F4E79" w:themeColor="accent1" w:themeShade="80"/>
        </w:rPr>
      </w:pPr>
    </w:p>
    <w:p w14:paraId="580B58F5" w14:textId="77777777" w:rsidR="00586064" w:rsidRPr="00A94974" w:rsidRDefault="00586064" w:rsidP="005A502D">
      <w:pPr>
        <w:spacing w:after="0" w:line="240" w:lineRule="auto"/>
        <w:rPr>
          <w:rFonts w:ascii="Trebuchet MS" w:hAnsi="Trebuchet MS"/>
          <w:color w:val="1F4E79" w:themeColor="accent1" w:themeShade="80"/>
        </w:rPr>
      </w:pPr>
    </w:p>
    <w:p w14:paraId="0137CF18" w14:textId="77777777" w:rsidR="00586064" w:rsidRPr="00A94974" w:rsidRDefault="00586064" w:rsidP="005A502D">
      <w:pPr>
        <w:spacing w:after="0" w:line="240" w:lineRule="auto"/>
        <w:rPr>
          <w:rFonts w:ascii="Trebuchet MS" w:hAnsi="Trebuchet MS"/>
          <w:color w:val="1F4E79" w:themeColor="accent1" w:themeShade="80"/>
        </w:rPr>
      </w:pPr>
    </w:p>
    <w:p w14:paraId="16ABEB3D" w14:textId="77777777" w:rsidR="005A502D" w:rsidRPr="00A94974" w:rsidRDefault="005A502D" w:rsidP="005A502D">
      <w:pPr>
        <w:spacing w:after="0" w:line="240" w:lineRule="auto"/>
        <w:rPr>
          <w:rFonts w:ascii="Trebuchet MS" w:hAnsi="Trebuchet MS"/>
          <w:color w:val="1F4E79" w:themeColor="accent1" w:themeShade="80"/>
        </w:rPr>
      </w:pPr>
    </w:p>
    <w:p w14:paraId="60AAD55F" w14:textId="77777777" w:rsidR="005A502D" w:rsidRPr="00A94974" w:rsidRDefault="005A502D" w:rsidP="005A502D">
      <w:pPr>
        <w:spacing w:after="0" w:line="240" w:lineRule="auto"/>
        <w:rPr>
          <w:rFonts w:ascii="Trebuchet MS" w:hAnsi="Trebuchet MS"/>
          <w:color w:val="1F4E79" w:themeColor="accent1" w:themeShade="80"/>
        </w:rPr>
      </w:pPr>
    </w:p>
    <w:p w14:paraId="56B5DC6C" w14:textId="77777777" w:rsidR="005A502D" w:rsidRPr="00A94974" w:rsidRDefault="005A502D" w:rsidP="005A502D">
      <w:pPr>
        <w:spacing w:after="0" w:line="240" w:lineRule="auto"/>
        <w:rPr>
          <w:rFonts w:ascii="Trebuchet MS" w:hAnsi="Trebuchet MS"/>
          <w:color w:val="1F4E79" w:themeColor="accent1" w:themeShade="80"/>
        </w:rPr>
      </w:pPr>
    </w:p>
    <w:p w14:paraId="19D5FF44" w14:textId="77777777" w:rsidR="005A502D" w:rsidRPr="00A94974" w:rsidRDefault="005A502D" w:rsidP="00586064">
      <w:pPr>
        <w:shd w:val="clear" w:color="auto" w:fill="BDD6EE" w:themeFill="accent1" w:themeFillTint="66"/>
        <w:spacing w:before="120" w:after="120" w:line="276" w:lineRule="auto"/>
        <w:jc w:val="center"/>
        <w:rPr>
          <w:rFonts w:ascii="Trebuchet MS" w:hAnsi="Trebuchet MS"/>
          <w:color w:val="1F4E79" w:themeColor="accent1" w:themeShade="80"/>
        </w:rPr>
      </w:pPr>
      <w:r w:rsidRPr="00A94974">
        <w:rPr>
          <w:rFonts w:ascii="Trebuchet MS" w:hAnsi="Trebuchet MS"/>
          <w:color w:val="1F4E79" w:themeColor="accent1" w:themeShade="80"/>
        </w:rPr>
        <w:t>Ghidul Solicitantului Condiții Specifice</w:t>
      </w:r>
    </w:p>
    <w:p w14:paraId="27C7850A" w14:textId="0D6905FD" w:rsidR="00C02500" w:rsidRPr="00A94974" w:rsidRDefault="00D80341" w:rsidP="00586064">
      <w:pPr>
        <w:shd w:val="clear" w:color="auto" w:fill="BDD6EE" w:themeFill="accent1" w:themeFillTint="66"/>
        <w:spacing w:after="0" w:line="240" w:lineRule="auto"/>
        <w:jc w:val="center"/>
        <w:rPr>
          <w:rFonts w:ascii="Trebuchet MS" w:hAnsi="Trebuchet MS"/>
          <w:color w:val="1F4E79" w:themeColor="accent1" w:themeShade="80"/>
        </w:rPr>
      </w:pPr>
      <w:bookmarkStart w:id="2" w:name="_Hlk138837341"/>
      <w:r w:rsidRPr="00A94974">
        <w:rPr>
          <w:rFonts w:ascii="Trebuchet MS" w:hAnsi="Trebuchet MS"/>
          <w:color w:val="1F4E79" w:themeColor="accent1" w:themeShade="80"/>
        </w:rPr>
        <w:t>Sprijin financiar suplimentar destinat studenților cu oportunități reduse care participă la mobilități studențești Erasmus+</w:t>
      </w:r>
    </w:p>
    <w:bookmarkEnd w:id="2"/>
    <w:p w14:paraId="625640EC" w14:textId="77777777" w:rsidR="005A502D" w:rsidRPr="00A94974" w:rsidRDefault="005A502D" w:rsidP="005A502D">
      <w:pPr>
        <w:spacing w:before="120" w:after="120"/>
        <w:rPr>
          <w:rFonts w:ascii="Trebuchet MS" w:hAnsi="Trebuchet MS"/>
          <w:color w:val="1F4E79" w:themeColor="accent1" w:themeShade="80"/>
        </w:rPr>
      </w:pPr>
    </w:p>
    <w:p w14:paraId="04F1452F" w14:textId="77777777" w:rsidR="00DC7B34" w:rsidRPr="00A94974" w:rsidRDefault="00DC7B34" w:rsidP="00D84C69">
      <w:pPr>
        <w:spacing w:before="120" w:after="120"/>
        <w:rPr>
          <w:rFonts w:ascii="Trebuchet MS" w:hAnsi="Trebuchet MS"/>
          <w:color w:val="1F4E79" w:themeColor="accent1" w:themeShade="80"/>
        </w:rPr>
      </w:pPr>
    </w:p>
    <w:p w14:paraId="5C3F91B1" w14:textId="77777777" w:rsidR="00DC7B34" w:rsidRPr="00A94974" w:rsidRDefault="00DC7B34" w:rsidP="00D84C69">
      <w:pPr>
        <w:spacing w:before="120" w:after="120"/>
        <w:rPr>
          <w:rFonts w:ascii="Trebuchet MS" w:hAnsi="Trebuchet MS"/>
          <w:color w:val="1F4E79" w:themeColor="accent1" w:themeShade="80"/>
        </w:rPr>
      </w:pPr>
    </w:p>
    <w:p w14:paraId="5B930FE1" w14:textId="77777777" w:rsidR="00DC7B34" w:rsidRPr="00A94974" w:rsidRDefault="00DC7B34" w:rsidP="00D84C69">
      <w:pPr>
        <w:spacing w:before="120" w:after="120"/>
        <w:rPr>
          <w:rFonts w:ascii="Trebuchet MS" w:hAnsi="Trebuchet MS"/>
          <w:color w:val="1F4E79" w:themeColor="accent1" w:themeShade="80"/>
        </w:rPr>
      </w:pPr>
    </w:p>
    <w:p w14:paraId="4C6DF735" w14:textId="77777777" w:rsidR="00DC7B34" w:rsidRPr="00A94974" w:rsidRDefault="00DC7B34" w:rsidP="00D84C69">
      <w:pPr>
        <w:spacing w:before="120" w:after="120"/>
        <w:rPr>
          <w:rFonts w:ascii="Trebuchet MS" w:hAnsi="Trebuchet MS"/>
          <w:color w:val="1F4E79" w:themeColor="accent1" w:themeShade="80"/>
        </w:rPr>
      </w:pPr>
    </w:p>
    <w:p w14:paraId="05941450" w14:textId="77777777" w:rsidR="00DC7B34" w:rsidRPr="00A94974" w:rsidRDefault="00DC7B34" w:rsidP="00D84C69">
      <w:pPr>
        <w:spacing w:before="120" w:after="120"/>
        <w:rPr>
          <w:rFonts w:ascii="Trebuchet MS" w:hAnsi="Trebuchet MS"/>
          <w:color w:val="1F4E79" w:themeColor="accent1" w:themeShade="80"/>
        </w:rPr>
      </w:pPr>
    </w:p>
    <w:p w14:paraId="11B75CCA" w14:textId="77777777" w:rsidR="00586064" w:rsidRPr="00A94974" w:rsidRDefault="00586064" w:rsidP="00D84C69">
      <w:pPr>
        <w:spacing w:before="120" w:after="120"/>
        <w:rPr>
          <w:rFonts w:ascii="Trebuchet MS" w:hAnsi="Trebuchet MS"/>
          <w:color w:val="1F4E79" w:themeColor="accent1" w:themeShade="80"/>
        </w:rPr>
      </w:pPr>
    </w:p>
    <w:p w14:paraId="3D5B02A4" w14:textId="77777777" w:rsidR="00DC7B34" w:rsidRPr="00A94974" w:rsidRDefault="00DC7B34" w:rsidP="00D84C69">
      <w:pPr>
        <w:spacing w:before="120" w:after="120"/>
        <w:rPr>
          <w:rFonts w:ascii="Trebuchet MS" w:hAnsi="Trebuchet MS"/>
          <w:color w:val="1F4E79" w:themeColor="accent1" w:themeShade="80"/>
        </w:rPr>
      </w:pPr>
    </w:p>
    <w:p w14:paraId="60F1A41E" w14:textId="77777777" w:rsidR="00DC7B34" w:rsidRPr="00A94974" w:rsidRDefault="00DC7B34" w:rsidP="00D84C69">
      <w:pPr>
        <w:spacing w:before="120" w:after="120"/>
        <w:rPr>
          <w:rFonts w:ascii="Trebuchet MS" w:hAnsi="Trebuchet MS"/>
          <w:color w:val="1F4E79" w:themeColor="accent1" w:themeShade="80"/>
        </w:rPr>
      </w:pPr>
    </w:p>
    <w:p w14:paraId="44DEDC56" w14:textId="77777777" w:rsidR="00DC7B34" w:rsidRPr="00A94974" w:rsidRDefault="00DC7B34" w:rsidP="00D84C69">
      <w:pPr>
        <w:spacing w:before="120" w:after="120"/>
        <w:rPr>
          <w:rFonts w:ascii="Trebuchet MS" w:hAnsi="Trebuchet MS"/>
          <w:color w:val="1F4E79" w:themeColor="accent1" w:themeShade="80"/>
        </w:rPr>
      </w:pPr>
    </w:p>
    <w:p w14:paraId="3D802AB2" w14:textId="77777777" w:rsidR="003705E1" w:rsidRPr="00A94974" w:rsidRDefault="003705E1" w:rsidP="00D84C69">
      <w:pPr>
        <w:spacing w:before="120" w:after="120"/>
        <w:rPr>
          <w:rFonts w:ascii="Trebuchet MS" w:hAnsi="Trebuchet MS"/>
          <w:color w:val="1F4E79" w:themeColor="accent1" w:themeShade="80"/>
        </w:rPr>
      </w:pPr>
    </w:p>
    <w:p w14:paraId="1D939CB5" w14:textId="77777777" w:rsidR="003705E1" w:rsidRPr="00A94974" w:rsidRDefault="003705E1" w:rsidP="00D84C69">
      <w:pPr>
        <w:spacing w:before="120" w:after="120"/>
        <w:rPr>
          <w:rFonts w:ascii="Trebuchet MS" w:hAnsi="Trebuchet MS"/>
          <w:color w:val="1F4E79" w:themeColor="accent1" w:themeShade="80"/>
        </w:rPr>
      </w:pPr>
    </w:p>
    <w:p w14:paraId="3E5C3FAB" w14:textId="77777777" w:rsidR="003705E1" w:rsidRPr="00A94974" w:rsidRDefault="003705E1" w:rsidP="00D84C69">
      <w:pPr>
        <w:spacing w:before="120" w:after="120"/>
        <w:rPr>
          <w:rFonts w:ascii="Trebuchet MS" w:hAnsi="Trebuchet MS"/>
          <w:color w:val="1F4E79" w:themeColor="accent1" w:themeShade="80"/>
        </w:rPr>
      </w:pPr>
    </w:p>
    <w:p w14:paraId="06E0E528" w14:textId="77777777" w:rsidR="00DC7B34" w:rsidRPr="00A94974" w:rsidRDefault="00DC7B34" w:rsidP="00D84C69">
      <w:pPr>
        <w:spacing w:before="120" w:after="120"/>
        <w:rPr>
          <w:rFonts w:ascii="Trebuchet MS" w:hAnsi="Trebuchet MS"/>
          <w:color w:val="1F4E79" w:themeColor="accent1" w:themeShade="80"/>
        </w:rPr>
      </w:pPr>
    </w:p>
    <w:p w14:paraId="70B504CF" w14:textId="77777777" w:rsidR="003705E1" w:rsidRPr="00A94974" w:rsidRDefault="003705E1" w:rsidP="00586064">
      <w:pPr>
        <w:shd w:val="clear" w:color="auto" w:fill="DEEAF6" w:themeFill="accent1" w:themeFillTint="33"/>
        <w:spacing w:before="120" w:after="120"/>
        <w:jc w:val="center"/>
        <w:rPr>
          <w:rFonts w:ascii="Trebuchet MS" w:hAnsi="Trebuchet MS"/>
          <w:color w:val="1F4E79" w:themeColor="accent1" w:themeShade="80"/>
        </w:rPr>
      </w:pPr>
    </w:p>
    <w:p w14:paraId="23EC0ED2" w14:textId="32765273" w:rsidR="002317FD" w:rsidRPr="00A94974" w:rsidRDefault="0038230E" w:rsidP="003705E1">
      <w:pPr>
        <w:shd w:val="clear" w:color="auto" w:fill="DEEAF6" w:themeFill="accent1" w:themeFillTint="33"/>
        <w:spacing w:before="120" w:after="120"/>
        <w:jc w:val="center"/>
        <w:rPr>
          <w:rFonts w:ascii="Trebuchet MS" w:hAnsi="Trebuchet MS"/>
          <w:color w:val="1F4E79" w:themeColor="accent1" w:themeShade="80"/>
        </w:rPr>
      </w:pPr>
      <w:r w:rsidRPr="00A94974">
        <w:rPr>
          <w:rFonts w:ascii="Trebuchet MS" w:hAnsi="Trebuchet MS"/>
          <w:color w:val="1F4E79" w:themeColor="accent1" w:themeShade="80"/>
        </w:rPr>
        <w:t>202</w:t>
      </w:r>
      <w:r w:rsidR="00EB12C0" w:rsidRPr="00A94974">
        <w:rPr>
          <w:rFonts w:ascii="Trebuchet MS" w:hAnsi="Trebuchet MS"/>
          <w:color w:val="1F4E79" w:themeColor="accent1" w:themeShade="80"/>
        </w:rPr>
        <w:t>4</w:t>
      </w:r>
    </w:p>
    <w:p w14:paraId="1DFDDF6D" w14:textId="77777777" w:rsidR="003705E1" w:rsidRPr="00A94974" w:rsidRDefault="003705E1" w:rsidP="003705E1">
      <w:pPr>
        <w:shd w:val="clear" w:color="auto" w:fill="DEEAF6" w:themeFill="accent1" w:themeFillTint="33"/>
        <w:spacing w:before="120" w:after="120"/>
        <w:jc w:val="center"/>
        <w:rPr>
          <w:rFonts w:ascii="Trebuchet MS" w:hAnsi="Trebuchet MS"/>
          <w:color w:val="1F4E79" w:themeColor="accent1" w:themeShade="80"/>
        </w:rPr>
      </w:pPr>
    </w:p>
    <w:sdt>
      <w:sdtPr>
        <w:rPr>
          <w:rFonts w:ascii="Trebuchet MS" w:eastAsiaTheme="minorEastAsia" w:hAnsi="Trebuchet MS" w:cstheme="minorBidi"/>
          <w:color w:val="1F4E79" w:themeColor="accent1" w:themeShade="80"/>
          <w:sz w:val="22"/>
          <w:szCs w:val="22"/>
          <w:lang w:val="ro-RO"/>
        </w:rPr>
        <w:id w:val="2075844244"/>
        <w:docPartObj>
          <w:docPartGallery w:val="Table of Contents"/>
          <w:docPartUnique/>
        </w:docPartObj>
      </w:sdtPr>
      <w:sdtEndPr>
        <w:rPr>
          <w:b/>
          <w:bCs/>
          <w:noProof/>
          <w:color w:val="1F4E79" w:themeColor="accent1" w:themeShade="80"/>
        </w:rPr>
      </w:sdtEndPr>
      <w:sdtContent>
        <w:p w14:paraId="17FE1DFA" w14:textId="5EE23D0E" w:rsidR="00DC7B34" w:rsidRPr="00A94974" w:rsidRDefault="00DC7B34">
          <w:pPr>
            <w:pStyle w:val="TOCHeading"/>
            <w:rPr>
              <w:rFonts w:ascii="Trebuchet MS" w:hAnsi="Trebuchet MS"/>
              <w:color w:val="1F4E79" w:themeColor="accent1" w:themeShade="80"/>
              <w:sz w:val="22"/>
              <w:szCs w:val="22"/>
              <w:lang w:val="ro-RO"/>
            </w:rPr>
          </w:pPr>
          <w:r w:rsidRPr="00A94974">
            <w:rPr>
              <w:rFonts w:ascii="Trebuchet MS" w:hAnsi="Trebuchet MS"/>
              <w:color w:val="1F4E79" w:themeColor="accent1" w:themeShade="80"/>
              <w:sz w:val="22"/>
              <w:szCs w:val="22"/>
              <w:lang w:val="ro-RO"/>
            </w:rPr>
            <w:t>Contents</w:t>
          </w:r>
        </w:p>
        <w:p w14:paraId="11513090" w14:textId="16AC5E1E" w:rsidR="003D2E2F" w:rsidRPr="00A94974" w:rsidRDefault="00DC7B34">
          <w:pPr>
            <w:pStyle w:val="TOC1"/>
            <w:tabs>
              <w:tab w:val="right" w:leader="dot" w:pos="9396"/>
            </w:tabs>
            <w:rPr>
              <w:rFonts w:eastAsiaTheme="minorEastAsia"/>
              <w:noProof/>
              <w:color w:val="1F4E79" w:themeColor="accent1" w:themeShade="80"/>
              <w:kern w:val="2"/>
              <w14:ligatures w14:val="standardContextual"/>
            </w:rPr>
          </w:pPr>
          <w:r w:rsidRPr="00A94974">
            <w:rPr>
              <w:rFonts w:ascii="Trebuchet MS" w:hAnsi="Trebuchet MS"/>
              <w:color w:val="1F4E79" w:themeColor="accent1" w:themeShade="80"/>
            </w:rPr>
            <w:fldChar w:fldCharType="begin"/>
          </w:r>
          <w:r w:rsidRPr="00A94974">
            <w:rPr>
              <w:rFonts w:ascii="Trebuchet MS" w:hAnsi="Trebuchet MS"/>
              <w:color w:val="1F4E79" w:themeColor="accent1" w:themeShade="80"/>
            </w:rPr>
            <w:instrText xml:space="preserve"> TOC \o "1-3" \h \z \u </w:instrText>
          </w:r>
          <w:r w:rsidRPr="00A94974">
            <w:rPr>
              <w:rFonts w:ascii="Trebuchet MS" w:hAnsi="Trebuchet MS"/>
              <w:color w:val="1F4E79" w:themeColor="accent1" w:themeShade="80"/>
            </w:rPr>
            <w:fldChar w:fldCharType="separate"/>
          </w:r>
          <w:hyperlink w:anchor="_Toc179368069" w:history="1">
            <w:r w:rsidR="003D2E2F" w:rsidRPr="00A94974">
              <w:rPr>
                <w:rStyle w:val="Hyperlink"/>
                <w:noProof/>
                <w:color w:val="1F4E79" w:themeColor="accent1" w:themeShade="80"/>
              </w:rPr>
              <w:t>1. PREAMBUL, ABREVIERI ȘI GLOSAR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_Toc179368069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6</w:t>
            </w:r>
            <w:r w:rsidR="003D2E2F" w:rsidRPr="00A94974">
              <w:rPr>
                <w:noProof/>
                <w:webHidden/>
                <w:color w:val="1F4E79" w:themeColor="accent1" w:themeShade="80"/>
              </w:rPr>
              <w:fldChar w:fldCharType="end"/>
            </w:r>
          </w:hyperlink>
        </w:p>
        <w:p w14:paraId="72C0B816" w14:textId="4B599A44"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70" w:history="1">
            <w:r w:rsidR="003D2E2F" w:rsidRPr="00A94974">
              <w:rPr>
                <w:rStyle w:val="Hyperlink"/>
                <w:noProof/>
                <w:color w:val="1F4E79" w:themeColor="accent1" w:themeShade="80"/>
              </w:rPr>
              <w:t>1.1 Preambul</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6</w:t>
            </w:r>
            <w:r w:rsidR="003D2E2F" w:rsidRPr="00A94974">
              <w:rPr>
                <w:noProof/>
                <w:webHidden/>
                <w:color w:val="1F4E79" w:themeColor="accent1" w:themeShade="80"/>
              </w:rPr>
              <w:fldChar w:fldCharType="end"/>
            </w:r>
          </w:hyperlink>
        </w:p>
        <w:p w14:paraId="66631189" w14:textId="1FFD9D1F"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71" w:history="1">
            <w:r w:rsidR="003D2E2F" w:rsidRPr="00A94974">
              <w:rPr>
                <w:rStyle w:val="Hyperlink"/>
                <w:noProof/>
                <w:color w:val="1F4E79" w:themeColor="accent1" w:themeShade="80"/>
              </w:rPr>
              <w:t>1.2 Abrevieri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6</w:t>
            </w:r>
            <w:r w:rsidR="003D2E2F" w:rsidRPr="00A94974">
              <w:rPr>
                <w:noProof/>
                <w:webHidden/>
                <w:color w:val="1F4E79" w:themeColor="accent1" w:themeShade="80"/>
              </w:rPr>
              <w:fldChar w:fldCharType="end"/>
            </w:r>
          </w:hyperlink>
        </w:p>
        <w:p w14:paraId="01A4A431" w14:textId="46A0AD82"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72" w:history="1">
            <w:r w:rsidR="003D2E2F" w:rsidRPr="00A94974">
              <w:rPr>
                <w:rStyle w:val="Hyperlink"/>
                <w:noProof/>
                <w:color w:val="1F4E79" w:themeColor="accent1" w:themeShade="80"/>
              </w:rPr>
              <w:t>1.3 Glosar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7</w:t>
            </w:r>
            <w:r w:rsidR="003D2E2F" w:rsidRPr="00A94974">
              <w:rPr>
                <w:noProof/>
                <w:webHidden/>
                <w:color w:val="1F4E79" w:themeColor="accent1" w:themeShade="80"/>
              </w:rPr>
              <w:fldChar w:fldCharType="end"/>
            </w:r>
          </w:hyperlink>
        </w:p>
        <w:p w14:paraId="243BA31A" w14:textId="73F9DE97"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073" w:history="1">
            <w:r w:rsidR="003D2E2F" w:rsidRPr="00A94974">
              <w:rPr>
                <w:rStyle w:val="Hyperlink"/>
                <w:noProof/>
                <w:color w:val="1F4E79" w:themeColor="accent1" w:themeShade="80"/>
              </w:rPr>
              <w:t>2. ELEMENTE DE CONTEXT</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8</w:t>
            </w:r>
            <w:r w:rsidR="003D2E2F" w:rsidRPr="00A94974">
              <w:rPr>
                <w:noProof/>
                <w:webHidden/>
                <w:color w:val="1F4E79" w:themeColor="accent1" w:themeShade="80"/>
              </w:rPr>
              <w:fldChar w:fldCharType="end"/>
            </w:r>
          </w:hyperlink>
        </w:p>
        <w:p w14:paraId="1EECD1DF" w14:textId="248CCD7F"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74" w:history="1">
            <w:r w:rsidR="003D2E2F" w:rsidRPr="00A94974">
              <w:rPr>
                <w:rStyle w:val="Hyperlink"/>
                <w:noProof/>
                <w:color w:val="1F4E79" w:themeColor="accent1" w:themeShade="80"/>
              </w:rPr>
              <w:t>2.1 Informații generale despre program</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8</w:t>
            </w:r>
            <w:r w:rsidR="003D2E2F" w:rsidRPr="00A94974">
              <w:rPr>
                <w:noProof/>
                <w:webHidden/>
                <w:color w:val="1F4E79" w:themeColor="accent1" w:themeShade="80"/>
              </w:rPr>
              <w:fldChar w:fldCharType="end"/>
            </w:r>
          </w:hyperlink>
        </w:p>
        <w:p w14:paraId="7E3C2A8B" w14:textId="59B33AF1"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75" w:history="1">
            <w:r w:rsidR="003D2E2F" w:rsidRPr="00A94974">
              <w:rPr>
                <w:rStyle w:val="Hyperlink"/>
                <w:noProof/>
                <w:color w:val="1F4E79" w:themeColor="accent1" w:themeShade="80"/>
              </w:rPr>
              <w:t>2.2 Prioritatea/Fond/Obiectiv de politică/Obiectiv specific</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9</w:t>
            </w:r>
            <w:r w:rsidR="003D2E2F" w:rsidRPr="00A94974">
              <w:rPr>
                <w:noProof/>
                <w:webHidden/>
                <w:color w:val="1F4E79" w:themeColor="accent1" w:themeShade="80"/>
              </w:rPr>
              <w:fldChar w:fldCharType="end"/>
            </w:r>
          </w:hyperlink>
        </w:p>
        <w:p w14:paraId="65390679" w14:textId="52DE11E8"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76" w:history="1">
            <w:r w:rsidR="003D2E2F" w:rsidRPr="00A94974">
              <w:rPr>
                <w:rStyle w:val="Hyperlink"/>
                <w:noProof/>
                <w:color w:val="1F4E79" w:themeColor="accent1" w:themeShade="80"/>
              </w:rPr>
              <w:t>2.3. Reglementări europene și naționale, cadrul strategic, documente programatice aplicabile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10</w:t>
            </w:r>
            <w:r w:rsidR="003D2E2F" w:rsidRPr="00A94974">
              <w:rPr>
                <w:noProof/>
                <w:webHidden/>
                <w:color w:val="1F4E79" w:themeColor="accent1" w:themeShade="80"/>
              </w:rPr>
              <w:fldChar w:fldCharType="end"/>
            </w:r>
          </w:hyperlink>
        </w:p>
        <w:p w14:paraId="57BA4ECF" w14:textId="3FAB369E"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077" w:history="1">
            <w:r w:rsidR="003D2E2F" w:rsidRPr="00A94974">
              <w:rPr>
                <w:rStyle w:val="Hyperlink"/>
                <w:noProof/>
                <w:color w:val="1F4E79" w:themeColor="accent1" w:themeShade="80"/>
              </w:rPr>
              <w:t>3. ASPECTE SPECIFICE APELULUI DE PROIECTE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11</w:t>
            </w:r>
            <w:r w:rsidR="003D2E2F" w:rsidRPr="00A94974">
              <w:rPr>
                <w:noProof/>
                <w:webHidden/>
                <w:color w:val="1F4E79" w:themeColor="accent1" w:themeShade="80"/>
              </w:rPr>
              <w:fldChar w:fldCharType="end"/>
            </w:r>
          </w:hyperlink>
        </w:p>
        <w:p w14:paraId="216E48E5" w14:textId="1B15526C"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78" w:history="1">
            <w:r w:rsidR="003D2E2F" w:rsidRPr="00A94974">
              <w:rPr>
                <w:rStyle w:val="Hyperlink"/>
                <w:noProof/>
                <w:color w:val="1F4E79" w:themeColor="accent1" w:themeShade="80"/>
              </w:rPr>
              <w:t>3.1 Tipul de apel</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11</w:t>
            </w:r>
            <w:r w:rsidR="003D2E2F" w:rsidRPr="00A94974">
              <w:rPr>
                <w:noProof/>
                <w:webHidden/>
                <w:color w:val="1F4E79" w:themeColor="accent1" w:themeShade="80"/>
              </w:rPr>
              <w:fldChar w:fldCharType="end"/>
            </w:r>
          </w:hyperlink>
        </w:p>
        <w:p w14:paraId="1EEF5009" w14:textId="6E23DDF0"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79" w:history="1">
            <w:r w:rsidR="003D2E2F" w:rsidRPr="00A94974">
              <w:rPr>
                <w:rStyle w:val="Hyperlink"/>
                <w:noProof/>
                <w:color w:val="1F4E79" w:themeColor="accent1" w:themeShade="80"/>
              </w:rPr>
              <w:t>3.2 Forma de sprijin (granturi; instrumentele financiare; premii)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_Toc179368079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11</w:t>
            </w:r>
            <w:r w:rsidR="003D2E2F" w:rsidRPr="00A94974">
              <w:rPr>
                <w:noProof/>
                <w:webHidden/>
                <w:color w:val="1F4E79" w:themeColor="accent1" w:themeShade="80"/>
              </w:rPr>
              <w:fldChar w:fldCharType="end"/>
            </w:r>
          </w:hyperlink>
        </w:p>
        <w:p w14:paraId="5DDE30C0" w14:textId="3F7AACBA"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80" w:history="1">
            <w:r w:rsidR="003D2E2F" w:rsidRPr="00A94974">
              <w:rPr>
                <w:rStyle w:val="Hyperlink"/>
                <w:noProof/>
                <w:color w:val="1F4E79" w:themeColor="accent1" w:themeShade="80"/>
              </w:rPr>
              <w:t>3.3  Bugetul alocat apelului de proiecte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11</w:t>
            </w:r>
            <w:r w:rsidR="003D2E2F" w:rsidRPr="00A94974">
              <w:rPr>
                <w:noProof/>
                <w:webHidden/>
                <w:color w:val="1F4E79" w:themeColor="accent1" w:themeShade="80"/>
              </w:rPr>
              <w:fldChar w:fldCharType="end"/>
            </w:r>
          </w:hyperlink>
        </w:p>
        <w:p w14:paraId="30011A88" w14:textId="64B2DB97"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81" w:history="1">
            <w:r w:rsidR="003D2E2F" w:rsidRPr="00A94974">
              <w:rPr>
                <w:rStyle w:val="Hyperlink"/>
                <w:noProof/>
                <w:color w:val="1F4E79" w:themeColor="accent1" w:themeShade="80"/>
              </w:rPr>
              <w:t>3.4 Rata de cofinanțare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11</w:t>
            </w:r>
            <w:r w:rsidR="003D2E2F" w:rsidRPr="00A94974">
              <w:rPr>
                <w:noProof/>
                <w:webHidden/>
                <w:color w:val="1F4E79" w:themeColor="accent1" w:themeShade="80"/>
              </w:rPr>
              <w:fldChar w:fldCharType="end"/>
            </w:r>
          </w:hyperlink>
        </w:p>
        <w:p w14:paraId="356392A6" w14:textId="5B1C17A7"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82" w:history="1">
            <w:r w:rsidR="003D2E2F" w:rsidRPr="00A94974">
              <w:rPr>
                <w:rStyle w:val="Hyperlink"/>
                <w:noProof/>
                <w:color w:val="1F4E79" w:themeColor="accent1" w:themeShade="80"/>
              </w:rPr>
              <w:t>3.5 Zona/zonele geografică(e) vizată(e) de apelul de proiecte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12</w:t>
            </w:r>
            <w:r w:rsidR="003D2E2F" w:rsidRPr="00A94974">
              <w:rPr>
                <w:noProof/>
                <w:webHidden/>
                <w:color w:val="1F4E79" w:themeColor="accent1" w:themeShade="80"/>
              </w:rPr>
              <w:fldChar w:fldCharType="end"/>
            </w:r>
          </w:hyperlink>
        </w:p>
        <w:p w14:paraId="47FDA978" w14:textId="224DC48D"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83" w:history="1">
            <w:r w:rsidR="003D2E2F" w:rsidRPr="00A94974">
              <w:rPr>
                <w:rStyle w:val="Hyperlink"/>
                <w:noProof/>
                <w:color w:val="1F4E79" w:themeColor="accent1" w:themeShade="80"/>
              </w:rPr>
              <w:t>3.6 Acțiuni sprijinite în cadrul apelului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12</w:t>
            </w:r>
            <w:r w:rsidR="003D2E2F" w:rsidRPr="00A94974">
              <w:rPr>
                <w:noProof/>
                <w:webHidden/>
                <w:color w:val="1F4E79" w:themeColor="accent1" w:themeShade="80"/>
              </w:rPr>
              <w:fldChar w:fldCharType="end"/>
            </w:r>
          </w:hyperlink>
        </w:p>
        <w:p w14:paraId="695B3F27" w14:textId="1F0D833A"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84" w:history="1">
            <w:r w:rsidR="003D2E2F" w:rsidRPr="00A94974">
              <w:rPr>
                <w:rStyle w:val="Hyperlink"/>
                <w:noProof/>
                <w:color w:val="1F4E79" w:themeColor="accent1" w:themeShade="80"/>
              </w:rPr>
              <w:t>3.7 Grup țintă vizat de apelul de proiecte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12</w:t>
            </w:r>
            <w:r w:rsidR="003D2E2F" w:rsidRPr="00A94974">
              <w:rPr>
                <w:noProof/>
                <w:webHidden/>
                <w:color w:val="1F4E79" w:themeColor="accent1" w:themeShade="80"/>
              </w:rPr>
              <w:fldChar w:fldCharType="end"/>
            </w:r>
          </w:hyperlink>
        </w:p>
        <w:p w14:paraId="6C929DD9" w14:textId="202613B0"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85" w:history="1">
            <w:r w:rsidR="003D2E2F" w:rsidRPr="00A94974">
              <w:rPr>
                <w:rStyle w:val="Hyperlink"/>
                <w:noProof/>
                <w:color w:val="1F4E79" w:themeColor="accent1" w:themeShade="80"/>
              </w:rPr>
              <w:t>3.8 Indicatori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15</w:t>
            </w:r>
            <w:r w:rsidR="003D2E2F" w:rsidRPr="00A94974">
              <w:rPr>
                <w:noProof/>
                <w:webHidden/>
                <w:color w:val="1F4E79" w:themeColor="accent1" w:themeShade="80"/>
              </w:rPr>
              <w:fldChar w:fldCharType="end"/>
            </w:r>
          </w:hyperlink>
        </w:p>
        <w:p w14:paraId="4FBE7023" w14:textId="6662381C" w:rsidR="003D2E2F" w:rsidRPr="00A94974" w:rsidRDefault="00000000">
          <w:pPr>
            <w:pStyle w:val="TOC3"/>
            <w:rPr>
              <w:rFonts w:eastAsiaTheme="minorEastAsia"/>
              <w:noProof/>
              <w:color w:val="1F4E79" w:themeColor="accent1" w:themeShade="80"/>
              <w:kern w:val="2"/>
              <w14:ligatures w14:val="standardContextual"/>
            </w:rPr>
          </w:pPr>
          <w:hyperlink w:anchor="_Toc179368086" w:history="1">
            <w:r w:rsidR="003D2E2F" w:rsidRPr="00A94974">
              <w:rPr>
                <w:rStyle w:val="Hyperlink"/>
                <w:noProof/>
                <w:color w:val="1F4E79" w:themeColor="accent1" w:themeShade="80"/>
              </w:rPr>
              <w:t>3.8.1 Indicatori de realizare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15</w:t>
            </w:r>
            <w:r w:rsidR="003D2E2F" w:rsidRPr="00A94974">
              <w:rPr>
                <w:noProof/>
                <w:webHidden/>
                <w:color w:val="1F4E79" w:themeColor="accent1" w:themeShade="80"/>
              </w:rPr>
              <w:fldChar w:fldCharType="end"/>
            </w:r>
          </w:hyperlink>
        </w:p>
        <w:p w14:paraId="57E0D48B" w14:textId="5B98268D" w:rsidR="003D2E2F" w:rsidRPr="00A94974" w:rsidRDefault="00000000">
          <w:pPr>
            <w:pStyle w:val="TOC3"/>
            <w:rPr>
              <w:rFonts w:eastAsiaTheme="minorEastAsia"/>
              <w:noProof/>
              <w:color w:val="1F4E79" w:themeColor="accent1" w:themeShade="80"/>
              <w:kern w:val="2"/>
              <w14:ligatures w14:val="standardContextual"/>
            </w:rPr>
          </w:pPr>
          <w:hyperlink w:anchor="_Toc179368087" w:history="1">
            <w:r w:rsidR="003D2E2F" w:rsidRPr="00A94974">
              <w:rPr>
                <w:rStyle w:val="Hyperlink"/>
                <w:noProof/>
                <w:color w:val="1F4E79" w:themeColor="accent1" w:themeShade="80"/>
              </w:rPr>
              <w:t>3.8.2 Indicatori de rezultat</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15</w:t>
            </w:r>
            <w:r w:rsidR="003D2E2F" w:rsidRPr="00A94974">
              <w:rPr>
                <w:noProof/>
                <w:webHidden/>
                <w:color w:val="1F4E79" w:themeColor="accent1" w:themeShade="80"/>
              </w:rPr>
              <w:fldChar w:fldCharType="end"/>
            </w:r>
          </w:hyperlink>
        </w:p>
        <w:p w14:paraId="6746AC90" w14:textId="453E2E68" w:rsidR="003D2E2F" w:rsidRPr="00A94974" w:rsidRDefault="00000000">
          <w:pPr>
            <w:pStyle w:val="TOC3"/>
            <w:rPr>
              <w:rFonts w:eastAsiaTheme="minorEastAsia"/>
              <w:noProof/>
              <w:color w:val="1F4E79" w:themeColor="accent1" w:themeShade="80"/>
              <w:kern w:val="2"/>
              <w14:ligatures w14:val="standardContextual"/>
            </w:rPr>
          </w:pPr>
          <w:hyperlink w:anchor="_Toc179368088" w:history="1">
            <w:r w:rsidR="003D2E2F" w:rsidRPr="00A94974">
              <w:rPr>
                <w:rStyle w:val="Hyperlink"/>
                <w:noProof/>
                <w:color w:val="1F4E79" w:themeColor="accent1" w:themeShade="80"/>
              </w:rPr>
              <w:t>3.8.3 Indicatori suplimentari specifici Apelului de Proiecte (dacă este cazul)</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16</w:t>
            </w:r>
            <w:r w:rsidR="003D2E2F" w:rsidRPr="00A94974">
              <w:rPr>
                <w:noProof/>
                <w:webHidden/>
                <w:color w:val="1F4E79" w:themeColor="accent1" w:themeShade="80"/>
              </w:rPr>
              <w:fldChar w:fldCharType="end"/>
            </w:r>
          </w:hyperlink>
        </w:p>
        <w:p w14:paraId="1D5708E0" w14:textId="05445B63"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89" w:history="1">
            <w:r w:rsidR="003D2E2F" w:rsidRPr="00A94974">
              <w:rPr>
                <w:rStyle w:val="Hyperlink"/>
                <w:noProof/>
                <w:color w:val="1F4E79" w:themeColor="accent1" w:themeShade="80"/>
              </w:rPr>
              <w:t>3.9 Rezultatele așteptate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_Toc179368089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16</w:t>
            </w:r>
            <w:r w:rsidR="003D2E2F" w:rsidRPr="00A94974">
              <w:rPr>
                <w:noProof/>
                <w:webHidden/>
                <w:color w:val="1F4E79" w:themeColor="accent1" w:themeShade="80"/>
              </w:rPr>
              <w:fldChar w:fldCharType="end"/>
            </w:r>
          </w:hyperlink>
        </w:p>
        <w:p w14:paraId="2EFC36D1" w14:textId="7865A313"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0" w:history="1">
            <w:r w:rsidR="003D2E2F" w:rsidRPr="00A94974">
              <w:rPr>
                <w:rStyle w:val="Hyperlink"/>
                <w:noProof/>
                <w:color w:val="1F4E79" w:themeColor="accent1" w:themeShade="80"/>
              </w:rPr>
              <w:t>3.10 Operațiune de importanță strategică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16</w:t>
            </w:r>
            <w:r w:rsidR="003D2E2F" w:rsidRPr="00A94974">
              <w:rPr>
                <w:noProof/>
                <w:webHidden/>
                <w:color w:val="1F4E79" w:themeColor="accent1" w:themeShade="80"/>
              </w:rPr>
              <w:fldChar w:fldCharType="end"/>
            </w:r>
          </w:hyperlink>
        </w:p>
        <w:p w14:paraId="1CCFC7AB" w14:textId="11C26784"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1" w:history="1">
            <w:r w:rsidR="003D2E2F" w:rsidRPr="00A94974">
              <w:rPr>
                <w:rStyle w:val="Hyperlink"/>
                <w:noProof/>
                <w:color w:val="1F4E79" w:themeColor="accent1" w:themeShade="80"/>
              </w:rPr>
              <w:t>3.11 Investiții teritoriale integrate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16</w:t>
            </w:r>
            <w:r w:rsidR="003D2E2F" w:rsidRPr="00A94974">
              <w:rPr>
                <w:noProof/>
                <w:webHidden/>
                <w:color w:val="1F4E79" w:themeColor="accent1" w:themeShade="80"/>
              </w:rPr>
              <w:fldChar w:fldCharType="end"/>
            </w:r>
          </w:hyperlink>
        </w:p>
        <w:p w14:paraId="6A2BB97E" w14:textId="3702CB5D"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2" w:history="1">
            <w:r w:rsidR="003D2E2F" w:rsidRPr="00A94974">
              <w:rPr>
                <w:rStyle w:val="Hyperlink"/>
                <w:noProof/>
                <w:color w:val="1F4E79" w:themeColor="accent1" w:themeShade="80"/>
              </w:rPr>
              <w:t>3.12 Dezvoltare locală plasată sub responsabilitatea comunității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16</w:t>
            </w:r>
            <w:r w:rsidR="003D2E2F" w:rsidRPr="00A94974">
              <w:rPr>
                <w:noProof/>
                <w:webHidden/>
                <w:color w:val="1F4E79" w:themeColor="accent1" w:themeShade="80"/>
              </w:rPr>
              <w:fldChar w:fldCharType="end"/>
            </w:r>
          </w:hyperlink>
        </w:p>
        <w:p w14:paraId="2A7816D4" w14:textId="03931504"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3" w:history="1">
            <w:r w:rsidR="003D2E2F" w:rsidRPr="00A94974">
              <w:rPr>
                <w:rStyle w:val="Hyperlink"/>
                <w:noProof/>
                <w:color w:val="1F4E79" w:themeColor="accent1" w:themeShade="80"/>
              </w:rPr>
              <w:t>3.13 Reguli privind ajutorul de stat</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16</w:t>
            </w:r>
            <w:r w:rsidR="003D2E2F" w:rsidRPr="00A94974">
              <w:rPr>
                <w:noProof/>
                <w:webHidden/>
                <w:color w:val="1F4E79" w:themeColor="accent1" w:themeShade="80"/>
              </w:rPr>
              <w:fldChar w:fldCharType="end"/>
            </w:r>
          </w:hyperlink>
        </w:p>
        <w:p w14:paraId="5C1086C0" w14:textId="2A20BC33"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4" w:history="1">
            <w:r w:rsidR="003D2E2F" w:rsidRPr="00A94974">
              <w:rPr>
                <w:rStyle w:val="Hyperlink"/>
                <w:noProof/>
                <w:color w:val="1F4E79" w:themeColor="accent1" w:themeShade="80"/>
              </w:rPr>
              <w:t>3.14 Reguli privind instrumentele financiare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16</w:t>
            </w:r>
            <w:r w:rsidR="003D2E2F" w:rsidRPr="00A94974">
              <w:rPr>
                <w:noProof/>
                <w:webHidden/>
                <w:color w:val="1F4E79" w:themeColor="accent1" w:themeShade="80"/>
              </w:rPr>
              <w:fldChar w:fldCharType="end"/>
            </w:r>
          </w:hyperlink>
        </w:p>
        <w:p w14:paraId="010E5563" w14:textId="1C930173"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5" w:history="1">
            <w:r w:rsidR="003D2E2F" w:rsidRPr="00A94974">
              <w:rPr>
                <w:rStyle w:val="Hyperlink"/>
                <w:noProof/>
                <w:color w:val="1F4E79" w:themeColor="accent1" w:themeShade="80"/>
              </w:rPr>
              <w:t>3.15 Acțiuni interregionale, transfrontaliere și transnaționale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17</w:t>
            </w:r>
            <w:r w:rsidR="003D2E2F" w:rsidRPr="00A94974">
              <w:rPr>
                <w:noProof/>
                <w:webHidden/>
                <w:color w:val="1F4E79" w:themeColor="accent1" w:themeShade="80"/>
              </w:rPr>
              <w:fldChar w:fldCharType="end"/>
            </w:r>
          </w:hyperlink>
        </w:p>
        <w:p w14:paraId="1DEE5E14" w14:textId="63E67DA0"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6" w:history="1">
            <w:r w:rsidR="003D2E2F" w:rsidRPr="00A94974">
              <w:rPr>
                <w:rStyle w:val="Hyperlink"/>
                <w:noProof/>
                <w:color w:val="1F4E79" w:themeColor="accent1" w:themeShade="80"/>
              </w:rPr>
              <w:t>3.16 Principii orizontale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17</w:t>
            </w:r>
            <w:r w:rsidR="003D2E2F" w:rsidRPr="00A94974">
              <w:rPr>
                <w:noProof/>
                <w:webHidden/>
                <w:color w:val="1F4E79" w:themeColor="accent1" w:themeShade="80"/>
              </w:rPr>
              <w:fldChar w:fldCharType="end"/>
            </w:r>
          </w:hyperlink>
        </w:p>
        <w:p w14:paraId="5C9BF810" w14:textId="030AAEF9"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7" w:history="1">
            <w:r w:rsidR="003D2E2F" w:rsidRPr="00A94974">
              <w:rPr>
                <w:rStyle w:val="Hyperlink"/>
                <w:noProof/>
                <w:color w:val="1F4E79" w:themeColor="accent1" w:themeShade="80"/>
              </w:rPr>
              <w:t>3.17 Aspecte de mediu (inclusiv aplicarea Directivei 2011/92/UE a Parlamentului European și a Consiliului). Aplicarea principiului  DNSH. Imunizarea la schimbările climatice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17</w:t>
            </w:r>
            <w:r w:rsidR="003D2E2F" w:rsidRPr="00A94974">
              <w:rPr>
                <w:noProof/>
                <w:webHidden/>
                <w:color w:val="1F4E79" w:themeColor="accent1" w:themeShade="80"/>
              </w:rPr>
              <w:fldChar w:fldCharType="end"/>
            </w:r>
          </w:hyperlink>
        </w:p>
        <w:p w14:paraId="66885823" w14:textId="00ECFEF8"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8" w:history="1">
            <w:r w:rsidR="003D2E2F" w:rsidRPr="00A94974">
              <w:rPr>
                <w:rStyle w:val="Hyperlink"/>
                <w:noProof/>
                <w:color w:val="1F4E79" w:themeColor="accent1" w:themeShade="80"/>
              </w:rPr>
              <w:t>3.18 Caracterul durabil al proiectului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18</w:t>
            </w:r>
            <w:r w:rsidR="003D2E2F" w:rsidRPr="00A94974">
              <w:rPr>
                <w:noProof/>
                <w:webHidden/>
                <w:color w:val="1F4E79" w:themeColor="accent1" w:themeShade="80"/>
              </w:rPr>
              <w:fldChar w:fldCharType="end"/>
            </w:r>
          </w:hyperlink>
        </w:p>
        <w:p w14:paraId="17AA2277" w14:textId="653B84F9"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099" w:history="1">
            <w:r w:rsidR="003D2E2F" w:rsidRPr="00A94974">
              <w:rPr>
                <w:rStyle w:val="Hyperlink"/>
                <w:noProof/>
                <w:color w:val="1F4E79" w:themeColor="accent1" w:themeShade="80"/>
              </w:rPr>
              <w:t>3.19 Acțiuni menite să garanteze egalitatea de șanse, de gen, incluziunea și nediscriminarea</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_Toc179368099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18</w:t>
            </w:r>
            <w:r w:rsidR="003D2E2F" w:rsidRPr="00A94974">
              <w:rPr>
                <w:noProof/>
                <w:webHidden/>
                <w:color w:val="1F4E79" w:themeColor="accent1" w:themeShade="80"/>
              </w:rPr>
              <w:fldChar w:fldCharType="end"/>
            </w:r>
          </w:hyperlink>
        </w:p>
        <w:p w14:paraId="74F8EA59" w14:textId="3CFE9D3E"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00" w:history="1">
            <w:r w:rsidR="003D2E2F" w:rsidRPr="00A94974">
              <w:rPr>
                <w:rStyle w:val="Hyperlink"/>
                <w:noProof/>
                <w:color w:val="1F4E79" w:themeColor="accent1" w:themeShade="80"/>
              </w:rPr>
              <w:t>3.20 Teme secundare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18</w:t>
            </w:r>
            <w:r w:rsidR="003D2E2F" w:rsidRPr="00A94974">
              <w:rPr>
                <w:noProof/>
                <w:webHidden/>
                <w:color w:val="1F4E79" w:themeColor="accent1" w:themeShade="80"/>
              </w:rPr>
              <w:fldChar w:fldCharType="end"/>
            </w:r>
          </w:hyperlink>
        </w:p>
        <w:p w14:paraId="0C433E3D" w14:textId="7ACF40B8"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01" w:history="1">
            <w:r w:rsidR="003D2E2F" w:rsidRPr="00A94974">
              <w:rPr>
                <w:rStyle w:val="Hyperlink"/>
                <w:noProof/>
                <w:color w:val="1F4E79" w:themeColor="accent1" w:themeShade="80"/>
              </w:rPr>
              <w:t>3.21 Informarea și vizibilitatea sprijinului din fonduri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19</w:t>
            </w:r>
            <w:r w:rsidR="003D2E2F" w:rsidRPr="00A94974">
              <w:rPr>
                <w:noProof/>
                <w:webHidden/>
                <w:color w:val="1F4E79" w:themeColor="accent1" w:themeShade="80"/>
              </w:rPr>
              <w:fldChar w:fldCharType="end"/>
            </w:r>
          </w:hyperlink>
        </w:p>
        <w:p w14:paraId="0AB75ED7" w14:textId="61883222"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02" w:history="1">
            <w:r w:rsidR="003D2E2F" w:rsidRPr="00A94974">
              <w:rPr>
                <w:rStyle w:val="Hyperlink"/>
                <w:noProof/>
                <w:color w:val="1F4E79" w:themeColor="accent1" w:themeShade="80"/>
              </w:rPr>
              <w:t>4. INFORMAȚII ADMINISTRATIVE DESPRE APELUL DE PROIECTE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19</w:t>
            </w:r>
            <w:r w:rsidR="003D2E2F" w:rsidRPr="00A94974">
              <w:rPr>
                <w:noProof/>
                <w:webHidden/>
                <w:color w:val="1F4E79" w:themeColor="accent1" w:themeShade="80"/>
              </w:rPr>
              <w:fldChar w:fldCharType="end"/>
            </w:r>
          </w:hyperlink>
        </w:p>
        <w:p w14:paraId="37BE05D1" w14:textId="66E59F28"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03" w:history="1">
            <w:r w:rsidR="003D2E2F" w:rsidRPr="00A94974">
              <w:rPr>
                <w:rStyle w:val="Hyperlink"/>
                <w:noProof/>
                <w:color w:val="1F4E79" w:themeColor="accent1" w:themeShade="80"/>
              </w:rPr>
              <w:t>4.1 Data deschiderii apelului de proiecte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19</w:t>
            </w:r>
            <w:r w:rsidR="003D2E2F" w:rsidRPr="00A94974">
              <w:rPr>
                <w:noProof/>
                <w:webHidden/>
                <w:color w:val="1F4E79" w:themeColor="accent1" w:themeShade="80"/>
              </w:rPr>
              <w:fldChar w:fldCharType="end"/>
            </w:r>
          </w:hyperlink>
        </w:p>
        <w:p w14:paraId="0FF2071C" w14:textId="4CE63EE3"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04" w:history="1">
            <w:r w:rsidR="003D2E2F" w:rsidRPr="00A94974">
              <w:rPr>
                <w:rStyle w:val="Hyperlink"/>
                <w:noProof/>
                <w:color w:val="1F4E79" w:themeColor="accent1" w:themeShade="80"/>
              </w:rPr>
              <w:t>4.2 Perioada de pregătire a proiectelor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19</w:t>
            </w:r>
            <w:r w:rsidR="003D2E2F" w:rsidRPr="00A94974">
              <w:rPr>
                <w:noProof/>
                <w:webHidden/>
                <w:color w:val="1F4E79" w:themeColor="accent1" w:themeShade="80"/>
              </w:rPr>
              <w:fldChar w:fldCharType="end"/>
            </w:r>
          </w:hyperlink>
        </w:p>
        <w:p w14:paraId="53076B07" w14:textId="0A0E5848"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05" w:history="1">
            <w:r w:rsidR="003D2E2F" w:rsidRPr="00A94974">
              <w:rPr>
                <w:rStyle w:val="Hyperlink"/>
                <w:noProof/>
                <w:color w:val="1F4E79" w:themeColor="accent1" w:themeShade="80"/>
              </w:rPr>
              <w:t>4.3 Perioada de depunere a proiectelor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20</w:t>
            </w:r>
            <w:r w:rsidR="003D2E2F" w:rsidRPr="00A94974">
              <w:rPr>
                <w:noProof/>
                <w:webHidden/>
                <w:color w:val="1F4E79" w:themeColor="accent1" w:themeShade="80"/>
              </w:rPr>
              <w:fldChar w:fldCharType="end"/>
            </w:r>
          </w:hyperlink>
        </w:p>
        <w:p w14:paraId="5EA1CBAD" w14:textId="202734E4" w:rsidR="003D2E2F" w:rsidRPr="00A94974" w:rsidRDefault="00000000">
          <w:pPr>
            <w:pStyle w:val="TOC3"/>
            <w:rPr>
              <w:rFonts w:eastAsiaTheme="minorEastAsia"/>
              <w:noProof/>
              <w:color w:val="1F4E79" w:themeColor="accent1" w:themeShade="80"/>
              <w:kern w:val="2"/>
              <w14:ligatures w14:val="standardContextual"/>
            </w:rPr>
          </w:pPr>
          <w:hyperlink w:anchor="_Toc179368106" w:history="1">
            <w:r w:rsidR="003D2E2F" w:rsidRPr="00A94974">
              <w:rPr>
                <w:rStyle w:val="Hyperlink"/>
                <w:noProof/>
                <w:color w:val="1F4E79" w:themeColor="accent1" w:themeShade="80"/>
              </w:rPr>
              <w:t>4.3.1 Data și ora pentru începerea depunerii de proiecte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20</w:t>
            </w:r>
            <w:r w:rsidR="003D2E2F" w:rsidRPr="00A94974">
              <w:rPr>
                <w:noProof/>
                <w:webHidden/>
                <w:color w:val="1F4E79" w:themeColor="accent1" w:themeShade="80"/>
              </w:rPr>
              <w:fldChar w:fldCharType="end"/>
            </w:r>
          </w:hyperlink>
        </w:p>
        <w:p w14:paraId="000F876A" w14:textId="2C5FA2FF" w:rsidR="003D2E2F" w:rsidRPr="00A94974" w:rsidRDefault="00000000">
          <w:pPr>
            <w:pStyle w:val="TOC3"/>
            <w:rPr>
              <w:rFonts w:eastAsiaTheme="minorEastAsia"/>
              <w:noProof/>
              <w:color w:val="1F4E79" w:themeColor="accent1" w:themeShade="80"/>
              <w:kern w:val="2"/>
              <w14:ligatures w14:val="standardContextual"/>
            </w:rPr>
          </w:pPr>
          <w:hyperlink w:anchor="_Toc179368107" w:history="1">
            <w:r w:rsidR="003D2E2F" w:rsidRPr="00A94974">
              <w:rPr>
                <w:rStyle w:val="Hyperlink"/>
                <w:noProof/>
                <w:color w:val="1F4E79" w:themeColor="accent1" w:themeShade="80"/>
              </w:rPr>
              <w:t>4.3.2 Data și ora închiderii apelului de proiecte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20</w:t>
            </w:r>
            <w:r w:rsidR="003D2E2F" w:rsidRPr="00A94974">
              <w:rPr>
                <w:noProof/>
                <w:webHidden/>
                <w:color w:val="1F4E79" w:themeColor="accent1" w:themeShade="80"/>
              </w:rPr>
              <w:fldChar w:fldCharType="end"/>
            </w:r>
          </w:hyperlink>
        </w:p>
        <w:p w14:paraId="6ECA9FA2" w14:textId="6CC7CE6F" w:rsidR="003D2E2F" w:rsidRPr="00A94974" w:rsidRDefault="00000000">
          <w:pPr>
            <w:pStyle w:val="TOC3"/>
            <w:rPr>
              <w:rFonts w:eastAsiaTheme="minorEastAsia"/>
              <w:noProof/>
              <w:color w:val="1F4E79" w:themeColor="accent1" w:themeShade="80"/>
              <w:kern w:val="2"/>
              <w14:ligatures w14:val="standardContextual"/>
            </w:rPr>
          </w:pPr>
          <w:hyperlink w:anchor="_Toc179368108" w:history="1">
            <w:r w:rsidR="003D2E2F" w:rsidRPr="00A94974">
              <w:rPr>
                <w:rStyle w:val="Hyperlink"/>
                <w:noProof/>
                <w:color w:val="1F4E79" w:themeColor="accent1" w:themeShade="80"/>
              </w:rPr>
              <w:t>4.3.3 Modalitatea de depunere a proiectelor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20</w:t>
            </w:r>
            <w:r w:rsidR="003D2E2F" w:rsidRPr="00A94974">
              <w:rPr>
                <w:noProof/>
                <w:webHidden/>
                <w:color w:val="1F4E79" w:themeColor="accent1" w:themeShade="80"/>
              </w:rPr>
              <w:fldChar w:fldCharType="end"/>
            </w:r>
          </w:hyperlink>
        </w:p>
        <w:p w14:paraId="6E5AF78C" w14:textId="324A01C0"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09" w:history="1">
            <w:r w:rsidR="003D2E2F" w:rsidRPr="00A94974">
              <w:rPr>
                <w:rStyle w:val="Hyperlink"/>
                <w:noProof/>
                <w:color w:val="1F4E79" w:themeColor="accent1" w:themeShade="80"/>
              </w:rPr>
              <w:t>5.CONDIȚII DE  ELIGIBILITATE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_Toc179368109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20</w:t>
            </w:r>
            <w:r w:rsidR="003D2E2F" w:rsidRPr="00A94974">
              <w:rPr>
                <w:noProof/>
                <w:webHidden/>
                <w:color w:val="1F4E79" w:themeColor="accent1" w:themeShade="80"/>
              </w:rPr>
              <w:fldChar w:fldCharType="end"/>
            </w:r>
          </w:hyperlink>
        </w:p>
        <w:p w14:paraId="32D79A7D" w14:textId="4B7DB865"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10" w:history="1">
            <w:r w:rsidR="003D2E2F" w:rsidRPr="00A94974">
              <w:rPr>
                <w:rStyle w:val="Hyperlink"/>
                <w:noProof/>
                <w:color w:val="1F4E79" w:themeColor="accent1" w:themeShade="80"/>
              </w:rPr>
              <w:t>5.1 Eligibilitatea solicitanților și partenerilor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20</w:t>
            </w:r>
            <w:r w:rsidR="003D2E2F" w:rsidRPr="00A94974">
              <w:rPr>
                <w:noProof/>
                <w:webHidden/>
                <w:color w:val="1F4E79" w:themeColor="accent1" w:themeShade="80"/>
              </w:rPr>
              <w:fldChar w:fldCharType="end"/>
            </w:r>
          </w:hyperlink>
        </w:p>
        <w:p w14:paraId="144E8527" w14:textId="731A8A09" w:rsidR="003D2E2F" w:rsidRPr="00A94974" w:rsidRDefault="00000000">
          <w:pPr>
            <w:pStyle w:val="TOC3"/>
            <w:rPr>
              <w:rFonts w:eastAsiaTheme="minorEastAsia"/>
              <w:noProof/>
              <w:color w:val="1F4E79" w:themeColor="accent1" w:themeShade="80"/>
              <w:kern w:val="2"/>
              <w14:ligatures w14:val="standardContextual"/>
            </w:rPr>
          </w:pPr>
          <w:hyperlink w:anchor="_Toc179368111" w:history="1">
            <w:r w:rsidR="003D2E2F" w:rsidRPr="00A94974">
              <w:rPr>
                <w:rStyle w:val="Hyperlink"/>
                <w:noProof/>
                <w:color w:val="1F4E79" w:themeColor="accent1" w:themeShade="80"/>
              </w:rPr>
              <w:t>5.1.1 Cerințe privind eligibilitatea solicitanților și partenerilor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20</w:t>
            </w:r>
            <w:r w:rsidR="003D2E2F" w:rsidRPr="00A94974">
              <w:rPr>
                <w:noProof/>
                <w:webHidden/>
                <w:color w:val="1F4E79" w:themeColor="accent1" w:themeShade="80"/>
              </w:rPr>
              <w:fldChar w:fldCharType="end"/>
            </w:r>
          </w:hyperlink>
        </w:p>
        <w:p w14:paraId="2356F78C" w14:textId="4EFBEAF1" w:rsidR="003D2E2F" w:rsidRPr="00A94974" w:rsidRDefault="00000000">
          <w:pPr>
            <w:pStyle w:val="TOC3"/>
            <w:rPr>
              <w:rFonts w:eastAsiaTheme="minorEastAsia"/>
              <w:noProof/>
              <w:color w:val="1F4E79" w:themeColor="accent1" w:themeShade="80"/>
              <w:kern w:val="2"/>
              <w14:ligatures w14:val="standardContextual"/>
            </w:rPr>
          </w:pPr>
          <w:hyperlink w:anchor="_Toc179368112" w:history="1">
            <w:r w:rsidR="003D2E2F" w:rsidRPr="00A94974">
              <w:rPr>
                <w:rStyle w:val="Hyperlink"/>
                <w:noProof/>
                <w:color w:val="1F4E79" w:themeColor="accent1" w:themeShade="80"/>
              </w:rPr>
              <w:t>5.1.2 Categorii de solicitanți eligibili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21</w:t>
            </w:r>
            <w:r w:rsidR="003D2E2F" w:rsidRPr="00A94974">
              <w:rPr>
                <w:noProof/>
                <w:webHidden/>
                <w:color w:val="1F4E79" w:themeColor="accent1" w:themeShade="80"/>
              </w:rPr>
              <w:fldChar w:fldCharType="end"/>
            </w:r>
          </w:hyperlink>
        </w:p>
        <w:p w14:paraId="5A63692F" w14:textId="3AA5C9E9" w:rsidR="003D2E2F" w:rsidRPr="00A94974" w:rsidRDefault="00000000">
          <w:pPr>
            <w:pStyle w:val="TOC3"/>
            <w:rPr>
              <w:rFonts w:eastAsiaTheme="minorEastAsia"/>
              <w:noProof/>
              <w:color w:val="1F4E79" w:themeColor="accent1" w:themeShade="80"/>
              <w:kern w:val="2"/>
              <w14:ligatures w14:val="standardContextual"/>
            </w:rPr>
          </w:pPr>
          <w:hyperlink w:anchor="_Toc179368113" w:history="1">
            <w:r w:rsidR="003D2E2F" w:rsidRPr="00A94974">
              <w:rPr>
                <w:rStyle w:val="Hyperlink"/>
                <w:noProof/>
                <w:color w:val="1F4E79" w:themeColor="accent1" w:themeShade="80"/>
              </w:rPr>
              <w:t>5.1.3 Categorii de parteneri eligibili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21</w:t>
            </w:r>
            <w:r w:rsidR="003D2E2F" w:rsidRPr="00A94974">
              <w:rPr>
                <w:noProof/>
                <w:webHidden/>
                <w:color w:val="1F4E79" w:themeColor="accent1" w:themeShade="80"/>
              </w:rPr>
              <w:fldChar w:fldCharType="end"/>
            </w:r>
          </w:hyperlink>
        </w:p>
        <w:p w14:paraId="32C71A2C" w14:textId="464EBDFD" w:rsidR="003D2E2F" w:rsidRPr="00A94974" w:rsidRDefault="00000000">
          <w:pPr>
            <w:pStyle w:val="TOC3"/>
            <w:rPr>
              <w:rFonts w:eastAsiaTheme="minorEastAsia"/>
              <w:noProof/>
              <w:color w:val="1F4E79" w:themeColor="accent1" w:themeShade="80"/>
              <w:kern w:val="2"/>
              <w14:ligatures w14:val="standardContextual"/>
            </w:rPr>
          </w:pPr>
          <w:hyperlink w:anchor="_Toc179368114" w:history="1">
            <w:r w:rsidR="003D2E2F" w:rsidRPr="00A94974">
              <w:rPr>
                <w:rStyle w:val="Hyperlink"/>
                <w:noProof/>
                <w:color w:val="1F4E79" w:themeColor="accent1" w:themeShade="80"/>
              </w:rPr>
              <w:t>5.1.4 Reguli și cerințe privind parteneriatul</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21</w:t>
            </w:r>
            <w:r w:rsidR="003D2E2F" w:rsidRPr="00A94974">
              <w:rPr>
                <w:noProof/>
                <w:webHidden/>
                <w:color w:val="1F4E79" w:themeColor="accent1" w:themeShade="80"/>
              </w:rPr>
              <w:fldChar w:fldCharType="end"/>
            </w:r>
          </w:hyperlink>
        </w:p>
        <w:p w14:paraId="1B43EB9E" w14:textId="4FEAA6B9"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15" w:history="1">
            <w:r w:rsidR="003D2E2F" w:rsidRPr="00A94974">
              <w:rPr>
                <w:rStyle w:val="Hyperlink"/>
                <w:noProof/>
                <w:color w:val="1F4E79" w:themeColor="accent1" w:themeShade="80"/>
              </w:rPr>
              <w:t>5.2 Eligibilitatea activităților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22</w:t>
            </w:r>
            <w:r w:rsidR="003D2E2F" w:rsidRPr="00A94974">
              <w:rPr>
                <w:noProof/>
                <w:webHidden/>
                <w:color w:val="1F4E79" w:themeColor="accent1" w:themeShade="80"/>
              </w:rPr>
              <w:fldChar w:fldCharType="end"/>
            </w:r>
          </w:hyperlink>
        </w:p>
        <w:p w14:paraId="17B2D9E1" w14:textId="50C669A5" w:rsidR="003D2E2F" w:rsidRPr="00A94974" w:rsidRDefault="00000000">
          <w:pPr>
            <w:pStyle w:val="TOC3"/>
            <w:rPr>
              <w:rFonts w:eastAsiaTheme="minorEastAsia"/>
              <w:noProof/>
              <w:color w:val="1F4E79" w:themeColor="accent1" w:themeShade="80"/>
              <w:kern w:val="2"/>
              <w14:ligatures w14:val="standardContextual"/>
            </w:rPr>
          </w:pPr>
          <w:hyperlink w:anchor="_Toc179368116" w:history="1">
            <w:r w:rsidR="003D2E2F" w:rsidRPr="00A94974">
              <w:rPr>
                <w:rStyle w:val="Hyperlink"/>
                <w:noProof/>
                <w:color w:val="1F4E79" w:themeColor="accent1" w:themeShade="80"/>
              </w:rPr>
              <w:t>5.2.1 Cerințe generale privind eligibilitatea activităților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22</w:t>
            </w:r>
            <w:r w:rsidR="003D2E2F" w:rsidRPr="00A94974">
              <w:rPr>
                <w:noProof/>
                <w:webHidden/>
                <w:color w:val="1F4E79" w:themeColor="accent1" w:themeShade="80"/>
              </w:rPr>
              <w:fldChar w:fldCharType="end"/>
            </w:r>
          </w:hyperlink>
        </w:p>
        <w:p w14:paraId="435D392C" w14:textId="5935AFD6" w:rsidR="003D2E2F" w:rsidRPr="00A94974" w:rsidRDefault="00000000">
          <w:pPr>
            <w:pStyle w:val="TOC3"/>
            <w:rPr>
              <w:rFonts w:eastAsiaTheme="minorEastAsia"/>
              <w:noProof/>
              <w:color w:val="1F4E79" w:themeColor="accent1" w:themeShade="80"/>
              <w:kern w:val="2"/>
              <w14:ligatures w14:val="standardContextual"/>
            </w:rPr>
          </w:pPr>
          <w:hyperlink w:anchor="_Toc179368117" w:history="1">
            <w:r w:rsidR="003D2E2F" w:rsidRPr="00A94974">
              <w:rPr>
                <w:rStyle w:val="Hyperlink"/>
                <w:noProof/>
                <w:color w:val="1F4E79" w:themeColor="accent1" w:themeShade="80"/>
              </w:rPr>
              <w:t>5.2.2 Activități eligibile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23</w:t>
            </w:r>
            <w:r w:rsidR="003D2E2F" w:rsidRPr="00A94974">
              <w:rPr>
                <w:noProof/>
                <w:webHidden/>
                <w:color w:val="1F4E79" w:themeColor="accent1" w:themeShade="80"/>
              </w:rPr>
              <w:fldChar w:fldCharType="end"/>
            </w:r>
          </w:hyperlink>
        </w:p>
        <w:p w14:paraId="6A671BCF" w14:textId="7E5EDC53" w:rsidR="003D2E2F" w:rsidRPr="00A94974" w:rsidRDefault="00000000">
          <w:pPr>
            <w:pStyle w:val="TOC3"/>
            <w:rPr>
              <w:rFonts w:eastAsiaTheme="minorEastAsia"/>
              <w:noProof/>
              <w:color w:val="1F4E79" w:themeColor="accent1" w:themeShade="80"/>
              <w:kern w:val="2"/>
              <w14:ligatures w14:val="standardContextual"/>
            </w:rPr>
          </w:pPr>
          <w:hyperlink w:anchor="_Toc179368118" w:history="1">
            <w:r w:rsidR="003D2E2F" w:rsidRPr="00A94974">
              <w:rPr>
                <w:rStyle w:val="Hyperlink"/>
                <w:noProof/>
                <w:color w:val="1F4E79" w:themeColor="accent1" w:themeShade="80"/>
              </w:rPr>
              <w:t>5.2.3 Activitatea de bază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23</w:t>
            </w:r>
            <w:r w:rsidR="003D2E2F" w:rsidRPr="00A94974">
              <w:rPr>
                <w:noProof/>
                <w:webHidden/>
                <w:color w:val="1F4E79" w:themeColor="accent1" w:themeShade="80"/>
              </w:rPr>
              <w:fldChar w:fldCharType="end"/>
            </w:r>
          </w:hyperlink>
        </w:p>
        <w:p w14:paraId="10A2B157" w14:textId="7CA9EE08" w:rsidR="003D2E2F" w:rsidRPr="00A94974" w:rsidRDefault="00000000">
          <w:pPr>
            <w:pStyle w:val="TOC3"/>
            <w:rPr>
              <w:rFonts w:eastAsiaTheme="minorEastAsia"/>
              <w:noProof/>
              <w:color w:val="1F4E79" w:themeColor="accent1" w:themeShade="80"/>
              <w:kern w:val="2"/>
              <w14:ligatures w14:val="standardContextual"/>
            </w:rPr>
          </w:pPr>
          <w:hyperlink w:anchor="_Toc179368119" w:history="1">
            <w:r w:rsidR="003D2E2F" w:rsidRPr="00A94974">
              <w:rPr>
                <w:rStyle w:val="Hyperlink"/>
                <w:noProof/>
                <w:color w:val="1F4E79" w:themeColor="accent1" w:themeShade="80"/>
              </w:rPr>
              <w:t>5.2.4 Activități neeligibile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_Toc179368119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23</w:t>
            </w:r>
            <w:r w:rsidR="003D2E2F" w:rsidRPr="00A94974">
              <w:rPr>
                <w:noProof/>
                <w:webHidden/>
                <w:color w:val="1F4E79" w:themeColor="accent1" w:themeShade="80"/>
              </w:rPr>
              <w:fldChar w:fldCharType="end"/>
            </w:r>
          </w:hyperlink>
        </w:p>
        <w:p w14:paraId="4C7A019D" w14:textId="779E6B2D"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20" w:history="1">
            <w:r w:rsidR="003D2E2F" w:rsidRPr="00A94974">
              <w:rPr>
                <w:rStyle w:val="Hyperlink"/>
                <w:noProof/>
                <w:color w:val="1F4E79" w:themeColor="accent1" w:themeShade="80"/>
              </w:rPr>
              <w:t>5.3 Eligibilitatea cheltuielilor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24</w:t>
            </w:r>
            <w:r w:rsidR="003D2E2F" w:rsidRPr="00A94974">
              <w:rPr>
                <w:noProof/>
                <w:webHidden/>
                <w:color w:val="1F4E79" w:themeColor="accent1" w:themeShade="80"/>
              </w:rPr>
              <w:fldChar w:fldCharType="end"/>
            </w:r>
          </w:hyperlink>
        </w:p>
        <w:p w14:paraId="7F9CC7E9" w14:textId="18A02B86" w:rsidR="003D2E2F" w:rsidRPr="00A94974" w:rsidRDefault="00000000">
          <w:pPr>
            <w:pStyle w:val="TOC3"/>
            <w:rPr>
              <w:rFonts w:eastAsiaTheme="minorEastAsia"/>
              <w:noProof/>
              <w:color w:val="1F4E79" w:themeColor="accent1" w:themeShade="80"/>
              <w:kern w:val="2"/>
              <w14:ligatures w14:val="standardContextual"/>
            </w:rPr>
          </w:pPr>
          <w:hyperlink w:anchor="_Toc179368121" w:history="1">
            <w:r w:rsidR="003D2E2F" w:rsidRPr="00A94974">
              <w:rPr>
                <w:rStyle w:val="Hyperlink"/>
                <w:noProof/>
                <w:color w:val="1F4E79" w:themeColor="accent1" w:themeShade="80"/>
              </w:rPr>
              <w:t>5.3.1 Baza legală pentru stabilirea eligibilității cheltuielilor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24</w:t>
            </w:r>
            <w:r w:rsidR="003D2E2F" w:rsidRPr="00A94974">
              <w:rPr>
                <w:noProof/>
                <w:webHidden/>
                <w:color w:val="1F4E79" w:themeColor="accent1" w:themeShade="80"/>
              </w:rPr>
              <w:fldChar w:fldCharType="end"/>
            </w:r>
          </w:hyperlink>
        </w:p>
        <w:p w14:paraId="3CAE3AB8" w14:textId="00381A35" w:rsidR="003D2E2F" w:rsidRPr="00A94974" w:rsidRDefault="00000000">
          <w:pPr>
            <w:pStyle w:val="TOC3"/>
            <w:rPr>
              <w:rFonts w:eastAsiaTheme="minorEastAsia"/>
              <w:noProof/>
              <w:color w:val="1F4E79" w:themeColor="accent1" w:themeShade="80"/>
              <w:kern w:val="2"/>
              <w14:ligatures w14:val="standardContextual"/>
            </w:rPr>
          </w:pPr>
          <w:hyperlink w:anchor="_Toc179368122" w:history="1">
            <w:r w:rsidR="003D2E2F" w:rsidRPr="00A94974">
              <w:rPr>
                <w:rStyle w:val="Hyperlink"/>
                <w:noProof/>
                <w:color w:val="1F4E79" w:themeColor="accent1" w:themeShade="80"/>
              </w:rPr>
              <w:t>5.3.2 Categorii și plafoane de cheltuieli eligibile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24</w:t>
            </w:r>
            <w:r w:rsidR="003D2E2F" w:rsidRPr="00A94974">
              <w:rPr>
                <w:noProof/>
                <w:webHidden/>
                <w:color w:val="1F4E79" w:themeColor="accent1" w:themeShade="80"/>
              </w:rPr>
              <w:fldChar w:fldCharType="end"/>
            </w:r>
          </w:hyperlink>
        </w:p>
        <w:p w14:paraId="030F6F1A" w14:textId="69ABDEC0" w:rsidR="003D2E2F" w:rsidRPr="00A94974" w:rsidRDefault="00000000">
          <w:pPr>
            <w:pStyle w:val="TOC3"/>
            <w:rPr>
              <w:rFonts w:eastAsiaTheme="minorEastAsia"/>
              <w:noProof/>
              <w:color w:val="1F4E79" w:themeColor="accent1" w:themeShade="80"/>
              <w:kern w:val="2"/>
              <w14:ligatures w14:val="standardContextual"/>
            </w:rPr>
          </w:pPr>
          <w:hyperlink w:anchor="_Toc179368123" w:history="1">
            <w:r w:rsidR="003D2E2F" w:rsidRPr="00A94974">
              <w:rPr>
                <w:rStyle w:val="Hyperlink"/>
                <w:noProof/>
                <w:color w:val="1F4E79" w:themeColor="accent1" w:themeShade="80"/>
              </w:rPr>
              <w:t>5.3.3 Categorii de cheltuieli neeligibile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27</w:t>
            </w:r>
            <w:r w:rsidR="003D2E2F" w:rsidRPr="00A94974">
              <w:rPr>
                <w:noProof/>
                <w:webHidden/>
                <w:color w:val="1F4E79" w:themeColor="accent1" w:themeShade="80"/>
              </w:rPr>
              <w:fldChar w:fldCharType="end"/>
            </w:r>
          </w:hyperlink>
        </w:p>
        <w:p w14:paraId="0225EC26" w14:textId="1661D8B2" w:rsidR="003D2E2F" w:rsidRPr="00A94974" w:rsidRDefault="00000000">
          <w:pPr>
            <w:pStyle w:val="TOC3"/>
            <w:rPr>
              <w:rFonts w:eastAsiaTheme="minorEastAsia"/>
              <w:noProof/>
              <w:color w:val="1F4E79" w:themeColor="accent1" w:themeShade="80"/>
              <w:kern w:val="2"/>
              <w14:ligatures w14:val="standardContextual"/>
            </w:rPr>
          </w:pPr>
          <w:hyperlink w:anchor="_Toc179368124" w:history="1">
            <w:r w:rsidR="003D2E2F" w:rsidRPr="00A94974">
              <w:rPr>
                <w:rStyle w:val="Hyperlink"/>
                <w:noProof/>
                <w:color w:val="1F4E79" w:themeColor="accent1" w:themeShade="80"/>
              </w:rPr>
              <w:t>5.3.4 Opțiuni de costuri simplificate. Costuri directe și costuri indirecte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27</w:t>
            </w:r>
            <w:r w:rsidR="003D2E2F" w:rsidRPr="00A94974">
              <w:rPr>
                <w:noProof/>
                <w:webHidden/>
                <w:color w:val="1F4E79" w:themeColor="accent1" w:themeShade="80"/>
              </w:rPr>
              <w:fldChar w:fldCharType="end"/>
            </w:r>
          </w:hyperlink>
        </w:p>
        <w:p w14:paraId="03E12E06" w14:textId="298D87A0" w:rsidR="003D2E2F" w:rsidRPr="00A94974" w:rsidRDefault="00000000">
          <w:pPr>
            <w:pStyle w:val="TOC3"/>
            <w:rPr>
              <w:rFonts w:eastAsiaTheme="minorEastAsia"/>
              <w:noProof/>
              <w:color w:val="1F4E79" w:themeColor="accent1" w:themeShade="80"/>
              <w:kern w:val="2"/>
              <w14:ligatures w14:val="standardContextual"/>
            </w:rPr>
          </w:pPr>
          <w:hyperlink w:anchor="_Toc179368125" w:history="1">
            <w:r w:rsidR="003D2E2F" w:rsidRPr="00A94974">
              <w:rPr>
                <w:rStyle w:val="Hyperlink"/>
                <w:noProof/>
                <w:color w:val="1F4E79" w:themeColor="accent1" w:themeShade="80"/>
              </w:rPr>
              <w:t>5.3.5 Opțiuni de costuri simplificate.  Costuri unitare/sume forfetare și rate forfetare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28</w:t>
            </w:r>
            <w:r w:rsidR="003D2E2F" w:rsidRPr="00A94974">
              <w:rPr>
                <w:noProof/>
                <w:webHidden/>
                <w:color w:val="1F4E79" w:themeColor="accent1" w:themeShade="80"/>
              </w:rPr>
              <w:fldChar w:fldCharType="end"/>
            </w:r>
          </w:hyperlink>
        </w:p>
        <w:p w14:paraId="70AF59D7" w14:textId="2F9E3058" w:rsidR="003D2E2F" w:rsidRPr="00A94974" w:rsidRDefault="00000000">
          <w:pPr>
            <w:pStyle w:val="TOC3"/>
            <w:rPr>
              <w:rFonts w:eastAsiaTheme="minorEastAsia"/>
              <w:noProof/>
              <w:color w:val="1F4E79" w:themeColor="accent1" w:themeShade="80"/>
              <w:kern w:val="2"/>
              <w14:ligatures w14:val="standardContextual"/>
            </w:rPr>
          </w:pPr>
          <w:hyperlink w:anchor="_Toc179368126" w:history="1">
            <w:r w:rsidR="003D2E2F" w:rsidRPr="00A94974">
              <w:rPr>
                <w:rStyle w:val="Hyperlink"/>
                <w:noProof/>
                <w:color w:val="1F4E79" w:themeColor="accent1" w:themeShade="80"/>
              </w:rPr>
              <w:t>5.3.6 Finanțare nelegată de costuri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28</w:t>
            </w:r>
            <w:r w:rsidR="003D2E2F" w:rsidRPr="00A94974">
              <w:rPr>
                <w:noProof/>
                <w:webHidden/>
                <w:color w:val="1F4E79" w:themeColor="accent1" w:themeShade="80"/>
              </w:rPr>
              <w:fldChar w:fldCharType="end"/>
            </w:r>
          </w:hyperlink>
        </w:p>
        <w:p w14:paraId="12167220" w14:textId="6A5F4458"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27" w:history="1">
            <w:r w:rsidR="003D2E2F" w:rsidRPr="00A94974">
              <w:rPr>
                <w:rStyle w:val="Hyperlink"/>
                <w:noProof/>
                <w:color w:val="1F4E79" w:themeColor="accent1" w:themeShade="80"/>
              </w:rPr>
              <w:t>5.4 Valoarea minimă și maximă eligibilă/nerambursabilă a unui proiect</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29</w:t>
            </w:r>
            <w:r w:rsidR="003D2E2F" w:rsidRPr="00A94974">
              <w:rPr>
                <w:noProof/>
                <w:webHidden/>
                <w:color w:val="1F4E79" w:themeColor="accent1" w:themeShade="80"/>
              </w:rPr>
              <w:fldChar w:fldCharType="end"/>
            </w:r>
          </w:hyperlink>
        </w:p>
        <w:p w14:paraId="0224FA57" w14:textId="29568EEA"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28" w:history="1">
            <w:r w:rsidR="003D2E2F" w:rsidRPr="00A94974">
              <w:rPr>
                <w:rStyle w:val="Hyperlink"/>
                <w:noProof/>
                <w:color w:val="1F4E79" w:themeColor="accent1" w:themeShade="80"/>
              </w:rPr>
              <w:t>5.5 Cuantumul cofinanțării acordate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29</w:t>
            </w:r>
            <w:r w:rsidR="003D2E2F" w:rsidRPr="00A94974">
              <w:rPr>
                <w:noProof/>
                <w:webHidden/>
                <w:color w:val="1F4E79" w:themeColor="accent1" w:themeShade="80"/>
              </w:rPr>
              <w:fldChar w:fldCharType="end"/>
            </w:r>
          </w:hyperlink>
        </w:p>
        <w:p w14:paraId="5FA47E5F" w14:textId="6363C8DE"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29" w:history="1">
            <w:r w:rsidR="003D2E2F" w:rsidRPr="00A94974">
              <w:rPr>
                <w:rStyle w:val="Hyperlink"/>
                <w:noProof/>
                <w:color w:val="1F4E79" w:themeColor="accent1" w:themeShade="80"/>
              </w:rPr>
              <w:t>5.6 Durata proiectului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_Toc179368129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29</w:t>
            </w:r>
            <w:r w:rsidR="003D2E2F" w:rsidRPr="00A94974">
              <w:rPr>
                <w:noProof/>
                <w:webHidden/>
                <w:color w:val="1F4E79" w:themeColor="accent1" w:themeShade="80"/>
              </w:rPr>
              <w:fldChar w:fldCharType="end"/>
            </w:r>
          </w:hyperlink>
        </w:p>
        <w:p w14:paraId="4490E725" w14:textId="04F09049"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30" w:history="1">
            <w:r w:rsidR="003D2E2F" w:rsidRPr="00A94974">
              <w:rPr>
                <w:rStyle w:val="Hyperlink"/>
                <w:noProof/>
                <w:color w:val="1F4E79" w:themeColor="accent1" w:themeShade="80"/>
              </w:rPr>
              <w:t>5.7 Alte cerințe de eligibilitate a proiectului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29</w:t>
            </w:r>
            <w:r w:rsidR="003D2E2F" w:rsidRPr="00A94974">
              <w:rPr>
                <w:noProof/>
                <w:webHidden/>
                <w:color w:val="1F4E79" w:themeColor="accent1" w:themeShade="80"/>
              </w:rPr>
              <w:fldChar w:fldCharType="end"/>
            </w:r>
          </w:hyperlink>
        </w:p>
        <w:p w14:paraId="06003EC0" w14:textId="0D2803C0"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31" w:history="1">
            <w:r w:rsidR="003D2E2F" w:rsidRPr="00A94974">
              <w:rPr>
                <w:rStyle w:val="Hyperlink"/>
                <w:noProof/>
                <w:color w:val="1F4E79" w:themeColor="accent1" w:themeShade="80"/>
              </w:rPr>
              <w:t>6.INDICATORI DE ETAPĂ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29</w:t>
            </w:r>
            <w:r w:rsidR="003D2E2F" w:rsidRPr="00A94974">
              <w:rPr>
                <w:noProof/>
                <w:webHidden/>
                <w:color w:val="1F4E79" w:themeColor="accent1" w:themeShade="80"/>
              </w:rPr>
              <w:fldChar w:fldCharType="end"/>
            </w:r>
          </w:hyperlink>
        </w:p>
        <w:p w14:paraId="52740A17" w14:textId="717369B5"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32" w:history="1">
            <w:r w:rsidR="003D2E2F" w:rsidRPr="00A94974">
              <w:rPr>
                <w:rStyle w:val="Hyperlink"/>
                <w:noProof/>
                <w:color w:val="1F4E79" w:themeColor="accent1" w:themeShade="80"/>
              </w:rPr>
              <w:t>7. COMPLETAREA ȘI DEPUNEREA CERERILOR DE FINANȚARE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30</w:t>
            </w:r>
            <w:r w:rsidR="003D2E2F" w:rsidRPr="00A94974">
              <w:rPr>
                <w:noProof/>
                <w:webHidden/>
                <w:color w:val="1F4E79" w:themeColor="accent1" w:themeShade="80"/>
              </w:rPr>
              <w:fldChar w:fldCharType="end"/>
            </w:r>
          </w:hyperlink>
        </w:p>
        <w:p w14:paraId="48B3F2FD" w14:textId="0DA66D02"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33" w:history="1">
            <w:r w:rsidR="003D2E2F" w:rsidRPr="00A94974">
              <w:rPr>
                <w:rStyle w:val="Hyperlink"/>
                <w:noProof/>
                <w:color w:val="1F4E79" w:themeColor="accent1" w:themeShade="80"/>
              </w:rPr>
              <w:t>7.1 Completarea formularului cererii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30</w:t>
            </w:r>
            <w:r w:rsidR="003D2E2F" w:rsidRPr="00A94974">
              <w:rPr>
                <w:noProof/>
                <w:webHidden/>
                <w:color w:val="1F4E79" w:themeColor="accent1" w:themeShade="80"/>
              </w:rPr>
              <w:fldChar w:fldCharType="end"/>
            </w:r>
          </w:hyperlink>
        </w:p>
        <w:p w14:paraId="3A7DBD8F" w14:textId="57405181"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34" w:history="1">
            <w:r w:rsidR="003D2E2F" w:rsidRPr="00A94974">
              <w:rPr>
                <w:rStyle w:val="Hyperlink"/>
                <w:noProof/>
                <w:color w:val="1F4E79" w:themeColor="accent1" w:themeShade="80"/>
              </w:rPr>
              <w:t>7.2 Limba utilizată în completarea cererii de finanțare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30</w:t>
            </w:r>
            <w:r w:rsidR="003D2E2F" w:rsidRPr="00A94974">
              <w:rPr>
                <w:noProof/>
                <w:webHidden/>
                <w:color w:val="1F4E79" w:themeColor="accent1" w:themeShade="80"/>
              </w:rPr>
              <w:fldChar w:fldCharType="end"/>
            </w:r>
          </w:hyperlink>
        </w:p>
        <w:p w14:paraId="04DDF523" w14:textId="2F40C5C0"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35" w:history="1">
            <w:r w:rsidR="003D2E2F" w:rsidRPr="00A94974">
              <w:rPr>
                <w:rStyle w:val="Hyperlink"/>
                <w:noProof/>
                <w:color w:val="1F4E79" w:themeColor="accent1" w:themeShade="80"/>
              </w:rPr>
              <w:t>7.3 Metodologia de justificare și detaliere a bugetului cererii de finanțare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30</w:t>
            </w:r>
            <w:r w:rsidR="003D2E2F" w:rsidRPr="00A94974">
              <w:rPr>
                <w:noProof/>
                <w:webHidden/>
                <w:color w:val="1F4E79" w:themeColor="accent1" w:themeShade="80"/>
              </w:rPr>
              <w:fldChar w:fldCharType="end"/>
            </w:r>
          </w:hyperlink>
        </w:p>
        <w:p w14:paraId="5211FF8E" w14:textId="3A55DF2D"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36" w:history="1">
            <w:r w:rsidR="003D2E2F" w:rsidRPr="00A94974">
              <w:rPr>
                <w:rStyle w:val="Hyperlink"/>
                <w:noProof/>
                <w:color w:val="1F4E79" w:themeColor="accent1" w:themeShade="80"/>
              </w:rPr>
              <w:t>7.4 Anexe și documente obligatorii la depunerea cererii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31</w:t>
            </w:r>
            <w:r w:rsidR="003D2E2F" w:rsidRPr="00A94974">
              <w:rPr>
                <w:noProof/>
                <w:webHidden/>
                <w:color w:val="1F4E79" w:themeColor="accent1" w:themeShade="80"/>
              </w:rPr>
              <w:fldChar w:fldCharType="end"/>
            </w:r>
          </w:hyperlink>
        </w:p>
        <w:p w14:paraId="1785BB23" w14:textId="0C7FFDF0"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37" w:history="1">
            <w:r w:rsidR="003D2E2F" w:rsidRPr="00A94974">
              <w:rPr>
                <w:rStyle w:val="Hyperlink"/>
                <w:noProof/>
                <w:color w:val="1F4E79" w:themeColor="accent1" w:themeShade="80"/>
              </w:rPr>
              <w:t>7.5 Aspecte administrative privind depunerea cererii de finanțare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31</w:t>
            </w:r>
            <w:r w:rsidR="003D2E2F" w:rsidRPr="00A94974">
              <w:rPr>
                <w:noProof/>
                <w:webHidden/>
                <w:color w:val="1F4E79" w:themeColor="accent1" w:themeShade="80"/>
              </w:rPr>
              <w:fldChar w:fldCharType="end"/>
            </w:r>
          </w:hyperlink>
        </w:p>
        <w:p w14:paraId="0068EB4F" w14:textId="133E3103"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38" w:history="1">
            <w:r w:rsidR="003D2E2F" w:rsidRPr="00A94974">
              <w:rPr>
                <w:rStyle w:val="Hyperlink"/>
                <w:noProof/>
                <w:color w:val="1F4E79" w:themeColor="accent1" w:themeShade="80"/>
              </w:rPr>
              <w:t>7.6 Anexele și documente obligatorii la momentul contractării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32</w:t>
            </w:r>
            <w:r w:rsidR="003D2E2F" w:rsidRPr="00A94974">
              <w:rPr>
                <w:noProof/>
                <w:webHidden/>
                <w:color w:val="1F4E79" w:themeColor="accent1" w:themeShade="80"/>
              </w:rPr>
              <w:fldChar w:fldCharType="end"/>
            </w:r>
          </w:hyperlink>
        </w:p>
        <w:p w14:paraId="5417F503" w14:textId="2ADB065B"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39" w:history="1">
            <w:r w:rsidR="003D2E2F" w:rsidRPr="00A94974">
              <w:rPr>
                <w:rStyle w:val="Hyperlink"/>
                <w:noProof/>
                <w:color w:val="1F4E79" w:themeColor="accent1" w:themeShade="80"/>
              </w:rPr>
              <w:t>7.7 Renunțarea la cererea de finanțare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_Toc179368139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33</w:t>
            </w:r>
            <w:r w:rsidR="003D2E2F" w:rsidRPr="00A94974">
              <w:rPr>
                <w:noProof/>
                <w:webHidden/>
                <w:color w:val="1F4E79" w:themeColor="accent1" w:themeShade="80"/>
              </w:rPr>
              <w:fldChar w:fldCharType="end"/>
            </w:r>
          </w:hyperlink>
        </w:p>
        <w:p w14:paraId="361F6097" w14:textId="456C2C36"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40" w:history="1">
            <w:r w:rsidR="003D2E2F" w:rsidRPr="00A94974">
              <w:rPr>
                <w:rStyle w:val="Hyperlink"/>
                <w:noProof/>
                <w:color w:val="1F4E79" w:themeColor="accent1" w:themeShade="80"/>
              </w:rPr>
              <w:t>8. PROCESUL DE EVALUARE, SELECȚIE ȘI CONTRACTARE A PROIECTELOR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33</w:t>
            </w:r>
            <w:r w:rsidR="003D2E2F" w:rsidRPr="00A94974">
              <w:rPr>
                <w:noProof/>
                <w:webHidden/>
                <w:color w:val="1F4E79" w:themeColor="accent1" w:themeShade="80"/>
              </w:rPr>
              <w:fldChar w:fldCharType="end"/>
            </w:r>
          </w:hyperlink>
        </w:p>
        <w:p w14:paraId="6CC94351" w14:textId="5EAF9580"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41" w:history="1">
            <w:r w:rsidR="003D2E2F" w:rsidRPr="00A94974">
              <w:rPr>
                <w:rStyle w:val="Hyperlink"/>
                <w:noProof/>
                <w:color w:val="1F4E79" w:themeColor="accent1" w:themeShade="80"/>
              </w:rPr>
              <w:t>8.1 Principalele etape ale procesului de evaluare, selecție și contractare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33</w:t>
            </w:r>
            <w:r w:rsidR="003D2E2F" w:rsidRPr="00A94974">
              <w:rPr>
                <w:noProof/>
                <w:webHidden/>
                <w:color w:val="1F4E79" w:themeColor="accent1" w:themeShade="80"/>
              </w:rPr>
              <w:fldChar w:fldCharType="end"/>
            </w:r>
          </w:hyperlink>
        </w:p>
        <w:p w14:paraId="002858B1" w14:textId="0111C265"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42" w:history="1">
            <w:r w:rsidR="003D2E2F" w:rsidRPr="00A94974">
              <w:rPr>
                <w:rStyle w:val="Hyperlink"/>
                <w:noProof/>
                <w:color w:val="1F4E79" w:themeColor="accent1" w:themeShade="80"/>
              </w:rPr>
              <w:t>8.2 Conformitate administrativă – DECLARAȚIA UNICĂ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33</w:t>
            </w:r>
            <w:r w:rsidR="003D2E2F" w:rsidRPr="00A94974">
              <w:rPr>
                <w:noProof/>
                <w:webHidden/>
                <w:color w:val="1F4E79" w:themeColor="accent1" w:themeShade="80"/>
              </w:rPr>
              <w:fldChar w:fldCharType="end"/>
            </w:r>
          </w:hyperlink>
        </w:p>
        <w:p w14:paraId="26DF1EE5" w14:textId="62B17747"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43" w:history="1">
            <w:r w:rsidR="003D2E2F" w:rsidRPr="00A94974">
              <w:rPr>
                <w:rStyle w:val="Hyperlink"/>
                <w:noProof/>
                <w:color w:val="1F4E79" w:themeColor="accent1" w:themeShade="80"/>
              </w:rPr>
              <w:t>8.3 Etapa de evaluare preliminară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34</w:t>
            </w:r>
            <w:r w:rsidR="003D2E2F" w:rsidRPr="00A94974">
              <w:rPr>
                <w:noProof/>
                <w:webHidden/>
                <w:color w:val="1F4E79" w:themeColor="accent1" w:themeShade="80"/>
              </w:rPr>
              <w:fldChar w:fldCharType="end"/>
            </w:r>
          </w:hyperlink>
        </w:p>
        <w:p w14:paraId="58B1118E" w14:textId="235DBCB4"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44" w:history="1">
            <w:r w:rsidR="003D2E2F" w:rsidRPr="00A94974">
              <w:rPr>
                <w:rStyle w:val="Hyperlink"/>
                <w:noProof/>
                <w:color w:val="1F4E79" w:themeColor="accent1" w:themeShade="80"/>
              </w:rPr>
              <w:t>8.4 Evaluarea tehnică și financiară. Criterii de evaluare tehnică și financiară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34</w:t>
            </w:r>
            <w:r w:rsidR="003D2E2F" w:rsidRPr="00A94974">
              <w:rPr>
                <w:noProof/>
                <w:webHidden/>
                <w:color w:val="1F4E79" w:themeColor="accent1" w:themeShade="80"/>
              </w:rPr>
              <w:fldChar w:fldCharType="end"/>
            </w:r>
          </w:hyperlink>
        </w:p>
        <w:p w14:paraId="1BFB5F10" w14:textId="40EFFE3E"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45" w:history="1">
            <w:r w:rsidR="003D2E2F" w:rsidRPr="00A94974">
              <w:rPr>
                <w:rStyle w:val="Hyperlink"/>
                <w:noProof/>
                <w:color w:val="1F4E79" w:themeColor="accent1" w:themeShade="80"/>
              </w:rPr>
              <w:t>8.5 Aplicarea pragului de calitate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34</w:t>
            </w:r>
            <w:r w:rsidR="003D2E2F" w:rsidRPr="00A94974">
              <w:rPr>
                <w:noProof/>
                <w:webHidden/>
                <w:color w:val="1F4E79" w:themeColor="accent1" w:themeShade="80"/>
              </w:rPr>
              <w:fldChar w:fldCharType="end"/>
            </w:r>
          </w:hyperlink>
        </w:p>
        <w:p w14:paraId="157AA090" w14:textId="40D96729"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46" w:history="1">
            <w:r w:rsidR="003D2E2F" w:rsidRPr="00A94974">
              <w:rPr>
                <w:rStyle w:val="Hyperlink"/>
                <w:noProof/>
                <w:color w:val="1F4E79" w:themeColor="accent1" w:themeShade="80"/>
              </w:rPr>
              <w:t>8.6 Aplicarea pragului de excelență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34</w:t>
            </w:r>
            <w:r w:rsidR="003D2E2F" w:rsidRPr="00A94974">
              <w:rPr>
                <w:noProof/>
                <w:webHidden/>
                <w:color w:val="1F4E79" w:themeColor="accent1" w:themeShade="80"/>
              </w:rPr>
              <w:fldChar w:fldCharType="end"/>
            </w:r>
          </w:hyperlink>
        </w:p>
        <w:p w14:paraId="1C6E6D30" w14:textId="5CC4367B"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47" w:history="1">
            <w:r w:rsidR="003D2E2F" w:rsidRPr="00A94974">
              <w:rPr>
                <w:rStyle w:val="Hyperlink"/>
                <w:noProof/>
                <w:color w:val="1F4E79" w:themeColor="accent1" w:themeShade="80"/>
              </w:rPr>
              <w:t>8.7 Notificarea rezultatului evaluării tehnice și financiare.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35</w:t>
            </w:r>
            <w:r w:rsidR="003D2E2F" w:rsidRPr="00A94974">
              <w:rPr>
                <w:noProof/>
                <w:webHidden/>
                <w:color w:val="1F4E79" w:themeColor="accent1" w:themeShade="80"/>
              </w:rPr>
              <w:fldChar w:fldCharType="end"/>
            </w:r>
          </w:hyperlink>
        </w:p>
        <w:p w14:paraId="535F78BE" w14:textId="185F0FF2"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48" w:history="1">
            <w:r w:rsidR="003D2E2F" w:rsidRPr="00A94974">
              <w:rPr>
                <w:rStyle w:val="Hyperlink"/>
                <w:noProof/>
                <w:color w:val="1F4E79" w:themeColor="accent1" w:themeShade="80"/>
              </w:rPr>
              <w:t>8.8 Contestații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35</w:t>
            </w:r>
            <w:r w:rsidR="003D2E2F" w:rsidRPr="00A94974">
              <w:rPr>
                <w:noProof/>
                <w:webHidden/>
                <w:color w:val="1F4E79" w:themeColor="accent1" w:themeShade="80"/>
              </w:rPr>
              <w:fldChar w:fldCharType="end"/>
            </w:r>
          </w:hyperlink>
        </w:p>
        <w:p w14:paraId="10A7F49B" w14:textId="13E4AD20"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49" w:history="1">
            <w:r w:rsidR="003D2E2F" w:rsidRPr="00A94974">
              <w:rPr>
                <w:rStyle w:val="Hyperlink"/>
                <w:noProof/>
                <w:color w:val="1F4E79" w:themeColor="accent1" w:themeShade="80"/>
              </w:rPr>
              <w:t>8.9 Contractarea proiectelor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_Toc179368149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35</w:t>
            </w:r>
            <w:r w:rsidR="003D2E2F" w:rsidRPr="00A94974">
              <w:rPr>
                <w:noProof/>
                <w:webHidden/>
                <w:color w:val="1F4E79" w:themeColor="accent1" w:themeShade="80"/>
              </w:rPr>
              <w:fldChar w:fldCharType="end"/>
            </w:r>
          </w:hyperlink>
        </w:p>
        <w:p w14:paraId="165FA126" w14:textId="2200A889" w:rsidR="003D2E2F" w:rsidRPr="00A94974" w:rsidRDefault="00000000">
          <w:pPr>
            <w:pStyle w:val="TOC3"/>
            <w:rPr>
              <w:rFonts w:eastAsiaTheme="minorEastAsia"/>
              <w:noProof/>
              <w:color w:val="1F4E79" w:themeColor="accent1" w:themeShade="80"/>
              <w:kern w:val="2"/>
              <w14:ligatures w14:val="standardContextual"/>
            </w:rPr>
          </w:pPr>
          <w:hyperlink w:anchor="_Toc179368150" w:history="1">
            <w:r w:rsidR="003D2E2F" w:rsidRPr="00A94974">
              <w:rPr>
                <w:rStyle w:val="Hyperlink"/>
                <w:noProof/>
                <w:color w:val="1F4E79" w:themeColor="accent1" w:themeShade="80"/>
              </w:rPr>
              <w:t>8.9.1 Verificarea îndeplinirii condițiilor de eligibilitate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35</w:t>
            </w:r>
            <w:r w:rsidR="003D2E2F" w:rsidRPr="00A94974">
              <w:rPr>
                <w:noProof/>
                <w:webHidden/>
                <w:color w:val="1F4E79" w:themeColor="accent1" w:themeShade="80"/>
              </w:rPr>
              <w:fldChar w:fldCharType="end"/>
            </w:r>
          </w:hyperlink>
        </w:p>
        <w:p w14:paraId="6DB5E32D" w14:textId="690D9012" w:rsidR="003D2E2F" w:rsidRPr="00A94974" w:rsidRDefault="00000000">
          <w:pPr>
            <w:pStyle w:val="TOC3"/>
            <w:rPr>
              <w:rFonts w:eastAsiaTheme="minorEastAsia"/>
              <w:noProof/>
              <w:color w:val="1F4E79" w:themeColor="accent1" w:themeShade="80"/>
              <w:kern w:val="2"/>
              <w14:ligatures w14:val="standardContextual"/>
            </w:rPr>
          </w:pPr>
          <w:hyperlink w:anchor="_Toc179368151" w:history="1">
            <w:r w:rsidR="003D2E2F" w:rsidRPr="00A94974">
              <w:rPr>
                <w:rStyle w:val="Hyperlink"/>
                <w:noProof/>
                <w:color w:val="1F4E79" w:themeColor="accent1" w:themeShade="80"/>
              </w:rPr>
              <w:t>8.9.2 Decizia de acordare/respingere a finanțării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36</w:t>
            </w:r>
            <w:r w:rsidR="003D2E2F" w:rsidRPr="00A94974">
              <w:rPr>
                <w:noProof/>
                <w:webHidden/>
                <w:color w:val="1F4E79" w:themeColor="accent1" w:themeShade="80"/>
              </w:rPr>
              <w:fldChar w:fldCharType="end"/>
            </w:r>
          </w:hyperlink>
        </w:p>
        <w:p w14:paraId="75D93446" w14:textId="01E98155" w:rsidR="003D2E2F" w:rsidRPr="00A94974" w:rsidRDefault="00000000">
          <w:pPr>
            <w:pStyle w:val="TOC3"/>
            <w:rPr>
              <w:rFonts w:eastAsiaTheme="minorEastAsia"/>
              <w:noProof/>
              <w:color w:val="1F4E79" w:themeColor="accent1" w:themeShade="80"/>
              <w:kern w:val="2"/>
              <w14:ligatures w14:val="standardContextual"/>
            </w:rPr>
          </w:pPr>
          <w:hyperlink w:anchor="_Toc179368152" w:history="1">
            <w:r w:rsidR="003D2E2F" w:rsidRPr="00A94974">
              <w:rPr>
                <w:rStyle w:val="Hyperlink"/>
                <w:noProof/>
                <w:color w:val="1F4E79" w:themeColor="accent1" w:themeShade="80"/>
              </w:rPr>
              <w:t>8.9.3 Definitivarea  planului de monitorizare al proiectului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36</w:t>
            </w:r>
            <w:r w:rsidR="003D2E2F" w:rsidRPr="00A94974">
              <w:rPr>
                <w:noProof/>
                <w:webHidden/>
                <w:color w:val="1F4E79" w:themeColor="accent1" w:themeShade="80"/>
              </w:rPr>
              <w:fldChar w:fldCharType="end"/>
            </w:r>
          </w:hyperlink>
        </w:p>
        <w:p w14:paraId="28B7563F" w14:textId="371FB597" w:rsidR="003D2E2F" w:rsidRPr="00A94974" w:rsidRDefault="00000000">
          <w:pPr>
            <w:pStyle w:val="TOC3"/>
            <w:rPr>
              <w:rFonts w:eastAsiaTheme="minorEastAsia"/>
              <w:noProof/>
              <w:color w:val="1F4E79" w:themeColor="accent1" w:themeShade="80"/>
              <w:kern w:val="2"/>
              <w14:ligatures w14:val="standardContextual"/>
            </w:rPr>
          </w:pPr>
          <w:hyperlink w:anchor="_Toc179368153" w:history="1">
            <w:r w:rsidR="003D2E2F" w:rsidRPr="00A94974">
              <w:rPr>
                <w:rStyle w:val="Hyperlink"/>
                <w:noProof/>
                <w:color w:val="1F4E79" w:themeColor="accent1" w:themeShade="80"/>
              </w:rPr>
              <w:t>8.9.4 Semnarea contractului de finanțare /emiterea deciziei de finanțare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36</w:t>
            </w:r>
            <w:r w:rsidR="003D2E2F" w:rsidRPr="00A94974">
              <w:rPr>
                <w:noProof/>
                <w:webHidden/>
                <w:color w:val="1F4E79" w:themeColor="accent1" w:themeShade="80"/>
              </w:rPr>
              <w:fldChar w:fldCharType="end"/>
            </w:r>
          </w:hyperlink>
        </w:p>
        <w:p w14:paraId="1C746942" w14:textId="33722B89"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54" w:history="1">
            <w:r w:rsidR="003D2E2F" w:rsidRPr="00A94974">
              <w:rPr>
                <w:rStyle w:val="Hyperlink"/>
                <w:noProof/>
                <w:color w:val="1F4E79" w:themeColor="accent1" w:themeShade="80"/>
              </w:rPr>
              <w:t>9. ASPECTE PRIVIND CONFLICTUL DE INTERESE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36</w:t>
            </w:r>
            <w:r w:rsidR="003D2E2F" w:rsidRPr="00A94974">
              <w:rPr>
                <w:noProof/>
                <w:webHidden/>
                <w:color w:val="1F4E79" w:themeColor="accent1" w:themeShade="80"/>
              </w:rPr>
              <w:fldChar w:fldCharType="end"/>
            </w:r>
          </w:hyperlink>
        </w:p>
        <w:p w14:paraId="38F6CF8F" w14:textId="5A7744AC"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55" w:history="1">
            <w:r w:rsidR="003D2E2F" w:rsidRPr="00A94974">
              <w:rPr>
                <w:rStyle w:val="Hyperlink"/>
                <w:noProof/>
                <w:color w:val="1F4E79" w:themeColor="accent1" w:themeShade="80"/>
              </w:rPr>
              <w:t>10. ASPECTE PRIVIND PRELUCRAREA DATELOR CU CARACTER PERSONAL</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37</w:t>
            </w:r>
            <w:r w:rsidR="003D2E2F" w:rsidRPr="00A94974">
              <w:rPr>
                <w:noProof/>
                <w:webHidden/>
                <w:color w:val="1F4E79" w:themeColor="accent1" w:themeShade="80"/>
              </w:rPr>
              <w:fldChar w:fldCharType="end"/>
            </w:r>
          </w:hyperlink>
        </w:p>
        <w:p w14:paraId="6F857ED5" w14:textId="1B348B1F"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56" w:history="1">
            <w:r w:rsidR="003D2E2F" w:rsidRPr="00A94974">
              <w:rPr>
                <w:rStyle w:val="Hyperlink"/>
                <w:noProof/>
                <w:color w:val="1F4E79" w:themeColor="accent1" w:themeShade="80"/>
              </w:rPr>
              <w:t>11. ASPECTE PRIVIND MONITORIZAREA TEHNICĂ ȘI RAPOARTELE DE PROGRES</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38</w:t>
            </w:r>
            <w:r w:rsidR="003D2E2F" w:rsidRPr="00A94974">
              <w:rPr>
                <w:noProof/>
                <w:webHidden/>
                <w:color w:val="1F4E79" w:themeColor="accent1" w:themeShade="80"/>
              </w:rPr>
              <w:fldChar w:fldCharType="end"/>
            </w:r>
          </w:hyperlink>
        </w:p>
        <w:p w14:paraId="6F5FA212" w14:textId="695D3D39"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57" w:history="1">
            <w:r w:rsidR="003D2E2F" w:rsidRPr="00A94974">
              <w:rPr>
                <w:rStyle w:val="Hyperlink"/>
                <w:noProof/>
                <w:color w:val="1F4E79" w:themeColor="accent1" w:themeShade="80"/>
              </w:rPr>
              <w:t>11.1 Rapoartele de progres</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38</w:t>
            </w:r>
            <w:r w:rsidR="003D2E2F" w:rsidRPr="00A94974">
              <w:rPr>
                <w:noProof/>
                <w:webHidden/>
                <w:color w:val="1F4E79" w:themeColor="accent1" w:themeShade="80"/>
              </w:rPr>
              <w:fldChar w:fldCharType="end"/>
            </w:r>
          </w:hyperlink>
        </w:p>
        <w:p w14:paraId="42D96D92" w14:textId="409D7876"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58" w:history="1">
            <w:r w:rsidR="003D2E2F" w:rsidRPr="00A94974">
              <w:rPr>
                <w:rStyle w:val="Hyperlink"/>
                <w:noProof/>
                <w:color w:val="1F4E79" w:themeColor="accent1" w:themeShade="80"/>
              </w:rPr>
              <w:t>11.2 Vizitele de monitorizare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38</w:t>
            </w:r>
            <w:r w:rsidR="003D2E2F" w:rsidRPr="00A94974">
              <w:rPr>
                <w:noProof/>
                <w:webHidden/>
                <w:color w:val="1F4E79" w:themeColor="accent1" w:themeShade="80"/>
              </w:rPr>
              <w:fldChar w:fldCharType="end"/>
            </w:r>
          </w:hyperlink>
        </w:p>
        <w:p w14:paraId="2A4D5C92" w14:textId="34984360"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59" w:history="1">
            <w:r w:rsidR="003D2E2F" w:rsidRPr="00A94974">
              <w:rPr>
                <w:rStyle w:val="Hyperlink"/>
                <w:noProof/>
                <w:color w:val="1F4E79" w:themeColor="accent1" w:themeShade="80"/>
              </w:rPr>
              <w:t>11.3 Mecanismul specific indicatorilor de etapă. Planul de monitorizare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_Toc179368159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38</w:t>
            </w:r>
            <w:r w:rsidR="003D2E2F" w:rsidRPr="00A94974">
              <w:rPr>
                <w:noProof/>
                <w:webHidden/>
                <w:color w:val="1F4E79" w:themeColor="accent1" w:themeShade="80"/>
              </w:rPr>
              <w:fldChar w:fldCharType="end"/>
            </w:r>
          </w:hyperlink>
        </w:p>
        <w:p w14:paraId="74E52168" w14:textId="19D39224"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60" w:history="1">
            <w:r w:rsidR="003D2E2F" w:rsidRPr="00A94974">
              <w:rPr>
                <w:rStyle w:val="Hyperlink"/>
                <w:noProof/>
                <w:color w:val="1F4E79" w:themeColor="accent1" w:themeShade="80"/>
              </w:rPr>
              <w:t>12. ASPECTE PRIVIND MANAGEMENTUL FINANCIAR</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39</w:t>
            </w:r>
            <w:r w:rsidR="003D2E2F" w:rsidRPr="00A94974">
              <w:rPr>
                <w:noProof/>
                <w:webHidden/>
                <w:color w:val="1F4E79" w:themeColor="accent1" w:themeShade="80"/>
              </w:rPr>
              <w:fldChar w:fldCharType="end"/>
            </w:r>
          </w:hyperlink>
        </w:p>
        <w:p w14:paraId="153F80DB" w14:textId="494F9EE1"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61" w:history="1">
            <w:r w:rsidR="003D2E2F" w:rsidRPr="00A94974">
              <w:rPr>
                <w:rStyle w:val="Hyperlink"/>
                <w:noProof/>
                <w:color w:val="1F4E79" w:themeColor="accent1" w:themeShade="80"/>
              </w:rPr>
              <w:t>12.1 Mecanismul cererilor de prefinanțare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39</w:t>
            </w:r>
            <w:r w:rsidR="003D2E2F" w:rsidRPr="00A94974">
              <w:rPr>
                <w:noProof/>
                <w:webHidden/>
                <w:color w:val="1F4E79" w:themeColor="accent1" w:themeShade="80"/>
              </w:rPr>
              <w:fldChar w:fldCharType="end"/>
            </w:r>
          </w:hyperlink>
        </w:p>
        <w:p w14:paraId="403EFE97" w14:textId="3F571FB9"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62" w:history="1">
            <w:r w:rsidR="003D2E2F" w:rsidRPr="00A94974">
              <w:rPr>
                <w:rStyle w:val="Hyperlink"/>
                <w:noProof/>
                <w:color w:val="1F4E79" w:themeColor="accent1" w:themeShade="80"/>
              </w:rPr>
              <w:t>12.2 Mecanismul cererilor de plată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39</w:t>
            </w:r>
            <w:r w:rsidR="003D2E2F" w:rsidRPr="00A94974">
              <w:rPr>
                <w:noProof/>
                <w:webHidden/>
                <w:color w:val="1F4E79" w:themeColor="accent1" w:themeShade="80"/>
              </w:rPr>
              <w:fldChar w:fldCharType="end"/>
            </w:r>
          </w:hyperlink>
        </w:p>
        <w:p w14:paraId="4BB9C710" w14:textId="02072B05"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63" w:history="1">
            <w:r w:rsidR="003D2E2F" w:rsidRPr="00A94974">
              <w:rPr>
                <w:rStyle w:val="Hyperlink"/>
                <w:noProof/>
                <w:color w:val="1F4E79" w:themeColor="accent1" w:themeShade="80"/>
              </w:rPr>
              <w:t>12.3 Mecanismul cererilor de rambursare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39</w:t>
            </w:r>
            <w:r w:rsidR="003D2E2F" w:rsidRPr="00A94974">
              <w:rPr>
                <w:noProof/>
                <w:webHidden/>
                <w:color w:val="1F4E79" w:themeColor="accent1" w:themeShade="80"/>
              </w:rPr>
              <w:fldChar w:fldCharType="end"/>
            </w:r>
          </w:hyperlink>
        </w:p>
        <w:p w14:paraId="31169358" w14:textId="1CBB3C61"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64" w:history="1">
            <w:r w:rsidR="003D2E2F" w:rsidRPr="00A94974">
              <w:rPr>
                <w:rStyle w:val="Hyperlink"/>
                <w:noProof/>
                <w:color w:val="1F4E79" w:themeColor="accent1" w:themeShade="80"/>
              </w:rPr>
              <w:t>12.4 Graficul cererilor de prefinanțare/plată/rambursare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39</w:t>
            </w:r>
            <w:r w:rsidR="003D2E2F" w:rsidRPr="00A94974">
              <w:rPr>
                <w:noProof/>
                <w:webHidden/>
                <w:color w:val="1F4E79" w:themeColor="accent1" w:themeShade="80"/>
              </w:rPr>
              <w:fldChar w:fldCharType="end"/>
            </w:r>
          </w:hyperlink>
        </w:p>
        <w:p w14:paraId="4A1F6B56" w14:textId="508FDB23"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65" w:history="1">
            <w:r w:rsidR="003D2E2F" w:rsidRPr="00A94974">
              <w:rPr>
                <w:rStyle w:val="Hyperlink"/>
                <w:noProof/>
                <w:color w:val="1F4E79" w:themeColor="accent1" w:themeShade="80"/>
              </w:rPr>
              <w:t>12.5 Vizitele la fața locului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39</w:t>
            </w:r>
            <w:r w:rsidR="003D2E2F" w:rsidRPr="00A94974">
              <w:rPr>
                <w:noProof/>
                <w:webHidden/>
                <w:color w:val="1F4E79" w:themeColor="accent1" w:themeShade="80"/>
              </w:rPr>
              <w:fldChar w:fldCharType="end"/>
            </w:r>
          </w:hyperlink>
        </w:p>
        <w:p w14:paraId="3265B050" w14:textId="5A6637E1"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66" w:history="1">
            <w:r w:rsidR="003D2E2F" w:rsidRPr="00A94974">
              <w:rPr>
                <w:rStyle w:val="Hyperlink"/>
                <w:noProof/>
                <w:color w:val="1F4E79" w:themeColor="accent1" w:themeShade="80"/>
              </w:rPr>
              <w:t>13. MODIFICAREA GHIDULUI SOLICITANTULUI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39</w:t>
            </w:r>
            <w:r w:rsidR="003D2E2F" w:rsidRPr="00A94974">
              <w:rPr>
                <w:noProof/>
                <w:webHidden/>
                <w:color w:val="1F4E79" w:themeColor="accent1" w:themeShade="80"/>
              </w:rPr>
              <w:fldChar w:fldCharType="end"/>
            </w:r>
          </w:hyperlink>
        </w:p>
        <w:p w14:paraId="0229C063" w14:textId="670CB884"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67" w:history="1">
            <w:r w:rsidR="003D2E2F" w:rsidRPr="00A94974">
              <w:rPr>
                <w:rStyle w:val="Hyperlink"/>
                <w:noProof/>
                <w:color w:val="1F4E79" w:themeColor="accent1" w:themeShade="80"/>
              </w:rPr>
              <w:t>13.1 Aspectele care pot face obiectul modificărilor prevederilor ghidului solicitantului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_Toc179368167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39</w:t>
            </w:r>
            <w:r w:rsidR="003D2E2F" w:rsidRPr="00A94974">
              <w:rPr>
                <w:noProof/>
                <w:webHidden/>
                <w:color w:val="1F4E79" w:themeColor="accent1" w:themeShade="80"/>
              </w:rPr>
              <w:fldChar w:fldCharType="end"/>
            </w:r>
          </w:hyperlink>
        </w:p>
        <w:p w14:paraId="16C648D8" w14:textId="384896F6" w:rsidR="003D2E2F" w:rsidRPr="00A94974" w:rsidRDefault="00000000">
          <w:pPr>
            <w:pStyle w:val="TOC2"/>
            <w:tabs>
              <w:tab w:val="right" w:leader="dot" w:pos="9396"/>
            </w:tabs>
            <w:rPr>
              <w:rFonts w:eastAsiaTheme="minorEastAsia"/>
              <w:noProof/>
              <w:color w:val="1F4E79" w:themeColor="accent1" w:themeShade="80"/>
              <w:kern w:val="2"/>
              <w14:ligatures w14:val="standardContextual"/>
            </w:rPr>
          </w:pPr>
          <w:hyperlink w:anchor="_Toc179368168" w:history="1">
            <w:r w:rsidR="003D2E2F" w:rsidRPr="00A94974">
              <w:rPr>
                <w:rStyle w:val="Hyperlink"/>
                <w:noProof/>
                <w:color w:val="1F4E79" w:themeColor="accent1" w:themeShade="80"/>
              </w:rPr>
              <w:t>13.2 Condiții privind aplicarea modificărilor pentru cererile de finanțare aflate în procesul de selecție (condiții tranzitorii)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_Toc179368168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40</w:t>
            </w:r>
            <w:r w:rsidR="003D2E2F" w:rsidRPr="00A94974">
              <w:rPr>
                <w:noProof/>
                <w:webHidden/>
                <w:color w:val="1F4E79" w:themeColor="accent1" w:themeShade="80"/>
              </w:rPr>
              <w:fldChar w:fldCharType="end"/>
            </w:r>
          </w:hyperlink>
        </w:p>
        <w:p w14:paraId="4FE546C2" w14:textId="2E9CFEAB"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69" w:history="1">
            <w:r w:rsidR="003D2E2F" w:rsidRPr="00A94974">
              <w:rPr>
                <w:rStyle w:val="Hyperlink"/>
                <w:noProof/>
                <w:color w:val="1F4E79" w:themeColor="accent1" w:themeShade="80"/>
              </w:rPr>
              <w:t>14. ANEXE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_Toc179368169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40</w:t>
            </w:r>
            <w:r w:rsidR="003D2E2F" w:rsidRPr="00A94974">
              <w:rPr>
                <w:noProof/>
                <w:webHidden/>
                <w:color w:val="1F4E79" w:themeColor="accent1" w:themeShade="80"/>
              </w:rPr>
              <w:fldChar w:fldCharType="end"/>
            </w:r>
          </w:hyperlink>
        </w:p>
        <w:p w14:paraId="29D86B7A" w14:textId="6F68A34B"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70" w:history="1">
            <w:r w:rsidR="003D2E2F" w:rsidRPr="00A94974">
              <w:rPr>
                <w:rStyle w:val="Hyperlink"/>
                <w:noProof/>
                <w:color w:val="1F4E79" w:themeColor="accent1" w:themeShade="80"/>
              </w:rPr>
              <w:t>14.1. Anexa nr. 1. Declarație unică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_Toc179368170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40</w:t>
            </w:r>
            <w:r w:rsidR="003D2E2F" w:rsidRPr="00A94974">
              <w:rPr>
                <w:noProof/>
                <w:webHidden/>
                <w:color w:val="1F4E79" w:themeColor="accent1" w:themeShade="80"/>
              </w:rPr>
              <w:fldChar w:fldCharType="end"/>
            </w:r>
          </w:hyperlink>
        </w:p>
        <w:p w14:paraId="6E9FE97B" w14:textId="1D9A3B8E"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71" w:history="1">
            <w:r w:rsidR="003D2E2F" w:rsidRPr="00A94974">
              <w:rPr>
                <w:rStyle w:val="Hyperlink"/>
                <w:noProof/>
                <w:color w:val="1F4E79" w:themeColor="accent1" w:themeShade="80"/>
              </w:rPr>
              <w:t>14.2. Anexa nr. 2. Criterii de evaluare tehnică și financiară preliminară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_Toc179368171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40</w:t>
            </w:r>
            <w:r w:rsidR="003D2E2F" w:rsidRPr="00A94974">
              <w:rPr>
                <w:noProof/>
                <w:webHidden/>
                <w:color w:val="1F4E79" w:themeColor="accent1" w:themeShade="80"/>
              </w:rPr>
              <w:fldChar w:fldCharType="end"/>
            </w:r>
          </w:hyperlink>
        </w:p>
        <w:p w14:paraId="07CCFC70" w14:textId="51027F5E"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72" w:history="1">
            <w:r w:rsidR="003D2E2F" w:rsidRPr="00A94974">
              <w:rPr>
                <w:rStyle w:val="Hyperlink"/>
                <w:noProof/>
                <w:color w:val="1F4E79" w:themeColor="accent1" w:themeShade="80"/>
              </w:rPr>
              <w:t>14.3. Anexa nr. 3. Criterii de evaluare tehnică și financiară calitativă</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_Toc179368172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40</w:t>
            </w:r>
            <w:r w:rsidR="003D2E2F" w:rsidRPr="00A94974">
              <w:rPr>
                <w:noProof/>
                <w:webHidden/>
                <w:color w:val="1F4E79" w:themeColor="accent1" w:themeShade="80"/>
              </w:rPr>
              <w:fldChar w:fldCharType="end"/>
            </w:r>
          </w:hyperlink>
        </w:p>
        <w:p w14:paraId="5DFD05C4" w14:textId="4C154508"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73" w:history="1">
            <w:r w:rsidR="003D2E2F" w:rsidRPr="00A94974">
              <w:rPr>
                <w:rStyle w:val="Hyperlink"/>
                <w:noProof/>
                <w:color w:val="1F4E79" w:themeColor="accent1" w:themeShade="80"/>
              </w:rPr>
              <w:t>14.4. Anexa nr. 4. Contractul de finanțare – Condiții Specifice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_Toc179368173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40</w:t>
            </w:r>
            <w:r w:rsidR="003D2E2F" w:rsidRPr="00A94974">
              <w:rPr>
                <w:noProof/>
                <w:webHidden/>
                <w:color w:val="1F4E79" w:themeColor="accent1" w:themeShade="80"/>
              </w:rPr>
              <w:fldChar w:fldCharType="end"/>
            </w:r>
          </w:hyperlink>
        </w:p>
        <w:p w14:paraId="4ED30911" w14:textId="20FA514B"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74" w:history="1">
            <w:r w:rsidR="003D2E2F" w:rsidRPr="00A94974">
              <w:rPr>
                <w:rStyle w:val="Hyperlink"/>
                <w:noProof/>
                <w:color w:val="1F4E79" w:themeColor="accent1" w:themeShade="80"/>
              </w:rPr>
              <w:t>14.5. Anexa nr. 5. Model Declarație privind conformitatea cu prevederile Cartei drepturilor fundamentale ale Uniunii Europene</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_Toc179368174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40</w:t>
            </w:r>
            <w:r w:rsidR="003D2E2F" w:rsidRPr="00A94974">
              <w:rPr>
                <w:noProof/>
                <w:webHidden/>
                <w:color w:val="1F4E79" w:themeColor="accent1" w:themeShade="80"/>
              </w:rPr>
              <w:fldChar w:fldCharType="end"/>
            </w:r>
          </w:hyperlink>
        </w:p>
        <w:p w14:paraId="110FBB5A" w14:textId="40C46536"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75" w:history="1">
            <w:r w:rsidR="003D2E2F" w:rsidRPr="00A94974">
              <w:rPr>
                <w:rStyle w:val="Hyperlink"/>
                <w:noProof/>
                <w:color w:val="1F4E79" w:themeColor="accent1" w:themeShade="80"/>
              </w:rPr>
              <w:t>14.6. Anexa nr. 6.  Model Declarație privind respectarea Convenției Națiunilor Unite privind drepturile persoanelor cu dizabilități</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_Toc179368175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40</w:t>
            </w:r>
            <w:r w:rsidR="003D2E2F" w:rsidRPr="00A94974">
              <w:rPr>
                <w:noProof/>
                <w:webHidden/>
                <w:color w:val="1F4E79" w:themeColor="accent1" w:themeShade="80"/>
              </w:rPr>
              <w:fldChar w:fldCharType="end"/>
            </w:r>
          </w:hyperlink>
        </w:p>
        <w:p w14:paraId="23932DEF" w14:textId="7C368C95" w:rsidR="003D2E2F" w:rsidRPr="00A94974" w:rsidRDefault="00000000">
          <w:pPr>
            <w:pStyle w:val="TOC1"/>
            <w:tabs>
              <w:tab w:val="right" w:leader="dot" w:pos="9396"/>
            </w:tabs>
            <w:rPr>
              <w:rFonts w:eastAsiaTheme="minorEastAsia"/>
              <w:noProof/>
              <w:color w:val="1F4E79" w:themeColor="accent1" w:themeShade="80"/>
              <w:kern w:val="2"/>
              <w14:ligatures w14:val="standardContextual"/>
            </w:rPr>
          </w:pPr>
          <w:hyperlink w:anchor="_Toc179368176" w:history="1">
            <w:r w:rsidR="003D2E2F" w:rsidRPr="00A94974">
              <w:rPr>
                <w:rStyle w:val="Hyperlink"/>
                <w:noProof/>
                <w:color w:val="1F4E79" w:themeColor="accent1" w:themeShade="80"/>
              </w:rPr>
              <w:t>14.7. Anexa nr. 7  - Lista instituțiilor de învățământ superior din România care posedă Carta Universitară Erasmus (ECHE) 2021-2027</w:t>
            </w:r>
            <w:r w:rsidR="003D2E2F" w:rsidRPr="00A94974">
              <w:rPr>
                <w:noProof/>
                <w:webHidden/>
                <w:color w:val="1F4E79" w:themeColor="accent1" w:themeShade="80"/>
              </w:rPr>
              <w:tab/>
            </w:r>
            <w:r w:rsidR="003D2E2F" w:rsidRPr="00A94974">
              <w:rPr>
                <w:noProof/>
                <w:webHidden/>
                <w:color w:val="1F4E79" w:themeColor="accent1" w:themeShade="80"/>
              </w:rPr>
              <w:fldChar w:fldCharType="begin"/>
            </w:r>
            <w:r w:rsidR="003D2E2F" w:rsidRPr="00A94974">
              <w:rPr>
                <w:noProof/>
                <w:webHidden/>
                <w:color w:val="1F4E79" w:themeColor="accent1" w:themeShade="80"/>
              </w:rPr>
              <w:instrText xml:space="preserve"> PAGEREF _Toc179368176 \h </w:instrText>
            </w:r>
            <w:r w:rsidR="003D2E2F" w:rsidRPr="00A94974">
              <w:rPr>
                <w:noProof/>
                <w:webHidden/>
                <w:color w:val="1F4E79" w:themeColor="accent1" w:themeShade="80"/>
              </w:rPr>
            </w:r>
            <w:r w:rsidR="003D2E2F" w:rsidRPr="00A94974">
              <w:rPr>
                <w:noProof/>
                <w:webHidden/>
                <w:color w:val="1F4E79" w:themeColor="accent1" w:themeShade="80"/>
              </w:rPr>
              <w:fldChar w:fldCharType="separate"/>
            </w:r>
            <w:r w:rsidR="00B4399F" w:rsidRPr="00A94974">
              <w:rPr>
                <w:noProof/>
                <w:webHidden/>
                <w:color w:val="1F4E79" w:themeColor="accent1" w:themeShade="80"/>
              </w:rPr>
              <w:t>40</w:t>
            </w:r>
            <w:r w:rsidR="003D2E2F" w:rsidRPr="00A94974">
              <w:rPr>
                <w:noProof/>
                <w:webHidden/>
                <w:color w:val="1F4E79" w:themeColor="accent1" w:themeShade="80"/>
              </w:rPr>
              <w:fldChar w:fldCharType="end"/>
            </w:r>
          </w:hyperlink>
        </w:p>
        <w:p w14:paraId="23789441" w14:textId="5AF06368" w:rsidR="00137AD3" w:rsidRPr="00A94974" w:rsidRDefault="00DC7B34" w:rsidP="00137AD3">
          <w:pPr>
            <w:pStyle w:val="TOC1"/>
            <w:tabs>
              <w:tab w:val="left" w:pos="660"/>
              <w:tab w:val="right" w:leader="dot" w:pos="9396"/>
            </w:tabs>
            <w:rPr>
              <w:rFonts w:ascii="Trebuchet MS" w:hAnsi="Trebuchet MS"/>
              <w:b/>
              <w:bCs/>
              <w:noProof/>
              <w:color w:val="1F4E79" w:themeColor="accent1" w:themeShade="80"/>
            </w:rPr>
          </w:pPr>
          <w:r w:rsidRPr="00A94974">
            <w:rPr>
              <w:rFonts w:ascii="Trebuchet MS" w:hAnsi="Trebuchet MS"/>
              <w:b/>
              <w:bCs/>
              <w:noProof/>
              <w:color w:val="1F4E79" w:themeColor="accent1" w:themeShade="80"/>
            </w:rPr>
            <w:fldChar w:fldCharType="end"/>
          </w:r>
        </w:p>
        <w:p w14:paraId="6AEAB135" w14:textId="65E87FB8" w:rsidR="002F4773" w:rsidRPr="00A94974" w:rsidRDefault="00000000" w:rsidP="00137AD3">
          <w:pPr>
            <w:rPr>
              <w:rFonts w:ascii="Trebuchet MS" w:hAnsi="Trebuchet MS"/>
              <w:color w:val="1F4E79" w:themeColor="accent1" w:themeShade="80"/>
            </w:rPr>
          </w:pPr>
        </w:p>
      </w:sdtContent>
    </w:sdt>
    <w:p w14:paraId="050D78B9" w14:textId="77777777" w:rsidR="003A6425" w:rsidRPr="00A94974" w:rsidRDefault="003A6425">
      <w:pPr>
        <w:rPr>
          <w:rFonts w:ascii="Trebuchet MS" w:eastAsiaTheme="majorEastAsia" w:hAnsi="Trebuchet MS" w:cstheme="majorBidi"/>
          <w:color w:val="1F4E79" w:themeColor="accent1" w:themeShade="80"/>
        </w:rPr>
      </w:pPr>
      <w:r w:rsidRPr="00A94974">
        <w:rPr>
          <w:rFonts w:ascii="Trebuchet MS" w:hAnsi="Trebuchet MS"/>
          <w:color w:val="1F4E79" w:themeColor="accent1" w:themeShade="80"/>
        </w:rPr>
        <w:br w:type="page"/>
      </w:r>
    </w:p>
    <w:p w14:paraId="7469A1A1" w14:textId="27A877ED" w:rsidR="00566CCA" w:rsidRPr="00A94974" w:rsidRDefault="00DC7B34" w:rsidP="00A701C7">
      <w:pPr>
        <w:pStyle w:val="Heading1"/>
        <w:rPr>
          <w:color w:val="1F4E79" w:themeColor="accent1" w:themeShade="80"/>
        </w:rPr>
      </w:pPr>
      <w:bookmarkStart w:id="3" w:name="_Toc179368069"/>
      <w:r w:rsidRPr="00A94974">
        <w:rPr>
          <w:color w:val="1F4E79" w:themeColor="accent1" w:themeShade="80"/>
        </w:rPr>
        <w:lastRenderedPageBreak/>
        <w:t xml:space="preserve">1. </w:t>
      </w:r>
      <w:r w:rsidR="00566CCA" w:rsidRPr="00A94974">
        <w:rPr>
          <w:color w:val="1F4E79" w:themeColor="accent1" w:themeShade="80"/>
        </w:rPr>
        <w:t>PREAMBUL, ABREVIERI ȘI GLOSAR</w:t>
      </w:r>
      <w:bookmarkEnd w:id="3"/>
      <w:r w:rsidR="00566CCA" w:rsidRPr="00A94974">
        <w:rPr>
          <w:color w:val="1F4E79" w:themeColor="accent1" w:themeShade="80"/>
        </w:rPr>
        <w:tab/>
      </w:r>
    </w:p>
    <w:p w14:paraId="136A90A8" w14:textId="215DF302" w:rsidR="00566CCA" w:rsidRPr="00A94974" w:rsidRDefault="00DC7B34" w:rsidP="00B334B7">
      <w:pPr>
        <w:pStyle w:val="Heading2"/>
        <w:rPr>
          <w:color w:val="1F4E79" w:themeColor="accent1" w:themeShade="80"/>
        </w:rPr>
      </w:pPr>
      <w:bookmarkStart w:id="4" w:name="_Toc179368070"/>
      <w:r w:rsidRPr="00A94974">
        <w:rPr>
          <w:color w:val="1F4E79" w:themeColor="accent1" w:themeShade="80"/>
        </w:rPr>
        <w:t xml:space="preserve">1.1 </w:t>
      </w:r>
      <w:r w:rsidR="00566CCA" w:rsidRPr="00A94974">
        <w:rPr>
          <w:color w:val="1F4E79" w:themeColor="accent1" w:themeShade="80"/>
        </w:rPr>
        <w:t>Preambul</w:t>
      </w:r>
      <w:bookmarkEnd w:id="4"/>
      <w:r w:rsidR="00566CCA" w:rsidRPr="00A94974">
        <w:rPr>
          <w:color w:val="1F4E79" w:themeColor="accent1" w:themeShade="80"/>
        </w:rPr>
        <w:t xml:space="preserve"> </w:t>
      </w:r>
      <w:r w:rsidR="00566CCA" w:rsidRPr="00A94974">
        <w:rPr>
          <w:color w:val="1F4E79" w:themeColor="accent1" w:themeShade="80"/>
        </w:rPr>
        <w:tab/>
      </w:r>
    </w:p>
    <w:p w14:paraId="44E2092C" w14:textId="161E40C5" w:rsidR="00CC6C51" w:rsidRPr="00A94974" w:rsidRDefault="00CC6C51" w:rsidP="004005BF">
      <w:pPr>
        <w:jc w:val="both"/>
        <w:rPr>
          <w:rFonts w:ascii="Trebuchet MS" w:hAnsi="Trebuchet MS"/>
          <w:color w:val="1F4E79" w:themeColor="accent1" w:themeShade="80"/>
        </w:rPr>
      </w:pPr>
      <w:r w:rsidRPr="00A94974">
        <w:rPr>
          <w:rFonts w:ascii="Trebuchet MS" w:hAnsi="Trebuchet MS"/>
          <w:color w:val="1F4E79" w:themeColor="accent1" w:themeShade="80"/>
        </w:rPr>
        <w:t>Strategia PEO este de a concentra intervențiile FSE pe provocările majore din domeniul educației și ocupării, corelate cu prioritățile obiectivului de politică 4, Agenda pentru competențe în Europa, Planul de Acțiune pentru Educația Digitală (2021-2027), Pactul Verde European și Obiectivele de Dezvoltare Durabilă.</w:t>
      </w:r>
    </w:p>
    <w:p w14:paraId="2E86C85C" w14:textId="647C9DC7" w:rsidR="00CC6C51" w:rsidRPr="00A94974" w:rsidRDefault="00CC6C51" w:rsidP="004005BF">
      <w:pPr>
        <w:jc w:val="both"/>
        <w:rPr>
          <w:rFonts w:ascii="Trebuchet MS" w:hAnsi="Trebuchet MS"/>
          <w:color w:val="1F4E79" w:themeColor="accent1" w:themeShade="80"/>
        </w:rPr>
      </w:pPr>
      <w:r w:rsidRPr="00A94974">
        <w:rPr>
          <w:rFonts w:ascii="Trebuchet MS" w:hAnsi="Trebuchet MS"/>
          <w:color w:val="1F4E79" w:themeColor="accent1" w:themeShade="80"/>
        </w:rPr>
        <w:t>Reformele în educație, la nivel de sistem, presupun eforturi semnificative pentru aplicarea unor abordări coerente care să producă impact în calitatea, eficacitatea și relevanța pentru piața muncii a sistemelor de educație și formare și să îmbunătățească accesul la educație și incluziune</w:t>
      </w:r>
      <w:r w:rsidR="0099644A" w:rsidRPr="00A94974">
        <w:rPr>
          <w:rFonts w:ascii="Trebuchet MS" w:hAnsi="Trebuchet MS"/>
          <w:color w:val="1F4E79" w:themeColor="accent1" w:themeShade="80"/>
        </w:rPr>
        <w:t>, în special pentru grupurile dezavantajate.</w:t>
      </w:r>
    </w:p>
    <w:p w14:paraId="4C32659A" w14:textId="2249A3D7" w:rsidR="0024786F" w:rsidRPr="00A94974" w:rsidRDefault="00CC755A" w:rsidP="004005BF">
      <w:pPr>
        <w:jc w:val="both"/>
        <w:rPr>
          <w:rFonts w:ascii="Trebuchet MS" w:hAnsi="Trebuchet MS"/>
          <w:color w:val="1F4E79" w:themeColor="accent1" w:themeShade="80"/>
        </w:rPr>
      </w:pPr>
      <w:r w:rsidRPr="00A94974">
        <w:rPr>
          <w:rFonts w:ascii="Trebuchet MS" w:hAnsi="Trebuchet MS"/>
          <w:color w:val="1F4E79" w:themeColor="accent1" w:themeShade="80"/>
        </w:rPr>
        <w:t>Reforma trebuie să schimbe paradigma proceselor de învățare – predare</w:t>
      </w:r>
      <w:r w:rsidR="004406AA" w:rsidRPr="00A94974">
        <w:rPr>
          <w:rFonts w:ascii="Trebuchet MS" w:hAnsi="Trebuchet MS"/>
          <w:color w:val="1F4E79" w:themeColor="accent1" w:themeShade="80"/>
        </w:rPr>
        <w:t xml:space="preserve"> - evaluare</w:t>
      </w:r>
      <w:r w:rsidRPr="00A94974">
        <w:rPr>
          <w:rFonts w:ascii="Trebuchet MS" w:hAnsi="Trebuchet MS"/>
          <w:color w:val="1F4E79" w:themeColor="accent1" w:themeShade="80"/>
        </w:rPr>
        <w:t xml:space="preserve"> și să cuprindă </w:t>
      </w:r>
      <w:r w:rsidR="004406AA" w:rsidRPr="00A94974">
        <w:rPr>
          <w:rFonts w:ascii="Trebuchet MS" w:hAnsi="Trebuchet MS"/>
          <w:color w:val="1F4E79" w:themeColor="accent1" w:themeShade="80"/>
        </w:rPr>
        <w:t xml:space="preserve">o </w:t>
      </w:r>
      <w:r w:rsidRPr="00A94974">
        <w:rPr>
          <w:rFonts w:ascii="Trebuchet MS" w:hAnsi="Trebuchet MS"/>
          <w:color w:val="1F4E79" w:themeColor="accent1" w:themeShade="80"/>
        </w:rPr>
        <w:t>abordare</w:t>
      </w:r>
      <w:r w:rsidR="00D465FA" w:rsidRPr="00A94974">
        <w:rPr>
          <w:rFonts w:ascii="Trebuchet MS" w:hAnsi="Trebuchet MS"/>
          <w:color w:val="1F4E79" w:themeColor="accent1" w:themeShade="80"/>
        </w:rPr>
        <w:t xml:space="preserve"> </w:t>
      </w:r>
      <w:r w:rsidR="004406AA" w:rsidRPr="00A94974">
        <w:rPr>
          <w:rFonts w:ascii="Trebuchet MS" w:hAnsi="Trebuchet MS"/>
          <w:color w:val="1F4E79" w:themeColor="accent1" w:themeShade="80"/>
        </w:rPr>
        <w:t>-</w:t>
      </w:r>
      <w:r w:rsidRPr="00A94974">
        <w:rPr>
          <w:rFonts w:ascii="Trebuchet MS" w:hAnsi="Trebuchet MS"/>
          <w:color w:val="1F4E79" w:themeColor="accent1" w:themeShade="80"/>
        </w:rPr>
        <w:t xml:space="preserve"> centrată</w:t>
      </w:r>
      <w:r w:rsidR="004406AA" w:rsidRPr="00A94974">
        <w:rPr>
          <w:rFonts w:ascii="Trebuchet MS" w:hAnsi="Trebuchet MS"/>
          <w:color w:val="1F4E79" w:themeColor="accent1" w:themeShade="80"/>
        </w:rPr>
        <w:t xml:space="preserve"> în mod autentic</w:t>
      </w:r>
      <w:r w:rsidRPr="00A94974">
        <w:rPr>
          <w:rFonts w:ascii="Trebuchet MS" w:hAnsi="Trebuchet MS"/>
          <w:color w:val="1F4E79" w:themeColor="accent1" w:themeShade="80"/>
        </w:rPr>
        <w:t xml:space="preserve"> pe </w:t>
      </w:r>
      <w:r w:rsidR="26C1292E" w:rsidRPr="00A94974">
        <w:rPr>
          <w:rFonts w:ascii="Trebuchet MS" w:hAnsi="Trebuchet MS"/>
          <w:color w:val="1F4E79" w:themeColor="accent1" w:themeShade="80"/>
        </w:rPr>
        <w:t>student</w:t>
      </w:r>
      <w:r w:rsidRPr="00A94974">
        <w:rPr>
          <w:rFonts w:ascii="Trebuchet MS" w:hAnsi="Trebuchet MS"/>
          <w:color w:val="1F4E79" w:themeColor="accent1" w:themeShade="80"/>
        </w:rPr>
        <w:t xml:space="preserve">, </w:t>
      </w:r>
      <w:r w:rsidR="004406AA" w:rsidRPr="00A94974">
        <w:rPr>
          <w:rFonts w:ascii="Trebuchet MS" w:hAnsi="Trebuchet MS"/>
          <w:color w:val="1F4E79" w:themeColor="accent1" w:themeShade="80"/>
        </w:rPr>
        <w:t xml:space="preserve">care </w:t>
      </w:r>
      <w:r w:rsidRPr="00A94974">
        <w:rPr>
          <w:rFonts w:ascii="Trebuchet MS" w:hAnsi="Trebuchet MS"/>
          <w:color w:val="1F4E79" w:themeColor="accent1" w:themeShade="80"/>
        </w:rPr>
        <w:t>includ</w:t>
      </w:r>
      <w:r w:rsidR="004406AA" w:rsidRPr="00A94974">
        <w:rPr>
          <w:rFonts w:ascii="Trebuchet MS" w:hAnsi="Trebuchet MS"/>
          <w:color w:val="1F4E79" w:themeColor="accent1" w:themeShade="80"/>
        </w:rPr>
        <w:t>e</w:t>
      </w:r>
      <w:r w:rsidRPr="00A94974">
        <w:rPr>
          <w:rFonts w:ascii="Trebuchet MS" w:hAnsi="Trebuchet MS"/>
          <w:color w:val="1F4E79" w:themeColor="accent1" w:themeShade="80"/>
        </w:rPr>
        <w:t xml:space="preserve"> dezvoltarea de competențe </w:t>
      </w:r>
      <w:r w:rsidR="004406AA" w:rsidRPr="00A94974">
        <w:rPr>
          <w:rFonts w:ascii="Trebuchet MS" w:hAnsi="Trebuchet MS"/>
          <w:color w:val="1F4E79" w:themeColor="accent1" w:themeShade="80"/>
        </w:rPr>
        <w:t xml:space="preserve">cheie (inclusiv competențe </w:t>
      </w:r>
      <w:r w:rsidRPr="00A94974">
        <w:rPr>
          <w:rFonts w:ascii="Trebuchet MS" w:hAnsi="Trebuchet MS"/>
          <w:color w:val="1F4E79" w:themeColor="accent1" w:themeShade="80"/>
        </w:rPr>
        <w:t>digitale și non-tehnice</w:t>
      </w:r>
      <w:r w:rsidR="004406AA" w:rsidRPr="00A94974">
        <w:rPr>
          <w:rFonts w:ascii="Trebuchet MS" w:hAnsi="Trebuchet MS"/>
          <w:color w:val="1F4E79" w:themeColor="accent1" w:themeShade="80"/>
        </w:rPr>
        <w:t xml:space="preserve"> și</w:t>
      </w:r>
      <w:r w:rsidR="008A7AD0"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antreprenoriale</w:t>
      </w:r>
      <w:r w:rsidR="004406AA" w:rsidRPr="00A94974">
        <w:rPr>
          <w:rFonts w:ascii="Trebuchet MS" w:hAnsi="Trebuchet MS"/>
          <w:color w:val="1F4E79" w:themeColor="accent1" w:themeShade="80"/>
        </w:rPr>
        <w:t>)</w:t>
      </w:r>
      <w:r w:rsidRPr="00A94974">
        <w:rPr>
          <w:rFonts w:ascii="Trebuchet MS" w:hAnsi="Trebuchet MS"/>
          <w:color w:val="1F4E79" w:themeColor="accent1" w:themeShade="80"/>
        </w:rPr>
        <w:t xml:space="preserve">, adaptate </w:t>
      </w:r>
      <w:r w:rsidR="004406AA" w:rsidRPr="00A94974">
        <w:rPr>
          <w:rFonts w:ascii="Trebuchet MS" w:hAnsi="Trebuchet MS"/>
          <w:color w:val="1F4E79" w:themeColor="accent1" w:themeShade="80"/>
        </w:rPr>
        <w:t>fiecărui</w:t>
      </w:r>
      <w:r w:rsidR="00665011"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nivel d</w:t>
      </w:r>
      <w:r w:rsidR="00665011" w:rsidRPr="00A94974">
        <w:rPr>
          <w:rFonts w:ascii="Trebuchet MS" w:hAnsi="Trebuchet MS"/>
          <w:color w:val="1F4E79" w:themeColor="accent1" w:themeShade="80"/>
        </w:rPr>
        <w:t>e</w:t>
      </w:r>
      <w:r w:rsidRPr="00A94974">
        <w:rPr>
          <w:rFonts w:ascii="Trebuchet MS" w:hAnsi="Trebuchet MS"/>
          <w:color w:val="1F4E79" w:themeColor="accent1" w:themeShade="80"/>
        </w:rPr>
        <w:t xml:space="preserve"> educație</w:t>
      </w:r>
      <w:r w:rsidR="004406AA" w:rsidRPr="00A94974">
        <w:rPr>
          <w:rFonts w:ascii="Trebuchet MS" w:hAnsi="Trebuchet MS"/>
          <w:color w:val="1F4E79" w:themeColor="accent1" w:themeShade="80"/>
        </w:rPr>
        <w:t xml:space="preserve">. Rezultatele acestor schimbări trebuie să dezvolte </w:t>
      </w:r>
      <w:r w:rsidR="00485883" w:rsidRPr="00A94974">
        <w:rPr>
          <w:rFonts w:ascii="Trebuchet MS" w:hAnsi="Trebuchet MS"/>
          <w:color w:val="1F4E79" w:themeColor="accent1" w:themeShade="80"/>
        </w:rPr>
        <w:t>capacitatea absolvenților de a se integra pe piața muncii în sectorul de studii finalizat/în sectorul dorit</w:t>
      </w:r>
      <w:r w:rsidR="00665011" w:rsidRPr="00A94974">
        <w:rPr>
          <w:rFonts w:ascii="Trebuchet MS" w:hAnsi="Trebuchet MS"/>
          <w:color w:val="1F4E79" w:themeColor="accent1" w:themeShade="80"/>
        </w:rPr>
        <w:t xml:space="preserve"> </w:t>
      </w:r>
      <w:r w:rsidR="00485883" w:rsidRPr="00A94974">
        <w:rPr>
          <w:rFonts w:ascii="Trebuchet MS" w:hAnsi="Trebuchet MS"/>
          <w:color w:val="1F4E79" w:themeColor="accent1" w:themeShade="80"/>
        </w:rPr>
        <w:t>și de a se adapta la schimbările ulterioare.</w:t>
      </w:r>
      <w:r w:rsidR="00665011" w:rsidRPr="00A94974">
        <w:rPr>
          <w:rFonts w:ascii="Trebuchet MS" w:hAnsi="Trebuchet MS"/>
          <w:color w:val="1F4E79" w:themeColor="accent1" w:themeShade="80"/>
        </w:rPr>
        <w:t xml:space="preserve"> </w:t>
      </w:r>
    </w:p>
    <w:p w14:paraId="68A01DD0" w14:textId="134517FC" w:rsidR="00E50F81" w:rsidRPr="00A94974" w:rsidRDefault="00C7630B" w:rsidP="004005BF">
      <w:pPr>
        <w:jc w:val="both"/>
        <w:rPr>
          <w:rFonts w:ascii="Trebuchet MS" w:hAnsi="Trebuchet MS"/>
          <w:color w:val="1F4E79" w:themeColor="accent1" w:themeShade="80"/>
        </w:rPr>
      </w:pPr>
      <w:r w:rsidRPr="00A94974">
        <w:rPr>
          <w:rFonts w:ascii="Trebuchet MS" w:hAnsi="Trebuchet MS"/>
          <w:color w:val="1F4E79" w:themeColor="accent1" w:themeShade="80"/>
        </w:rPr>
        <w:t>Unul dintre dezideratele Proiectului pentru România Educată, la orizontul 2030 urmărește ca sistemul de educație românesc să fie unul atrăgător pentru comunitățile academice din România și din întreaga lume, facilitând o intensitate crescută a mobilităților internaționale. Astfel, programele de mobilitate reprezintă o componentă esențială la toate nivelurile de învățământ, atât pentru elevi și studenți, cât și pentru profesori, cercetători și personalul administrativ. Elevii din educația secundară superioară și studenții din învățământul terțiar au acces la semestre de studiu/cercetare în alte țări. Profesorii și cercetătorii din România beneficiază de diferite programe de formare și/sau predare, respectiv cercetare, în școli, universități și laboratoare de cercetare europene/internaționale.</w:t>
      </w:r>
    </w:p>
    <w:p w14:paraId="6638774A" w14:textId="5132C2FD" w:rsidR="00E50F81" w:rsidRPr="00A94974" w:rsidRDefault="00C7630B" w:rsidP="004005BF">
      <w:pPr>
        <w:jc w:val="both"/>
        <w:rPr>
          <w:rFonts w:ascii="Trebuchet MS" w:hAnsi="Trebuchet MS"/>
          <w:color w:val="1F4E79" w:themeColor="accent1" w:themeShade="80"/>
        </w:rPr>
      </w:pPr>
      <w:r w:rsidRPr="00A94974">
        <w:rPr>
          <w:rFonts w:ascii="Trebuchet MS" w:hAnsi="Trebuchet MS"/>
          <w:color w:val="1F4E79" w:themeColor="accent1" w:themeShade="80"/>
        </w:rPr>
        <w:t>Dezvoltarea curriculară ia în calcul evoluțiile</w:t>
      </w:r>
      <w:r w:rsidR="00E50F81"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științifice și tendințele din mediul internațional.</w:t>
      </w:r>
      <w:r w:rsidR="00E50F81"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România participă la programele europene</w:t>
      </w:r>
      <w:r w:rsidR="00E50F81"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de mobilitate cu o pondere din totalul beneficiarilor</w:t>
      </w:r>
      <w:r w:rsidR="00E50F81"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proporțională cu greutatea sa demografică</w:t>
      </w:r>
      <w:r w:rsidR="00E50F81"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 xml:space="preserve">în cadrul Uniunii Europene. </w:t>
      </w:r>
    </w:p>
    <w:p w14:paraId="32D5EC77" w14:textId="198A38B8" w:rsidR="009D324A" w:rsidRPr="00A94974" w:rsidRDefault="009D324A" w:rsidP="004005BF">
      <w:pPr>
        <w:jc w:val="both"/>
        <w:rPr>
          <w:rFonts w:ascii="Trebuchet MS" w:hAnsi="Trebuchet MS"/>
          <w:color w:val="1F4E79" w:themeColor="accent1" w:themeShade="80"/>
        </w:rPr>
      </w:pPr>
      <w:r w:rsidRPr="00A94974">
        <w:rPr>
          <w:rFonts w:ascii="Trebuchet MS" w:eastAsia="Trebuchet MS" w:hAnsi="Trebuchet MS" w:cs="Trebuchet MS"/>
          <w:color w:val="1F4E79" w:themeColor="accent1" w:themeShade="80"/>
        </w:rPr>
        <w:t xml:space="preserve">Prezentele apeluri de proiecte sunt finanțate prin PEO, finanțând măsuri de intervenție Programul Educație și Ocupare, Prioritate: 7. Creșterea calității ofertei de educație </w:t>
      </w:r>
      <w:r w:rsidR="00391CFB" w:rsidRPr="00A94974">
        <w:rPr>
          <w:rFonts w:ascii="Trebuchet MS" w:eastAsia="Trebuchet MS" w:hAnsi="Trebuchet MS" w:cs="Trebuchet MS"/>
          <w:color w:val="1F4E79" w:themeColor="accent1" w:themeShade="80"/>
        </w:rPr>
        <w:t>ș</w:t>
      </w:r>
      <w:r w:rsidRPr="00A94974">
        <w:rPr>
          <w:rFonts w:ascii="Trebuchet MS" w:eastAsia="Trebuchet MS" w:hAnsi="Trebuchet MS" w:cs="Trebuchet MS"/>
          <w:color w:val="1F4E79" w:themeColor="accent1" w:themeShade="80"/>
        </w:rPr>
        <w:t xml:space="preserve">i formare profesională pentru asigurarea echității sistemului </w:t>
      </w:r>
      <w:r w:rsidR="00391CFB" w:rsidRPr="00A94974">
        <w:rPr>
          <w:rFonts w:ascii="Trebuchet MS" w:eastAsia="Trebuchet MS" w:hAnsi="Trebuchet MS" w:cs="Trebuchet MS"/>
          <w:color w:val="1F4E79" w:themeColor="accent1" w:themeShade="80"/>
        </w:rPr>
        <w:t>ș</w:t>
      </w:r>
      <w:r w:rsidRPr="00A94974">
        <w:rPr>
          <w:rFonts w:ascii="Trebuchet MS" w:eastAsia="Trebuchet MS" w:hAnsi="Trebuchet MS" w:cs="Trebuchet MS"/>
          <w:color w:val="1F4E79" w:themeColor="accent1" w:themeShade="80"/>
        </w:rPr>
        <w:t>i o mai bună adaptare la dinamica pieței muncii și la provocările inovării și progresului tehnologic, 7.e.7.Sprijinirea mobilității transnaționale de tip Erasmus+, măsuri care vor contribui la atingerea, până în 2030, a două obiective stabilite la nivel european în domeniul mobilităților:</w:t>
      </w:r>
    </w:p>
    <w:p w14:paraId="6C5691C4" w14:textId="1B59BE9B" w:rsidR="009D324A" w:rsidRPr="00A94974" w:rsidRDefault="009D324A" w:rsidP="004005BF">
      <w:pPr>
        <w:jc w:val="both"/>
        <w:rPr>
          <w:rFonts w:ascii="Trebuchet MS" w:eastAsia="Trebuchet MS" w:hAnsi="Trebuchet MS" w:cs="Trebuchet MS"/>
          <w:color w:val="1F4E79" w:themeColor="accent1" w:themeShade="80"/>
        </w:rPr>
      </w:pPr>
      <w:r w:rsidRPr="00A94974">
        <w:rPr>
          <w:rFonts w:ascii="Trebuchet MS" w:eastAsia="Trebuchet MS" w:hAnsi="Trebuchet MS" w:cs="Trebuchet MS"/>
          <w:color w:val="1F4E79" w:themeColor="accent1" w:themeShade="80"/>
        </w:rPr>
        <w:t>1)</w:t>
      </w:r>
      <w:r w:rsidRPr="00A94974">
        <w:rPr>
          <w:rFonts w:ascii="Trebuchet MS" w:eastAsia="Trebuchet MS" w:hAnsi="Trebuchet MS" w:cs="Trebuchet MS"/>
          <w:color w:val="1F4E79" w:themeColor="accent1" w:themeShade="80"/>
        </w:rPr>
        <w:tab/>
        <w:t>cel puțin 23% dintre absolvenții de învățământ superior vor avea o experiență de mobilitate în scop educațional, în creștere față de obiectivul actual de 20%;</w:t>
      </w:r>
    </w:p>
    <w:p w14:paraId="6500041C" w14:textId="17455C50" w:rsidR="00236F03" w:rsidRPr="00A94974" w:rsidRDefault="009D324A" w:rsidP="004005BF">
      <w:pPr>
        <w:jc w:val="both"/>
        <w:rPr>
          <w:rFonts w:ascii="Trebuchet MS" w:eastAsia="Trebuchet MS" w:hAnsi="Trebuchet MS" w:cs="Trebuchet MS"/>
          <w:color w:val="1F4E79" w:themeColor="accent1" w:themeShade="80"/>
        </w:rPr>
      </w:pPr>
      <w:r w:rsidRPr="00A94974">
        <w:rPr>
          <w:rFonts w:ascii="Trebuchet MS" w:eastAsia="Trebuchet MS" w:hAnsi="Trebuchet MS" w:cs="Trebuchet MS"/>
          <w:color w:val="1F4E79" w:themeColor="accent1" w:themeShade="80"/>
        </w:rPr>
        <w:t>2)</w:t>
      </w:r>
      <w:r w:rsidRPr="00A94974">
        <w:rPr>
          <w:rFonts w:ascii="Trebuchet MS" w:eastAsia="Trebuchet MS" w:hAnsi="Trebuchet MS" w:cs="Trebuchet MS"/>
          <w:color w:val="1F4E79" w:themeColor="accent1" w:themeShade="80"/>
        </w:rPr>
        <w:tab/>
        <w:t>cel puțin 20% din totalul cursanților care beneficiază de mobilitate în scop educațional în străinătate ar trebui să fie persoane cu oportunități reduse.</w:t>
      </w:r>
    </w:p>
    <w:p w14:paraId="272A8D8B" w14:textId="77777777" w:rsidR="00A94974" w:rsidRPr="00A94974" w:rsidRDefault="00A94974" w:rsidP="004005BF">
      <w:pPr>
        <w:jc w:val="both"/>
        <w:rPr>
          <w:rFonts w:ascii="Trebuchet MS" w:eastAsia="Trebuchet MS" w:hAnsi="Trebuchet MS" w:cs="Trebuchet MS"/>
          <w:color w:val="1F4E79" w:themeColor="accent1" w:themeShade="80"/>
        </w:rPr>
      </w:pPr>
    </w:p>
    <w:p w14:paraId="7A3C378C" w14:textId="1D2D115E" w:rsidR="00566CCA" w:rsidRPr="00A94974" w:rsidRDefault="00DC7B34" w:rsidP="009D324A">
      <w:pPr>
        <w:pStyle w:val="Heading2"/>
        <w:rPr>
          <w:color w:val="1F4E79" w:themeColor="accent1" w:themeShade="80"/>
        </w:rPr>
      </w:pPr>
      <w:bookmarkStart w:id="5" w:name="_Toc179368071"/>
      <w:r w:rsidRPr="00A94974">
        <w:rPr>
          <w:color w:val="1F4E79" w:themeColor="accent1" w:themeShade="80"/>
        </w:rPr>
        <w:lastRenderedPageBreak/>
        <w:t xml:space="preserve">1.2 </w:t>
      </w:r>
      <w:r w:rsidR="00566CCA" w:rsidRPr="00A94974">
        <w:rPr>
          <w:color w:val="1F4E79" w:themeColor="accent1" w:themeShade="80"/>
        </w:rPr>
        <w:t>Abrevieri</w:t>
      </w:r>
      <w:bookmarkEnd w:id="5"/>
      <w:r w:rsidR="00566CCA" w:rsidRPr="00A94974">
        <w:rPr>
          <w:color w:val="1F4E79" w:themeColor="accent1" w:themeShade="80"/>
        </w:rPr>
        <w:tab/>
      </w:r>
    </w:p>
    <w:tbl>
      <w:tblPr>
        <w:tblStyle w:val="TableGridLight1"/>
        <w:tblW w:w="9018" w:type="dxa"/>
        <w:tblLook w:val="04A0" w:firstRow="1" w:lastRow="0" w:firstColumn="1" w:lastColumn="0" w:noHBand="0" w:noVBand="1"/>
      </w:tblPr>
      <w:tblGrid>
        <w:gridCol w:w="2527"/>
        <w:gridCol w:w="6491"/>
      </w:tblGrid>
      <w:tr w:rsidR="00A94974" w:rsidRPr="00A94974" w14:paraId="22AEBD82" w14:textId="77777777" w:rsidTr="009B1F53">
        <w:trPr>
          <w:trHeight w:val="344"/>
        </w:trPr>
        <w:tc>
          <w:tcPr>
            <w:tcW w:w="2527" w:type="dxa"/>
            <w:hideMark/>
          </w:tcPr>
          <w:p w14:paraId="5CCDC6A8"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AM / AM PEO</w:t>
            </w:r>
          </w:p>
        </w:tc>
        <w:tc>
          <w:tcPr>
            <w:tcW w:w="6491" w:type="dxa"/>
            <w:hideMark/>
          </w:tcPr>
          <w:p w14:paraId="5D4B0940"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 xml:space="preserve">Autoritatea de Management / Autoritatea de Management pentru Programul Educație și Ocupare (PEO) </w:t>
            </w:r>
          </w:p>
        </w:tc>
      </w:tr>
      <w:tr w:rsidR="00A94974" w:rsidRPr="00A94974" w14:paraId="78CDE112" w14:textId="77777777" w:rsidTr="009B1F53">
        <w:trPr>
          <w:trHeight w:val="344"/>
        </w:trPr>
        <w:tc>
          <w:tcPr>
            <w:tcW w:w="2527" w:type="dxa"/>
          </w:tcPr>
          <w:p w14:paraId="037A5A6D" w14:textId="7C4B8C9C" w:rsidR="006E57DC" w:rsidRPr="00A94974" w:rsidRDefault="00A47D4D" w:rsidP="009B1F53">
            <w:pPr>
              <w:spacing w:line="276" w:lineRule="auto"/>
              <w:jc w:val="both"/>
              <w:rPr>
                <w:rFonts w:ascii="Trebuchet MS" w:hAnsi="Trebuchet MS"/>
                <w:i/>
                <w:color w:val="1F4E79" w:themeColor="accent1" w:themeShade="80"/>
              </w:rPr>
            </w:pPr>
            <w:bookmarkStart w:id="6" w:name="_Hlk173840159"/>
            <w:r w:rsidRPr="00A94974">
              <w:rPr>
                <w:rFonts w:ascii="Trebuchet MS" w:hAnsi="Trebuchet MS"/>
                <w:i/>
                <w:color w:val="1F4E79" w:themeColor="accent1" w:themeShade="80"/>
              </w:rPr>
              <w:t>ANPCDEFP</w:t>
            </w:r>
            <w:bookmarkEnd w:id="6"/>
          </w:p>
        </w:tc>
        <w:tc>
          <w:tcPr>
            <w:tcW w:w="6491" w:type="dxa"/>
          </w:tcPr>
          <w:p w14:paraId="07EBB6BB" w14:textId="2F27E010" w:rsidR="006E57DC" w:rsidRPr="00A94974" w:rsidRDefault="00A47D4D" w:rsidP="009B1F53">
            <w:pPr>
              <w:spacing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Agenția Națională pentru Programe Comunitare în Domeniul Educației și Formării Profesionale</w:t>
            </w:r>
          </w:p>
        </w:tc>
      </w:tr>
      <w:tr w:rsidR="00A94974" w:rsidRPr="00A94974" w14:paraId="7150C61F" w14:textId="77777777" w:rsidTr="009B1F53">
        <w:trPr>
          <w:trHeight w:val="344"/>
        </w:trPr>
        <w:tc>
          <w:tcPr>
            <w:tcW w:w="2527" w:type="dxa"/>
          </w:tcPr>
          <w:p w14:paraId="24A8F53A" w14:textId="77777777" w:rsidR="00CC6C51" w:rsidRPr="00A94974" w:rsidRDefault="00CC6C51" w:rsidP="009B1F53">
            <w:pPr>
              <w:spacing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BS</w:t>
            </w:r>
          </w:p>
        </w:tc>
        <w:tc>
          <w:tcPr>
            <w:tcW w:w="6491" w:type="dxa"/>
          </w:tcPr>
          <w:p w14:paraId="00D4731D" w14:textId="77777777" w:rsidR="00CC6C51" w:rsidRPr="00A94974" w:rsidRDefault="00CC6C51" w:rsidP="009B1F53">
            <w:pPr>
              <w:spacing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Buget de stat</w:t>
            </w:r>
          </w:p>
        </w:tc>
      </w:tr>
      <w:tr w:rsidR="00A94974" w:rsidRPr="00A94974" w14:paraId="0B897BDF" w14:textId="77777777" w:rsidTr="009B1F53">
        <w:trPr>
          <w:trHeight w:val="343"/>
        </w:trPr>
        <w:tc>
          <w:tcPr>
            <w:tcW w:w="2527" w:type="dxa"/>
            <w:hideMark/>
          </w:tcPr>
          <w:p w14:paraId="42CD8202"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CE</w:t>
            </w:r>
          </w:p>
        </w:tc>
        <w:tc>
          <w:tcPr>
            <w:tcW w:w="6491" w:type="dxa"/>
            <w:hideMark/>
          </w:tcPr>
          <w:p w14:paraId="61015793"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Comisia Europeană</w:t>
            </w:r>
          </w:p>
        </w:tc>
      </w:tr>
      <w:tr w:rsidR="00A94974" w:rsidRPr="00A94974" w14:paraId="0E00C988" w14:textId="77777777" w:rsidTr="009B1F53">
        <w:trPr>
          <w:trHeight w:val="253"/>
        </w:trPr>
        <w:tc>
          <w:tcPr>
            <w:tcW w:w="2527" w:type="dxa"/>
            <w:hideMark/>
          </w:tcPr>
          <w:p w14:paraId="322B7A79"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FSE+</w:t>
            </w:r>
          </w:p>
        </w:tc>
        <w:tc>
          <w:tcPr>
            <w:tcW w:w="6491" w:type="dxa"/>
            <w:hideMark/>
          </w:tcPr>
          <w:p w14:paraId="490633DF"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Fondul Social European Plus</w:t>
            </w:r>
          </w:p>
        </w:tc>
      </w:tr>
      <w:tr w:rsidR="00A94974" w:rsidRPr="00A94974" w14:paraId="1DFAC4ED" w14:textId="77777777" w:rsidTr="009B1F53">
        <w:trPr>
          <w:trHeight w:val="253"/>
        </w:trPr>
        <w:tc>
          <w:tcPr>
            <w:tcW w:w="2527" w:type="dxa"/>
          </w:tcPr>
          <w:p w14:paraId="6AB9526E" w14:textId="11FC4D6E" w:rsidR="00AF28A6" w:rsidRPr="00A94974" w:rsidRDefault="00AF28A6" w:rsidP="009B1F53">
            <w:pPr>
              <w:spacing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ME</w:t>
            </w:r>
          </w:p>
        </w:tc>
        <w:tc>
          <w:tcPr>
            <w:tcW w:w="6491" w:type="dxa"/>
          </w:tcPr>
          <w:p w14:paraId="629C371A" w14:textId="0AC3034C" w:rsidR="00AF28A6" w:rsidRPr="00A94974" w:rsidRDefault="00AF28A6" w:rsidP="009B1F53">
            <w:pPr>
              <w:spacing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Ministerul Educației</w:t>
            </w:r>
          </w:p>
        </w:tc>
      </w:tr>
      <w:tr w:rsidR="00A94974" w:rsidRPr="00A94974" w14:paraId="11E3D093" w14:textId="77777777" w:rsidTr="009B1F53">
        <w:trPr>
          <w:trHeight w:val="343"/>
        </w:trPr>
        <w:tc>
          <w:tcPr>
            <w:tcW w:w="2527" w:type="dxa"/>
            <w:hideMark/>
          </w:tcPr>
          <w:p w14:paraId="4F401FE0"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MIPE</w:t>
            </w:r>
          </w:p>
        </w:tc>
        <w:tc>
          <w:tcPr>
            <w:tcW w:w="6491" w:type="dxa"/>
            <w:hideMark/>
          </w:tcPr>
          <w:p w14:paraId="6A13BA6D"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Ministerul Investițiilor si Proiectelor Europene</w:t>
            </w:r>
          </w:p>
        </w:tc>
      </w:tr>
      <w:tr w:rsidR="00A94974" w:rsidRPr="00A94974" w14:paraId="7F061B8A" w14:textId="77777777" w:rsidTr="009B1F53">
        <w:trPr>
          <w:trHeight w:val="343"/>
        </w:trPr>
        <w:tc>
          <w:tcPr>
            <w:tcW w:w="2527" w:type="dxa"/>
          </w:tcPr>
          <w:p w14:paraId="6BC55D3C" w14:textId="77777777" w:rsidR="00CC6C51" w:rsidRPr="00A94974" w:rsidRDefault="00CC6C51" w:rsidP="009B1F53">
            <w:pPr>
              <w:spacing w:after="160" w:line="276" w:lineRule="auto"/>
              <w:jc w:val="both"/>
              <w:rPr>
                <w:rFonts w:ascii="Trebuchet MS" w:hAnsi="Trebuchet MS"/>
                <w:i/>
                <w:color w:val="1F4E79" w:themeColor="accent1" w:themeShade="80"/>
              </w:rPr>
            </w:pPr>
            <w:bookmarkStart w:id="7" w:name="_Hlk122380018"/>
            <w:r w:rsidRPr="00A94974">
              <w:rPr>
                <w:rFonts w:ascii="Trebuchet MS" w:hAnsi="Trebuchet MS"/>
                <w:i/>
                <w:color w:val="1F4E79" w:themeColor="accent1" w:themeShade="80"/>
              </w:rPr>
              <w:t>MySMIS2021/SMIS2021+</w:t>
            </w:r>
            <w:bookmarkEnd w:id="7"/>
          </w:p>
        </w:tc>
        <w:tc>
          <w:tcPr>
            <w:tcW w:w="6491" w:type="dxa"/>
          </w:tcPr>
          <w:p w14:paraId="0D96ABBB"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6846CBD2" w14:textId="47E7B6F8"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Aplica</w:t>
            </w:r>
            <w:r w:rsidR="00897989" w:rsidRPr="00A94974">
              <w:rPr>
                <w:rFonts w:ascii="Trebuchet MS" w:hAnsi="Trebuchet MS"/>
                <w:i/>
                <w:color w:val="1F4E79" w:themeColor="accent1" w:themeShade="80"/>
              </w:rPr>
              <w:t>ț</w:t>
            </w:r>
            <w:r w:rsidRPr="00A94974">
              <w:rPr>
                <w:rFonts w:ascii="Trebuchet MS" w:hAnsi="Trebuchet MS"/>
                <w:i/>
                <w:color w:val="1F4E79" w:themeColor="accent1" w:themeShade="80"/>
              </w:rPr>
              <w:t>ia electronic</w:t>
            </w:r>
            <w:r w:rsidR="00F541C8" w:rsidRPr="00A94974">
              <w:rPr>
                <w:rFonts w:ascii="Trebuchet MS" w:hAnsi="Trebuchet MS"/>
                <w:i/>
                <w:color w:val="1F4E79" w:themeColor="accent1" w:themeShade="80"/>
              </w:rPr>
              <w:t>ă</w:t>
            </w:r>
            <w:r w:rsidRPr="00A94974">
              <w:rPr>
                <w:rFonts w:ascii="Trebuchet MS" w:hAnsi="Trebuchet MS"/>
                <w:i/>
                <w:color w:val="1F4E79" w:themeColor="accent1" w:themeShade="80"/>
              </w:rPr>
              <w:t xml:space="preserve"> MySMIS2021/SMIS2021+ se </w:t>
            </w:r>
            <w:r w:rsidR="00897989" w:rsidRPr="00A94974">
              <w:rPr>
                <w:rFonts w:ascii="Trebuchet MS" w:hAnsi="Trebuchet MS"/>
                <w:i/>
                <w:color w:val="1F4E79" w:themeColor="accent1" w:themeShade="80"/>
              </w:rPr>
              <w:t>î</w:t>
            </w:r>
            <w:r w:rsidRPr="00A94974">
              <w:rPr>
                <w:rFonts w:ascii="Trebuchet MS" w:hAnsi="Trebuchet MS"/>
                <w:i/>
                <w:color w:val="1F4E79" w:themeColor="accent1" w:themeShade="80"/>
              </w:rPr>
              <w:t>ncadreaz</w:t>
            </w:r>
            <w:r w:rsidR="00F541C8" w:rsidRPr="00A94974">
              <w:rPr>
                <w:rFonts w:ascii="Trebuchet MS" w:hAnsi="Trebuchet MS"/>
                <w:i/>
                <w:color w:val="1F4E79" w:themeColor="accent1" w:themeShade="80"/>
              </w:rPr>
              <w:t>ă</w:t>
            </w:r>
            <w:r w:rsidRPr="00A94974">
              <w:rPr>
                <w:rFonts w:ascii="Trebuchet MS" w:hAnsi="Trebuchet MS"/>
                <w:i/>
                <w:color w:val="1F4E79" w:themeColor="accent1" w:themeShade="80"/>
              </w:rPr>
              <w:t xml:space="preserve"> </w:t>
            </w:r>
            <w:r w:rsidR="00897989" w:rsidRPr="00A94974">
              <w:rPr>
                <w:rFonts w:ascii="Trebuchet MS" w:hAnsi="Trebuchet MS"/>
                <w:i/>
                <w:color w:val="1F4E79" w:themeColor="accent1" w:themeShade="80"/>
              </w:rPr>
              <w:t>î</w:t>
            </w:r>
            <w:r w:rsidRPr="00A94974">
              <w:rPr>
                <w:rFonts w:ascii="Trebuchet MS" w:hAnsi="Trebuchet MS"/>
                <w:i/>
                <w:color w:val="1F4E79" w:themeColor="accent1" w:themeShade="80"/>
              </w:rPr>
              <w:t xml:space="preserve">n categoria mijloacelor ce asigură transmiterea de texte/ documente </w:t>
            </w:r>
            <w:r w:rsidR="00897989" w:rsidRPr="00A94974">
              <w:rPr>
                <w:rFonts w:ascii="Trebuchet MS" w:hAnsi="Trebuchet MS"/>
                <w:i/>
                <w:color w:val="1F4E79" w:themeColor="accent1" w:themeShade="80"/>
              </w:rPr>
              <w:t>ș</w:t>
            </w:r>
            <w:r w:rsidRPr="00A94974">
              <w:rPr>
                <w:rFonts w:ascii="Trebuchet MS" w:hAnsi="Trebuchet MS"/>
                <w:i/>
                <w:color w:val="1F4E79" w:themeColor="accent1" w:themeShade="80"/>
              </w:rPr>
              <w:t>i confirmarea primirii acestora.</w:t>
            </w:r>
          </w:p>
        </w:tc>
      </w:tr>
      <w:tr w:rsidR="00A94974" w:rsidRPr="00A94974" w14:paraId="0352C54E" w14:textId="77777777" w:rsidTr="009B1F53">
        <w:trPr>
          <w:trHeight w:val="343"/>
        </w:trPr>
        <w:tc>
          <w:tcPr>
            <w:tcW w:w="2527" w:type="dxa"/>
            <w:hideMark/>
          </w:tcPr>
          <w:p w14:paraId="285B7EB0"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OI</w:t>
            </w:r>
          </w:p>
        </w:tc>
        <w:tc>
          <w:tcPr>
            <w:tcW w:w="6491" w:type="dxa"/>
            <w:hideMark/>
          </w:tcPr>
          <w:p w14:paraId="5917DBA9"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Organism Intermediar</w:t>
            </w:r>
          </w:p>
        </w:tc>
      </w:tr>
      <w:tr w:rsidR="00A94974" w:rsidRPr="00A94974" w14:paraId="0E5FC850" w14:textId="77777777" w:rsidTr="009B1F53">
        <w:trPr>
          <w:trHeight w:val="253"/>
        </w:trPr>
        <w:tc>
          <w:tcPr>
            <w:tcW w:w="2527" w:type="dxa"/>
            <w:hideMark/>
          </w:tcPr>
          <w:p w14:paraId="1967EBD3"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OS</w:t>
            </w:r>
          </w:p>
        </w:tc>
        <w:tc>
          <w:tcPr>
            <w:tcW w:w="6491" w:type="dxa"/>
            <w:hideMark/>
          </w:tcPr>
          <w:p w14:paraId="42CEB0C2"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Obiectiv Specific</w:t>
            </w:r>
          </w:p>
        </w:tc>
      </w:tr>
      <w:tr w:rsidR="00A94974" w:rsidRPr="00A94974" w14:paraId="74572B0A" w14:textId="77777777" w:rsidTr="009B1F53">
        <w:trPr>
          <w:trHeight w:val="253"/>
        </w:trPr>
        <w:tc>
          <w:tcPr>
            <w:tcW w:w="2527" w:type="dxa"/>
          </w:tcPr>
          <w:p w14:paraId="0B9463A2"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P</w:t>
            </w:r>
          </w:p>
        </w:tc>
        <w:tc>
          <w:tcPr>
            <w:tcW w:w="6491" w:type="dxa"/>
          </w:tcPr>
          <w:p w14:paraId="56BEE4AA"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Prioritate</w:t>
            </w:r>
          </w:p>
        </w:tc>
      </w:tr>
      <w:tr w:rsidR="00A94974" w:rsidRPr="00A94974" w14:paraId="19A1F2EB" w14:textId="77777777" w:rsidTr="009B1F53">
        <w:trPr>
          <w:trHeight w:val="343"/>
        </w:trPr>
        <w:tc>
          <w:tcPr>
            <w:tcW w:w="2527" w:type="dxa"/>
            <w:hideMark/>
          </w:tcPr>
          <w:p w14:paraId="4F1B244E"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PEO</w:t>
            </w:r>
          </w:p>
        </w:tc>
        <w:tc>
          <w:tcPr>
            <w:tcW w:w="6491" w:type="dxa"/>
            <w:hideMark/>
          </w:tcPr>
          <w:p w14:paraId="5F4C9FF9" w14:textId="77777777" w:rsidR="00CC6C51" w:rsidRPr="00A94974" w:rsidRDefault="00CC6C51" w:rsidP="009B1F53">
            <w:pPr>
              <w:spacing w:after="16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Programul Educație și Ocupare</w:t>
            </w:r>
          </w:p>
        </w:tc>
      </w:tr>
      <w:tr w:rsidR="00A47D4D" w:rsidRPr="00A94974" w14:paraId="63B3E92F" w14:textId="77777777" w:rsidTr="009B1F53">
        <w:trPr>
          <w:trHeight w:val="343"/>
        </w:trPr>
        <w:tc>
          <w:tcPr>
            <w:tcW w:w="2527" w:type="dxa"/>
          </w:tcPr>
          <w:p w14:paraId="3F218986" w14:textId="51481402" w:rsidR="00A47D4D" w:rsidRPr="00A94974" w:rsidRDefault="00A47D4D" w:rsidP="00A47D4D">
            <w:pPr>
              <w:rPr>
                <w:rFonts w:ascii="Trebuchet MS" w:hAnsi="Trebuchet MS"/>
                <w:color w:val="1F4E79" w:themeColor="accent1" w:themeShade="80"/>
              </w:rPr>
            </w:pPr>
            <w:r w:rsidRPr="00A94974">
              <w:rPr>
                <w:rFonts w:ascii="Trebuchet MS" w:hAnsi="Trebuchet MS"/>
                <w:iCs/>
                <w:color w:val="1F4E79" w:themeColor="accent1" w:themeShade="80"/>
              </w:rPr>
              <w:t>RST</w:t>
            </w:r>
          </w:p>
        </w:tc>
        <w:tc>
          <w:tcPr>
            <w:tcW w:w="6491" w:type="dxa"/>
          </w:tcPr>
          <w:p w14:paraId="04A5B240" w14:textId="7E75E41E" w:rsidR="00A47D4D" w:rsidRPr="00A94974" w:rsidRDefault="0013796D" w:rsidP="009B1F53">
            <w:pPr>
              <w:spacing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Recomandări Specifice de Țară</w:t>
            </w:r>
          </w:p>
        </w:tc>
      </w:tr>
    </w:tbl>
    <w:p w14:paraId="58E4B39B" w14:textId="77777777" w:rsidR="00CC6C51" w:rsidRPr="00A94974" w:rsidRDefault="00CC6C51" w:rsidP="00DC7B34">
      <w:pPr>
        <w:pStyle w:val="Heading2"/>
        <w:rPr>
          <w:rFonts w:ascii="Trebuchet MS" w:hAnsi="Trebuchet MS"/>
          <w:color w:val="1F4E79" w:themeColor="accent1" w:themeShade="80"/>
          <w:sz w:val="22"/>
          <w:szCs w:val="22"/>
        </w:rPr>
      </w:pPr>
    </w:p>
    <w:p w14:paraId="732BF0BD" w14:textId="06601EB5" w:rsidR="00566CCA" w:rsidRPr="00A94974" w:rsidRDefault="00DC7B34" w:rsidP="00B334B7">
      <w:pPr>
        <w:pStyle w:val="Heading2"/>
        <w:rPr>
          <w:color w:val="1F4E79" w:themeColor="accent1" w:themeShade="80"/>
        </w:rPr>
      </w:pPr>
      <w:bookmarkStart w:id="8" w:name="_Toc179368072"/>
      <w:r w:rsidRPr="00A94974">
        <w:rPr>
          <w:color w:val="1F4E79" w:themeColor="accent1" w:themeShade="80"/>
        </w:rPr>
        <w:t>1.</w:t>
      </w:r>
      <w:r w:rsidR="00B334B7" w:rsidRPr="00A94974">
        <w:rPr>
          <w:color w:val="1F4E79" w:themeColor="accent1" w:themeShade="80"/>
        </w:rPr>
        <w:t>3</w:t>
      </w:r>
      <w:r w:rsidRPr="00A94974">
        <w:rPr>
          <w:color w:val="1F4E79" w:themeColor="accent1" w:themeShade="80"/>
        </w:rPr>
        <w:t xml:space="preserve"> </w:t>
      </w:r>
      <w:r w:rsidR="00566CCA" w:rsidRPr="00A94974">
        <w:rPr>
          <w:color w:val="1F4E79" w:themeColor="accent1" w:themeShade="80"/>
        </w:rPr>
        <w:t>Glosar</w:t>
      </w:r>
      <w:bookmarkEnd w:id="8"/>
      <w:r w:rsidR="00566CCA" w:rsidRPr="00A94974">
        <w:rPr>
          <w:color w:val="1F4E79" w:themeColor="accent1" w:themeShade="80"/>
        </w:rPr>
        <w:tab/>
      </w:r>
    </w:p>
    <w:p w14:paraId="3072EFFD" w14:textId="77777777" w:rsidR="00CC6C51" w:rsidRPr="00A94974" w:rsidRDefault="00CC6C51" w:rsidP="00CC6C51">
      <w:pPr>
        <w:rPr>
          <w:rFonts w:ascii="Trebuchet MS" w:hAnsi="Trebuchet MS"/>
          <w:color w:val="1F4E79" w:themeColor="accent1" w:themeShade="80"/>
        </w:rPr>
      </w:pPr>
    </w:p>
    <w:tbl>
      <w:tblPr>
        <w:tblStyle w:val="TableGrid"/>
        <w:tblW w:w="4975" w:type="pct"/>
        <w:tblLook w:val="04A0" w:firstRow="1" w:lastRow="0" w:firstColumn="1" w:lastColumn="0" w:noHBand="0" w:noVBand="1"/>
      </w:tblPr>
      <w:tblGrid>
        <w:gridCol w:w="2034"/>
        <w:gridCol w:w="7315"/>
      </w:tblGrid>
      <w:tr w:rsidR="00A94974" w:rsidRPr="00A94974" w14:paraId="37120FEB" w14:textId="77777777" w:rsidTr="2DCF15D6">
        <w:tc>
          <w:tcPr>
            <w:tcW w:w="1088" w:type="pct"/>
          </w:tcPr>
          <w:p w14:paraId="723ACC32" w14:textId="77777777" w:rsidR="00CC6C51" w:rsidRPr="00A94974" w:rsidRDefault="00CC6C51" w:rsidP="009B1F53">
            <w:pPr>
              <w:spacing w:line="276" w:lineRule="auto"/>
              <w:rPr>
                <w:rFonts w:ascii="Trebuchet MS" w:hAnsi="Trebuchet MS"/>
                <w:color w:val="1F4E79" w:themeColor="accent1" w:themeShade="80"/>
              </w:rPr>
            </w:pPr>
            <w:r w:rsidRPr="00A94974">
              <w:rPr>
                <w:rFonts w:ascii="Trebuchet MS" w:hAnsi="Trebuchet MS"/>
                <w:color w:val="1F4E79" w:themeColor="accent1" w:themeShade="80"/>
              </w:rPr>
              <w:t>Apel de proiecte</w:t>
            </w:r>
          </w:p>
        </w:tc>
        <w:tc>
          <w:tcPr>
            <w:tcW w:w="3912" w:type="pct"/>
          </w:tcPr>
          <w:p w14:paraId="54B888FB" w14:textId="77777777" w:rsidR="00CC6C51" w:rsidRPr="00A94974" w:rsidRDefault="00CC6C51" w:rsidP="009B1F53">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Proces lansat de către AM PEO în vederea selectării unor operațiuni cu finanțare în cadrul Programului Educație și Ocupare.</w:t>
            </w:r>
          </w:p>
          <w:p w14:paraId="466BF7E6" w14:textId="53191203" w:rsidR="00CC6C51" w:rsidRPr="00A94974" w:rsidRDefault="0020254E" w:rsidP="00EF0BE7">
            <w:pPr>
              <w:spacing w:line="276" w:lineRule="auto"/>
              <w:jc w:val="both"/>
              <w:rPr>
                <w:rFonts w:ascii="Trebuchet MS" w:hAnsi="Trebuchet MS"/>
                <w:color w:val="1F4E79" w:themeColor="accent1" w:themeShade="80"/>
              </w:rPr>
            </w:pPr>
            <w:r w:rsidRPr="00A94974">
              <w:rPr>
                <w:rFonts w:ascii="Trebuchet MS" w:hAnsi="Trebuchet MS" w:cs="Tahoma"/>
                <w:color w:val="1F4E79" w:themeColor="accent1" w:themeShade="80"/>
              </w:rPr>
              <w:t xml:space="preserve">Invitație publică adresată de către autoritatea de management categoriilor de solicitanți eligibili stabiliți prin Ghidul Solicitantului, în vederea transmiterii cererilor de finanțare, în cadrul uneia sau mai multor priorități din cadrul programului. </w:t>
            </w:r>
            <w:r w:rsidR="008670A2" w:rsidRPr="00A94974">
              <w:rPr>
                <w:rFonts w:ascii="Trebuchet MS" w:hAnsi="Trebuchet MS" w:cs="Tahoma"/>
                <w:color w:val="1F4E79" w:themeColor="accent1" w:themeShade="80"/>
              </w:rPr>
              <w:t xml:space="preserve">În </w:t>
            </w:r>
            <w:r w:rsidR="00A94974" w:rsidRPr="00A94974">
              <w:rPr>
                <w:rFonts w:ascii="Trebuchet MS" w:hAnsi="Trebuchet MS" w:cs="Tahoma"/>
                <w:color w:val="1F4E79" w:themeColor="accent1" w:themeShade="80"/>
              </w:rPr>
              <w:t>înțelesul</w:t>
            </w:r>
            <w:r w:rsidR="008670A2" w:rsidRPr="00A94974">
              <w:rPr>
                <w:rFonts w:ascii="Trebuchet MS" w:hAnsi="Trebuchet MS" w:cs="Tahoma"/>
                <w:color w:val="1F4E79" w:themeColor="accent1" w:themeShade="80"/>
              </w:rPr>
              <w:t xml:space="preserve"> prezentului ghid</w:t>
            </w:r>
            <w:r w:rsidR="00DF01A2" w:rsidRPr="00A94974">
              <w:rPr>
                <w:rFonts w:ascii="Trebuchet MS" w:hAnsi="Trebuchet MS" w:cs="Tahoma"/>
                <w:color w:val="1F4E79" w:themeColor="accent1" w:themeShade="80"/>
              </w:rPr>
              <w:t>, prin apel de proiecte se înțelege atât apelul</w:t>
            </w:r>
            <w:r w:rsidR="0040299C" w:rsidRPr="00A94974">
              <w:rPr>
                <w:rFonts w:ascii="Trebuchet MS" w:hAnsi="Trebuchet MS" w:cs="Tahoma"/>
                <w:color w:val="1F4E79" w:themeColor="accent1" w:themeShade="80"/>
              </w:rPr>
              <w:t xml:space="preserve"> </w:t>
            </w:r>
            <w:r w:rsidR="00DF01A2" w:rsidRPr="00A94974">
              <w:rPr>
                <w:rFonts w:ascii="Trebuchet MS" w:hAnsi="Trebuchet MS" w:cs="Tahoma"/>
                <w:color w:val="1F4E79" w:themeColor="accent1" w:themeShade="80"/>
              </w:rPr>
              <w:t>dedicat regiunilor mai puțin dezvoltate, cât și apelu</w:t>
            </w:r>
            <w:r w:rsidR="0040299C" w:rsidRPr="00A94974">
              <w:rPr>
                <w:rFonts w:ascii="Trebuchet MS" w:hAnsi="Trebuchet MS" w:cs="Tahoma"/>
                <w:color w:val="1F4E79" w:themeColor="accent1" w:themeShade="80"/>
              </w:rPr>
              <w:t>l</w:t>
            </w:r>
            <w:r w:rsidR="00DF01A2" w:rsidRPr="00A94974">
              <w:rPr>
                <w:rFonts w:ascii="Trebuchet MS" w:hAnsi="Trebuchet MS" w:cs="Tahoma"/>
                <w:color w:val="1F4E79" w:themeColor="accent1" w:themeShade="80"/>
              </w:rPr>
              <w:t xml:space="preserve"> dedicat Regiunii dezvoltate București – Ilfov. </w:t>
            </w:r>
          </w:p>
        </w:tc>
      </w:tr>
      <w:tr w:rsidR="00A94974" w:rsidRPr="00A94974" w14:paraId="02547F0B" w14:textId="77777777" w:rsidTr="2DCF15D6">
        <w:tc>
          <w:tcPr>
            <w:tcW w:w="1088" w:type="pct"/>
          </w:tcPr>
          <w:p w14:paraId="2A508844" w14:textId="5032C77E" w:rsidR="00316E36" w:rsidRPr="00A94974" w:rsidRDefault="00316E36" w:rsidP="009B1F53">
            <w:pPr>
              <w:spacing w:line="276" w:lineRule="auto"/>
              <w:rPr>
                <w:rFonts w:ascii="Trebuchet MS" w:hAnsi="Trebuchet MS"/>
                <w:color w:val="1F4E79" w:themeColor="accent1" w:themeShade="80"/>
              </w:rPr>
            </w:pPr>
            <w:r w:rsidRPr="00A94974">
              <w:rPr>
                <w:rFonts w:ascii="Trebuchet MS" w:hAnsi="Trebuchet MS"/>
                <w:color w:val="1F4E79" w:themeColor="accent1" w:themeShade="80"/>
              </w:rPr>
              <w:t>Burse pentru mobilitate</w:t>
            </w:r>
          </w:p>
        </w:tc>
        <w:tc>
          <w:tcPr>
            <w:tcW w:w="3912" w:type="pct"/>
          </w:tcPr>
          <w:p w14:paraId="6E8869EC" w14:textId="6418957B" w:rsidR="00316E36" w:rsidRPr="00A94974" w:rsidRDefault="00316E36" w:rsidP="009B1F53">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Sprijin financiar suplimentar față de grantul Erasmus+</w:t>
            </w:r>
            <w:r w:rsidR="00501F03" w:rsidRPr="00A94974">
              <w:rPr>
                <w:rFonts w:ascii="Trebuchet MS" w:hAnsi="Trebuchet MS"/>
                <w:color w:val="1F4E79" w:themeColor="accent1" w:themeShade="80"/>
              </w:rPr>
              <w:t>,</w:t>
            </w:r>
            <w:r w:rsidRPr="00A94974">
              <w:rPr>
                <w:rFonts w:ascii="Trebuchet MS" w:hAnsi="Trebuchet MS"/>
                <w:color w:val="1F4E79" w:themeColor="accent1" w:themeShade="80"/>
              </w:rPr>
              <w:t xml:space="preserve"> acordat studenților cu oportunități reduse înmatriculați la programe de nivel ISCED 5-8 din cadrul universităților participante în programul Erasmus+, în vederea satisfacerii tuturor nevoilor de sprijin în cadrul acțiunilor de mobilitate Erasmus+.</w:t>
            </w:r>
          </w:p>
        </w:tc>
      </w:tr>
      <w:tr w:rsidR="00A94974" w:rsidRPr="00A94974" w14:paraId="47B49A7F" w14:textId="77777777" w:rsidTr="2DCF15D6">
        <w:tc>
          <w:tcPr>
            <w:tcW w:w="1088" w:type="pct"/>
          </w:tcPr>
          <w:p w14:paraId="4AF96A49" w14:textId="77777777" w:rsidR="00CC6C51" w:rsidRPr="00A94974" w:rsidRDefault="00CC6C51" w:rsidP="009B1F53">
            <w:pPr>
              <w:spacing w:line="276" w:lineRule="auto"/>
              <w:rPr>
                <w:rFonts w:ascii="Trebuchet MS" w:hAnsi="Trebuchet MS"/>
                <w:color w:val="1F4E79" w:themeColor="accent1" w:themeShade="80"/>
              </w:rPr>
            </w:pPr>
            <w:r w:rsidRPr="00A94974">
              <w:rPr>
                <w:rFonts w:ascii="Trebuchet MS" w:hAnsi="Trebuchet MS"/>
                <w:color w:val="1F4E79" w:themeColor="accent1" w:themeShade="80"/>
              </w:rPr>
              <w:lastRenderedPageBreak/>
              <w:t>Cerere de propuneri</w:t>
            </w:r>
          </w:p>
        </w:tc>
        <w:tc>
          <w:tcPr>
            <w:tcW w:w="3912" w:type="pct"/>
          </w:tcPr>
          <w:p w14:paraId="5D6F4A09" w14:textId="77777777" w:rsidR="00CC6C51" w:rsidRPr="00A94974" w:rsidRDefault="00CC6C51" w:rsidP="009B1F53">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Proces lansat de către beneficiari în vederea selectării unor operațiuni ce vor fi propuse spre finanțare către AM PEO.</w:t>
            </w:r>
          </w:p>
          <w:p w14:paraId="11781B1B" w14:textId="77777777" w:rsidR="00CC6C51" w:rsidRPr="00A94974" w:rsidRDefault="00CC6C51" w:rsidP="009B1F53">
            <w:pPr>
              <w:spacing w:line="276" w:lineRule="auto"/>
              <w:jc w:val="both"/>
              <w:rPr>
                <w:rFonts w:ascii="Trebuchet MS" w:hAnsi="Trebuchet MS"/>
                <w:color w:val="1F4E79" w:themeColor="accent1" w:themeShade="80"/>
              </w:rPr>
            </w:pPr>
          </w:p>
        </w:tc>
      </w:tr>
      <w:tr w:rsidR="00A94974" w:rsidRPr="00A94974" w14:paraId="2EFD4BCD" w14:textId="77777777" w:rsidTr="2DCF15D6">
        <w:tc>
          <w:tcPr>
            <w:tcW w:w="1088" w:type="pct"/>
          </w:tcPr>
          <w:p w14:paraId="6401FFCC" w14:textId="470DA10D" w:rsidR="002F45B9" w:rsidRPr="00A94974" w:rsidRDefault="002F45B9" w:rsidP="002F45B9">
            <w:pPr>
              <w:spacing w:line="276" w:lineRule="auto"/>
              <w:rPr>
                <w:rFonts w:ascii="Trebuchet MS" w:hAnsi="Trebuchet MS"/>
                <w:color w:val="1F4E79" w:themeColor="accent1" w:themeShade="80"/>
              </w:rPr>
            </w:pPr>
            <w:r w:rsidRPr="00A94974">
              <w:rPr>
                <w:rFonts w:ascii="Trebuchet MS" w:hAnsi="Trebuchet MS"/>
                <w:color w:val="1F4E79" w:themeColor="accent1" w:themeShade="80"/>
              </w:rPr>
              <w:t>Clasificarea ISCED</w:t>
            </w:r>
          </w:p>
        </w:tc>
        <w:tc>
          <w:tcPr>
            <w:tcW w:w="3912" w:type="pct"/>
          </w:tcPr>
          <w:p w14:paraId="3BBF250E" w14:textId="70E841C4" w:rsidR="002F45B9" w:rsidRPr="00A94974" w:rsidRDefault="002F45B9" w:rsidP="002F45B9">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Clasificarea Internațională Standard a Educației a fost adoptată de Conferința Generală a UNESCO în 2011 și este utilizată pentru a facilita comparația între sistemele naționale de educație, care diferă din punct de vedere al structurii și al conținutului programei de învățământ. O persoană se încadrează într-o categorie de studii dacă acesta este cel mai înalt nivel al studiilor absolvite de către respectiva persoană, la data intrării în operațiune.</w:t>
            </w:r>
          </w:p>
        </w:tc>
      </w:tr>
      <w:tr w:rsidR="00A94974" w:rsidRPr="00A94974" w14:paraId="755F6349" w14:textId="77777777" w:rsidTr="2DCF15D6">
        <w:tc>
          <w:tcPr>
            <w:tcW w:w="1088" w:type="pct"/>
          </w:tcPr>
          <w:p w14:paraId="7D804927" w14:textId="7E8423C3" w:rsidR="00A61F78" w:rsidRPr="00A94974" w:rsidRDefault="00A61F78" w:rsidP="00A61F78">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Mobilitate de plasament</w:t>
            </w:r>
          </w:p>
        </w:tc>
        <w:tc>
          <w:tcPr>
            <w:tcW w:w="3912" w:type="pct"/>
          </w:tcPr>
          <w:p w14:paraId="3D8368FC" w14:textId="58DD5541" w:rsidR="00A61F78" w:rsidRPr="00A94974" w:rsidRDefault="008B3585" w:rsidP="002F45B9">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 xml:space="preserve">Participarea unui student la </w:t>
            </w:r>
            <w:r w:rsidR="006B756B" w:rsidRPr="00A94974">
              <w:rPr>
                <w:rFonts w:ascii="Trebuchet MS" w:hAnsi="Trebuchet MS"/>
                <w:color w:val="1F4E79" w:themeColor="accent1" w:themeShade="80"/>
              </w:rPr>
              <w:t>un stagiu de p</w:t>
            </w:r>
            <w:r w:rsidR="003B3EE2" w:rsidRPr="00A94974">
              <w:rPr>
                <w:rFonts w:ascii="Trebuchet MS" w:hAnsi="Trebuchet MS"/>
                <w:color w:val="1F4E79" w:themeColor="accent1" w:themeShade="80"/>
              </w:rPr>
              <w:t xml:space="preserve">ractică, </w:t>
            </w:r>
            <w:r w:rsidR="00F926CF" w:rsidRPr="00A94974">
              <w:rPr>
                <w:rFonts w:ascii="Trebuchet MS" w:hAnsi="Trebuchet MS"/>
                <w:color w:val="1F4E79" w:themeColor="accent1" w:themeShade="80"/>
              </w:rPr>
              <w:t>pentru o</w:t>
            </w:r>
            <w:r w:rsidR="0043450B" w:rsidRPr="00A94974">
              <w:rPr>
                <w:rFonts w:ascii="Trebuchet MS" w:hAnsi="Trebuchet MS"/>
                <w:color w:val="1F4E79" w:themeColor="accent1" w:themeShade="80"/>
              </w:rPr>
              <w:t xml:space="preserve"> perioadă limitată de timp</w:t>
            </w:r>
            <w:r w:rsidR="00F926CF" w:rsidRPr="00A94974">
              <w:rPr>
                <w:rFonts w:ascii="Trebuchet MS" w:hAnsi="Trebuchet MS"/>
                <w:color w:val="1F4E79" w:themeColor="accent1" w:themeShade="80"/>
              </w:rPr>
              <w:t>,</w:t>
            </w:r>
            <w:r w:rsidR="0043450B" w:rsidRPr="00A94974">
              <w:rPr>
                <w:rFonts w:ascii="Trebuchet MS" w:hAnsi="Trebuchet MS"/>
                <w:color w:val="1F4E79" w:themeColor="accent1" w:themeShade="80"/>
              </w:rPr>
              <w:t xml:space="preserve"> </w:t>
            </w:r>
            <w:r w:rsidR="003913E5" w:rsidRPr="00A94974">
              <w:rPr>
                <w:rFonts w:ascii="Trebuchet MS" w:hAnsi="Trebuchet MS"/>
                <w:color w:val="1F4E79" w:themeColor="accent1" w:themeShade="80"/>
              </w:rPr>
              <w:t xml:space="preserve"> la</w:t>
            </w:r>
            <w:r w:rsidR="00461617" w:rsidRPr="00A94974">
              <w:rPr>
                <w:rFonts w:ascii="Trebuchet MS" w:hAnsi="Trebuchet MS"/>
                <w:color w:val="1F4E79" w:themeColor="accent1" w:themeShade="80"/>
              </w:rPr>
              <w:t xml:space="preserve"> </w:t>
            </w:r>
            <w:r w:rsidR="0043450B" w:rsidRPr="00A94974">
              <w:rPr>
                <w:rFonts w:ascii="Trebuchet MS" w:hAnsi="Trebuchet MS"/>
                <w:color w:val="1F4E79" w:themeColor="accent1" w:themeShade="80"/>
              </w:rPr>
              <w:t>o întreprindere sau organizație din altă țară, cu scopul de a dobândi competențele specifice cerute pe piața muncii</w:t>
            </w:r>
            <w:r w:rsidR="00501F03" w:rsidRPr="00A94974">
              <w:rPr>
                <w:rFonts w:ascii="Trebuchet MS" w:hAnsi="Trebuchet MS"/>
                <w:color w:val="1F4E79" w:themeColor="accent1" w:themeShade="80"/>
              </w:rPr>
              <w:t>,</w:t>
            </w:r>
            <w:r w:rsidR="0043450B" w:rsidRPr="00A94974">
              <w:rPr>
                <w:rFonts w:ascii="Trebuchet MS" w:hAnsi="Trebuchet MS"/>
                <w:color w:val="1F4E79" w:themeColor="accent1" w:themeShade="80"/>
              </w:rPr>
              <w:t xml:space="preserve"> de a dobândi experiență în muncă și de a înțelege mai bine cultura economică și socială a țării respective</w:t>
            </w:r>
            <w:r w:rsidR="00433FD8" w:rsidRPr="00A94974">
              <w:rPr>
                <w:rFonts w:ascii="Trebuchet MS" w:hAnsi="Trebuchet MS"/>
                <w:color w:val="1F4E79" w:themeColor="accent1" w:themeShade="80"/>
              </w:rPr>
              <w:t>.</w:t>
            </w:r>
          </w:p>
        </w:tc>
      </w:tr>
      <w:tr w:rsidR="00A94974" w:rsidRPr="00A94974" w14:paraId="3CDA946D" w14:textId="77777777" w:rsidTr="2DCF15D6">
        <w:tc>
          <w:tcPr>
            <w:tcW w:w="1088" w:type="pct"/>
          </w:tcPr>
          <w:p w14:paraId="0085889A" w14:textId="155760D1" w:rsidR="00A61F78" w:rsidRPr="00A94974" w:rsidRDefault="00A61F78" w:rsidP="00A61F78">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Mobilitate de studiu</w:t>
            </w:r>
          </w:p>
        </w:tc>
        <w:tc>
          <w:tcPr>
            <w:tcW w:w="3912" w:type="pct"/>
          </w:tcPr>
          <w:p w14:paraId="071804DD" w14:textId="74F6DB30" w:rsidR="0043450B" w:rsidRPr="00A94974" w:rsidRDefault="00E03256" w:rsidP="7811C2AE">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Participarea unui student la</w:t>
            </w:r>
            <w:r w:rsidR="000C5732" w:rsidRPr="00A94974">
              <w:rPr>
                <w:rFonts w:ascii="Trebuchet MS" w:hAnsi="Trebuchet MS"/>
                <w:color w:val="1F4E79" w:themeColor="accent1" w:themeShade="80"/>
              </w:rPr>
              <w:t xml:space="preserve"> </w:t>
            </w:r>
            <w:r w:rsidR="00B973E5" w:rsidRPr="00A94974">
              <w:rPr>
                <w:rFonts w:ascii="Trebuchet MS" w:hAnsi="Trebuchet MS"/>
                <w:color w:val="1F4E79" w:themeColor="accent1" w:themeShade="80"/>
              </w:rPr>
              <w:t>un pr</w:t>
            </w:r>
            <w:r w:rsidR="009620A7" w:rsidRPr="00A94974">
              <w:rPr>
                <w:rFonts w:ascii="Trebuchet MS" w:hAnsi="Trebuchet MS"/>
                <w:color w:val="1F4E79" w:themeColor="accent1" w:themeShade="80"/>
              </w:rPr>
              <w:t>o</w:t>
            </w:r>
            <w:r w:rsidR="00B973E5" w:rsidRPr="00A94974">
              <w:rPr>
                <w:rFonts w:ascii="Trebuchet MS" w:hAnsi="Trebuchet MS"/>
                <w:color w:val="1F4E79" w:themeColor="accent1" w:themeShade="80"/>
              </w:rPr>
              <w:t>gram de studiu, pentru o</w:t>
            </w:r>
            <w:r w:rsidR="31BA0F11" w:rsidRPr="00A94974">
              <w:rPr>
                <w:rFonts w:ascii="Trebuchet MS" w:hAnsi="Trebuchet MS"/>
                <w:color w:val="1F4E79" w:themeColor="accent1" w:themeShade="80"/>
              </w:rPr>
              <w:t xml:space="preserve"> perioadă limitată de </w:t>
            </w:r>
            <w:r w:rsidR="00B973E5" w:rsidRPr="00A94974">
              <w:rPr>
                <w:rFonts w:ascii="Trebuchet MS" w:hAnsi="Trebuchet MS"/>
                <w:color w:val="1F4E79" w:themeColor="accent1" w:themeShade="80"/>
              </w:rPr>
              <w:t xml:space="preserve">timp, </w:t>
            </w:r>
            <w:r w:rsidR="7929A89B" w:rsidRPr="00A94974">
              <w:rPr>
                <w:rFonts w:ascii="Trebuchet MS" w:hAnsi="Trebuchet MS"/>
                <w:color w:val="1F4E79" w:themeColor="accent1" w:themeShade="80"/>
              </w:rPr>
              <w:t>la</w:t>
            </w:r>
            <w:r w:rsidR="154991BE" w:rsidRPr="00A94974">
              <w:rPr>
                <w:rFonts w:ascii="Trebuchet MS" w:hAnsi="Trebuchet MS"/>
                <w:color w:val="1F4E79" w:themeColor="accent1" w:themeShade="80"/>
              </w:rPr>
              <w:t xml:space="preserve"> o </w:t>
            </w:r>
            <w:r w:rsidR="7929A89B" w:rsidRPr="00A94974">
              <w:rPr>
                <w:rFonts w:ascii="Trebuchet MS" w:hAnsi="Trebuchet MS"/>
                <w:color w:val="1F4E79" w:themeColor="accent1" w:themeShade="80"/>
              </w:rPr>
              <w:t xml:space="preserve"> universitate di</w:t>
            </w:r>
            <w:r w:rsidR="31BA0F11" w:rsidRPr="00A94974">
              <w:rPr>
                <w:rFonts w:ascii="Trebuchet MS" w:hAnsi="Trebuchet MS"/>
                <w:color w:val="1F4E79" w:themeColor="accent1" w:themeShade="80"/>
              </w:rPr>
              <w:t xml:space="preserve">n </w:t>
            </w:r>
            <w:r w:rsidR="001F7719" w:rsidRPr="00A94974">
              <w:rPr>
                <w:rFonts w:ascii="Trebuchet MS" w:hAnsi="Trebuchet MS"/>
                <w:color w:val="1F4E79" w:themeColor="accent1" w:themeShade="80"/>
              </w:rPr>
              <w:t xml:space="preserve">altă </w:t>
            </w:r>
            <w:r w:rsidR="00600952" w:rsidRPr="00A94974">
              <w:rPr>
                <w:rFonts w:ascii="Trebuchet MS" w:hAnsi="Trebuchet MS"/>
                <w:color w:val="1F4E79" w:themeColor="accent1" w:themeShade="80"/>
              </w:rPr>
              <w:t xml:space="preserve">țară </w:t>
            </w:r>
            <w:r w:rsidR="31BA0F11" w:rsidRPr="00A94974">
              <w:rPr>
                <w:rFonts w:ascii="Trebuchet MS" w:hAnsi="Trebuchet MS"/>
                <w:color w:val="1F4E79" w:themeColor="accent1" w:themeShade="80"/>
              </w:rPr>
              <w:t xml:space="preserve"> – </w:t>
            </w:r>
            <w:r w:rsidR="002A08AC" w:rsidRPr="00A94974">
              <w:rPr>
                <w:rFonts w:ascii="Trebuchet MS" w:hAnsi="Trebuchet MS"/>
                <w:color w:val="1F4E79" w:themeColor="accent1" w:themeShade="80"/>
              </w:rPr>
              <w:t>cât timp este înmatriculat</w:t>
            </w:r>
            <w:r w:rsidR="31BA0F11" w:rsidRPr="00A94974">
              <w:rPr>
                <w:rFonts w:ascii="Trebuchet MS" w:hAnsi="Trebuchet MS"/>
                <w:color w:val="1F4E79" w:themeColor="accent1" w:themeShade="80"/>
              </w:rPr>
              <w:t xml:space="preserve"> la </w:t>
            </w:r>
            <w:r w:rsidR="00F02EB3" w:rsidRPr="00A94974">
              <w:rPr>
                <w:rFonts w:ascii="Trebuchet MS" w:hAnsi="Trebuchet MS"/>
                <w:color w:val="1F4E79" w:themeColor="accent1" w:themeShade="80"/>
              </w:rPr>
              <w:t>universitatea</w:t>
            </w:r>
            <w:r w:rsidR="31BA0F11" w:rsidRPr="00A94974">
              <w:rPr>
                <w:rFonts w:ascii="Trebuchet MS" w:hAnsi="Trebuchet MS"/>
                <w:color w:val="1F4E79" w:themeColor="accent1" w:themeShade="80"/>
              </w:rPr>
              <w:t xml:space="preserve"> de trimitere – în vederea obținerii de credite. După etapa de mobilitate, studenții se întorc la instituția lor de trimitere pentru a-și finaliza studiile.</w:t>
            </w:r>
          </w:p>
          <w:p w14:paraId="1DD62F20" w14:textId="6A1A089C" w:rsidR="00A61F78" w:rsidRPr="00A94974" w:rsidRDefault="0043450B" w:rsidP="0043450B">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 xml:space="preserve">  </w:t>
            </w:r>
          </w:p>
        </w:tc>
      </w:tr>
      <w:tr w:rsidR="00A94974" w:rsidRPr="00A94974" w14:paraId="11F65E76" w14:textId="77777777" w:rsidTr="2DCF15D6">
        <w:tc>
          <w:tcPr>
            <w:tcW w:w="1088" w:type="pct"/>
          </w:tcPr>
          <w:p w14:paraId="63E02FBC" w14:textId="23F3993F" w:rsidR="00CF40CE" w:rsidRPr="00A94974" w:rsidRDefault="00CF40CE" w:rsidP="00A61F78">
            <w:pPr>
              <w:spacing w:line="276" w:lineRule="auto"/>
              <w:jc w:val="both"/>
              <w:rPr>
                <w:rFonts w:ascii="Trebuchet MS" w:hAnsi="Trebuchet MS"/>
                <w:color w:val="1F4E79" w:themeColor="accent1" w:themeShade="80"/>
              </w:rPr>
            </w:pPr>
            <w:r w:rsidRPr="00A94974">
              <w:rPr>
                <w:rFonts w:ascii="Trebuchet MS" w:hAnsi="Trebuchet MS"/>
                <w:iCs/>
                <w:color w:val="1F4E79" w:themeColor="accent1" w:themeShade="80"/>
              </w:rPr>
              <w:t>Studenți cu oportunități reduse</w:t>
            </w:r>
          </w:p>
        </w:tc>
        <w:tc>
          <w:tcPr>
            <w:tcW w:w="3912" w:type="pct"/>
          </w:tcPr>
          <w:p w14:paraId="2A942FB1" w14:textId="03C93DB7" w:rsidR="00CF40CE" w:rsidRPr="00A94974" w:rsidRDefault="7BAED984" w:rsidP="7811C2AE">
            <w:pPr>
              <w:spacing w:line="276" w:lineRule="auto"/>
              <w:jc w:val="both"/>
              <w:rPr>
                <w:rFonts w:ascii="Trebuchet MS" w:hAnsi="Trebuchet MS"/>
                <w:color w:val="1F4E79" w:themeColor="accent1" w:themeShade="80"/>
              </w:rPr>
            </w:pPr>
            <w:r w:rsidRPr="00A94974">
              <w:rPr>
                <w:rFonts w:ascii="Trebuchet MS" w:hAnsi="Trebuchet MS"/>
                <w:color w:val="1F4E79" w:themeColor="accent1" w:themeShade="80"/>
              </w:rPr>
              <w:t>Student care</w:t>
            </w:r>
            <w:r w:rsidR="002D7097" w:rsidRPr="00A94974">
              <w:rPr>
                <w:rFonts w:ascii="Trebuchet MS" w:hAnsi="Trebuchet MS"/>
                <w:color w:val="1F4E79" w:themeColor="accent1" w:themeShade="80"/>
              </w:rPr>
              <w:t xml:space="preserve"> întâmpină obstacole care îl împiedică să aibă acces efectiv la oportunități oferite de programul Erasmus+</w:t>
            </w:r>
            <w:r w:rsidRPr="00A94974">
              <w:rPr>
                <w:rFonts w:ascii="Trebuchet MS" w:hAnsi="Trebuchet MS"/>
                <w:color w:val="1F4E79" w:themeColor="accent1" w:themeShade="80"/>
              </w:rPr>
              <w:t xml:space="preserve"> din ra</w:t>
            </w:r>
            <w:r w:rsidR="00D96F00" w:rsidRPr="00A94974">
              <w:rPr>
                <w:rFonts w:ascii="Trebuchet MS" w:hAnsi="Trebuchet MS"/>
                <w:color w:val="1F4E79" w:themeColor="accent1" w:themeShade="80"/>
              </w:rPr>
              <w:t>ț</w:t>
            </w:r>
            <w:r w:rsidRPr="00A94974">
              <w:rPr>
                <w:rFonts w:ascii="Trebuchet MS" w:hAnsi="Trebuchet MS"/>
                <w:color w:val="1F4E79" w:themeColor="accent1" w:themeShade="80"/>
              </w:rPr>
              <w:t>iuni economice, sociale, culturale, geografice</w:t>
            </w:r>
            <w:r w:rsidR="00844678" w:rsidRPr="00A94974">
              <w:rPr>
                <w:rFonts w:ascii="Trebuchet MS" w:hAnsi="Trebuchet MS"/>
                <w:color w:val="1F4E79" w:themeColor="accent1" w:themeShade="80"/>
              </w:rPr>
              <w:t>,</w:t>
            </w:r>
            <w:r w:rsidRPr="00A94974">
              <w:rPr>
                <w:rFonts w:ascii="Trebuchet MS" w:hAnsi="Trebuchet MS"/>
                <w:color w:val="1F4E79" w:themeColor="accent1" w:themeShade="80"/>
              </w:rPr>
              <w:t xml:space="preserve"> de s</w:t>
            </w:r>
            <w:r w:rsidR="00D96F00" w:rsidRPr="00A94974">
              <w:rPr>
                <w:rFonts w:ascii="Trebuchet MS" w:hAnsi="Trebuchet MS"/>
                <w:color w:val="1F4E79" w:themeColor="accent1" w:themeShade="80"/>
              </w:rPr>
              <w:t>ă</w:t>
            </w:r>
            <w:r w:rsidRPr="00A94974">
              <w:rPr>
                <w:rFonts w:ascii="Trebuchet MS" w:hAnsi="Trebuchet MS"/>
                <w:color w:val="1F4E79" w:themeColor="accent1" w:themeShade="80"/>
              </w:rPr>
              <w:t>n</w:t>
            </w:r>
            <w:r w:rsidR="00D96F00" w:rsidRPr="00A94974">
              <w:rPr>
                <w:rFonts w:ascii="Trebuchet MS" w:hAnsi="Trebuchet MS"/>
                <w:color w:val="1F4E79" w:themeColor="accent1" w:themeShade="80"/>
              </w:rPr>
              <w:t>ă</w:t>
            </w:r>
            <w:r w:rsidRPr="00A94974">
              <w:rPr>
                <w:rFonts w:ascii="Trebuchet MS" w:hAnsi="Trebuchet MS"/>
                <w:color w:val="1F4E79" w:themeColor="accent1" w:themeShade="80"/>
              </w:rPr>
              <w:t>tate,</w:t>
            </w:r>
            <w:r w:rsidR="00844678" w:rsidRPr="00A94974">
              <w:rPr>
                <w:rFonts w:ascii="Trebuchet MS" w:hAnsi="Trebuchet MS"/>
                <w:color w:val="1F4E79" w:themeColor="accent1" w:themeShade="80"/>
              </w:rPr>
              <w:t xml:space="preserve"> dizabilitate sau dificultăți educaționale,</w:t>
            </w:r>
            <w:r w:rsidRPr="00A94974">
              <w:rPr>
                <w:rFonts w:ascii="Trebuchet MS" w:hAnsi="Trebuchet MS"/>
                <w:color w:val="1F4E79" w:themeColor="accent1" w:themeShade="80"/>
              </w:rPr>
              <w:t xml:space="preserve"> </w:t>
            </w:r>
            <w:r w:rsidR="002D7097" w:rsidRPr="00A94974">
              <w:rPr>
                <w:rFonts w:ascii="Trebuchet MS" w:hAnsi="Trebuchet MS"/>
                <w:color w:val="1F4E79" w:themeColor="accent1" w:themeShade="80"/>
              </w:rPr>
              <w:t xml:space="preserve">din cauza </w:t>
            </w:r>
            <w:r w:rsidR="059787D0" w:rsidRPr="00A94974">
              <w:rPr>
                <w:rFonts w:ascii="Trebuchet MS" w:hAnsi="Trebuchet MS"/>
                <w:color w:val="1F4E79" w:themeColor="accent1" w:themeShade="80"/>
              </w:rPr>
              <w:t>statut</w:t>
            </w:r>
            <w:r w:rsidR="002D7097" w:rsidRPr="00A94974">
              <w:rPr>
                <w:rFonts w:ascii="Trebuchet MS" w:hAnsi="Trebuchet MS"/>
                <w:color w:val="1F4E79" w:themeColor="accent1" w:themeShade="80"/>
              </w:rPr>
              <w:t>ului</w:t>
            </w:r>
            <w:r w:rsidR="059787D0" w:rsidRPr="00A94974">
              <w:rPr>
                <w:rFonts w:ascii="Trebuchet MS" w:hAnsi="Trebuchet MS"/>
                <w:color w:val="1F4E79" w:themeColor="accent1" w:themeShade="80"/>
              </w:rPr>
              <w:t xml:space="preserve"> de </w:t>
            </w:r>
            <w:proofErr w:type="spellStart"/>
            <w:r w:rsidR="059787D0" w:rsidRPr="00A94974">
              <w:rPr>
                <w:rFonts w:ascii="Trebuchet MS" w:hAnsi="Trebuchet MS"/>
                <w:color w:val="1F4E79" w:themeColor="accent1" w:themeShade="80"/>
              </w:rPr>
              <w:t>migrant</w:t>
            </w:r>
            <w:proofErr w:type="spellEnd"/>
            <w:r w:rsidR="059787D0" w:rsidRPr="00A94974">
              <w:rPr>
                <w:rFonts w:ascii="Trebuchet MS" w:hAnsi="Trebuchet MS"/>
                <w:color w:val="1F4E79" w:themeColor="accent1" w:themeShade="80"/>
              </w:rPr>
              <w:t xml:space="preserve"> sau din oricare alte motive</w:t>
            </w:r>
            <w:r w:rsidR="01C9E6F1" w:rsidRPr="00A94974">
              <w:rPr>
                <w:rFonts w:ascii="Trebuchet MS" w:hAnsi="Trebuchet MS"/>
                <w:color w:val="1F4E79" w:themeColor="accent1" w:themeShade="80"/>
              </w:rPr>
              <w:t>, incluz</w:t>
            </w:r>
            <w:r w:rsidR="00844678" w:rsidRPr="00A94974">
              <w:rPr>
                <w:rFonts w:ascii="Trebuchet MS" w:hAnsi="Trebuchet MS"/>
                <w:color w:val="1F4E79" w:themeColor="accent1" w:themeShade="80"/>
              </w:rPr>
              <w:t>â</w:t>
            </w:r>
            <w:r w:rsidR="01C9E6F1" w:rsidRPr="00A94974">
              <w:rPr>
                <w:rFonts w:ascii="Trebuchet MS" w:hAnsi="Trebuchet MS"/>
                <w:color w:val="1F4E79" w:themeColor="accent1" w:themeShade="80"/>
              </w:rPr>
              <w:t xml:space="preserve">ndu-le pe acelea care </w:t>
            </w:r>
            <w:r w:rsidR="76B50C6B" w:rsidRPr="00A94974">
              <w:rPr>
                <w:rFonts w:ascii="Trebuchet MS" w:hAnsi="Trebuchet MS"/>
                <w:color w:val="1F4E79" w:themeColor="accent1" w:themeShade="80"/>
              </w:rPr>
              <w:t>ar putea da na</w:t>
            </w:r>
            <w:r w:rsidR="00844678" w:rsidRPr="00A94974">
              <w:rPr>
                <w:rFonts w:ascii="Trebuchet MS" w:hAnsi="Trebuchet MS"/>
                <w:color w:val="1F4E79" w:themeColor="accent1" w:themeShade="80"/>
              </w:rPr>
              <w:t>ș</w:t>
            </w:r>
            <w:r w:rsidR="76B50C6B" w:rsidRPr="00A94974">
              <w:rPr>
                <w:rFonts w:ascii="Trebuchet MS" w:hAnsi="Trebuchet MS"/>
                <w:color w:val="1F4E79" w:themeColor="accent1" w:themeShade="80"/>
              </w:rPr>
              <w:t>tere la discrimin</w:t>
            </w:r>
            <w:r w:rsidR="00844678" w:rsidRPr="00A94974">
              <w:rPr>
                <w:rFonts w:ascii="Trebuchet MS" w:hAnsi="Trebuchet MS"/>
                <w:color w:val="1F4E79" w:themeColor="accent1" w:themeShade="80"/>
              </w:rPr>
              <w:t>ă</w:t>
            </w:r>
            <w:r w:rsidR="76B50C6B" w:rsidRPr="00A94974">
              <w:rPr>
                <w:rFonts w:ascii="Trebuchet MS" w:hAnsi="Trebuchet MS"/>
                <w:color w:val="1F4E79" w:themeColor="accent1" w:themeShade="80"/>
              </w:rPr>
              <w:t>ri</w:t>
            </w:r>
            <w:r w:rsidR="01C9E6F1" w:rsidRPr="00A94974">
              <w:rPr>
                <w:rFonts w:ascii="Trebuchet MS" w:hAnsi="Trebuchet MS"/>
                <w:color w:val="1F4E79" w:themeColor="accent1" w:themeShade="80"/>
              </w:rPr>
              <w:t xml:space="preserve"> sub inciden</w:t>
            </w:r>
            <w:r w:rsidR="00844678" w:rsidRPr="00A94974">
              <w:rPr>
                <w:rFonts w:ascii="Trebuchet MS" w:hAnsi="Trebuchet MS"/>
                <w:color w:val="1F4E79" w:themeColor="accent1" w:themeShade="80"/>
              </w:rPr>
              <w:t>ț</w:t>
            </w:r>
            <w:r w:rsidR="01C9E6F1" w:rsidRPr="00A94974">
              <w:rPr>
                <w:rFonts w:ascii="Trebuchet MS" w:hAnsi="Trebuchet MS"/>
                <w:color w:val="1F4E79" w:themeColor="accent1" w:themeShade="80"/>
              </w:rPr>
              <w:t xml:space="preserve">a art. 21 din Carta drepturilor fundamentale </w:t>
            </w:r>
            <w:r w:rsidR="2AB23DCD" w:rsidRPr="00A94974">
              <w:rPr>
                <w:rFonts w:ascii="Trebuchet MS" w:hAnsi="Trebuchet MS"/>
                <w:color w:val="1F4E79" w:themeColor="accent1" w:themeShade="80"/>
              </w:rPr>
              <w:t>a Uniunii Europene</w:t>
            </w:r>
            <w:r w:rsidR="002D7097" w:rsidRPr="00A94974">
              <w:rPr>
                <w:rFonts w:ascii="Trebuchet MS" w:hAnsi="Trebuchet MS"/>
                <w:color w:val="1F4E79" w:themeColor="accent1" w:themeShade="80"/>
              </w:rPr>
              <w:t>.</w:t>
            </w:r>
            <w:r w:rsidR="059787D0"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 xml:space="preserve"> </w:t>
            </w:r>
          </w:p>
        </w:tc>
      </w:tr>
    </w:tbl>
    <w:p w14:paraId="77BF7EAA" w14:textId="7316F952" w:rsidR="00566CCA" w:rsidRPr="00A94974" w:rsidRDefault="00DC7B34" w:rsidP="00A701C7">
      <w:pPr>
        <w:pStyle w:val="Heading1"/>
        <w:rPr>
          <w:color w:val="1F4E79" w:themeColor="accent1" w:themeShade="80"/>
        </w:rPr>
      </w:pPr>
      <w:bookmarkStart w:id="9" w:name="_Toc179368073"/>
      <w:r w:rsidRPr="00A94974">
        <w:rPr>
          <w:color w:val="1F4E79" w:themeColor="accent1" w:themeShade="80"/>
        </w:rPr>
        <w:t xml:space="preserve">2. </w:t>
      </w:r>
      <w:r w:rsidR="00C940A4" w:rsidRPr="00A94974">
        <w:rPr>
          <w:color w:val="1F4E79" w:themeColor="accent1" w:themeShade="80"/>
        </w:rPr>
        <w:t>ELEMENTE DE CONTEXT</w:t>
      </w:r>
      <w:bookmarkEnd w:id="9"/>
      <w:r w:rsidR="00C940A4" w:rsidRPr="00A94974">
        <w:rPr>
          <w:color w:val="1F4E79" w:themeColor="accent1" w:themeShade="80"/>
        </w:rPr>
        <w:t xml:space="preserve"> </w:t>
      </w:r>
      <w:r w:rsidR="00566CCA" w:rsidRPr="00A94974">
        <w:rPr>
          <w:color w:val="1F4E79" w:themeColor="accent1" w:themeShade="80"/>
        </w:rPr>
        <w:tab/>
      </w:r>
    </w:p>
    <w:p w14:paraId="077DC236" w14:textId="27F93BFC" w:rsidR="00692D9A" w:rsidRPr="00A94974" w:rsidRDefault="00DC7B34" w:rsidP="001A50B1">
      <w:pPr>
        <w:pStyle w:val="Heading2"/>
        <w:rPr>
          <w:color w:val="1F4E79" w:themeColor="accent1" w:themeShade="80"/>
        </w:rPr>
      </w:pPr>
      <w:bookmarkStart w:id="10" w:name="_Toc179368074"/>
      <w:r w:rsidRPr="00A94974">
        <w:rPr>
          <w:color w:val="1F4E79" w:themeColor="accent1" w:themeShade="80"/>
        </w:rPr>
        <w:t xml:space="preserve">2.1 </w:t>
      </w:r>
      <w:r w:rsidR="00566CCA" w:rsidRPr="00A94974">
        <w:rPr>
          <w:color w:val="1F4E79" w:themeColor="accent1" w:themeShade="80"/>
        </w:rPr>
        <w:t xml:space="preserve">Informații generale </w:t>
      </w:r>
      <w:r w:rsidR="009B1F53" w:rsidRPr="00A94974">
        <w:rPr>
          <w:color w:val="1F4E79" w:themeColor="accent1" w:themeShade="80"/>
        </w:rPr>
        <w:t>despre p</w:t>
      </w:r>
      <w:r w:rsidR="00566CCA" w:rsidRPr="00A94974">
        <w:rPr>
          <w:color w:val="1F4E79" w:themeColor="accent1" w:themeShade="80"/>
        </w:rPr>
        <w:t>rogram</w:t>
      </w:r>
      <w:bookmarkEnd w:id="10"/>
    </w:p>
    <w:p w14:paraId="13AC7189" w14:textId="77777777" w:rsidR="00CC6C51" w:rsidRPr="00A94974" w:rsidRDefault="00CC6C51" w:rsidP="008C727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antreprenoriat și economie socială, creșterea accesului la educație prin îmbunătățirea participării la învățământul antepreșcolar și preșcolar, prevenirea părăsirii timpurii a școlii, creșterea accesului/participării grupurilor dezavantajate la educație și formare profesională, dar și prin îmbunătățirea calității serviciilor educaționale, adaptarea la piața muncii și tehnologii. Concomitent, Programul va finanța proiecte ce vor sprijini  învățământului profesional și tehnic, respectiv procesul de învățare pe tot parcursul vieții. </w:t>
      </w:r>
    </w:p>
    <w:p w14:paraId="4B156F5F" w14:textId="4A0EC027" w:rsidR="00F75E79" w:rsidRPr="00A94974" w:rsidRDefault="00F75E79" w:rsidP="008C7277">
      <w:pPr>
        <w:spacing w:before="120" w:after="120" w:line="276" w:lineRule="auto"/>
        <w:jc w:val="both"/>
        <w:rPr>
          <w:rFonts w:ascii="Trebuchet MS" w:hAnsi="Trebuchet MS"/>
          <w:iCs/>
          <w:color w:val="1F4E79" w:themeColor="accent1" w:themeShade="80"/>
        </w:rPr>
      </w:pPr>
      <w:proofErr w:type="spellStart"/>
      <w:r w:rsidRPr="00A94974">
        <w:rPr>
          <w:rFonts w:ascii="Trebuchet MS" w:hAnsi="Trebuchet MS"/>
          <w:iCs/>
          <w:color w:val="1F4E79" w:themeColor="accent1" w:themeShade="80"/>
        </w:rPr>
        <w:t>Spaţiul</w:t>
      </w:r>
      <w:proofErr w:type="spellEnd"/>
      <w:r w:rsidRPr="00A94974">
        <w:rPr>
          <w:rFonts w:ascii="Trebuchet MS" w:hAnsi="Trebuchet MS"/>
          <w:iCs/>
          <w:color w:val="1F4E79" w:themeColor="accent1" w:themeShade="80"/>
        </w:rPr>
        <w:t xml:space="preserve"> european al </w:t>
      </w:r>
      <w:proofErr w:type="spellStart"/>
      <w:r w:rsidRPr="00A94974">
        <w:rPr>
          <w:rFonts w:ascii="Trebuchet MS" w:hAnsi="Trebuchet MS"/>
          <w:iCs/>
          <w:color w:val="1F4E79" w:themeColor="accent1" w:themeShade="80"/>
        </w:rPr>
        <w:t>învăţământului</w:t>
      </w:r>
      <w:proofErr w:type="spellEnd"/>
      <w:r w:rsidRPr="00A94974">
        <w:rPr>
          <w:rFonts w:ascii="Trebuchet MS" w:hAnsi="Trebuchet MS"/>
          <w:iCs/>
          <w:color w:val="1F4E79" w:themeColor="accent1" w:themeShade="80"/>
        </w:rPr>
        <w:t xml:space="preserve"> superior reprezintă un cadru de colaborare </w:t>
      </w:r>
      <w:proofErr w:type="spellStart"/>
      <w:r w:rsidRPr="00A94974">
        <w:rPr>
          <w:rFonts w:ascii="Trebuchet MS" w:hAnsi="Trebuchet MS"/>
          <w:iCs/>
          <w:color w:val="1F4E79" w:themeColor="accent1" w:themeShade="80"/>
        </w:rPr>
        <w:t>internaţională</w:t>
      </w:r>
      <w:proofErr w:type="spellEnd"/>
      <w:r w:rsidRPr="00A94974">
        <w:rPr>
          <w:rFonts w:ascii="Trebuchet MS" w:hAnsi="Trebuchet MS"/>
          <w:iCs/>
          <w:color w:val="1F4E79" w:themeColor="accent1" w:themeShade="80"/>
        </w:rPr>
        <w:t xml:space="preserve"> dezvoltat în cadrul Procesului Bologna cu scopul </w:t>
      </w:r>
      <w:proofErr w:type="spellStart"/>
      <w:r w:rsidRPr="00A94974">
        <w:rPr>
          <w:rFonts w:ascii="Trebuchet MS" w:hAnsi="Trebuchet MS"/>
          <w:iCs/>
          <w:color w:val="1F4E79" w:themeColor="accent1" w:themeShade="80"/>
        </w:rPr>
        <w:t>îmbunătăţirii</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compatibilităţii</w:t>
      </w:r>
      <w:proofErr w:type="spellEnd"/>
      <w:r w:rsidRPr="00A94974">
        <w:rPr>
          <w:rFonts w:ascii="Trebuchet MS" w:hAnsi="Trebuchet MS"/>
          <w:iCs/>
          <w:color w:val="1F4E79" w:themeColor="accent1" w:themeShade="80"/>
        </w:rPr>
        <w:t xml:space="preserve"> sistemelor de </w:t>
      </w:r>
      <w:proofErr w:type="spellStart"/>
      <w:r w:rsidRPr="00A94974">
        <w:rPr>
          <w:rFonts w:ascii="Trebuchet MS" w:hAnsi="Trebuchet MS"/>
          <w:iCs/>
          <w:color w:val="1F4E79" w:themeColor="accent1" w:themeShade="80"/>
        </w:rPr>
        <w:t>învăţământ</w:t>
      </w:r>
      <w:proofErr w:type="spellEnd"/>
      <w:r w:rsidRPr="00A94974">
        <w:rPr>
          <w:rFonts w:ascii="Trebuchet MS" w:hAnsi="Trebuchet MS"/>
          <w:iCs/>
          <w:color w:val="1F4E79" w:themeColor="accent1" w:themeShade="80"/>
        </w:rPr>
        <w:t xml:space="preserve"> superior în vederea </w:t>
      </w:r>
      <w:proofErr w:type="spellStart"/>
      <w:r w:rsidRPr="00A94974">
        <w:rPr>
          <w:rFonts w:ascii="Trebuchet MS" w:hAnsi="Trebuchet MS"/>
          <w:iCs/>
          <w:color w:val="1F4E79" w:themeColor="accent1" w:themeShade="80"/>
        </w:rPr>
        <w:t>creşterii</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mobilităţii</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studenţilor</w:t>
      </w:r>
      <w:proofErr w:type="spellEnd"/>
      <w:r w:rsidRPr="00A94974">
        <w:rPr>
          <w:rFonts w:ascii="Trebuchet MS" w:hAnsi="Trebuchet MS"/>
          <w:iCs/>
          <w:color w:val="1F4E79" w:themeColor="accent1" w:themeShade="80"/>
        </w:rPr>
        <w:t xml:space="preserve">, personalului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a cercetătorilor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creşterii</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angajabilităţii</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absolvenţilor</w:t>
      </w:r>
      <w:proofErr w:type="spellEnd"/>
      <w:r w:rsidRPr="00A94974">
        <w:rPr>
          <w:rFonts w:ascii="Trebuchet MS" w:hAnsi="Trebuchet MS"/>
          <w:iCs/>
          <w:color w:val="1F4E79" w:themeColor="accent1" w:themeShade="80"/>
        </w:rPr>
        <w:t xml:space="preserve">, prin implementarea unor reforme structurale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lastRenderedPageBreak/>
        <w:t xml:space="preserve">utilizarea unor instrumente comune, consolidarea mecanismelor de asigurare a </w:t>
      </w:r>
      <w:proofErr w:type="spellStart"/>
      <w:r w:rsidRPr="00A94974">
        <w:rPr>
          <w:rFonts w:ascii="Trebuchet MS" w:hAnsi="Trebuchet MS"/>
          <w:iCs/>
          <w:color w:val="1F4E79" w:themeColor="accent1" w:themeShade="80"/>
        </w:rPr>
        <w:t>calităţii</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cu respectarea valorilor fundamentale ale </w:t>
      </w:r>
      <w:proofErr w:type="spellStart"/>
      <w:r w:rsidRPr="00A94974">
        <w:rPr>
          <w:rFonts w:ascii="Trebuchet MS" w:hAnsi="Trebuchet MS"/>
          <w:iCs/>
          <w:color w:val="1F4E79" w:themeColor="accent1" w:themeShade="80"/>
        </w:rPr>
        <w:t>învăţământului</w:t>
      </w:r>
      <w:proofErr w:type="spellEnd"/>
      <w:r w:rsidRPr="00A94974">
        <w:rPr>
          <w:rFonts w:ascii="Trebuchet MS" w:hAnsi="Trebuchet MS"/>
          <w:iCs/>
          <w:color w:val="1F4E79" w:themeColor="accent1" w:themeShade="80"/>
        </w:rPr>
        <w:t xml:space="preserve"> superior: autonomie, libertate academică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integritate, participarea </w:t>
      </w:r>
      <w:proofErr w:type="spellStart"/>
      <w:r w:rsidRPr="00A94974">
        <w:rPr>
          <w:rFonts w:ascii="Trebuchet MS" w:hAnsi="Trebuchet MS"/>
          <w:iCs/>
          <w:color w:val="1F4E79" w:themeColor="accent1" w:themeShade="80"/>
        </w:rPr>
        <w:t>studenţilor</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a personalului în </w:t>
      </w:r>
      <w:proofErr w:type="spellStart"/>
      <w:r w:rsidRPr="00A94974">
        <w:rPr>
          <w:rFonts w:ascii="Trebuchet MS" w:hAnsi="Trebuchet MS"/>
          <w:iCs/>
          <w:color w:val="1F4E79" w:themeColor="accent1" w:themeShade="80"/>
        </w:rPr>
        <w:t>guvernanţa</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instituţiei</w:t>
      </w:r>
      <w:proofErr w:type="spellEnd"/>
      <w:r w:rsidRPr="00A94974">
        <w:rPr>
          <w:rFonts w:ascii="Trebuchet MS" w:hAnsi="Trebuchet MS"/>
          <w:iCs/>
          <w:color w:val="1F4E79" w:themeColor="accent1" w:themeShade="80"/>
        </w:rPr>
        <w:t xml:space="preserve"> de </w:t>
      </w:r>
      <w:proofErr w:type="spellStart"/>
      <w:r w:rsidRPr="00A94974">
        <w:rPr>
          <w:rFonts w:ascii="Trebuchet MS" w:hAnsi="Trebuchet MS"/>
          <w:iCs/>
          <w:color w:val="1F4E79" w:themeColor="accent1" w:themeShade="80"/>
        </w:rPr>
        <w:t>învăţământ</w:t>
      </w:r>
      <w:proofErr w:type="spellEnd"/>
      <w:r w:rsidRPr="00A94974">
        <w:rPr>
          <w:rFonts w:ascii="Trebuchet MS" w:hAnsi="Trebuchet MS"/>
          <w:iCs/>
          <w:color w:val="1F4E79" w:themeColor="accent1" w:themeShade="80"/>
        </w:rPr>
        <w:t xml:space="preserve"> superior, responsabilitatea publică pentru </w:t>
      </w:r>
      <w:proofErr w:type="spellStart"/>
      <w:r w:rsidRPr="00A94974">
        <w:rPr>
          <w:rFonts w:ascii="Trebuchet MS" w:hAnsi="Trebuchet MS"/>
          <w:iCs/>
          <w:color w:val="1F4E79" w:themeColor="accent1" w:themeShade="80"/>
        </w:rPr>
        <w:t>învăţământul</w:t>
      </w:r>
      <w:proofErr w:type="spellEnd"/>
      <w:r w:rsidRPr="00A94974">
        <w:rPr>
          <w:rFonts w:ascii="Trebuchet MS" w:hAnsi="Trebuchet MS"/>
          <w:iCs/>
          <w:color w:val="1F4E79" w:themeColor="accent1" w:themeShade="80"/>
        </w:rPr>
        <w:t xml:space="preserve"> superior.</w:t>
      </w:r>
    </w:p>
    <w:p w14:paraId="6EB97E40" w14:textId="4B9BE7E5" w:rsidR="004C3886" w:rsidRPr="00A94974" w:rsidRDefault="00F75E79" w:rsidP="00A13C1E">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În contextul promovării procesului de internaționalizare a învățământului universitar, </w:t>
      </w:r>
      <w:proofErr w:type="spellStart"/>
      <w:r w:rsidRPr="00A94974">
        <w:rPr>
          <w:rFonts w:ascii="Trebuchet MS" w:hAnsi="Trebuchet MS"/>
          <w:iCs/>
          <w:color w:val="1F4E79" w:themeColor="accent1" w:themeShade="80"/>
        </w:rPr>
        <w:t>creşterea</w:t>
      </w:r>
      <w:proofErr w:type="spellEnd"/>
      <w:r w:rsidRPr="00A94974">
        <w:rPr>
          <w:rFonts w:ascii="Trebuchet MS" w:hAnsi="Trebuchet MS"/>
          <w:iCs/>
          <w:color w:val="1F4E79" w:themeColor="accent1" w:themeShade="80"/>
        </w:rPr>
        <w:t xml:space="preserve"> numărului de </w:t>
      </w:r>
      <w:proofErr w:type="spellStart"/>
      <w:r w:rsidRPr="00A94974">
        <w:rPr>
          <w:rFonts w:ascii="Trebuchet MS" w:hAnsi="Trebuchet MS"/>
          <w:iCs/>
          <w:color w:val="1F4E79" w:themeColor="accent1" w:themeShade="80"/>
        </w:rPr>
        <w:t>mobilităţi</w:t>
      </w:r>
      <w:proofErr w:type="spellEnd"/>
      <w:r w:rsidRPr="00A94974">
        <w:rPr>
          <w:rFonts w:ascii="Trebuchet MS" w:hAnsi="Trebuchet MS"/>
          <w:iCs/>
          <w:color w:val="1F4E79" w:themeColor="accent1" w:themeShade="80"/>
        </w:rPr>
        <w:t xml:space="preserve"> efectuate de către </w:t>
      </w:r>
      <w:proofErr w:type="spellStart"/>
      <w:r w:rsidRPr="00A94974">
        <w:rPr>
          <w:rFonts w:ascii="Trebuchet MS" w:hAnsi="Trebuchet MS"/>
          <w:iCs/>
          <w:color w:val="1F4E79" w:themeColor="accent1" w:themeShade="80"/>
        </w:rPr>
        <w:t>studenţi</w:t>
      </w:r>
      <w:proofErr w:type="spellEnd"/>
      <w:r w:rsidR="002F605E" w:rsidRPr="00A94974">
        <w:rPr>
          <w:rFonts w:ascii="Trebuchet MS" w:hAnsi="Trebuchet MS"/>
          <w:iCs/>
          <w:color w:val="1F4E79" w:themeColor="accent1" w:themeShade="80"/>
        </w:rPr>
        <w:t xml:space="preserve"> și </w:t>
      </w:r>
      <w:proofErr w:type="spellStart"/>
      <w:r w:rsidRPr="00A94974">
        <w:rPr>
          <w:rFonts w:ascii="Trebuchet MS" w:hAnsi="Trebuchet MS"/>
          <w:iCs/>
          <w:color w:val="1F4E79" w:themeColor="accent1" w:themeShade="80"/>
        </w:rPr>
        <w:t>studenţ</w:t>
      </w:r>
      <w:r w:rsidR="002F605E" w:rsidRPr="00A94974">
        <w:rPr>
          <w:rFonts w:ascii="Trebuchet MS" w:hAnsi="Trebuchet MS"/>
          <w:iCs/>
          <w:color w:val="1F4E79" w:themeColor="accent1" w:themeShade="80"/>
        </w:rPr>
        <w:t>i</w:t>
      </w:r>
      <w:r w:rsidRPr="00A94974">
        <w:rPr>
          <w:rFonts w:ascii="Trebuchet MS" w:hAnsi="Trebuchet MS"/>
          <w:iCs/>
          <w:color w:val="1F4E79" w:themeColor="accent1" w:themeShade="80"/>
        </w:rPr>
        <w:t>i</w:t>
      </w:r>
      <w:proofErr w:type="spellEnd"/>
      <w:r w:rsidRPr="00A94974">
        <w:rPr>
          <w:rFonts w:ascii="Trebuchet MS" w:hAnsi="Trebuchet MS"/>
          <w:iCs/>
          <w:color w:val="1F4E79" w:themeColor="accent1" w:themeShade="80"/>
        </w:rPr>
        <w:t>-doctoranzi reprezintă un deziderat</w:t>
      </w:r>
      <w:r w:rsidR="00ED0C1E" w:rsidRPr="00A94974">
        <w:rPr>
          <w:rFonts w:ascii="Trebuchet MS" w:hAnsi="Trebuchet MS"/>
          <w:iCs/>
          <w:color w:val="1F4E79" w:themeColor="accent1" w:themeShade="80"/>
        </w:rPr>
        <w:t xml:space="preserve"> al Legii nr. 199/2023 a învățământului superior, cu modificările și completările u</w:t>
      </w:r>
      <w:r w:rsidR="00A13C1E" w:rsidRPr="00A94974">
        <w:rPr>
          <w:rFonts w:ascii="Trebuchet MS" w:hAnsi="Trebuchet MS"/>
          <w:iCs/>
          <w:color w:val="1F4E79" w:themeColor="accent1" w:themeShade="80"/>
        </w:rPr>
        <w:t xml:space="preserve">lterioare. </w:t>
      </w:r>
    </w:p>
    <w:p w14:paraId="7FFDC609" w14:textId="2A3FDACC" w:rsidR="00A13C1E" w:rsidRPr="00A94974" w:rsidRDefault="00A13C1E" w:rsidP="00A13C1E">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Programul „Erasmus”, înființat de Uniunea Europeană în 1987, urmărea să promoveze o cooperare mai strânsă între instituții de învățământ superior din Europa, printr-un sistem organizat și integrat de schimb transfrontalier de studenți. De-a lungul timpului, programul s-a extins, iar acum obiectivul general al programului Erasmus+ este de a sprijini dezvoltarea educațională, personală și profesională a persoanelor care își desfășoară activitatea în domeniile educație, formare, tineret și sport.  </w:t>
      </w:r>
    </w:p>
    <w:p w14:paraId="45A336EA" w14:textId="77777777" w:rsidR="00A13C1E" w:rsidRPr="00A94974" w:rsidRDefault="00A13C1E" w:rsidP="00A13C1E">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Programul Erasmus+ 2021-2027 oferă oportunități de mobilitate și cooperare pentru toți actorii implicați activ în domeniile menționate, fie ca persoane sau ca instituții/organizații. Până în prezent, în perioada 2014-2023, peste 15 milioane de persoane au participat la Erasmus+, personal didactic, studenți, tineri și cursanți de toate vârstele. </w:t>
      </w:r>
    </w:p>
    <w:p w14:paraId="217E7B5D" w14:textId="0A5A7D86" w:rsidR="00A13C1E" w:rsidRPr="00A94974" w:rsidRDefault="00A13C1E" w:rsidP="00A13C1E">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În cazul mobilităților academice internaționale ale studenților, recunoașterea creditelor transferabile se realizează de către instituțiile de învățământ superior</w:t>
      </w:r>
      <w:r w:rsidR="00501F03" w:rsidRPr="00A94974">
        <w:rPr>
          <w:rFonts w:ascii="Trebuchet MS" w:hAnsi="Trebuchet MS"/>
          <w:iCs/>
          <w:color w:val="1F4E79" w:themeColor="accent1" w:themeShade="80"/>
        </w:rPr>
        <w:t xml:space="preserve"> de trimitere</w:t>
      </w:r>
      <w:r w:rsidRPr="00A94974">
        <w:rPr>
          <w:rFonts w:ascii="Trebuchet MS" w:hAnsi="Trebuchet MS"/>
          <w:iCs/>
          <w:color w:val="1F4E79" w:themeColor="accent1" w:themeShade="80"/>
        </w:rPr>
        <w:t xml:space="preserve">, în temeiul autonomiei universitare, pe baza documentelor emise de universitatea gazdă și a metodologiei proprii de recunoaștere. Calitatea de student/student-doctorand se menține pe perioada mobilităților interne și internaționale. </w:t>
      </w:r>
    </w:p>
    <w:p w14:paraId="0C4F55C9" w14:textId="11C3D6B1" w:rsidR="00A13C1E" w:rsidRPr="00A94974" w:rsidRDefault="00A13C1E" w:rsidP="7811C2AE">
      <w:pPr>
        <w:spacing w:before="120" w:after="120" w:line="276" w:lineRule="auto"/>
        <w:jc w:val="both"/>
        <w:rPr>
          <w:rFonts w:ascii="Trebuchet MS" w:hAnsi="Trebuchet MS"/>
          <w:color w:val="1F4E79" w:themeColor="accent1" w:themeShade="80"/>
        </w:rPr>
      </w:pPr>
      <w:r w:rsidRPr="00A94974">
        <w:rPr>
          <w:rFonts w:ascii="Trebuchet MS" w:hAnsi="Trebuchet MS"/>
          <w:color w:val="1F4E79" w:themeColor="accent1" w:themeShade="80"/>
        </w:rPr>
        <w:t>Agenția Națională pentru Programe Comunitare în Domeniul Educației și Formării Profesionale (ANPCDEFP) este o instituție publică din subordinea ME care administrează programul Erasmus+ al Uniunii Europene</w:t>
      </w:r>
      <w:r w:rsidR="300F5055" w:rsidRPr="00A94974">
        <w:rPr>
          <w:rFonts w:ascii="Trebuchet MS" w:hAnsi="Trebuchet MS"/>
          <w:color w:val="1F4E79" w:themeColor="accent1" w:themeShade="80"/>
        </w:rPr>
        <w:t xml:space="preserve"> </w:t>
      </w:r>
      <w:r w:rsidR="00992898" w:rsidRPr="00A94974">
        <w:rPr>
          <w:rFonts w:ascii="Trebuchet MS" w:hAnsi="Trebuchet MS"/>
          <w:color w:val="1F4E79" w:themeColor="accent1" w:themeShade="80"/>
        </w:rPr>
        <w:t>î</w:t>
      </w:r>
      <w:r w:rsidR="300F5055" w:rsidRPr="00A94974">
        <w:rPr>
          <w:rFonts w:ascii="Trebuchet MS" w:hAnsi="Trebuchet MS"/>
          <w:color w:val="1F4E79" w:themeColor="accent1" w:themeShade="80"/>
        </w:rPr>
        <w:t>n România</w:t>
      </w:r>
      <w:r w:rsidRPr="00A94974">
        <w:rPr>
          <w:rFonts w:ascii="Trebuchet MS" w:hAnsi="Trebuchet MS"/>
          <w:color w:val="1F4E79" w:themeColor="accent1" w:themeShade="80"/>
        </w:rPr>
        <w:t>.</w:t>
      </w:r>
    </w:p>
    <w:p w14:paraId="7DCCF77A" w14:textId="2110027E" w:rsidR="00A13C1E" w:rsidRPr="00A94974" w:rsidRDefault="00A13C1E" w:rsidP="00A13C1E">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Strategia națională de Incluziune și Diversitate elaborată de ANPCDEFP și aprobată de Comisia Europeană acordă prioritate participării studenților cu oportunități reduse la mobilitățile Erasmus+ pentru studiu și/sau plasament. Mobilitatea studenților poate avea loc în orice domeniu de studiu și în orice ciclu (ciclu scurt/licență/masterat/doctorat) și trebuie să fie compatibilă cu nevoile studenților în materie de învățare și de dezvoltare personală.</w:t>
      </w:r>
    </w:p>
    <w:p w14:paraId="39772BF8" w14:textId="7E3C6C78" w:rsidR="00152F02" w:rsidRPr="00A94974" w:rsidRDefault="00A13C1E" w:rsidP="008C7277">
      <w:pPr>
        <w:spacing w:before="120" w:after="120" w:line="276" w:lineRule="auto"/>
        <w:jc w:val="both"/>
        <w:rPr>
          <w:rFonts w:ascii="Trebuchet MS" w:hAnsi="Trebuchet MS" w:cs="Courier New"/>
          <w:color w:val="1F4E79" w:themeColor="accent1" w:themeShade="80"/>
          <w:shd w:val="clear" w:color="auto" w:fill="FFFFFF"/>
        </w:rPr>
      </w:pPr>
      <w:r w:rsidRPr="00A94974">
        <w:rPr>
          <w:rFonts w:ascii="Trebuchet MS" w:hAnsi="Trebuchet MS"/>
          <w:iCs/>
          <w:color w:val="1F4E79" w:themeColor="accent1" w:themeShade="80"/>
        </w:rPr>
        <w:t xml:space="preserve">În vederea asigurării </w:t>
      </w:r>
      <w:r w:rsidR="004C3886" w:rsidRPr="00A94974">
        <w:rPr>
          <w:rFonts w:ascii="Trebuchet MS" w:hAnsi="Trebuchet MS"/>
          <w:iCs/>
          <w:color w:val="1F4E79" w:themeColor="accent1" w:themeShade="80"/>
        </w:rPr>
        <w:t>echității</w:t>
      </w:r>
      <w:r w:rsidRPr="00A94974">
        <w:rPr>
          <w:rFonts w:ascii="Trebuchet MS" w:hAnsi="Trebuchet MS" w:cs="Courier New"/>
          <w:color w:val="1F4E79" w:themeColor="accent1" w:themeShade="80"/>
          <w:shd w:val="clear" w:color="auto" w:fill="FFFFFF"/>
        </w:rPr>
        <w:t xml:space="preserve">, prin asigurarea </w:t>
      </w:r>
      <w:proofErr w:type="spellStart"/>
      <w:r w:rsidRPr="00A94974">
        <w:rPr>
          <w:rFonts w:ascii="Trebuchet MS" w:hAnsi="Trebuchet MS" w:cs="Courier New"/>
          <w:color w:val="1F4E79" w:themeColor="accent1" w:themeShade="80"/>
          <w:shd w:val="clear" w:color="auto" w:fill="FFFFFF"/>
        </w:rPr>
        <w:t>şanselor</w:t>
      </w:r>
      <w:proofErr w:type="spellEnd"/>
      <w:r w:rsidRPr="00A94974">
        <w:rPr>
          <w:rFonts w:ascii="Trebuchet MS" w:hAnsi="Trebuchet MS" w:cs="Courier New"/>
          <w:color w:val="1F4E79" w:themeColor="accent1" w:themeShade="80"/>
          <w:shd w:val="clear" w:color="auto" w:fill="FFFFFF"/>
        </w:rPr>
        <w:t xml:space="preserve"> la </w:t>
      </w:r>
      <w:proofErr w:type="spellStart"/>
      <w:r w:rsidRPr="00A94974">
        <w:rPr>
          <w:rFonts w:ascii="Trebuchet MS" w:hAnsi="Trebuchet MS" w:cs="Courier New"/>
          <w:color w:val="1F4E79" w:themeColor="accent1" w:themeShade="80"/>
          <w:shd w:val="clear" w:color="auto" w:fill="FFFFFF"/>
        </w:rPr>
        <w:t>educaţie</w:t>
      </w:r>
      <w:proofErr w:type="spellEnd"/>
      <w:r w:rsidRPr="00A94974">
        <w:rPr>
          <w:rFonts w:ascii="Trebuchet MS" w:hAnsi="Trebuchet MS" w:cs="Courier New"/>
          <w:color w:val="1F4E79" w:themeColor="accent1" w:themeShade="80"/>
          <w:shd w:val="clear" w:color="auto" w:fill="FFFFFF"/>
        </w:rPr>
        <w:t xml:space="preserve">, în mod echitabil pentru tineri, indiferent de mediul din care provin sau de </w:t>
      </w:r>
      <w:proofErr w:type="spellStart"/>
      <w:r w:rsidRPr="00A94974">
        <w:rPr>
          <w:rFonts w:ascii="Trebuchet MS" w:hAnsi="Trebuchet MS" w:cs="Courier New"/>
          <w:color w:val="1F4E79" w:themeColor="accent1" w:themeShade="80"/>
          <w:shd w:val="clear" w:color="auto" w:fill="FFFFFF"/>
        </w:rPr>
        <w:t>alţi</w:t>
      </w:r>
      <w:proofErr w:type="spellEnd"/>
      <w:r w:rsidRPr="00A94974">
        <w:rPr>
          <w:rFonts w:ascii="Trebuchet MS" w:hAnsi="Trebuchet MS" w:cs="Courier New"/>
          <w:color w:val="1F4E79" w:themeColor="accent1" w:themeShade="80"/>
          <w:shd w:val="clear" w:color="auto" w:fill="FFFFFF"/>
        </w:rPr>
        <w:t xml:space="preserve"> factori de risc</w:t>
      </w:r>
      <w:r w:rsidR="004C3886" w:rsidRPr="00A94974">
        <w:rPr>
          <w:rFonts w:ascii="Trebuchet MS" w:hAnsi="Trebuchet MS" w:cs="Courier New"/>
          <w:color w:val="1F4E79" w:themeColor="accent1" w:themeShade="80"/>
          <w:shd w:val="clear" w:color="auto" w:fill="FFFFFF"/>
        </w:rPr>
        <w:t xml:space="preserve"> în cadrul programului Erasmus+, studenții cu oportunități reduse care participă la mobilități de studiu și/sau de plasament pot primi o sumă suplimentară grantului de sprijin individual acordat pentru perioada fizică de mobilitate (sumă denumită „top-</w:t>
      </w:r>
      <w:proofErr w:type="spellStart"/>
      <w:r w:rsidR="004C3886" w:rsidRPr="00A94974">
        <w:rPr>
          <w:rFonts w:ascii="Trebuchet MS" w:hAnsi="Trebuchet MS" w:cs="Courier New"/>
          <w:color w:val="1F4E79" w:themeColor="accent1" w:themeShade="80"/>
          <w:shd w:val="clear" w:color="auto" w:fill="FFFFFF"/>
        </w:rPr>
        <w:t>up</w:t>
      </w:r>
      <w:proofErr w:type="spellEnd"/>
      <w:r w:rsidR="004C3886" w:rsidRPr="00A94974">
        <w:rPr>
          <w:rFonts w:ascii="Trebuchet MS" w:hAnsi="Trebuchet MS" w:cs="Courier New"/>
          <w:color w:val="1F4E79" w:themeColor="accent1" w:themeShade="80"/>
          <w:shd w:val="clear" w:color="auto" w:fill="FFFFFF"/>
        </w:rPr>
        <w:t>”), care însă este de un nivel insuficient pentru a le asigura condiții minimale de subzistență.</w:t>
      </w:r>
    </w:p>
    <w:p w14:paraId="28DDF5E0" w14:textId="77777777" w:rsidR="005C3802" w:rsidRPr="00A94974" w:rsidRDefault="005C3802" w:rsidP="008C7277">
      <w:pPr>
        <w:spacing w:before="120" w:after="120" w:line="276" w:lineRule="auto"/>
        <w:jc w:val="both"/>
        <w:rPr>
          <w:rFonts w:ascii="Trebuchet MS" w:hAnsi="Trebuchet MS"/>
          <w:iCs/>
          <w:color w:val="1F4E79" w:themeColor="accent1" w:themeShade="80"/>
        </w:rPr>
      </w:pPr>
    </w:p>
    <w:p w14:paraId="134E2B77" w14:textId="6A2C558F" w:rsidR="00566CCA" w:rsidRPr="00A94974" w:rsidRDefault="00DC7B34" w:rsidP="001A50B1">
      <w:pPr>
        <w:pStyle w:val="Heading2"/>
        <w:rPr>
          <w:color w:val="1F4E79" w:themeColor="accent1" w:themeShade="80"/>
        </w:rPr>
      </w:pPr>
      <w:bookmarkStart w:id="11" w:name="_Toc179368075"/>
      <w:r w:rsidRPr="00A94974">
        <w:rPr>
          <w:color w:val="1F4E79" w:themeColor="accent1" w:themeShade="80"/>
        </w:rPr>
        <w:t xml:space="preserve">2.2 </w:t>
      </w:r>
      <w:r w:rsidR="00566CCA" w:rsidRPr="00A94974">
        <w:rPr>
          <w:color w:val="1F4E79" w:themeColor="accent1" w:themeShade="80"/>
        </w:rPr>
        <w:t>Prioritatea</w:t>
      </w:r>
      <w:r w:rsidR="00FF5C0E" w:rsidRPr="00A94974">
        <w:rPr>
          <w:color w:val="1F4E79" w:themeColor="accent1" w:themeShade="80"/>
        </w:rPr>
        <w:t>/Fond/Obiectiv de politică/</w:t>
      </w:r>
      <w:r w:rsidR="00566CCA" w:rsidRPr="00A94974">
        <w:rPr>
          <w:color w:val="1F4E79" w:themeColor="accent1" w:themeShade="80"/>
        </w:rPr>
        <w:t>Obiectiv specific</w:t>
      </w:r>
      <w:bookmarkEnd w:id="11"/>
      <w:r w:rsidR="00566CCA" w:rsidRPr="00A94974">
        <w:rPr>
          <w:color w:val="1F4E79" w:themeColor="accent1" w:themeShade="80"/>
        </w:rPr>
        <w:t xml:space="preserve"> </w:t>
      </w:r>
    </w:p>
    <w:p w14:paraId="18D029CF" w14:textId="029CE49E" w:rsidR="00F72E52" w:rsidRPr="00A94974" w:rsidRDefault="00D57EAF" w:rsidP="00F72E52">
      <w:pPr>
        <w:spacing w:before="120" w:after="120" w:line="276" w:lineRule="auto"/>
        <w:jc w:val="both"/>
        <w:rPr>
          <w:rFonts w:ascii="Trebuchet MS" w:hAnsi="Trebuchet MS"/>
          <w:i/>
          <w:color w:val="1F4E79" w:themeColor="accent1" w:themeShade="80"/>
        </w:rPr>
      </w:pPr>
      <w:r w:rsidRPr="00A94974">
        <w:rPr>
          <w:rFonts w:ascii="Trebuchet MS" w:hAnsi="Trebuchet MS"/>
          <w:iCs/>
          <w:color w:val="1F4E79" w:themeColor="accent1" w:themeShade="80"/>
        </w:rPr>
        <w:t xml:space="preserve">În conformitate cu prioritățile Obiectivului de Politica 4, Agenda pentru competențe în Europa, Planul de Acțiune pentru Educația Digitală (2021-2027), Pactul Verde European și Obiectivele </w:t>
      </w:r>
      <w:r w:rsidRPr="00A94974">
        <w:rPr>
          <w:rFonts w:ascii="Trebuchet MS" w:hAnsi="Trebuchet MS"/>
          <w:iCs/>
          <w:color w:val="1F4E79" w:themeColor="accent1" w:themeShade="80"/>
        </w:rPr>
        <w:lastRenderedPageBreak/>
        <w:t>de Dezvoltare Durabilă</w:t>
      </w:r>
      <w:r w:rsidR="00F72E52" w:rsidRPr="00A94974">
        <w:rPr>
          <w:rFonts w:ascii="Trebuchet MS" w:hAnsi="Trebuchet MS"/>
          <w:iCs/>
          <w:color w:val="1F4E79" w:themeColor="accent1" w:themeShade="80"/>
        </w:rPr>
        <w:t>, C</w:t>
      </w:r>
      <w:r w:rsidRPr="00A94974">
        <w:rPr>
          <w:rFonts w:ascii="Trebuchet MS" w:hAnsi="Trebuchet MS"/>
          <w:iCs/>
          <w:color w:val="1F4E79" w:themeColor="accent1" w:themeShade="80"/>
        </w:rPr>
        <w:t xml:space="preserve">adrul strategic național RO </w:t>
      </w:r>
      <w:proofErr w:type="spellStart"/>
      <w:r w:rsidRPr="00A94974">
        <w:rPr>
          <w:rFonts w:ascii="Trebuchet MS" w:hAnsi="Trebuchet MS"/>
          <w:iCs/>
          <w:color w:val="1F4E79" w:themeColor="accent1" w:themeShade="80"/>
        </w:rPr>
        <w:t>Edu</w:t>
      </w:r>
      <w:proofErr w:type="spellEnd"/>
      <w:r w:rsidR="004311DD"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Priorit</w:t>
      </w:r>
      <w:r w:rsidR="004311DD" w:rsidRPr="00A94974">
        <w:rPr>
          <w:rFonts w:ascii="Trebuchet MS" w:hAnsi="Trebuchet MS"/>
          <w:iCs/>
          <w:color w:val="1F4E79" w:themeColor="accent1" w:themeShade="80"/>
        </w:rPr>
        <w:t>a</w:t>
      </w:r>
      <w:r w:rsidR="008F06C5" w:rsidRPr="00A94974">
        <w:rPr>
          <w:rFonts w:ascii="Trebuchet MS" w:hAnsi="Trebuchet MS"/>
          <w:iCs/>
          <w:color w:val="1F4E79" w:themeColor="accent1" w:themeShade="80"/>
        </w:rPr>
        <w:t>tea</w:t>
      </w:r>
      <w:r w:rsidR="00F72E52" w:rsidRPr="00A94974">
        <w:rPr>
          <w:rFonts w:ascii="Trebuchet MS" w:hAnsi="Trebuchet MS"/>
          <w:iCs/>
          <w:color w:val="1F4E79" w:themeColor="accent1" w:themeShade="80"/>
        </w:rPr>
        <w:t xml:space="preserve"> 7</w:t>
      </w:r>
      <w:r w:rsidR="008F06C5" w:rsidRPr="00A94974">
        <w:rPr>
          <w:rFonts w:ascii="Trebuchet MS" w:hAnsi="Trebuchet MS"/>
          <w:iCs/>
          <w:color w:val="1F4E79" w:themeColor="accent1" w:themeShade="80"/>
        </w:rPr>
        <w:t xml:space="preserve"> </w:t>
      </w:r>
      <w:r w:rsidR="004311DD" w:rsidRPr="00A94974">
        <w:rPr>
          <w:rFonts w:ascii="Trebuchet MS" w:hAnsi="Trebuchet MS"/>
          <w:iCs/>
          <w:color w:val="1F4E79" w:themeColor="accent1" w:themeShade="80"/>
        </w:rPr>
        <w:t xml:space="preserve">își propune </w:t>
      </w:r>
      <w:r w:rsidR="00F72E52" w:rsidRPr="00A94974">
        <w:rPr>
          <w:rFonts w:ascii="Trebuchet MS" w:hAnsi="Trebuchet MS" w:cs="Times New Roman"/>
          <w:color w:val="1F4E79" w:themeColor="accent1" w:themeShade="80"/>
        </w:rPr>
        <w:t xml:space="preserve">creșterea calității ofertei de educație și formare profesională pentru asigurarea echității sistemului și o mai bună adaptare la dinamica pieței muncii și la provocările inovării și progresului tehnologic. </w:t>
      </w:r>
      <w:r w:rsidRPr="00A94974">
        <w:rPr>
          <w:rFonts w:ascii="Trebuchet MS" w:hAnsi="Trebuchet MS"/>
          <w:iCs/>
          <w:color w:val="1F4E79" w:themeColor="accent1" w:themeShade="80"/>
        </w:rPr>
        <w:t xml:space="preserve">Astfel, se finanțează măsura </w:t>
      </w:r>
      <w:r w:rsidR="00F72E52" w:rsidRPr="00A94974">
        <w:rPr>
          <w:rFonts w:ascii="Trebuchet MS" w:hAnsi="Trebuchet MS"/>
          <w:i/>
          <w:color w:val="1F4E79" w:themeColor="accent1" w:themeShade="80"/>
        </w:rPr>
        <w:t>7.e.7</w:t>
      </w:r>
      <w:r w:rsidRPr="00A94974">
        <w:rPr>
          <w:rFonts w:ascii="Trebuchet MS" w:hAnsi="Trebuchet MS"/>
          <w:i/>
          <w:color w:val="1F4E79" w:themeColor="accent1" w:themeShade="80"/>
        </w:rPr>
        <w:t xml:space="preserve"> </w:t>
      </w:r>
      <w:r w:rsidR="00F72E52" w:rsidRPr="00A94974">
        <w:rPr>
          <w:rFonts w:ascii="Trebuchet MS" w:hAnsi="Trebuchet MS"/>
          <w:i/>
          <w:color w:val="1F4E79" w:themeColor="accent1" w:themeShade="80"/>
        </w:rPr>
        <w:t>Sprijinirea mobilității transnaționale de tip Erasmus+ pentru studenții cu oportunități reduse.</w:t>
      </w:r>
    </w:p>
    <w:p w14:paraId="69C602DF" w14:textId="21FE29B5" w:rsidR="00052501" w:rsidRPr="00A94974" w:rsidRDefault="00F72E52" w:rsidP="00F72E52">
      <w:pPr>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În acest fel, pe de-o parte va crește atractivitatea participării la mobilități transnaționale pentru studenții cu oportunități reduse iar, pe de altă parte, resursele neutilizate în acest scop din bugetul Erasmus+ vor permite creșterea numărului de studenți beneficiari de mobilități, acest lucru contribuind la progrese în atingerea țintei de mobilitate în învățământul superior, stabilite în Recomandarea Consiliului «Europe on </w:t>
      </w:r>
      <w:proofErr w:type="spellStart"/>
      <w:r w:rsidRPr="00A94974">
        <w:rPr>
          <w:rFonts w:ascii="Trebuchet MS" w:hAnsi="Trebuchet MS"/>
          <w:iCs/>
          <w:color w:val="1F4E79" w:themeColor="accent1" w:themeShade="80"/>
        </w:rPr>
        <w:t>the</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Move</w:t>
      </w:r>
      <w:proofErr w:type="spellEnd"/>
      <w:r w:rsidRPr="00A94974">
        <w:rPr>
          <w:rFonts w:ascii="Trebuchet MS" w:hAnsi="Trebuchet MS"/>
          <w:iCs/>
          <w:color w:val="1F4E79" w:themeColor="accent1" w:themeShade="80"/>
        </w:rPr>
        <w:t>», adoptată în 13.05.2024.</w:t>
      </w:r>
    </w:p>
    <w:p w14:paraId="5067879A" w14:textId="0AA05F6F" w:rsidR="00F72E52" w:rsidRPr="00A94974" w:rsidRDefault="00F72E52" w:rsidP="00F72E52">
      <w:pPr>
        <w:jc w:val="both"/>
        <w:rPr>
          <w:rFonts w:ascii="Trebuchet MS" w:hAnsi="Trebuchet MS"/>
          <w:iCs/>
          <w:color w:val="1F4E79" w:themeColor="accent1" w:themeShade="80"/>
        </w:rPr>
      </w:pPr>
      <w:r w:rsidRPr="00A94974">
        <w:rPr>
          <w:rFonts w:ascii="Trebuchet MS" w:hAnsi="Trebuchet MS"/>
          <w:iCs/>
          <w:color w:val="1F4E79" w:themeColor="accent1" w:themeShade="80"/>
        </w:rPr>
        <w:t>În</w:t>
      </w:r>
      <w:r w:rsidR="005E1931"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202</w:t>
      </w:r>
      <w:r w:rsidRPr="00A94974" w:rsidDel="00A81761">
        <w:rPr>
          <w:rFonts w:ascii="Trebuchet MS" w:hAnsi="Trebuchet MS"/>
          <w:iCs/>
          <w:color w:val="1F4E79" w:themeColor="accent1" w:themeShade="80"/>
        </w:rPr>
        <w:t>3</w:t>
      </w:r>
      <w:r w:rsidRPr="00A94974">
        <w:rPr>
          <w:rFonts w:ascii="Trebuchet MS" w:hAnsi="Trebuchet MS"/>
          <w:iCs/>
          <w:color w:val="1F4E79" w:themeColor="accent1" w:themeShade="80"/>
        </w:rPr>
        <w:t xml:space="preserve">, s-a </w:t>
      </w:r>
      <w:r w:rsidR="004F0537" w:rsidRPr="00A94974">
        <w:rPr>
          <w:rFonts w:ascii="Trebuchet MS" w:hAnsi="Trebuchet MS"/>
          <w:iCs/>
          <w:color w:val="1F4E79" w:themeColor="accent1" w:themeShade="80"/>
        </w:rPr>
        <w:t>acord</w:t>
      </w:r>
      <w:r w:rsidRPr="00A94974">
        <w:rPr>
          <w:rFonts w:ascii="Trebuchet MS" w:hAnsi="Trebuchet MS"/>
          <w:iCs/>
          <w:color w:val="1F4E79" w:themeColor="accent1" w:themeShade="80"/>
        </w:rPr>
        <w:t>at finanțare pentru circa 1</w:t>
      </w:r>
      <w:r w:rsidR="00324335"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 xml:space="preserve">000 de studenți cu oportunități reduse (din 10 000 de studenți </w:t>
      </w:r>
      <w:proofErr w:type="spellStart"/>
      <w:r w:rsidRPr="00A94974">
        <w:rPr>
          <w:rFonts w:ascii="Trebuchet MS" w:hAnsi="Trebuchet MS"/>
          <w:iCs/>
          <w:color w:val="1F4E79" w:themeColor="accent1" w:themeShade="80"/>
        </w:rPr>
        <w:t>outgoing</w:t>
      </w:r>
      <w:proofErr w:type="spellEnd"/>
      <w:r w:rsidRPr="00A94974">
        <w:rPr>
          <w:rFonts w:ascii="Trebuchet MS" w:hAnsi="Trebuchet MS"/>
          <w:iCs/>
          <w:color w:val="1F4E79" w:themeColor="accent1" w:themeShade="80"/>
        </w:rPr>
        <w:t xml:space="preserve"> Erasmus+ în total). </w:t>
      </w:r>
    </w:p>
    <w:p w14:paraId="1E8BF24D" w14:textId="4CCE747A" w:rsidR="00F72E52" w:rsidRPr="00A94974" w:rsidRDefault="00F72E52" w:rsidP="00F72E52">
      <w:pPr>
        <w:jc w:val="both"/>
        <w:rPr>
          <w:rFonts w:ascii="Trebuchet MS" w:hAnsi="Trebuchet MS"/>
          <w:iCs/>
          <w:color w:val="1F4E79" w:themeColor="accent1" w:themeShade="80"/>
        </w:rPr>
      </w:pPr>
      <w:r w:rsidRPr="00A94974">
        <w:rPr>
          <w:rFonts w:ascii="Trebuchet MS" w:hAnsi="Trebuchet MS"/>
          <w:iCs/>
          <w:color w:val="1F4E79" w:themeColor="accent1" w:themeShade="80"/>
        </w:rPr>
        <w:t>Prin prezentul apel de proiecte PEO</w:t>
      </w:r>
      <w:r w:rsidR="00C77D76"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se va asigura finanțare</w:t>
      </w:r>
      <w:r w:rsidR="00E40778" w:rsidRPr="00A94974">
        <w:rPr>
          <w:rFonts w:ascii="Trebuchet MS" w:hAnsi="Trebuchet MS"/>
          <w:iCs/>
          <w:color w:val="1F4E79" w:themeColor="accent1" w:themeShade="80"/>
        </w:rPr>
        <w:t>a</w:t>
      </w:r>
      <w:r w:rsidR="004B6B9F" w:rsidRPr="00A94974">
        <w:rPr>
          <w:rFonts w:ascii="Trebuchet MS" w:hAnsi="Trebuchet MS"/>
          <w:iCs/>
          <w:color w:val="1F4E79" w:themeColor="accent1" w:themeShade="80"/>
        </w:rPr>
        <w:t xml:space="preserve"> sprijinului pentru un număr de peste 4.800</w:t>
      </w:r>
      <w:r w:rsidRPr="00A94974">
        <w:rPr>
          <w:rFonts w:ascii="Trebuchet MS" w:hAnsi="Trebuchet MS"/>
          <w:iCs/>
          <w:color w:val="1F4E79" w:themeColor="accent1" w:themeShade="80"/>
        </w:rPr>
        <w:t xml:space="preserve"> de studenți cu oportunități reduse care să participe la mobilități Erasmus+ în următorii cinci ani, ceea ce va </w:t>
      </w:r>
      <w:r w:rsidR="00E40778" w:rsidRPr="00A94974">
        <w:rPr>
          <w:rFonts w:ascii="Trebuchet MS" w:hAnsi="Trebuchet MS"/>
          <w:iCs/>
          <w:color w:val="1F4E79" w:themeColor="accent1" w:themeShade="80"/>
        </w:rPr>
        <w:t xml:space="preserve">contribui la </w:t>
      </w:r>
      <w:r w:rsidRPr="00A94974">
        <w:rPr>
          <w:rFonts w:ascii="Trebuchet MS" w:hAnsi="Trebuchet MS"/>
          <w:iCs/>
          <w:color w:val="1F4E79" w:themeColor="accent1" w:themeShade="80"/>
        </w:rPr>
        <w:t>o creștere semnificativă a incluziunii în procesul de internaționalizare a învățământului superior și a accesului persoanelor cu oportunități reduse la mobilit</w:t>
      </w:r>
      <w:r w:rsidR="00A604E9" w:rsidRPr="00A94974">
        <w:rPr>
          <w:rFonts w:ascii="Trebuchet MS" w:hAnsi="Trebuchet MS"/>
          <w:iCs/>
          <w:color w:val="1F4E79" w:themeColor="accent1" w:themeShade="80"/>
        </w:rPr>
        <w:t>ăți care au drept</w:t>
      </w:r>
      <w:r w:rsidRPr="00A94974">
        <w:rPr>
          <w:rFonts w:ascii="Trebuchet MS" w:hAnsi="Trebuchet MS"/>
          <w:iCs/>
          <w:color w:val="1F4E79" w:themeColor="accent1" w:themeShade="80"/>
        </w:rPr>
        <w:t xml:space="preserve"> scop de învățare</w:t>
      </w:r>
      <w:r w:rsidR="00A604E9" w:rsidRPr="00A94974">
        <w:rPr>
          <w:rFonts w:ascii="Trebuchet MS" w:hAnsi="Trebuchet MS"/>
          <w:iCs/>
          <w:color w:val="1F4E79" w:themeColor="accent1" w:themeShade="80"/>
        </w:rPr>
        <w:t>a</w:t>
      </w:r>
      <w:r w:rsidRPr="00A94974">
        <w:rPr>
          <w:rFonts w:ascii="Trebuchet MS" w:hAnsi="Trebuchet MS"/>
          <w:iCs/>
          <w:color w:val="1F4E79" w:themeColor="accent1" w:themeShade="80"/>
        </w:rPr>
        <w:t>.</w:t>
      </w:r>
    </w:p>
    <w:p w14:paraId="53198A55" w14:textId="17D214B2" w:rsidR="001A50B1" w:rsidRPr="00A94974" w:rsidRDefault="00DC7B34" w:rsidP="005C3802">
      <w:pPr>
        <w:pStyle w:val="Heading2"/>
        <w:rPr>
          <w:color w:val="1F4E79" w:themeColor="accent1" w:themeShade="80"/>
        </w:rPr>
      </w:pPr>
      <w:bookmarkStart w:id="12" w:name="_Toc179368076"/>
      <w:r w:rsidRPr="00A94974">
        <w:rPr>
          <w:color w:val="1F4E79" w:themeColor="accent1" w:themeShade="80"/>
        </w:rPr>
        <w:t>2.</w:t>
      </w:r>
      <w:r w:rsidR="00744D6F" w:rsidRPr="00A94974">
        <w:rPr>
          <w:color w:val="1F4E79" w:themeColor="accent1" w:themeShade="80"/>
        </w:rPr>
        <w:t>3.</w:t>
      </w:r>
      <w:r w:rsidRPr="00A94974">
        <w:rPr>
          <w:color w:val="1F4E79" w:themeColor="accent1" w:themeShade="80"/>
        </w:rPr>
        <w:t xml:space="preserve"> </w:t>
      </w:r>
      <w:r w:rsidR="00566CCA" w:rsidRPr="00A94974">
        <w:rPr>
          <w:color w:val="1F4E79" w:themeColor="accent1" w:themeShade="80"/>
        </w:rPr>
        <w:t xml:space="preserve">Reglementări europene și naționale, </w:t>
      </w:r>
      <w:r w:rsidR="005111FF" w:rsidRPr="00A94974">
        <w:rPr>
          <w:color w:val="1F4E79" w:themeColor="accent1" w:themeShade="80"/>
        </w:rPr>
        <w:t xml:space="preserve">cadrul strategic, </w:t>
      </w:r>
      <w:r w:rsidR="00566CCA" w:rsidRPr="00A94974">
        <w:rPr>
          <w:color w:val="1F4E79" w:themeColor="accent1" w:themeShade="80"/>
        </w:rPr>
        <w:t>documente programatice</w:t>
      </w:r>
      <w:r w:rsidR="00B47A5D" w:rsidRPr="00A94974">
        <w:rPr>
          <w:color w:val="1F4E79" w:themeColor="accent1" w:themeShade="80"/>
        </w:rPr>
        <w:t xml:space="preserve"> aplicabile</w:t>
      </w:r>
      <w:bookmarkEnd w:id="12"/>
    </w:p>
    <w:p w14:paraId="383B5E98" w14:textId="46F49B33" w:rsidR="00B66FE1" w:rsidRPr="00A94974" w:rsidRDefault="00B66FE1" w:rsidP="00BE3FAB">
      <w:pPr>
        <w:pStyle w:val="oj-doc-ti"/>
        <w:numPr>
          <w:ilvl w:val="0"/>
          <w:numId w:val="1"/>
        </w:numPr>
        <w:tabs>
          <w:tab w:val="left" w:pos="709"/>
        </w:tabs>
        <w:spacing w:before="0" w:beforeAutospacing="0" w:after="0" w:line="276" w:lineRule="auto"/>
        <w:jc w:val="both"/>
        <w:rPr>
          <w:rFonts w:ascii="Trebuchet MS" w:eastAsia="Trebuchet MS" w:hAnsi="Trebuchet MS" w:cs="Trebuchet MS"/>
          <w:color w:val="1F4E79" w:themeColor="accent1" w:themeShade="80"/>
          <w:sz w:val="22"/>
          <w:szCs w:val="22"/>
          <w:lang w:val="ro-RO"/>
        </w:rPr>
      </w:pPr>
      <w:r w:rsidRPr="00A94974">
        <w:rPr>
          <w:rFonts w:ascii="Trebuchet MS" w:hAnsi="Trebuchet MS"/>
          <w:iCs/>
          <w:color w:val="1F4E79" w:themeColor="accent1" w:themeShade="80"/>
          <w:sz w:val="22"/>
          <w:szCs w:val="22"/>
          <w:lang w:val="ro-RO"/>
        </w:rPr>
        <w:t>Regulamentul UE 2021/817 al Parlamentului European si Consiliului European, de instituire a Erasmus+: Programul Uniunii pentru educație și formare, tineret și sport și de abrogare a Regulamentului (UE) nr. 1288/2013;</w:t>
      </w:r>
    </w:p>
    <w:p w14:paraId="7D81FE08" w14:textId="71D8A696" w:rsidR="001326D0" w:rsidRPr="00A94974" w:rsidRDefault="001326D0" w:rsidP="00BE3FAB">
      <w:pPr>
        <w:pStyle w:val="oj-doc-ti"/>
        <w:numPr>
          <w:ilvl w:val="0"/>
          <w:numId w:val="1"/>
        </w:numPr>
        <w:tabs>
          <w:tab w:val="left" w:pos="709"/>
        </w:tabs>
        <w:spacing w:before="0" w:beforeAutospacing="0" w:after="0" w:line="276" w:lineRule="auto"/>
        <w:jc w:val="both"/>
        <w:rPr>
          <w:rFonts w:ascii="Trebuchet MS" w:eastAsia="Trebuchet MS" w:hAnsi="Trebuchet MS" w:cs="Trebuchet MS"/>
          <w:color w:val="1F4E79" w:themeColor="accent1" w:themeShade="80"/>
          <w:sz w:val="22"/>
          <w:szCs w:val="22"/>
          <w:lang w:val="ro-RO"/>
        </w:rPr>
      </w:pPr>
      <w:r w:rsidRPr="00A94974">
        <w:rPr>
          <w:rFonts w:ascii="Trebuchet MS" w:eastAsia="Trebuchet MS" w:hAnsi="Trebuchet MS" w:cs="Trebuchet MS"/>
          <w:color w:val="1F4E79" w:themeColor="accent1" w:themeShade="80"/>
          <w:sz w:val="22"/>
          <w:szCs w:val="22"/>
          <w:lang w:val="ro-RO"/>
        </w:rPr>
        <w:t>R</w:t>
      </w:r>
      <w:r w:rsidR="00396378" w:rsidRPr="00A94974">
        <w:rPr>
          <w:rFonts w:ascii="Trebuchet MS" w:eastAsia="Trebuchet MS" w:hAnsi="Trebuchet MS" w:cs="Trebuchet MS"/>
          <w:color w:val="1F4E79" w:themeColor="accent1" w:themeShade="80"/>
          <w:sz w:val="22"/>
          <w:szCs w:val="22"/>
          <w:lang w:val="ro-RO"/>
        </w:rPr>
        <w:t>egulamentul</w:t>
      </w:r>
      <w:r w:rsidRPr="00A94974">
        <w:rPr>
          <w:rFonts w:ascii="Trebuchet MS" w:eastAsia="Trebuchet MS" w:hAnsi="Trebuchet MS" w:cs="Trebuchet MS"/>
          <w:color w:val="1F4E79" w:themeColor="accent1" w:themeShade="80"/>
          <w:sz w:val="22"/>
          <w:szCs w:val="22"/>
          <w:lang w:val="ro-RO"/>
        </w:rPr>
        <w:t xml:space="preserve"> (UE) </w:t>
      </w:r>
      <w:r w:rsidR="008C7277" w:rsidRPr="00A94974">
        <w:rPr>
          <w:rFonts w:ascii="Trebuchet MS" w:eastAsia="Trebuchet MS" w:hAnsi="Trebuchet MS" w:cs="Trebuchet MS"/>
          <w:color w:val="1F4E79" w:themeColor="accent1" w:themeShade="80"/>
          <w:sz w:val="22"/>
          <w:szCs w:val="22"/>
          <w:lang w:val="ro-RO"/>
        </w:rPr>
        <w:t xml:space="preserve"> </w:t>
      </w:r>
      <w:r w:rsidRPr="00A94974">
        <w:rPr>
          <w:rFonts w:ascii="Trebuchet MS" w:eastAsia="Trebuchet MS" w:hAnsi="Trebuchet MS" w:cs="Trebuchet MS"/>
          <w:color w:val="1F4E79" w:themeColor="accent1" w:themeShade="80"/>
          <w:sz w:val="22"/>
          <w:szCs w:val="22"/>
          <w:lang w:val="ro-RO"/>
        </w:rPr>
        <w:t xml:space="preserve">2021/1060 </w:t>
      </w:r>
      <w:r w:rsidR="00396378" w:rsidRPr="00A94974">
        <w:rPr>
          <w:rFonts w:ascii="Trebuchet MS" w:eastAsia="Trebuchet MS" w:hAnsi="Trebuchet MS" w:cs="Trebuchet MS"/>
          <w:color w:val="1F4E79" w:themeColor="accent1" w:themeShade="80"/>
          <w:sz w:val="22"/>
          <w:szCs w:val="22"/>
          <w:lang w:val="ro-RO"/>
        </w:rPr>
        <w:t>al</w:t>
      </w:r>
      <w:r w:rsidRPr="00A94974">
        <w:rPr>
          <w:rFonts w:ascii="Trebuchet MS" w:eastAsia="Trebuchet MS" w:hAnsi="Trebuchet MS" w:cs="Trebuchet MS"/>
          <w:color w:val="1F4E79" w:themeColor="accent1" w:themeShade="80"/>
          <w:sz w:val="22"/>
          <w:szCs w:val="22"/>
          <w:lang w:val="ro-RO"/>
        </w:rPr>
        <w:t xml:space="preserve"> </w:t>
      </w:r>
      <w:r w:rsidR="00396378" w:rsidRPr="00A94974">
        <w:rPr>
          <w:rFonts w:ascii="Trebuchet MS" w:eastAsia="Trebuchet MS" w:hAnsi="Trebuchet MS" w:cs="Trebuchet MS"/>
          <w:color w:val="1F4E79" w:themeColor="accent1" w:themeShade="80"/>
          <w:sz w:val="22"/>
          <w:szCs w:val="22"/>
          <w:lang w:val="ro-RO"/>
        </w:rPr>
        <w:t xml:space="preserve">Parlamentului European și al </w:t>
      </w:r>
      <w:r w:rsidRPr="00A94974">
        <w:rPr>
          <w:rFonts w:ascii="Trebuchet MS" w:eastAsia="Trebuchet MS" w:hAnsi="Trebuchet MS" w:cs="Trebuchet MS"/>
          <w:color w:val="1F4E79" w:themeColor="accent1" w:themeShade="80"/>
          <w:sz w:val="22"/>
          <w:szCs w:val="22"/>
          <w:lang w:val="ro-RO"/>
        </w:rPr>
        <w:t>C</w:t>
      </w:r>
      <w:r w:rsidR="00396378" w:rsidRPr="00A94974">
        <w:rPr>
          <w:rFonts w:ascii="Trebuchet MS" w:eastAsia="Trebuchet MS" w:hAnsi="Trebuchet MS" w:cs="Trebuchet MS"/>
          <w:color w:val="1F4E79" w:themeColor="accent1" w:themeShade="80"/>
          <w:sz w:val="22"/>
          <w:szCs w:val="22"/>
          <w:lang w:val="ro-RO"/>
        </w:rPr>
        <w:t xml:space="preserve">onsiliului </w:t>
      </w:r>
      <w:r w:rsidRPr="00A94974">
        <w:rPr>
          <w:rFonts w:ascii="Trebuchet MS" w:eastAsia="Trebuchet MS" w:hAnsi="Trebuchet MS" w:cs="Trebuchet MS"/>
          <w:color w:val="1F4E79" w:themeColor="accent1" w:themeShade="80"/>
          <w:sz w:val="22"/>
          <w:szCs w:val="22"/>
          <w:lang w:val="ro-RO"/>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DD54A0" w:rsidRPr="00A94974">
        <w:rPr>
          <w:rFonts w:ascii="Trebuchet MS" w:eastAsia="Trebuchet MS" w:hAnsi="Trebuchet MS" w:cs="Trebuchet MS"/>
          <w:color w:val="1F4E79" w:themeColor="accent1" w:themeShade="80"/>
          <w:sz w:val="22"/>
          <w:szCs w:val="22"/>
          <w:lang w:val="ro-RO"/>
        </w:rPr>
        <w:t>;</w:t>
      </w:r>
    </w:p>
    <w:p w14:paraId="7EFB7CED" w14:textId="6A78EA4A" w:rsidR="001326D0" w:rsidRPr="00A94974" w:rsidRDefault="001326D0" w:rsidP="00BE3FAB">
      <w:pPr>
        <w:pStyle w:val="oj-doc-ti"/>
        <w:numPr>
          <w:ilvl w:val="0"/>
          <w:numId w:val="1"/>
        </w:numPr>
        <w:tabs>
          <w:tab w:val="left" w:pos="709"/>
        </w:tabs>
        <w:spacing w:before="0" w:beforeAutospacing="0" w:after="0" w:line="276" w:lineRule="auto"/>
        <w:jc w:val="both"/>
        <w:rPr>
          <w:rFonts w:ascii="Trebuchet MS" w:eastAsia="Trebuchet MS" w:hAnsi="Trebuchet MS" w:cs="Trebuchet MS"/>
          <w:color w:val="1F4E79" w:themeColor="accent1" w:themeShade="80"/>
          <w:sz w:val="22"/>
          <w:szCs w:val="22"/>
          <w:lang w:val="ro-RO"/>
        </w:rPr>
      </w:pPr>
      <w:r w:rsidRPr="00A94974">
        <w:rPr>
          <w:rFonts w:ascii="Trebuchet MS" w:eastAsia="Trebuchet MS" w:hAnsi="Trebuchet MS" w:cs="Trebuchet MS"/>
          <w:color w:val="1F4E79" w:themeColor="accent1" w:themeShade="80"/>
          <w:sz w:val="22"/>
          <w:szCs w:val="22"/>
          <w:lang w:val="ro-RO"/>
        </w:rPr>
        <w:t>R</w:t>
      </w:r>
      <w:r w:rsidR="00396378" w:rsidRPr="00A94974">
        <w:rPr>
          <w:rFonts w:ascii="Trebuchet MS" w:eastAsia="Trebuchet MS" w:hAnsi="Trebuchet MS" w:cs="Trebuchet MS"/>
          <w:color w:val="1F4E79" w:themeColor="accent1" w:themeShade="80"/>
          <w:sz w:val="22"/>
          <w:szCs w:val="22"/>
          <w:lang w:val="ro-RO"/>
        </w:rPr>
        <w:t>egulamentul</w:t>
      </w:r>
      <w:r w:rsidRPr="00A94974">
        <w:rPr>
          <w:rFonts w:ascii="Trebuchet MS" w:eastAsia="Trebuchet MS" w:hAnsi="Trebuchet MS" w:cs="Trebuchet MS"/>
          <w:color w:val="1F4E79" w:themeColor="accent1" w:themeShade="80"/>
          <w:sz w:val="22"/>
          <w:szCs w:val="22"/>
          <w:lang w:val="ro-RO"/>
        </w:rPr>
        <w:t xml:space="preserve"> (UE)</w:t>
      </w:r>
      <w:r w:rsidR="008C7277" w:rsidRPr="00A94974">
        <w:rPr>
          <w:rFonts w:ascii="Trebuchet MS" w:eastAsia="Trebuchet MS" w:hAnsi="Trebuchet MS" w:cs="Trebuchet MS"/>
          <w:color w:val="1F4E79" w:themeColor="accent1" w:themeShade="80"/>
          <w:sz w:val="22"/>
          <w:szCs w:val="22"/>
          <w:lang w:val="ro-RO"/>
        </w:rPr>
        <w:t xml:space="preserve"> </w:t>
      </w:r>
      <w:r w:rsidRPr="00A94974">
        <w:rPr>
          <w:rFonts w:ascii="Trebuchet MS" w:eastAsia="Trebuchet MS" w:hAnsi="Trebuchet MS" w:cs="Trebuchet MS"/>
          <w:color w:val="1F4E79" w:themeColor="accent1" w:themeShade="80"/>
          <w:sz w:val="22"/>
          <w:szCs w:val="22"/>
          <w:lang w:val="ro-RO"/>
        </w:rPr>
        <w:t xml:space="preserve">2021/1057 </w:t>
      </w:r>
      <w:r w:rsidR="00396378" w:rsidRPr="00A94974">
        <w:rPr>
          <w:rFonts w:ascii="Trebuchet MS" w:eastAsia="Trebuchet MS" w:hAnsi="Trebuchet MS" w:cs="Trebuchet MS"/>
          <w:color w:val="1F4E79" w:themeColor="accent1" w:themeShade="80"/>
          <w:sz w:val="22"/>
          <w:szCs w:val="22"/>
          <w:lang w:val="ro-RO"/>
        </w:rPr>
        <w:t>al</w:t>
      </w:r>
      <w:r w:rsidRPr="00A94974">
        <w:rPr>
          <w:rFonts w:ascii="Trebuchet MS" w:eastAsia="Trebuchet MS" w:hAnsi="Trebuchet MS" w:cs="Trebuchet MS"/>
          <w:color w:val="1F4E79" w:themeColor="accent1" w:themeShade="80"/>
          <w:sz w:val="22"/>
          <w:szCs w:val="22"/>
          <w:lang w:val="ro-RO"/>
        </w:rPr>
        <w:t xml:space="preserve"> </w:t>
      </w:r>
      <w:r w:rsidR="00396378" w:rsidRPr="00A94974">
        <w:rPr>
          <w:rFonts w:ascii="Trebuchet MS" w:eastAsia="Trebuchet MS" w:hAnsi="Trebuchet MS" w:cs="Trebuchet MS"/>
          <w:color w:val="1F4E79" w:themeColor="accent1" w:themeShade="80"/>
          <w:sz w:val="22"/>
          <w:szCs w:val="22"/>
          <w:lang w:val="ro-RO"/>
        </w:rPr>
        <w:t xml:space="preserve">Parlamentului European și al </w:t>
      </w:r>
      <w:r w:rsidRPr="00A94974">
        <w:rPr>
          <w:rFonts w:ascii="Trebuchet MS" w:eastAsia="Trebuchet MS" w:hAnsi="Trebuchet MS" w:cs="Trebuchet MS"/>
          <w:color w:val="1F4E79" w:themeColor="accent1" w:themeShade="80"/>
          <w:sz w:val="22"/>
          <w:szCs w:val="22"/>
          <w:lang w:val="ro-RO"/>
        </w:rPr>
        <w:t>C</w:t>
      </w:r>
      <w:r w:rsidR="00396378" w:rsidRPr="00A94974">
        <w:rPr>
          <w:rFonts w:ascii="Trebuchet MS" w:eastAsia="Trebuchet MS" w:hAnsi="Trebuchet MS" w:cs="Trebuchet MS"/>
          <w:color w:val="1F4E79" w:themeColor="accent1" w:themeShade="80"/>
          <w:sz w:val="22"/>
          <w:szCs w:val="22"/>
          <w:lang w:val="ro-RO"/>
        </w:rPr>
        <w:t>onsiliului</w:t>
      </w:r>
      <w:r w:rsidRPr="00A94974">
        <w:rPr>
          <w:rFonts w:ascii="Trebuchet MS" w:eastAsia="Trebuchet MS" w:hAnsi="Trebuchet MS" w:cs="Trebuchet MS"/>
          <w:color w:val="1F4E79" w:themeColor="accent1" w:themeShade="80"/>
          <w:sz w:val="22"/>
          <w:szCs w:val="22"/>
          <w:lang w:val="ro-RO"/>
        </w:rPr>
        <w:t xml:space="preserve"> din 24 iunie 2021 de instituire a Fondului social european Plus (FSE+) și de abrogare a Regulamentului (UE) nr. 1296/2013</w:t>
      </w:r>
      <w:r w:rsidR="00DD54A0" w:rsidRPr="00A94974">
        <w:rPr>
          <w:rFonts w:ascii="Trebuchet MS" w:eastAsia="Trebuchet MS" w:hAnsi="Trebuchet MS" w:cs="Trebuchet MS"/>
          <w:color w:val="1F4E79" w:themeColor="accent1" w:themeShade="80"/>
          <w:sz w:val="22"/>
          <w:szCs w:val="22"/>
          <w:lang w:val="ro-RO"/>
        </w:rPr>
        <w:t>;</w:t>
      </w:r>
    </w:p>
    <w:p w14:paraId="2C0D149D" w14:textId="1FC7FE13" w:rsidR="00DD54A0" w:rsidRPr="00A94974" w:rsidRDefault="00DD54A0" w:rsidP="00BE3FAB">
      <w:pPr>
        <w:pStyle w:val="oj-doc-ti"/>
        <w:numPr>
          <w:ilvl w:val="0"/>
          <w:numId w:val="1"/>
        </w:numPr>
        <w:tabs>
          <w:tab w:val="left" w:pos="709"/>
        </w:tabs>
        <w:spacing w:before="0" w:beforeAutospacing="0" w:after="0" w:line="276" w:lineRule="auto"/>
        <w:jc w:val="both"/>
        <w:rPr>
          <w:rFonts w:ascii="Trebuchet MS" w:eastAsia="Trebuchet MS" w:hAnsi="Trebuchet MS" w:cs="Trebuchet MS"/>
          <w:color w:val="1F4E79" w:themeColor="accent1" w:themeShade="80"/>
          <w:sz w:val="22"/>
          <w:szCs w:val="22"/>
          <w:lang w:val="ro-RO"/>
        </w:rPr>
      </w:pPr>
      <w:r w:rsidRPr="00A94974">
        <w:rPr>
          <w:rFonts w:ascii="Trebuchet MS" w:eastAsia="Trebuchet MS" w:hAnsi="Trebuchet MS" w:cs="Trebuchet MS"/>
          <w:color w:val="1F4E79" w:themeColor="accent1" w:themeShade="80"/>
          <w:sz w:val="22"/>
          <w:szCs w:val="22"/>
          <w:lang w:val="ro-RO"/>
        </w:rPr>
        <w:t xml:space="preserve">Legea Învățământului </w:t>
      </w:r>
      <w:r w:rsidR="005C3802" w:rsidRPr="00A94974">
        <w:rPr>
          <w:rFonts w:ascii="Trebuchet MS" w:eastAsia="Trebuchet MS" w:hAnsi="Trebuchet MS" w:cs="Trebuchet MS"/>
          <w:color w:val="1F4E79" w:themeColor="accent1" w:themeShade="80"/>
          <w:sz w:val="22"/>
          <w:szCs w:val="22"/>
          <w:lang w:val="ro-RO"/>
        </w:rPr>
        <w:t>Superior</w:t>
      </w:r>
      <w:r w:rsidRPr="00A94974">
        <w:rPr>
          <w:rFonts w:ascii="Trebuchet MS" w:eastAsia="Trebuchet MS" w:hAnsi="Trebuchet MS" w:cs="Trebuchet MS"/>
          <w:color w:val="1F4E79" w:themeColor="accent1" w:themeShade="80"/>
          <w:sz w:val="22"/>
          <w:szCs w:val="22"/>
          <w:lang w:val="ro-RO"/>
        </w:rPr>
        <w:t xml:space="preserve">  nr.19</w:t>
      </w:r>
      <w:r w:rsidR="005C3802" w:rsidRPr="00A94974">
        <w:rPr>
          <w:rFonts w:ascii="Trebuchet MS" w:eastAsia="Trebuchet MS" w:hAnsi="Trebuchet MS" w:cs="Trebuchet MS"/>
          <w:color w:val="1F4E79" w:themeColor="accent1" w:themeShade="80"/>
          <w:sz w:val="22"/>
          <w:szCs w:val="22"/>
          <w:lang w:val="ro-RO"/>
        </w:rPr>
        <w:t>9</w:t>
      </w:r>
      <w:r w:rsidRPr="00A94974">
        <w:rPr>
          <w:rFonts w:ascii="Trebuchet MS" w:eastAsia="Trebuchet MS" w:hAnsi="Trebuchet MS" w:cs="Trebuchet MS"/>
          <w:color w:val="1F4E79" w:themeColor="accent1" w:themeShade="80"/>
          <w:sz w:val="22"/>
          <w:szCs w:val="22"/>
          <w:lang w:val="ro-RO"/>
        </w:rPr>
        <w:t>/2023, cu modificările și completările ulterioare</w:t>
      </w:r>
      <w:r w:rsidRPr="00A94974">
        <w:rPr>
          <w:rFonts w:ascii="Trebuchet MS" w:eastAsiaTheme="minorHAnsi" w:hAnsi="Trebuchet MS" w:cstheme="minorBidi"/>
          <w:color w:val="1F4E79" w:themeColor="accent1" w:themeShade="80"/>
          <w:sz w:val="22"/>
          <w:szCs w:val="22"/>
          <w:lang w:val="ro-RO"/>
        </w:rPr>
        <w:t>;</w:t>
      </w:r>
    </w:p>
    <w:p w14:paraId="112696FF" w14:textId="17693DA6" w:rsidR="007F6CE2" w:rsidRPr="00A94974" w:rsidRDefault="001326D0" w:rsidP="00BE3FAB">
      <w:pPr>
        <w:pStyle w:val="oj-doc-ti"/>
        <w:numPr>
          <w:ilvl w:val="0"/>
          <w:numId w:val="1"/>
        </w:numPr>
        <w:tabs>
          <w:tab w:val="left" w:pos="709"/>
        </w:tabs>
        <w:spacing w:before="0" w:beforeAutospacing="0" w:after="0" w:line="276" w:lineRule="auto"/>
        <w:jc w:val="both"/>
        <w:rPr>
          <w:rFonts w:ascii="Trebuchet MS" w:eastAsia="Trebuchet MS" w:hAnsi="Trebuchet MS" w:cs="Trebuchet MS"/>
          <w:color w:val="1F4E79" w:themeColor="accent1" w:themeShade="80"/>
          <w:sz w:val="22"/>
          <w:szCs w:val="22"/>
          <w:lang w:val="ro-RO"/>
        </w:rPr>
      </w:pPr>
      <w:proofErr w:type="spellStart"/>
      <w:r w:rsidRPr="00A94974">
        <w:rPr>
          <w:rFonts w:ascii="Trebuchet MS" w:eastAsia="Trebuchet MS" w:hAnsi="Trebuchet MS" w:cs="Trebuchet MS"/>
          <w:color w:val="1F4E79" w:themeColor="accent1" w:themeShade="80"/>
          <w:sz w:val="22"/>
          <w:szCs w:val="22"/>
          <w:lang w:val="ro-RO"/>
        </w:rPr>
        <w:t>O</w:t>
      </w:r>
      <w:r w:rsidR="00396378" w:rsidRPr="00A94974">
        <w:rPr>
          <w:rFonts w:ascii="Trebuchet MS" w:eastAsia="Trebuchet MS" w:hAnsi="Trebuchet MS" w:cs="Trebuchet MS"/>
          <w:color w:val="1F4E79" w:themeColor="accent1" w:themeShade="80"/>
          <w:sz w:val="22"/>
          <w:szCs w:val="22"/>
          <w:lang w:val="ro-RO"/>
        </w:rPr>
        <w:t>rdonanţ</w:t>
      </w:r>
      <w:r w:rsidR="009902F9" w:rsidRPr="00A94974">
        <w:rPr>
          <w:rFonts w:ascii="Trebuchet MS" w:eastAsia="Trebuchet MS" w:hAnsi="Trebuchet MS" w:cs="Trebuchet MS"/>
          <w:color w:val="1F4E79" w:themeColor="accent1" w:themeShade="80"/>
          <w:sz w:val="22"/>
          <w:szCs w:val="22"/>
          <w:lang w:val="ro-RO"/>
        </w:rPr>
        <w:t>a</w:t>
      </w:r>
      <w:proofErr w:type="spellEnd"/>
      <w:r w:rsidR="00396378" w:rsidRPr="00A94974">
        <w:rPr>
          <w:rFonts w:ascii="Trebuchet MS" w:eastAsia="Trebuchet MS" w:hAnsi="Trebuchet MS" w:cs="Trebuchet MS"/>
          <w:color w:val="1F4E79" w:themeColor="accent1" w:themeShade="80"/>
          <w:sz w:val="22"/>
          <w:szCs w:val="22"/>
          <w:lang w:val="ro-RO"/>
        </w:rPr>
        <w:t xml:space="preserve"> de </w:t>
      </w:r>
      <w:proofErr w:type="spellStart"/>
      <w:r w:rsidR="00396378" w:rsidRPr="00A94974">
        <w:rPr>
          <w:rFonts w:ascii="Trebuchet MS" w:eastAsia="Trebuchet MS" w:hAnsi="Trebuchet MS" w:cs="Trebuchet MS"/>
          <w:color w:val="1F4E79" w:themeColor="accent1" w:themeShade="80"/>
          <w:sz w:val="22"/>
          <w:szCs w:val="22"/>
          <w:lang w:val="ro-RO"/>
        </w:rPr>
        <w:t>urgenţă</w:t>
      </w:r>
      <w:proofErr w:type="spellEnd"/>
      <w:r w:rsidR="00396378" w:rsidRPr="00A94974">
        <w:rPr>
          <w:rFonts w:ascii="Trebuchet MS" w:eastAsia="Trebuchet MS" w:hAnsi="Trebuchet MS" w:cs="Trebuchet MS"/>
          <w:color w:val="1F4E79" w:themeColor="accent1" w:themeShade="80"/>
          <w:sz w:val="22"/>
          <w:szCs w:val="22"/>
          <w:lang w:val="ro-RO"/>
        </w:rPr>
        <w:t xml:space="preserve"> </w:t>
      </w:r>
      <w:r w:rsidRPr="00A94974">
        <w:rPr>
          <w:rFonts w:ascii="Trebuchet MS" w:eastAsia="Trebuchet MS" w:hAnsi="Trebuchet MS" w:cs="Trebuchet MS"/>
          <w:color w:val="1F4E79" w:themeColor="accent1" w:themeShade="80"/>
          <w:sz w:val="22"/>
          <w:szCs w:val="22"/>
          <w:lang w:val="ro-RO"/>
        </w:rPr>
        <w:t xml:space="preserve">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A94974">
        <w:rPr>
          <w:rFonts w:ascii="Trebuchet MS" w:eastAsia="Trebuchet MS" w:hAnsi="Trebuchet MS" w:cs="Trebuchet MS"/>
          <w:color w:val="1F4E79" w:themeColor="accent1" w:themeShade="80"/>
          <w:sz w:val="22"/>
          <w:szCs w:val="22"/>
          <w:lang w:val="ro-RO"/>
        </w:rPr>
        <w:t>tranziţie</w:t>
      </w:r>
      <w:proofErr w:type="spellEnd"/>
      <w:r w:rsidRPr="00A94974">
        <w:rPr>
          <w:rFonts w:ascii="Trebuchet MS" w:eastAsia="Trebuchet MS" w:hAnsi="Trebuchet MS" w:cs="Trebuchet MS"/>
          <w:color w:val="1F4E79" w:themeColor="accent1" w:themeShade="80"/>
          <w:sz w:val="22"/>
          <w:szCs w:val="22"/>
          <w:lang w:val="ro-RO"/>
        </w:rPr>
        <w:t xml:space="preserve"> justă</w:t>
      </w:r>
      <w:r w:rsidR="0076253B" w:rsidRPr="00A94974">
        <w:rPr>
          <w:rFonts w:ascii="Trebuchet MS" w:eastAsia="Trebuchet MS" w:hAnsi="Trebuchet MS" w:cs="Trebuchet MS"/>
          <w:color w:val="1F4E79" w:themeColor="accent1" w:themeShade="80"/>
          <w:sz w:val="22"/>
          <w:szCs w:val="22"/>
          <w:lang w:val="ro-RO"/>
        </w:rPr>
        <w:t>;</w:t>
      </w:r>
    </w:p>
    <w:p w14:paraId="23DE8F0C" w14:textId="77777777" w:rsidR="005C115D" w:rsidRPr="00A94974" w:rsidRDefault="005C115D" w:rsidP="005C115D">
      <w:pPr>
        <w:pStyle w:val="ListParagraph"/>
        <w:numPr>
          <w:ilvl w:val="0"/>
          <w:numId w:val="1"/>
        </w:numPr>
        <w:spacing w:after="0"/>
        <w:jc w:val="both"/>
        <w:rPr>
          <w:rFonts w:ascii="Trebuchet MS" w:hAnsi="Trebuchet MS"/>
          <w:color w:val="1F4E79" w:themeColor="accent1" w:themeShade="80"/>
        </w:rPr>
      </w:pPr>
      <w:r w:rsidRPr="00A94974">
        <w:rPr>
          <w:rFonts w:ascii="Trebuchet MS" w:hAnsi="Trebuchet MS"/>
          <w:color w:val="1F4E79" w:themeColor="accent1" w:themeShade="80"/>
        </w:rPr>
        <w:t xml:space="preserve">Strategia </w:t>
      </w:r>
      <w:proofErr w:type="spellStart"/>
      <w:r w:rsidRPr="00A94974">
        <w:rPr>
          <w:rFonts w:ascii="Trebuchet MS" w:hAnsi="Trebuchet MS"/>
          <w:color w:val="1F4E79" w:themeColor="accent1" w:themeShade="80"/>
        </w:rPr>
        <w:t>naţională</w:t>
      </w:r>
      <w:proofErr w:type="spellEnd"/>
      <w:r w:rsidRPr="00A94974">
        <w:rPr>
          <w:rFonts w:ascii="Trebuchet MS" w:hAnsi="Trebuchet MS"/>
          <w:color w:val="1F4E79" w:themeColor="accent1" w:themeShade="80"/>
        </w:rPr>
        <w:t xml:space="preserve"> privind incluziunea socială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reducerea sărăciei pentru perioada 2022-2027, aprobată prin Hotărârea Guvernului nr. 440/2022;</w:t>
      </w:r>
    </w:p>
    <w:p w14:paraId="2C22766F" w14:textId="77777777" w:rsidR="005C115D" w:rsidRPr="00A94974" w:rsidRDefault="005C115D" w:rsidP="005C115D">
      <w:pPr>
        <w:pStyle w:val="oj-doc-ti"/>
        <w:numPr>
          <w:ilvl w:val="0"/>
          <w:numId w:val="1"/>
        </w:numPr>
        <w:tabs>
          <w:tab w:val="left" w:pos="709"/>
        </w:tabs>
        <w:spacing w:after="0" w:line="276" w:lineRule="auto"/>
        <w:jc w:val="both"/>
        <w:rPr>
          <w:rFonts w:ascii="Trebuchet MS" w:eastAsiaTheme="minorHAnsi" w:hAnsi="Trebuchet MS" w:cstheme="minorBidi"/>
          <w:iCs/>
          <w:color w:val="1F4E79" w:themeColor="accent1" w:themeShade="80"/>
          <w:sz w:val="22"/>
          <w:szCs w:val="22"/>
          <w:lang w:val="ro-RO"/>
        </w:rPr>
      </w:pPr>
      <w:r w:rsidRPr="00A94974">
        <w:rPr>
          <w:rFonts w:ascii="Trebuchet MS" w:eastAsiaTheme="minorHAnsi" w:hAnsi="Trebuchet MS" w:cstheme="minorBidi"/>
          <w:iCs/>
          <w:color w:val="1F4E79" w:themeColor="accent1" w:themeShade="80"/>
          <w:sz w:val="22"/>
          <w:szCs w:val="22"/>
          <w:lang w:val="ro-RO"/>
        </w:rPr>
        <w:t>Strategia națională pentru dezvoltare durabilă a României 2030, aprobată prin Hotărârea Guvernului nr. 877/2018, cu modificările și completările ulterioare;</w:t>
      </w:r>
    </w:p>
    <w:p w14:paraId="41264735" w14:textId="77777777" w:rsidR="005C115D" w:rsidRPr="00A94974" w:rsidRDefault="005C115D" w:rsidP="005C115D">
      <w:pPr>
        <w:pStyle w:val="oj-doc-ti"/>
        <w:numPr>
          <w:ilvl w:val="0"/>
          <w:numId w:val="1"/>
        </w:numPr>
        <w:tabs>
          <w:tab w:val="left" w:pos="709"/>
        </w:tabs>
        <w:spacing w:after="0" w:line="276" w:lineRule="auto"/>
        <w:jc w:val="both"/>
        <w:rPr>
          <w:rFonts w:ascii="Trebuchet MS" w:eastAsiaTheme="minorHAnsi" w:hAnsi="Trebuchet MS" w:cstheme="minorBidi"/>
          <w:iCs/>
          <w:color w:val="1F4E79" w:themeColor="accent1" w:themeShade="80"/>
          <w:sz w:val="22"/>
          <w:szCs w:val="22"/>
          <w:lang w:val="ro-RO"/>
        </w:rPr>
      </w:pPr>
      <w:r w:rsidRPr="00A94974">
        <w:rPr>
          <w:rFonts w:ascii="Trebuchet MS" w:eastAsiaTheme="minorHAnsi" w:hAnsi="Trebuchet MS" w:cstheme="minorBidi"/>
          <w:iCs/>
          <w:color w:val="1F4E79" w:themeColor="accent1" w:themeShade="80"/>
          <w:sz w:val="22"/>
          <w:szCs w:val="22"/>
          <w:lang w:val="ro-RO"/>
        </w:rPr>
        <w:t>Strategia națională privind educația pentru mediu și schimbări climatice 2023 – 2030, aprobată prin Hotărârea Guvernului nr. 59/2023;</w:t>
      </w:r>
    </w:p>
    <w:p w14:paraId="74868FA5" w14:textId="77777777" w:rsidR="005C115D" w:rsidRPr="00A94974" w:rsidRDefault="005C115D" w:rsidP="005C115D">
      <w:pPr>
        <w:pStyle w:val="ListParagraph"/>
        <w:numPr>
          <w:ilvl w:val="0"/>
          <w:numId w:val="1"/>
        </w:numPr>
        <w:jc w:val="both"/>
        <w:rPr>
          <w:rFonts w:ascii="Trebuchet MS" w:hAnsi="Trebuchet MS" w:cs="Tahoma"/>
          <w:color w:val="1F4E79" w:themeColor="accent1" w:themeShade="80"/>
        </w:rPr>
      </w:pPr>
      <w:r w:rsidRPr="00A94974">
        <w:rPr>
          <w:rFonts w:ascii="Trebuchet MS" w:hAnsi="Trebuchet MS" w:cs="Tahoma"/>
          <w:color w:val="1F4E79" w:themeColor="accent1" w:themeShade="80"/>
        </w:rPr>
        <w:lastRenderedPageBreak/>
        <w:t>Proiectul România Educată – Proiectul Președintelui României (</w:t>
      </w:r>
      <w:hyperlink r:id="rId10" w:history="1">
        <w:r w:rsidRPr="00A94974">
          <w:rPr>
            <w:rStyle w:val="Hyperlink"/>
            <w:rFonts w:ascii="Trebuchet MS" w:hAnsi="Trebuchet MS" w:cs="Tahoma"/>
            <w:color w:val="1F4E79" w:themeColor="accent1" w:themeShade="80"/>
          </w:rPr>
          <w:t>http://www.romaniaeducata.eu/wp-content/uploads/2018/11/Romania-Educata-Viziune.pdf</w:t>
        </w:r>
      </w:hyperlink>
      <w:r w:rsidRPr="00A94974">
        <w:rPr>
          <w:rFonts w:ascii="Trebuchet MS" w:hAnsi="Trebuchet MS" w:cs="Tahoma"/>
          <w:color w:val="1F4E79" w:themeColor="accent1" w:themeShade="80"/>
        </w:rPr>
        <w:t>);</w:t>
      </w:r>
    </w:p>
    <w:p w14:paraId="6941B383" w14:textId="77777777" w:rsidR="005C115D" w:rsidRPr="00A94974" w:rsidRDefault="005C115D" w:rsidP="005C115D">
      <w:pPr>
        <w:pStyle w:val="ListParagraph"/>
        <w:numPr>
          <w:ilvl w:val="0"/>
          <w:numId w:val="1"/>
        </w:numPr>
        <w:jc w:val="both"/>
        <w:rPr>
          <w:rFonts w:ascii="Trebuchet MS" w:hAnsi="Trebuchet MS" w:cs="Tahoma"/>
          <w:color w:val="1F4E79" w:themeColor="accent1" w:themeShade="80"/>
        </w:rPr>
      </w:pPr>
      <w:r w:rsidRPr="00A94974">
        <w:rPr>
          <w:rFonts w:ascii="Trebuchet MS" w:hAnsi="Trebuchet MS"/>
          <w:iCs/>
          <w:color w:val="1F4E79" w:themeColor="accent1" w:themeShade="80"/>
        </w:rPr>
        <w:t>Raport de evaluare POCU 2014-2020 (</w:t>
      </w:r>
      <w:hyperlink r:id="rId11" w:anchor="rezultate_implementare" w:history="1">
        <w:r w:rsidRPr="00A94974">
          <w:rPr>
            <w:rStyle w:val="Hyperlink"/>
            <w:rFonts w:ascii="Trebuchet MS" w:hAnsi="Trebuchet MS"/>
            <w:iCs/>
            <w:color w:val="1F4E79" w:themeColor="accent1" w:themeShade="80"/>
          </w:rPr>
          <w:t>https://mfe.gov.ro/programe/autoritati-de-management/am-pocu/#rezultate_implementare</w:t>
        </w:r>
      </w:hyperlink>
      <w:r w:rsidRPr="00A94974">
        <w:rPr>
          <w:rFonts w:ascii="Trebuchet MS" w:hAnsi="Trebuchet MS"/>
          <w:iCs/>
          <w:color w:val="1F4E79" w:themeColor="accent1" w:themeShade="80"/>
        </w:rPr>
        <w:t>);</w:t>
      </w:r>
    </w:p>
    <w:p w14:paraId="18908B20" w14:textId="77777777" w:rsidR="005C115D" w:rsidRPr="00A94974" w:rsidRDefault="005C115D" w:rsidP="005C115D">
      <w:pPr>
        <w:pStyle w:val="ListParagraph"/>
        <w:numPr>
          <w:ilvl w:val="0"/>
          <w:numId w:val="1"/>
        </w:numPr>
        <w:jc w:val="both"/>
        <w:rPr>
          <w:rFonts w:ascii="Trebuchet MS" w:hAnsi="Trebuchet MS" w:cs="Tahoma"/>
          <w:color w:val="1F4E79" w:themeColor="accent1" w:themeShade="80"/>
        </w:rPr>
      </w:pPr>
      <w:r w:rsidRPr="00A94974">
        <w:rPr>
          <w:rFonts w:ascii="Trebuchet MS" w:hAnsi="Trebuchet MS"/>
          <w:iCs/>
          <w:color w:val="1F4E79" w:themeColor="accent1" w:themeShade="80"/>
        </w:rPr>
        <w:t>Programul Național de Reformă 2024 (</w:t>
      </w:r>
      <w:hyperlink r:id="rId12" w:history="1">
        <w:r w:rsidRPr="00A94974">
          <w:rPr>
            <w:rStyle w:val="Hyperlink"/>
            <w:rFonts w:ascii="Trebuchet MS" w:hAnsi="Trebuchet MS"/>
            <w:iCs/>
            <w:color w:val="1F4E79" w:themeColor="accent1" w:themeShade="80"/>
          </w:rPr>
          <w:t>https://www.mae.ro/sites/default/files/file/anul_2024/pdf_2024/2024.07.05_pnr_2024_ro.pdf</w:t>
        </w:r>
      </w:hyperlink>
      <w:r w:rsidRPr="00A94974">
        <w:rPr>
          <w:rFonts w:ascii="Trebuchet MS" w:hAnsi="Trebuchet MS"/>
          <w:iCs/>
          <w:color w:val="1F4E79" w:themeColor="accent1" w:themeShade="80"/>
        </w:rPr>
        <w:t>);</w:t>
      </w:r>
    </w:p>
    <w:p w14:paraId="4AB60A07" w14:textId="671256B1" w:rsidR="006808F9" w:rsidRPr="00A94974" w:rsidRDefault="00DC7B34" w:rsidP="00A701C7">
      <w:pPr>
        <w:pStyle w:val="Heading1"/>
        <w:rPr>
          <w:color w:val="1F4E79" w:themeColor="accent1" w:themeShade="80"/>
        </w:rPr>
      </w:pPr>
      <w:bookmarkStart w:id="13" w:name="_Toc179368077"/>
      <w:r w:rsidRPr="00A94974">
        <w:rPr>
          <w:color w:val="1F4E79" w:themeColor="accent1" w:themeShade="80"/>
        </w:rPr>
        <w:t xml:space="preserve">3. </w:t>
      </w:r>
      <w:r w:rsidR="00C940A4" w:rsidRPr="00A94974">
        <w:rPr>
          <w:color w:val="1F4E79" w:themeColor="accent1" w:themeShade="80"/>
        </w:rPr>
        <w:t>ASPECTE SPECIFICE APELULUI DE PROIECTE</w:t>
      </w:r>
      <w:bookmarkEnd w:id="13"/>
      <w:r w:rsidR="00C940A4" w:rsidRPr="00A94974">
        <w:rPr>
          <w:color w:val="1F4E79" w:themeColor="accent1" w:themeShade="80"/>
        </w:rPr>
        <w:t xml:space="preserve"> </w:t>
      </w:r>
      <w:r w:rsidR="00520DB4" w:rsidRPr="00A94974">
        <w:rPr>
          <w:color w:val="1F4E79" w:themeColor="accent1" w:themeShade="80"/>
        </w:rPr>
        <w:t xml:space="preserve"> </w:t>
      </w:r>
    </w:p>
    <w:p w14:paraId="73683760" w14:textId="64B976EF" w:rsidR="00913FF1" w:rsidRPr="00A94974" w:rsidRDefault="00DC7B34" w:rsidP="001A50B1">
      <w:pPr>
        <w:pStyle w:val="Heading2"/>
        <w:rPr>
          <w:color w:val="1F4E79" w:themeColor="accent1" w:themeShade="80"/>
        </w:rPr>
      </w:pPr>
      <w:bookmarkStart w:id="14" w:name="_Toc179368078"/>
      <w:r w:rsidRPr="00A94974">
        <w:rPr>
          <w:color w:val="1F4E79" w:themeColor="accent1" w:themeShade="80"/>
        </w:rPr>
        <w:t xml:space="preserve">3.1 </w:t>
      </w:r>
      <w:r w:rsidR="00913FF1" w:rsidRPr="00A94974">
        <w:rPr>
          <w:color w:val="1F4E79" w:themeColor="accent1" w:themeShade="80"/>
        </w:rPr>
        <w:t>Tipul de apel</w:t>
      </w:r>
      <w:bookmarkEnd w:id="14"/>
      <w:r w:rsidR="00913FF1" w:rsidRPr="00A94974">
        <w:rPr>
          <w:color w:val="1F4E79" w:themeColor="accent1" w:themeShade="80"/>
        </w:rPr>
        <w:t xml:space="preserve"> </w:t>
      </w:r>
      <w:r w:rsidR="00913FF1" w:rsidRPr="00A94974">
        <w:rPr>
          <w:color w:val="1F4E79" w:themeColor="accent1" w:themeShade="80"/>
        </w:rPr>
        <w:tab/>
      </w:r>
    </w:p>
    <w:p w14:paraId="4BEB5686" w14:textId="4A8F2F8C" w:rsidR="003275EE" w:rsidRPr="00A94974" w:rsidRDefault="00DA0679" w:rsidP="008C7277">
      <w:pPr>
        <w:jc w:val="both"/>
        <w:rPr>
          <w:rFonts w:ascii="Trebuchet MS" w:hAnsi="Trebuchet MS"/>
          <w:iCs/>
          <w:color w:val="1F4E79" w:themeColor="accent1" w:themeShade="80"/>
        </w:rPr>
      </w:pPr>
      <w:r w:rsidRPr="00A94974">
        <w:rPr>
          <w:rFonts w:ascii="Trebuchet MS" w:hAnsi="Trebuchet MS"/>
          <w:iCs/>
          <w:color w:val="1F4E79" w:themeColor="accent1" w:themeShade="80"/>
        </w:rPr>
        <w:t>Prezentul Ghid reglementeaz</w:t>
      </w:r>
      <w:r w:rsidR="00E63EB8"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condițiile de finanțare aferente </w:t>
      </w:r>
      <w:r w:rsidR="00447DEC" w:rsidRPr="00A94974">
        <w:rPr>
          <w:rFonts w:ascii="Trebuchet MS" w:hAnsi="Trebuchet MS"/>
          <w:iCs/>
          <w:color w:val="1F4E79" w:themeColor="accent1" w:themeShade="80"/>
        </w:rPr>
        <w:t>apel</w:t>
      </w:r>
      <w:r w:rsidRPr="00A94974">
        <w:rPr>
          <w:rFonts w:ascii="Trebuchet MS" w:hAnsi="Trebuchet MS"/>
          <w:iCs/>
          <w:color w:val="1F4E79" w:themeColor="accent1" w:themeShade="80"/>
        </w:rPr>
        <w:t>urilor</w:t>
      </w:r>
      <w:r w:rsidR="00447DEC" w:rsidRPr="00A94974">
        <w:rPr>
          <w:rFonts w:ascii="Trebuchet MS" w:hAnsi="Trebuchet MS"/>
          <w:iCs/>
          <w:color w:val="1F4E79" w:themeColor="accent1" w:themeShade="80"/>
        </w:rPr>
        <w:t xml:space="preserve"> de proiecte de tip competitiv, cu termen limită de depunere</w:t>
      </w:r>
      <w:r w:rsidR="004E057E" w:rsidRPr="00A94974">
        <w:rPr>
          <w:rFonts w:ascii="Trebuchet MS" w:hAnsi="Trebuchet MS"/>
          <w:iCs/>
          <w:color w:val="1F4E79" w:themeColor="accent1" w:themeShade="80"/>
        </w:rPr>
        <w:t>,</w:t>
      </w:r>
      <w:r w:rsidR="00297B4D" w:rsidRPr="00A94974">
        <w:rPr>
          <w:rFonts w:ascii="Trebuchet MS" w:hAnsi="Trebuchet MS"/>
          <w:iCs/>
          <w:color w:val="1F4E79" w:themeColor="accent1" w:themeShade="80"/>
        </w:rPr>
        <w:t xml:space="preserve"> destinat</w:t>
      </w:r>
      <w:r w:rsidRPr="00A94974">
        <w:rPr>
          <w:rFonts w:ascii="Trebuchet MS" w:hAnsi="Trebuchet MS"/>
          <w:iCs/>
          <w:color w:val="1F4E79" w:themeColor="accent1" w:themeShade="80"/>
        </w:rPr>
        <w:t>e</w:t>
      </w:r>
      <w:r w:rsidR="00567413" w:rsidRPr="00A94974">
        <w:rPr>
          <w:rFonts w:ascii="Trebuchet MS" w:hAnsi="Trebuchet MS"/>
          <w:iCs/>
          <w:color w:val="1F4E79" w:themeColor="accent1" w:themeShade="80"/>
        </w:rPr>
        <w:t xml:space="preserve"> tuturor</w:t>
      </w:r>
      <w:r w:rsidR="00297B4D" w:rsidRPr="00A94974">
        <w:rPr>
          <w:rFonts w:ascii="Trebuchet MS" w:hAnsi="Trebuchet MS"/>
          <w:iCs/>
          <w:color w:val="1F4E79" w:themeColor="accent1" w:themeShade="80"/>
        </w:rPr>
        <w:t xml:space="preserve"> regiunilor </w:t>
      </w:r>
      <w:r w:rsidR="00567413" w:rsidRPr="00A94974">
        <w:rPr>
          <w:rFonts w:ascii="Trebuchet MS" w:hAnsi="Trebuchet MS"/>
          <w:iCs/>
          <w:color w:val="1F4E79" w:themeColor="accent1" w:themeShade="80"/>
        </w:rPr>
        <w:t>de</w:t>
      </w:r>
      <w:r w:rsidR="00297B4D" w:rsidRPr="00A94974">
        <w:rPr>
          <w:rFonts w:ascii="Trebuchet MS" w:hAnsi="Trebuchet MS"/>
          <w:iCs/>
          <w:color w:val="1F4E79" w:themeColor="accent1" w:themeShade="80"/>
        </w:rPr>
        <w:t xml:space="preserve"> dezvolta</w:t>
      </w:r>
      <w:r w:rsidR="00567413" w:rsidRPr="00A94974">
        <w:rPr>
          <w:rFonts w:ascii="Trebuchet MS" w:hAnsi="Trebuchet MS"/>
          <w:iCs/>
          <w:color w:val="1F4E79" w:themeColor="accent1" w:themeShade="80"/>
        </w:rPr>
        <w:t>r</w:t>
      </w:r>
      <w:r w:rsidR="003275EE" w:rsidRPr="00A94974">
        <w:rPr>
          <w:rFonts w:ascii="Trebuchet MS" w:hAnsi="Trebuchet MS"/>
          <w:iCs/>
          <w:color w:val="1F4E79" w:themeColor="accent1" w:themeShade="80"/>
        </w:rPr>
        <w:t>e ale României</w:t>
      </w:r>
      <w:r w:rsidR="00297B4D" w:rsidRPr="00A94974">
        <w:rPr>
          <w:rFonts w:ascii="Trebuchet MS" w:hAnsi="Trebuchet MS"/>
          <w:iCs/>
          <w:color w:val="1F4E79" w:themeColor="accent1" w:themeShade="80"/>
        </w:rPr>
        <w:t xml:space="preserve">: </w:t>
      </w:r>
      <w:r w:rsidR="00567413" w:rsidRPr="00A94974">
        <w:rPr>
          <w:rFonts w:ascii="Trebuchet MS" w:hAnsi="Trebuchet MS"/>
          <w:iCs/>
          <w:color w:val="1F4E79" w:themeColor="accent1" w:themeShade="80"/>
        </w:rPr>
        <w:t xml:space="preserve">București – Ilfov, </w:t>
      </w:r>
      <w:r w:rsidR="00297B4D" w:rsidRPr="00A94974">
        <w:rPr>
          <w:rFonts w:ascii="Trebuchet MS" w:hAnsi="Trebuchet MS"/>
          <w:iCs/>
          <w:color w:val="1F4E79" w:themeColor="accent1" w:themeShade="80"/>
        </w:rPr>
        <w:t xml:space="preserve">Nord‐Est, Sud‐Est, Sud‐Vest Oltenia, Sud-Muntenia, Nord-Vest, Vest, Centru. </w:t>
      </w:r>
    </w:p>
    <w:p w14:paraId="3BCE200C" w14:textId="77777777" w:rsidR="009902F9" w:rsidRPr="00A94974" w:rsidRDefault="009902F9" w:rsidP="008C7277">
      <w:pPr>
        <w:jc w:val="both"/>
        <w:rPr>
          <w:rFonts w:ascii="Trebuchet MS" w:hAnsi="Trebuchet MS"/>
          <w:iCs/>
          <w:color w:val="1F4E79" w:themeColor="accent1" w:themeShade="80"/>
        </w:rPr>
      </w:pPr>
    </w:p>
    <w:p w14:paraId="028F9C41" w14:textId="38D22DB4" w:rsidR="009B5CB9" w:rsidRPr="00A94974" w:rsidRDefault="00DC7B34" w:rsidP="001A50B1">
      <w:pPr>
        <w:pStyle w:val="Heading2"/>
        <w:rPr>
          <w:color w:val="1F4E79" w:themeColor="accent1" w:themeShade="80"/>
        </w:rPr>
      </w:pPr>
      <w:bookmarkStart w:id="15" w:name="_Toc179368079"/>
      <w:r w:rsidRPr="00A94974">
        <w:rPr>
          <w:color w:val="1F4E79" w:themeColor="accent1" w:themeShade="80"/>
        </w:rPr>
        <w:t xml:space="preserve">3.2 </w:t>
      </w:r>
      <w:r w:rsidR="009B5CB9" w:rsidRPr="00A94974">
        <w:rPr>
          <w:color w:val="1F4E79" w:themeColor="accent1" w:themeShade="80"/>
        </w:rPr>
        <w:t>Forma de sprijin (granturi; instrumentele financiare; premii)</w:t>
      </w:r>
      <w:bookmarkEnd w:id="15"/>
    </w:p>
    <w:p w14:paraId="362F7A76" w14:textId="71088B3D" w:rsidR="004E057E" w:rsidRPr="00A94974" w:rsidRDefault="00447DEC" w:rsidP="008C7277">
      <w:pPr>
        <w:jc w:val="both"/>
        <w:rPr>
          <w:rFonts w:ascii="Trebuchet MS" w:hAnsi="Trebuchet MS"/>
          <w:iCs/>
          <w:color w:val="1F4E79" w:themeColor="accent1" w:themeShade="80"/>
        </w:rPr>
      </w:pPr>
      <w:r w:rsidRPr="00A94974">
        <w:rPr>
          <w:rFonts w:ascii="Trebuchet MS" w:hAnsi="Trebuchet MS"/>
          <w:iCs/>
          <w:color w:val="1F4E79" w:themeColor="accent1" w:themeShade="80"/>
        </w:rPr>
        <w:t>Având în vedere că tipurile de acțiuni susținute în cadrul apelu</w:t>
      </w:r>
      <w:r w:rsidR="001D64E0" w:rsidRPr="00A94974">
        <w:rPr>
          <w:rFonts w:ascii="Trebuchet MS" w:hAnsi="Trebuchet MS"/>
          <w:iCs/>
          <w:color w:val="1F4E79" w:themeColor="accent1" w:themeShade="80"/>
        </w:rPr>
        <w:t>lui</w:t>
      </w:r>
      <w:r w:rsidRPr="00A94974">
        <w:rPr>
          <w:rFonts w:ascii="Trebuchet MS" w:hAnsi="Trebuchet MS"/>
          <w:iCs/>
          <w:color w:val="1F4E79" w:themeColor="accent1" w:themeShade="80"/>
        </w:rPr>
        <w:t xml:space="preserve"> nu generează venituri, sprijinul va fi acordat sub formă de granturi</w:t>
      </w:r>
      <w:r w:rsidR="00481981" w:rsidRPr="00A94974">
        <w:rPr>
          <w:rFonts w:ascii="Trebuchet MS" w:hAnsi="Trebuchet MS"/>
          <w:iCs/>
          <w:color w:val="1F4E79" w:themeColor="accent1" w:themeShade="80"/>
        </w:rPr>
        <w:t xml:space="preserve"> nerambursabile</w:t>
      </w:r>
      <w:r w:rsidRPr="00A94974">
        <w:rPr>
          <w:rFonts w:ascii="Trebuchet MS" w:hAnsi="Trebuchet MS"/>
          <w:iCs/>
          <w:color w:val="1F4E79" w:themeColor="accent1" w:themeShade="80"/>
        </w:rPr>
        <w:t xml:space="preserve"> și nu prin intermediul instrumentelor financiare.</w:t>
      </w:r>
    </w:p>
    <w:p w14:paraId="7AE9A589" w14:textId="77777777" w:rsidR="001A50B1" w:rsidRPr="00A94974" w:rsidRDefault="001A50B1" w:rsidP="008C7277">
      <w:pPr>
        <w:jc w:val="both"/>
        <w:rPr>
          <w:rFonts w:ascii="Trebuchet MS" w:hAnsi="Trebuchet MS"/>
          <w:iCs/>
          <w:color w:val="1F4E79" w:themeColor="accent1" w:themeShade="80"/>
        </w:rPr>
      </w:pPr>
    </w:p>
    <w:p w14:paraId="50CD6275" w14:textId="5DA72455" w:rsidR="009B5CB9" w:rsidRPr="00A94974" w:rsidRDefault="00DC7B34" w:rsidP="001A50B1">
      <w:pPr>
        <w:pStyle w:val="Heading2"/>
        <w:rPr>
          <w:color w:val="1F4E79" w:themeColor="accent1" w:themeShade="80"/>
        </w:rPr>
      </w:pPr>
      <w:bookmarkStart w:id="16" w:name="_Toc179368080"/>
      <w:r w:rsidRPr="00A94974">
        <w:rPr>
          <w:color w:val="1F4E79" w:themeColor="accent1" w:themeShade="80"/>
        </w:rPr>
        <w:t xml:space="preserve">3.3  </w:t>
      </w:r>
      <w:r w:rsidR="009B5CB9" w:rsidRPr="00A94974">
        <w:rPr>
          <w:rStyle w:val="Heading2Char"/>
          <w:color w:val="1F4E79" w:themeColor="accent1" w:themeShade="80"/>
        </w:rPr>
        <w:t>Bugetul alocat apelului de proiecte</w:t>
      </w:r>
      <w:bookmarkEnd w:id="16"/>
      <w:r w:rsidR="009B5CB9" w:rsidRPr="00A94974">
        <w:rPr>
          <w:color w:val="1F4E79" w:themeColor="accent1" w:themeShade="80"/>
        </w:rPr>
        <w:t xml:space="preserve"> </w:t>
      </w:r>
      <w:r w:rsidR="009B5CB9" w:rsidRPr="00A94974">
        <w:rPr>
          <w:color w:val="1F4E79" w:themeColor="accent1" w:themeShade="80"/>
        </w:rPr>
        <w:tab/>
      </w:r>
    </w:p>
    <w:p w14:paraId="4C40B87A" w14:textId="7699050C" w:rsidR="00567413" w:rsidRPr="00A94974" w:rsidRDefault="00567413" w:rsidP="00171CE6">
      <w:pPr>
        <w:spacing w:after="0" w:line="276" w:lineRule="auto"/>
        <w:jc w:val="both"/>
        <w:rPr>
          <w:rFonts w:ascii="Trebuchet MS" w:hAnsi="Trebuchet MS"/>
          <w:iCs/>
          <w:color w:val="1F4E79" w:themeColor="accent1" w:themeShade="80"/>
        </w:rPr>
      </w:pPr>
      <w:bookmarkStart w:id="17" w:name="_Hlk152074728"/>
      <w:r w:rsidRPr="00A94974">
        <w:rPr>
          <w:rFonts w:ascii="Trebuchet MS" w:hAnsi="Trebuchet MS"/>
          <w:iCs/>
          <w:color w:val="1F4E79" w:themeColor="accent1" w:themeShade="80"/>
        </w:rPr>
        <w:t>Alocarea financiară totală euro (FSE + buget de stat)</w:t>
      </w:r>
      <w:r w:rsidR="004B6B9F" w:rsidRPr="00A94974">
        <w:rPr>
          <w:rFonts w:ascii="Trebuchet MS" w:hAnsi="Trebuchet MS"/>
          <w:iCs/>
          <w:color w:val="1F4E79" w:themeColor="accent1" w:themeShade="80"/>
        </w:rPr>
        <w:t xml:space="preserve"> este de </w:t>
      </w:r>
      <w:bookmarkStart w:id="18" w:name="_Hlk181013001"/>
      <w:r w:rsidRPr="00A94974">
        <w:rPr>
          <w:rFonts w:ascii="Trebuchet MS" w:hAnsi="Trebuchet MS"/>
          <w:iCs/>
          <w:color w:val="1F4E79" w:themeColor="accent1" w:themeShade="80"/>
        </w:rPr>
        <w:t>24</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852</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941</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00 euro, </w:t>
      </w:r>
      <w:r w:rsidR="00A604E9" w:rsidRPr="00A94974">
        <w:rPr>
          <w:rFonts w:ascii="Trebuchet MS" w:hAnsi="Trebuchet MS"/>
          <w:iCs/>
          <w:color w:val="1F4E79" w:themeColor="accent1" w:themeShade="80"/>
        </w:rPr>
        <w:t xml:space="preserve">din care contribuția UE este de </w:t>
      </w:r>
      <w:r w:rsidR="00A94974">
        <w:rPr>
          <w:rFonts w:ascii="Trebuchet MS" w:hAnsi="Trebuchet MS"/>
          <w:iCs/>
          <w:color w:val="1F4E79" w:themeColor="accent1" w:themeShade="80"/>
        </w:rPr>
        <w:t>20.000.000</w:t>
      </w:r>
      <w:r w:rsidR="00BE6BF1" w:rsidRPr="00A94974">
        <w:rPr>
          <w:rFonts w:ascii="Trebuchet MS" w:hAnsi="Trebuchet MS"/>
          <w:iCs/>
          <w:color w:val="1F4E79" w:themeColor="accent1" w:themeShade="80"/>
        </w:rPr>
        <w:t>,</w:t>
      </w:r>
      <w:r w:rsidR="00A94974">
        <w:rPr>
          <w:rFonts w:ascii="Trebuchet MS" w:hAnsi="Trebuchet MS"/>
          <w:iCs/>
          <w:color w:val="1F4E79" w:themeColor="accent1" w:themeShade="80"/>
        </w:rPr>
        <w:t>00</w:t>
      </w:r>
      <w:r w:rsidR="00A604E9" w:rsidRPr="00A94974">
        <w:rPr>
          <w:rFonts w:ascii="Trebuchet MS" w:hAnsi="Trebuchet MS"/>
          <w:iCs/>
          <w:color w:val="1F4E79" w:themeColor="accent1" w:themeShade="80"/>
        </w:rPr>
        <w:t xml:space="preserve"> euro, iar contribuția națională este de 4.852.941</w:t>
      </w:r>
      <w:r w:rsidR="00BE6BF1" w:rsidRPr="00A94974">
        <w:rPr>
          <w:rFonts w:ascii="Trebuchet MS" w:hAnsi="Trebuchet MS"/>
          <w:iCs/>
          <w:color w:val="1F4E79" w:themeColor="accent1" w:themeShade="80"/>
        </w:rPr>
        <w:t>,</w:t>
      </w:r>
      <w:r w:rsidR="00A94974">
        <w:rPr>
          <w:rFonts w:ascii="Trebuchet MS" w:hAnsi="Trebuchet MS"/>
          <w:iCs/>
          <w:color w:val="1F4E79" w:themeColor="accent1" w:themeShade="80"/>
        </w:rPr>
        <w:t>00</w:t>
      </w:r>
      <w:r w:rsidR="00A604E9" w:rsidRPr="00A94974">
        <w:rPr>
          <w:rFonts w:ascii="Trebuchet MS" w:hAnsi="Trebuchet MS"/>
          <w:iCs/>
          <w:color w:val="1F4E79" w:themeColor="accent1" w:themeShade="80"/>
        </w:rPr>
        <w:t xml:space="preserve"> euro</w:t>
      </w:r>
      <w:bookmarkEnd w:id="18"/>
      <w:r w:rsidR="004B6B9F" w:rsidRPr="00A94974">
        <w:rPr>
          <w:rFonts w:ascii="Trebuchet MS" w:hAnsi="Trebuchet MS"/>
          <w:iCs/>
          <w:color w:val="1F4E79" w:themeColor="accent1" w:themeShade="80"/>
        </w:rPr>
        <w:t>,</w:t>
      </w:r>
      <w:r w:rsidR="00A604E9"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repartizat la nivelul celor două categorii de regiuni după cum urmează:</w:t>
      </w:r>
    </w:p>
    <w:p w14:paraId="206A20B0" w14:textId="287567D5" w:rsidR="00567413" w:rsidRPr="00A94974" w:rsidRDefault="00567413" w:rsidP="005E6AA4">
      <w:pPr>
        <w:pStyle w:val="ListParagraph"/>
        <w:numPr>
          <w:ilvl w:val="0"/>
          <w:numId w:val="16"/>
        </w:numPr>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pentru regiunile mai puțin dezvoltate (Nord-Est, Sud-Est, Sud-Muntenia, Sud-Vest Oltenia, Nord-Vest, Vest și Centru), suma totală disponibilă este de 22</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352</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941</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00 euro, din care contribuția UE este de </w:t>
      </w:r>
      <w:r w:rsidR="00A94974">
        <w:rPr>
          <w:rFonts w:ascii="Trebuchet MS" w:hAnsi="Trebuchet MS"/>
          <w:iCs/>
          <w:color w:val="1F4E79" w:themeColor="accent1" w:themeShade="80"/>
        </w:rPr>
        <w:t>19.000.000,00</w:t>
      </w:r>
      <w:r w:rsidR="005E6AA4"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 xml:space="preserve">(corespunzând unei contribuții UE de 85%), iar contribuția națională este de </w:t>
      </w:r>
      <w:r w:rsidR="005E6AA4" w:rsidRPr="00A94974">
        <w:rPr>
          <w:rFonts w:ascii="Trebuchet MS" w:hAnsi="Trebuchet MS"/>
          <w:iCs/>
          <w:color w:val="1F4E79" w:themeColor="accent1" w:themeShade="80"/>
        </w:rPr>
        <w:t>3.352.941,</w:t>
      </w:r>
      <w:r w:rsidR="00A94974">
        <w:rPr>
          <w:rFonts w:ascii="Trebuchet MS" w:hAnsi="Trebuchet MS"/>
          <w:iCs/>
          <w:color w:val="1F4E79" w:themeColor="accent1" w:themeShade="80"/>
        </w:rPr>
        <w:t>00</w:t>
      </w:r>
      <w:r w:rsidR="005E6AA4"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euro (corespunzând unei contribuții naționale de 15%);</w:t>
      </w:r>
    </w:p>
    <w:p w14:paraId="19444066" w14:textId="170E6C54" w:rsidR="004E057E" w:rsidRPr="00A94974" w:rsidRDefault="00567413" w:rsidP="00BE3FAB">
      <w:pPr>
        <w:pStyle w:val="ListParagraph"/>
        <w:numPr>
          <w:ilvl w:val="0"/>
          <w:numId w:val="16"/>
        </w:num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pentru regiunea dezvoltată (București-Ilfov), suma totală disponibilă este 2</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500</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000</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00 de euro, din care contribuția UE este de 1</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000</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000</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00 de euro (corespunzând unei contribuții UE de 40%), iar contribuția națională este de 1</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500</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000</w:t>
      </w:r>
      <w:r w:rsidR="00C51811" w:rsidRPr="00A94974">
        <w:rPr>
          <w:rFonts w:ascii="Trebuchet MS" w:hAnsi="Trebuchet MS"/>
          <w:iCs/>
          <w:color w:val="1F4E79" w:themeColor="accent1" w:themeShade="80"/>
        </w:rPr>
        <w:t>,</w:t>
      </w:r>
      <w:r w:rsidRPr="00A94974">
        <w:rPr>
          <w:rFonts w:ascii="Trebuchet MS" w:hAnsi="Trebuchet MS"/>
          <w:iCs/>
          <w:color w:val="1F4E79" w:themeColor="accent1" w:themeShade="80"/>
        </w:rPr>
        <w:t>00 de euro (corespunzând unei contribuții naționale de 60%).</w:t>
      </w:r>
    </w:p>
    <w:p w14:paraId="5CF662CF" w14:textId="77777777" w:rsidR="00171CE6" w:rsidRPr="00A94974" w:rsidRDefault="00171CE6" w:rsidP="00171CE6">
      <w:pPr>
        <w:pStyle w:val="ListParagraph"/>
        <w:spacing w:before="120" w:after="120" w:line="276" w:lineRule="auto"/>
        <w:jc w:val="both"/>
        <w:rPr>
          <w:rFonts w:ascii="Trebuchet MS" w:hAnsi="Trebuchet MS"/>
          <w:iCs/>
          <w:color w:val="1F4E79" w:themeColor="accent1" w:themeShade="80"/>
        </w:rPr>
      </w:pPr>
    </w:p>
    <w:p w14:paraId="476E0F65" w14:textId="054AC542" w:rsidR="00481981" w:rsidRPr="00A94974" w:rsidRDefault="00DC7B34" w:rsidP="001A50B1">
      <w:pPr>
        <w:pStyle w:val="Heading2"/>
        <w:rPr>
          <w:color w:val="1F4E79" w:themeColor="accent1" w:themeShade="80"/>
        </w:rPr>
      </w:pPr>
      <w:bookmarkStart w:id="19" w:name="_Toc179368081"/>
      <w:bookmarkEnd w:id="17"/>
      <w:r w:rsidRPr="00A94974">
        <w:rPr>
          <w:color w:val="1F4E79" w:themeColor="accent1" w:themeShade="80"/>
        </w:rPr>
        <w:t xml:space="preserve">3.4 </w:t>
      </w:r>
      <w:r w:rsidR="00DE595B" w:rsidRPr="00A94974">
        <w:rPr>
          <w:color w:val="1F4E79" w:themeColor="accent1" w:themeShade="80"/>
        </w:rPr>
        <w:t>Rata de cofinanțare</w:t>
      </w:r>
      <w:bookmarkEnd w:id="19"/>
      <w:r w:rsidR="00DE595B" w:rsidRPr="00A94974">
        <w:rPr>
          <w:color w:val="1F4E79" w:themeColor="accent1" w:themeShade="80"/>
        </w:rPr>
        <w:t xml:space="preserve"> </w:t>
      </w:r>
      <w:r w:rsidR="00DE595B" w:rsidRPr="00A94974">
        <w:rPr>
          <w:color w:val="1F4E79" w:themeColor="accent1" w:themeShade="80"/>
        </w:rPr>
        <w:tab/>
      </w:r>
    </w:p>
    <w:p w14:paraId="593F510C" w14:textId="0C892DF2" w:rsidR="00567413" w:rsidRPr="00A94974" w:rsidRDefault="00567413" w:rsidP="004005BF">
      <w:pPr>
        <w:jc w:val="both"/>
        <w:rPr>
          <w:rFonts w:ascii="Trebuchet MS" w:hAnsi="Trebuchet MS"/>
          <w:color w:val="1F4E79" w:themeColor="accent1" w:themeShade="80"/>
        </w:rPr>
      </w:pPr>
      <w:r w:rsidRPr="00A94974">
        <w:rPr>
          <w:rFonts w:ascii="Trebuchet MS" w:hAnsi="Trebuchet MS"/>
          <w:color w:val="1F4E79" w:themeColor="accent1" w:themeShade="80"/>
        </w:rPr>
        <w:t xml:space="preserve">Cuantumul asistenței financiare nerambursabile se stabilește în mod individual, în funcție de modalitatea de organizare juridică a solicitantului în conformitate cu subcapitolul 2.2. „Cofinanțarea proprie minimă a beneficiarului“ din Ghidul Solicitantului Condiții Generale PEO. </w:t>
      </w:r>
    </w:p>
    <w:p w14:paraId="6D152062" w14:textId="77777777" w:rsidR="00567413" w:rsidRPr="00A94974" w:rsidRDefault="00567413" w:rsidP="004005BF">
      <w:pPr>
        <w:jc w:val="both"/>
        <w:rPr>
          <w:rFonts w:ascii="Trebuchet MS" w:hAnsi="Trebuchet MS"/>
          <w:color w:val="1F4E79" w:themeColor="accent1" w:themeShade="80"/>
        </w:rPr>
      </w:pPr>
      <w:r w:rsidRPr="00A94974">
        <w:rPr>
          <w:rFonts w:ascii="Trebuchet MS" w:hAnsi="Trebuchet MS"/>
          <w:color w:val="1F4E79" w:themeColor="accent1" w:themeShade="80"/>
        </w:rPr>
        <w:t>Rata de cofinanțare, din Fondul Social European Plus, în cadrul prezentelor apeluri este de:</w:t>
      </w:r>
    </w:p>
    <w:p w14:paraId="2978B430" w14:textId="77777777" w:rsidR="001460C9" w:rsidRPr="00A94974" w:rsidRDefault="00567413" w:rsidP="001460C9">
      <w:pPr>
        <w:pStyle w:val="ListParagraph"/>
        <w:numPr>
          <w:ilvl w:val="0"/>
          <w:numId w:val="28"/>
        </w:numPr>
        <w:jc w:val="both"/>
        <w:rPr>
          <w:rFonts w:ascii="Trebuchet MS" w:hAnsi="Trebuchet MS"/>
          <w:color w:val="1F4E79" w:themeColor="accent1" w:themeShade="80"/>
        </w:rPr>
      </w:pPr>
      <w:r w:rsidRPr="00A94974">
        <w:rPr>
          <w:rFonts w:ascii="Trebuchet MS" w:hAnsi="Trebuchet MS"/>
          <w:color w:val="1F4E79" w:themeColor="accent1" w:themeShade="80"/>
        </w:rPr>
        <w:t>85% în cadrul operațiunilor implementate în regiunile mai puțin dezvoltate;</w:t>
      </w:r>
    </w:p>
    <w:p w14:paraId="292DED33" w14:textId="780D18AE" w:rsidR="001A50B1" w:rsidRPr="00A94974" w:rsidRDefault="00567413" w:rsidP="001460C9">
      <w:pPr>
        <w:pStyle w:val="ListParagraph"/>
        <w:numPr>
          <w:ilvl w:val="0"/>
          <w:numId w:val="28"/>
        </w:numPr>
        <w:jc w:val="both"/>
        <w:rPr>
          <w:rFonts w:ascii="Trebuchet MS" w:hAnsi="Trebuchet MS"/>
          <w:color w:val="1F4E79" w:themeColor="accent1" w:themeShade="80"/>
        </w:rPr>
      </w:pPr>
      <w:r w:rsidRPr="00A94974">
        <w:rPr>
          <w:rFonts w:ascii="Trebuchet MS" w:hAnsi="Trebuchet MS"/>
          <w:color w:val="1F4E79" w:themeColor="accent1" w:themeShade="80"/>
        </w:rPr>
        <w:t>40% în cadrul operațiunilor implementate în regiunea mai dezvoltată.</w:t>
      </w:r>
    </w:p>
    <w:p w14:paraId="04845DD0" w14:textId="77777777" w:rsidR="00567413" w:rsidRPr="00A94974" w:rsidRDefault="00567413" w:rsidP="00567413">
      <w:pPr>
        <w:rPr>
          <w:color w:val="1F4E79" w:themeColor="accent1" w:themeShade="80"/>
        </w:rPr>
      </w:pPr>
    </w:p>
    <w:p w14:paraId="3957AE3D" w14:textId="58C2B8BF" w:rsidR="00C634A7" w:rsidRPr="00A94974" w:rsidRDefault="001A50B1" w:rsidP="00171CE6">
      <w:pPr>
        <w:pStyle w:val="Heading2"/>
        <w:rPr>
          <w:color w:val="1F4E79" w:themeColor="accent1" w:themeShade="80"/>
        </w:rPr>
      </w:pPr>
      <w:bookmarkStart w:id="20" w:name="_Toc179368082"/>
      <w:r w:rsidRPr="00A94974">
        <w:rPr>
          <w:color w:val="1F4E79" w:themeColor="accent1" w:themeShade="80"/>
        </w:rPr>
        <w:t xml:space="preserve">3.5 </w:t>
      </w:r>
      <w:r w:rsidR="00A34AAA" w:rsidRPr="00A94974">
        <w:rPr>
          <w:color w:val="1F4E79" w:themeColor="accent1" w:themeShade="80"/>
        </w:rPr>
        <w:t>Zona</w:t>
      </w:r>
      <w:r w:rsidR="009B5CB9" w:rsidRPr="00A94974">
        <w:rPr>
          <w:color w:val="1F4E79" w:themeColor="accent1" w:themeShade="80"/>
        </w:rPr>
        <w:t>/zonele</w:t>
      </w:r>
      <w:r w:rsidR="00A34AAA" w:rsidRPr="00A94974">
        <w:rPr>
          <w:color w:val="1F4E79" w:themeColor="accent1" w:themeShade="80"/>
        </w:rPr>
        <w:t xml:space="preserve"> geografică</w:t>
      </w:r>
      <w:r w:rsidR="009B5CB9" w:rsidRPr="00A94974">
        <w:rPr>
          <w:color w:val="1F4E79" w:themeColor="accent1" w:themeShade="80"/>
        </w:rPr>
        <w:t>(e)</w:t>
      </w:r>
      <w:r w:rsidR="00A34AAA" w:rsidRPr="00A94974">
        <w:rPr>
          <w:color w:val="1F4E79" w:themeColor="accent1" w:themeShade="80"/>
        </w:rPr>
        <w:t xml:space="preserve"> vizată</w:t>
      </w:r>
      <w:r w:rsidR="009B5CB9" w:rsidRPr="00A94974">
        <w:rPr>
          <w:color w:val="1F4E79" w:themeColor="accent1" w:themeShade="80"/>
        </w:rPr>
        <w:t>(e)</w:t>
      </w:r>
      <w:r w:rsidR="00A34AAA" w:rsidRPr="00A94974">
        <w:rPr>
          <w:color w:val="1F4E79" w:themeColor="accent1" w:themeShade="80"/>
        </w:rPr>
        <w:t xml:space="preserve"> de </w:t>
      </w:r>
      <w:r w:rsidR="009B5CB9" w:rsidRPr="00A94974">
        <w:rPr>
          <w:color w:val="1F4E79" w:themeColor="accent1" w:themeShade="80"/>
        </w:rPr>
        <w:t>apelul de proiecte</w:t>
      </w:r>
      <w:bookmarkEnd w:id="20"/>
      <w:r w:rsidR="009B5CB9" w:rsidRPr="00A94974">
        <w:rPr>
          <w:color w:val="1F4E79" w:themeColor="accent1" w:themeShade="80"/>
        </w:rPr>
        <w:t xml:space="preserve"> </w:t>
      </w:r>
      <w:r w:rsidR="00C940A4" w:rsidRPr="00A94974">
        <w:rPr>
          <w:color w:val="1F4E79" w:themeColor="accent1" w:themeShade="80"/>
        </w:rPr>
        <w:tab/>
      </w:r>
    </w:p>
    <w:p w14:paraId="04B4BDAC" w14:textId="77777777" w:rsidR="00C634A7" w:rsidRPr="00A94974" w:rsidRDefault="00C634A7" w:rsidP="00C634A7">
      <w:pPr>
        <w:spacing w:after="0"/>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 xml:space="preserve">Prezentul Ghid al Solicitantului reglementează condițiile de finanțare aferente următoarelor apeluri: </w:t>
      </w:r>
    </w:p>
    <w:p w14:paraId="6FF27C06" w14:textId="77777777" w:rsidR="00C634A7" w:rsidRPr="00A94974" w:rsidRDefault="00C634A7" w:rsidP="00BE3FAB">
      <w:pPr>
        <w:pStyle w:val="ListParagraph"/>
        <w:numPr>
          <w:ilvl w:val="0"/>
          <w:numId w:val="17"/>
        </w:numPr>
        <w:spacing w:after="0"/>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 xml:space="preserve">apelul care vizează regiunile mai puțin dezvoltate ale României: Nord-Est, Sud-Est, Sud-Muntenia, Sud-Vest Oltenia, Nord-Vest, Vest și Centru; </w:t>
      </w:r>
    </w:p>
    <w:p w14:paraId="53A920DC" w14:textId="1F8FC0E5" w:rsidR="00C634A7" w:rsidRPr="00A94974" w:rsidRDefault="00C634A7" w:rsidP="00BE3FAB">
      <w:pPr>
        <w:pStyle w:val="ListParagraph"/>
        <w:numPr>
          <w:ilvl w:val="0"/>
          <w:numId w:val="17"/>
        </w:numPr>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 xml:space="preserve">apelul dedicat Regiunii dezvoltate: București Ilfov. </w:t>
      </w:r>
    </w:p>
    <w:p w14:paraId="1A5E6ED7" w14:textId="77777777" w:rsidR="00C634A7" w:rsidRPr="00A94974" w:rsidRDefault="00C634A7" w:rsidP="00C634A7">
      <w:pPr>
        <w:spacing w:after="0"/>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Un proiect depus în cadrul acestor apeluri poate fi implementat:</w:t>
      </w:r>
    </w:p>
    <w:p w14:paraId="48218403" w14:textId="77777777" w:rsidR="00C634A7" w:rsidRPr="00A94974" w:rsidRDefault="00C634A7" w:rsidP="00BE3FAB">
      <w:pPr>
        <w:pStyle w:val="ListParagraph"/>
        <w:numPr>
          <w:ilvl w:val="0"/>
          <w:numId w:val="18"/>
        </w:numPr>
        <w:spacing w:after="0"/>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într-una sau în mai multe din regiunile mai puțin dezvoltate dintre cele menționate mai sus;</w:t>
      </w:r>
    </w:p>
    <w:p w14:paraId="494D5153" w14:textId="36DC9A8A" w:rsidR="004E057E" w:rsidRPr="00A94974" w:rsidRDefault="00C634A7" w:rsidP="00BE3FAB">
      <w:pPr>
        <w:pStyle w:val="ListParagraph"/>
        <w:numPr>
          <w:ilvl w:val="0"/>
          <w:numId w:val="18"/>
        </w:numPr>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la nivelul regiunii dezvoltate București-Ilfov.</w:t>
      </w:r>
    </w:p>
    <w:p w14:paraId="19832BBC" w14:textId="329A0E40" w:rsidR="00C634A7" w:rsidRPr="00A94974" w:rsidRDefault="00C634A7" w:rsidP="00C634A7">
      <w:pPr>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 xml:space="preserve">Încadrarea unei operațiuni pe tipuri de regiuni (mai puțin dezvoltate versus mai dezvoltată) se realizează în mod exclusiv pe baza domiciliului studenților </w:t>
      </w:r>
      <w:r w:rsidR="00D645C7" w:rsidRPr="00A94974">
        <w:rPr>
          <w:rFonts w:ascii="Trebuchet MS" w:hAnsi="Trebuchet MS" w:cstheme="minorHAnsi"/>
          <w:color w:val="1F4E79" w:themeColor="accent1" w:themeShade="80"/>
        </w:rPr>
        <w:t>români / rezidenței studenților străini</w:t>
      </w:r>
      <w:r w:rsidR="00541901" w:rsidRPr="00A94974">
        <w:rPr>
          <w:rFonts w:ascii="Trebuchet MS" w:hAnsi="Trebuchet MS" w:cstheme="minorHAnsi"/>
          <w:color w:val="1F4E79" w:themeColor="accent1" w:themeShade="80"/>
        </w:rPr>
        <w:t xml:space="preserve"> pe durata studiilor</w:t>
      </w:r>
      <w:r w:rsidR="00D645C7" w:rsidRPr="00A94974">
        <w:rPr>
          <w:rFonts w:ascii="Trebuchet MS" w:hAnsi="Trebuchet MS" w:cstheme="minorHAnsi"/>
          <w:color w:val="1F4E79" w:themeColor="accent1" w:themeShade="80"/>
        </w:rPr>
        <w:t xml:space="preserve"> </w:t>
      </w:r>
      <w:r w:rsidRPr="00A94974">
        <w:rPr>
          <w:rFonts w:ascii="Trebuchet MS" w:hAnsi="Trebuchet MS" w:cstheme="minorHAnsi"/>
          <w:color w:val="1F4E79" w:themeColor="accent1" w:themeShade="80"/>
        </w:rPr>
        <w:t xml:space="preserve">ce vor face parte din grupul țintă. </w:t>
      </w:r>
    </w:p>
    <w:p w14:paraId="7CE20EB8" w14:textId="4A3C3CBB" w:rsidR="00C634A7" w:rsidRPr="00A94974" w:rsidRDefault="00C634A7" w:rsidP="00C634A7">
      <w:pPr>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În cadrul apelului care vizează regiunile mai puțin dezvoltate vor putea fi depuse proiecte care să includă grup țintă reprezentat de studenți</w:t>
      </w:r>
      <w:r w:rsidR="00D645C7" w:rsidRPr="00A94974">
        <w:rPr>
          <w:rFonts w:ascii="Trebuchet MS" w:hAnsi="Trebuchet MS" w:cstheme="minorHAnsi"/>
          <w:color w:val="1F4E79" w:themeColor="accent1" w:themeShade="80"/>
        </w:rPr>
        <w:t xml:space="preserve"> români</w:t>
      </w:r>
      <w:r w:rsidRPr="00A94974">
        <w:rPr>
          <w:rFonts w:ascii="Trebuchet MS" w:hAnsi="Trebuchet MS" w:cstheme="minorHAnsi"/>
          <w:color w:val="1F4E79" w:themeColor="accent1" w:themeShade="80"/>
        </w:rPr>
        <w:t xml:space="preserve"> cu domiciliul</w:t>
      </w:r>
      <w:r w:rsidR="00D645C7" w:rsidRPr="00A94974">
        <w:rPr>
          <w:rFonts w:ascii="Trebuchet MS" w:hAnsi="Trebuchet MS" w:cstheme="minorHAnsi"/>
          <w:color w:val="1F4E79" w:themeColor="accent1" w:themeShade="80"/>
        </w:rPr>
        <w:t xml:space="preserve"> / studenți străini cu rezidența</w:t>
      </w:r>
      <w:r w:rsidR="00376DBD" w:rsidRPr="00A94974">
        <w:rPr>
          <w:rFonts w:ascii="Trebuchet MS" w:hAnsi="Trebuchet MS" w:cstheme="minorHAnsi"/>
          <w:color w:val="1F4E79" w:themeColor="accent1" w:themeShade="80"/>
        </w:rPr>
        <w:t>,</w:t>
      </w:r>
      <w:r w:rsidR="00541901" w:rsidRPr="00A94974">
        <w:rPr>
          <w:rFonts w:ascii="Trebuchet MS" w:hAnsi="Trebuchet MS" w:cstheme="minorHAnsi"/>
          <w:color w:val="1F4E79" w:themeColor="accent1" w:themeShade="80"/>
        </w:rPr>
        <w:t xml:space="preserve"> pe durata studiilor</w:t>
      </w:r>
      <w:r w:rsidR="00376DBD" w:rsidRPr="00A94974">
        <w:rPr>
          <w:rFonts w:ascii="Trebuchet MS" w:hAnsi="Trebuchet MS" w:cstheme="minorHAnsi"/>
          <w:color w:val="1F4E79" w:themeColor="accent1" w:themeShade="80"/>
        </w:rPr>
        <w:t>,</w:t>
      </w:r>
      <w:r w:rsidRPr="00A94974">
        <w:rPr>
          <w:rFonts w:ascii="Trebuchet MS" w:hAnsi="Trebuchet MS" w:cstheme="minorHAnsi"/>
          <w:color w:val="1F4E79" w:themeColor="accent1" w:themeShade="80"/>
        </w:rPr>
        <w:t xml:space="preserve"> într-o regiune mai puțin dezvoltată. </w:t>
      </w:r>
    </w:p>
    <w:p w14:paraId="2119E725" w14:textId="3F3DEAFD" w:rsidR="00C634A7" w:rsidRPr="00A94974" w:rsidRDefault="00C634A7" w:rsidP="00C634A7">
      <w:pPr>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 xml:space="preserve">În cadrul apelului care vizează regiunea dezvoltată București-Ilfov vor putea fi depuse proiecte care să includă grup țintă reprezentat de </w:t>
      </w:r>
      <w:r w:rsidR="00D645C7" w:rsidRPr="00A94974">
        <w:rPr>
          <w:rFonts w:ascii="Trebuchet MS" w:hAnsi="Trebuchet MS" w:cstheme="minorHAnsi"/>
          <w:color w:val="1F4E79" w:themeColor="accent1" w:themeShade="80"/>
        </w:rPr>
        <w:t>studenți români cu domiciliul / studenți străini cu rezidența</w:t>
      </w:r>
      <w:r w:rsidR="00376DBD" w:rsidRPr="00A94974">
        <w:rPr>
          <w:rFonts w:ascii="Trebuchet MS" w:hAnsi="Trebuchet MS" w:cstheme="minorHAnsi"/>
          <w:color w:val="1F4E79" w:themeColor="accent1" w:themeShade="80"/>
        </w:rPr>
        <w:t>,</w:t>
      </w:r>
      <w:r w:rsidR="00541901" w:rsidRPr="00A94974">
        <w:rPr>
          <w:rFonts w:ascii="Trebuchet MS" w:hAnsi="Trebuchet MS" w:cstheme="minorHAnsi"/>
          <w:color w:val="1F4E79" w:themeColor="accent1" w:themeShade="80"/>
        </w:rPr>
        <w:t xml:space="preserve"> pe durata studiilor</w:t>
      </w:r>
      <w:r w:rsidR="00376DBD" w:rsidRPr="00A94974">
        <w:rPr>
          <w:rFonts w:ascii="Trebuchet MS" w:hAnsi="Trebuchet MS" w:cstheme="minorHAnsi"/>
          <w:color w:val="1F4E79" w:themeColor="accent1" w:themeShade="80"/>
        </w:rPr>
        <w:t>,</w:t>
      </w:r>
      <w:r w:rsidR="00D645C7" w:rsidRPr="00A94974">
        <w:rPr>
          <w:rFonts w:ascii="Trebuchet MS" w:hAnsi="Trebuchet MS" w:cstheme="minorHAnsi"/>
          <w:color w:val="1F4E79" w:themeColor="accent1" w:themeShade="80"/>
        </w:rPr>
        <w:t xml:space="preserve"> </w:t>
      </w:r>
      <w:r w:rsidRPr="00A94974">
        <w:rPr>
          <w:rFonts w:ascii="Trebuchet MS" w:hAnsi="Trebuchet MS" w:cstheme="minorHAnsi"/>
          <w:color w:val="1F4E79" w:themeColor="accent1" w:themeShade="80"/>
        </w:rPr>
        <w:t>în regiunea dezvoltată.</w:t>
      </w:r>
    </w:p>
    <w:p w14:paraId="698AC72B" w14:textId="2A0F03CA" w:rsidR="00C510B4" w:rsidRPr="00A94974" w:rsidRDefault="00C510B4" w:rsidP="00C634A7">
      <w:pPr>
        <w:jc w:val="both"/>
        <w:rPr>
          <w:rFonts w:ascii="Trebuchet MS" w:hAnsi="Trebuchet MS" w:cstheme="minorHAnsi"/>
          <w:color w:val="1F4E79" w:themeColor="accent1" w:themeShade="80"/>
        </w:rPr>
      </w:pPr>
      <w:r w:rsidRPr="00A94974">
        <w:rPr>
          <w:rFonts w:ascii="Trebuchet MS" w:hAnsi="Trebuchet MS" w:cstheme="minorHAnsi"/>
          <w:color w:val="1F4E79" w:themeColor="accent1" w:themeShade="80"/>
        </w:rPr>
        <w:t xml:space="preserve">În vederea includerii în grupul țintă a tuturor studenților eligibili, un solicitant eligibil poate depune câte o cerere de finanțare pentru fiecare </w:t>
      </w:r>
      <w:r w:rsidR="009D324A" w:rsidRPr="00A94974">
        <w:rPr>
          <w:rFonts w:ascii="Trebuchet MS" w:hAnsi="Trebuchet MS" w:cstheme="minorHAnsi"/>
          <w:color w:val="1F4E79" w:themeColor="accent1" w:themeShade="80"/>
        </w:rPr>
        <w:t>categorie</w:t>
      </w:r>
      <w:r w:rsidRPr="00A94974">
        <w:rPr>
          <w:rFonts w:ascii="Trebuchet MS" w:hAnsi="Trebuchet MS" w:cstheme="minorHAnsi"/>
          <w:color w:val="1F4E79" w:themeColor="accent1" w:themeShade="80"/>
        </w:rPr>
        <w:t xml:space="preserve"> de regiune de dezvoltare.</w:t>
      </w:r>
    </w:p>
    <w:p w14:paraId="2E722EF4" w14:textId="44B98864" w:rsidR="00212532" w:rsidRPr="00A94974" w:rsidRDefault="00DC7B34" w:rsidP="001A50B1">
      <w:pPr>
        <w:pStyle w:val="Heading2"/>
        <w:rPr>
          <w:color w:val="1F4E79" w:themeColor="accent1" w:themeShade="80"/>
        </w:rPr>
      </w:pPr>
      <w:bookmarkStart w:id="21" w:name="_Toc179368083"/>
      <w:r w:rsidRPr="00A94974">
        <w:rPr>
          <w:color w:val="1F4E79" w:themeColor="accent1" w:themeShade="80"/>
        </w:rPr>
        <w:t xml:space="preserve">3.6 </w:t>
      </w:r>
      <w:r w:rsidR="006464F5" w:rsidRPr="00A94974">
        <w:rPr>
          <w:color w:val="1F4E79" w:themeColor="accent1" w:themeShade="80"/>
        </w:rPr>
        <w:t>A</w:t>
      </w:r>
      <w:r w:rsidR="00212532" w:rsidRPr="00A94974">
        <w:rPr>
          <w:color w:val="1F4E79" w:themeColor="accent1" w:themeShade="80"/>
        </w:rPr>
        <w:t>cțiuni sprijinite în cadrul apelului</w:t>
      </w:r>
      <w:bookmarkEnd w:id="21"/>
      <w:r w:rsidR="00212532" w:rsidRPr="00A94974">
        <w:rPr>
          <w:color w:val="1F4E79" w:themeColor="accent1" w:themeShade="80"/>
        </w:rPr>
        <w:t xml:space="preserve"> </w:t>
      </w:r>
      <w:r w:rsidR="00212532" w:rsidRPr="00A94974">
        <w:rPr>
          <w:color w:val="1F4E79" w:themeColor="accent1" w:themeShade="80"/>
        </w:rPr>
        <w:tab/>
      </w:r>
    </w:p>
    <w:p w14:paraId="19BA157C" w14:textId="3CEAA807" w:rsidR="009D324A" w:rsidRPr="00A94974" w:rsidRDefault="00744D6F" w:rsidP="009D324A">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Prezent</w:t>
      </w:r>
      <w:r w:rsidR="008F25AD" w:rsidRPr="00A94974">
        <w:rPr>
          <w:rFonts w:ascii="Trebuchet MS" w:hAnsi="Trebuchet MS"/>
          <w:iCs/>
          <w:color w:val="1F4E79" w:themeColor="accent1" w:themeShade="80"/>
        </w:rPr>
        <w:t>ele</w:t>
      </w:r>
      <w:r w:rsidRPr="00A94974">
        <w:rPr>
          <w:rFonts w:ascii="Trebuchet MS" w:hAnsi="Trebuchet MS"/>
          <w:iCs/>
          <w:color w:val="1F4E79" w:themeColor="accent1" w:themeShade="80"/>
        </w:rPr>
        <w:t xml:space="preserve"> a</w:t>
      </w:r>
      <w:r w:rsidR="00447DEC" w:rsidRPr="00A94974">
        <w:rPr>
          <w:rFonts w:ascii="Trebuchet MS" w:hAnsi="Trebuchet MS"/>
          <w:iCs/>
          <w:color w:val="1F4E79" w:themeColor="accent1" w:themeShade="80"/>
        </w:rPr>
        <w:t>pel</w:t>
      </w:r>
      <w:r w:rsidR="008F25AD" w:rsidRPr="00A94974">
        <w:rPr>
          <w:rFonts w:ascii="Trebuchet MS" w:hAnsi="Trebuchet MS"/>
          <w:iCs/>
          <w:color w:val="1F4E79" w:themeColor="accent1" w:themeShade="80"/>
        </w:rPr>
        <w:t>uri</w:t>
      </w:r>
      <w:r w:rsidR="00447DEC" w:rsidRPr="00A94974">
        <w:rPr>
          <w:rFonts w:ascii="Trebuchet MS" w:hAnsi="Trebuchet MS"/>
          <w:iCs/>
          <w:color w:val="1F4E79" w:themeColor="accent1" w:themeShade="80"/>
        </w:rPr>
        <w:t xml:space="preserve"> de proiecte </w:t>
      </w:r>
      <w:bookmarkStart w:id="22" w:name="_Hlk134021723"/>
      <w:r w:rsidR="00447DEC" w:rsidRPr="00A94974">
        <w:rPr>
          <w:rFonts w:ascii="Trebuchet MS" w:hAnsi="Trebuchet MS"/>
          <w:iCs/>
          <w:color w:val="1F4E79" w:themeColor="accent1" w:themeShade="80"/>
        </w:rPr>
        <w:t>vizează</w:t>
      </w:r>
      <w:bookmarkEnd w:id="22"/>
      <w:r w:rsidR="00D32DBD" w:rsidRPr="00A94974">
        <w:rPr>
          <w:rFonts w:ascii="Trebuchet MS" w:hAnsi="Trebuchet MS"/>
          <w:iCs/>
          <w:color w:val="1F4E79" w:themeColor="accent1" w:themeShade="80"/>
        </w:rPr>
        <w:t xml:space="preserve"> </w:t>
      </w:r>
      <w:r w:rsidR="009D324A" w:rsidRPr="00A94974">
        <w:rPr>
          <w:rFonts w:ascii="Trebuchet MS" w:hAnsi="Trebuchet MS"/>
          <w:iCs/>
          <w:color w:val="1F4E79" w:themeColor="accent1" w:themeShade="80"/>
        </w:rPr>
        <w:t xml:space="preserve">sprijinirea mobilității transnaționale de tip Erasmus+ prin asigurarea unui sprijin financiar </w:t>
      </w:r>
      <w:r w:rsidR="3B1EEC5C" w:rsidRPr="00A94974">
        <w:rPr>
          <w:rFonts w:ascii="Trebuchet MS" w:hAnsi="Trebuchet MS"/>
          <w:color w:val="1F4E79" w:themeColor="accent1" w:themeShade="80"/>
        </w:rPr>
        <w:t xml:space="preserve">adecvat </w:t>
      </w:r>
      <w:r w:rsidR="009D324A" w:rsidRPr="00A94974">
        <w:rPr>
          <w:rFonts w:ascii="Trebuchet MS" w:hAnsi="Trebuchet MS"/>
          <w:color w:val="1F4E79" w:themeColor="accent1" w:themeShade="80"/>
        </w:rPr>
        <w:t>suplimentar</w:t>
      </w:r>
      <w:r w:rsidR="009D324A" w:rsidRPr="00A94974">
        <w:rPr>
          <w:rFonts w:ascii="Trebuchet MS" w:hAnsi="Trebuchet MS"/>
          <w:iCs/>
          <w:color w:val="1F4E79" w:themeColor="accent1" w:themeShade="80"/>
        </w:rPr>
        <w:t xml:space="preserve"> față de grantul Erasmus+, pentru universitățile participante </w:t>
      </w:r>
      <w:r w:rsidR="00CF03D2" w:rsidRPr="00A94974">
        <w:rPr>
          <w:rFonts w:ascii="Trebuchet MS" w:hAnsi="Trebuchet MS"/>
          <w:iCs/>
          <w:color w:val="1F4E79" w:themeColor="accent1" w:themeShade="80"/>
        </w:rPr>
        <w:t>î</w:t>
      </w:r>
      <w:r w:rsidR="009D324A" w:rsidRPr="00A94974">
        <w:rPr>
          <w:rFonts w:ascii="Trebuchet MS" w:hAnsi="Trebuchet MS"/>
          <w:iCs/>
          <w:color w:val="1F4E79" w:themeColor="accent1" w:themeShade="80"/>
        </w:rPr>
        <w:t xml:space="preserve">n programul Erasmus+, în vederea suplimentării burselor pentru studenții cu oportunități reduse, cu scopul satisfacerii tuturor nevoilor de sprijin în cadrul acțiunilor de mobilitate. Universitățile participante în Erasmus+ dețin Carta </w:t>
      </w:r>
      <w:r w:rsidR="00EB4766" w:rsidRPr="00A94974">
        <w:rPr>
          <w:rFonts w:ascii="Trebuchet MS" w:hAnsi="Trebuchet MS"/>
          <w:iCs/>
          <w:color w:val="1F4E79" w:themeColor="accent1" w:themeShade="80"/>
        </w:rPr>
        <w:t>U</w:t>
      </w:r>
      <w:r w:rsidR="009D324A" w:rsidRPr="00A94974">
        <w:rPr>
          <w:rFonts w:ascii="Trebuchet MS" w:hAnsi="Trebuchet MS"/>
          <w:iCs/>
          <w:color w:val="1F4E79" w:themeColor="accent1" w:themeShade="80"/>
        </w:rPr>
        <w:t>niversitară</w:t>
      </w:r>
      <w:r w:rsidR="00EB4766" w:rsidRPr="00A94974">
        <w:rPr>
          <w:rFonts w:ascii="Trebuchet MS" w:hAnsi="Trebuchet MS"/>
          <w:iCs/>
          <w:color w:val="1F4E79" w:themeColor="accent1" w:themeShade="80"/>
        </w:rPr>
        <w:t xml:space="preserve"> Erasmus (ECHE)</w:t>
      </w:r>
      <w:r w:rsidR="009D324A" w:rsidRPr="00A94974">
        <w:rPr>
          <w:rFonts w:ascii="Trebuchet MS" w:hAnsi="Trebuchet MS"/>
          <w:iCs/>
          <w:color w:val="1F4E79" w:themeColor="accent1" w:themeShade="80"/>
        </w:rPr>
        <w:t>, acordată de Comisia Europeană în urma unui proces de selecție.</w:t>
      </w:r>
    </w:p>
    <w:p w14:paraId="1209B6E4" w14:textId="77777777" w:rsidR="009D324A" w:rsidRPr="00A94974" w:rsidRDefault="009D324A" w:rsidP="001342E5">
      <w:pPr>
        <w:spacing w:before="120" w:after="120" w:line="276" w:lineRule="auto"/>
        <w:jc w:val="both"/>
        <w:rPr>
          <w:rFonts w:ascii="Trebuchet MS" w:hAnsi="Trebuchet MS"/>
          <w:iCs/>
          <w:color w:val="1F4E79" w:themeColor="accent1" w:themeShade="80"/>
        </w:rPr>
      </w:pPr>
    </w:p>
    <w:p w14:paraId="15E3EBDC" w14:textId="0EA3F1B5" w:rsidR="00C87FBF" w:rsidRPr="00A94974" w:rsidRDefault="00DC7B34" w:rsidP="00E467FC">
      <w:pPr>
        <w:pStyle w:val="Heading2"/>
        <w:rPr>
          <w:color w:val="1F4E79" w:themeColor="accent1" w:themeShade="80"/>
        </w:rPr>
      </w:pPr>
      <w:bookmarkStart w:id="23" w:name="_Toc179368084"/>
      <w:r w:rsidRPr="00A94974">
        <w:rPr>
          <w:color w:val="1F4E79" w:themeColor="accent1" w:themeShade="80"/>
        </w:rPr>
        <w:t xml:space="preserve">3.7 </w:t>
      </w:r>
      <w:r w:rsidR="00C87FBF" w:rsidRPr="00A94974">
        <w:rPr>
          <w:color w:val="1F4E79" w:themeColor="accent1" w:themeShade="80"/>
        </w:rPr>
        <w:t>Grup țintă vizat de apelul de proiecte</w:t>
      </w:r>
      <w:bookmarkEnd w:id="23"/>
      <w:r w:rsidR="00C87FBF" w:rsidRPr="00A94974">
        <w:rPr>
          <w:color w:val="1F4E79" w:themeColor="accent1" w:themeShade="80"/>
        </w:rPr>
        <w:tab/>
      </w:r>
    </w:p>
    <w:p w14:paraId="31487039" w14:textId="09963762" w:rsidR="00B4617D" w:rsidRPr="00A94974" w:rsidRDefault="00B4617D" w:rsidP="00E467FC">
      <w:pPr>
        <w:jc w:val="both"/>
        <w:rPr>
          <w:rFonts w:ascii="Trebuchet MS" w:hAnsi="Trebuchet MS"/>
          <w:color w:val="1F4E79" w:themeColor="accent1" w:themeShade="80"/>
        </w:rPr>
      </w:pPr>
      <w:r w:rsidRPr="00A94974">
        <w:rPr>
          <w:rFonts w:ascii="Trebuchet MS" w:hAnsi="Trebuchet MS"/>
          <w:color w:val="1F4E79" w:themeColor="accent1" w:themeShade="80"/>
        </w:rPr>
        <w:t>În cadrul prezentei cereri de propuneri de proiecte, grupul țintă este format din studenți</w:t>
      </w:r>
      <w:r w:rsidR="00CF40CE" w:rsidRPr="00A94974">
        <w:rPr>
          <w:rFonts w:ascii="Trebuchet MS" w:hAnsi="Trebuchet MS"/>
          <w:color w:val="1F4E79" w:themeColor="accent1" w:themeShade="80"/>
        </w:rPr>
        <w:t xml:space="preserve"> cu oportunități reduse,</w:t>
      </w:r>
      <w:r w:rsidRPr="00A94974">
        <w:rPr>
          <w:rFonts w:ascii="Trebuchet MS" w:hAnsi="Trebuchet MS"/>
          <w:color w:val="1F4E79" w:themeColor="accent1" w:themeShade="80"/>
        </w:rPr>
        <w:t xml:space="preserve"> înmatriculați într-un program de nivel ISCED 5-8, cu domiciliul</w:t>
      </w:r>
      <w:r w:rsidR="00046331" w:rsidRPr="00A94974">
        <w:rPr>
          <w:rFonts w:ascii="Trebuchet MS" w:hAnsi="Trebuchet MS"/>
          <w:color w:val="1F4E79" w:themeColor="accent1" w:themeShade="80"/>
        </w:rPr>
        <w:t xml:space="preserve"> / rezidenț</w:t>
      </w:r>
      <w:r w:rsidR="006F5532" w:rsidRPr="00A94974">
        <w:rPr>
          <w:rFonts w:ascii="Trebuchet MS" w:hAnsi="Trebuchet MS"/>
          <w:color w:val="1F4E79" w:themeColor="accent1" w:themeShade="80"/>
        </w:rPr>
        <w:t>a în cazul studenților străini</w:t>
      </w:r>
      <w:r w:rsidR="00381961" w:rsidRPr="00A94974">
        <w:rPr>
          <w:rFonts w:ascii="Trebuchet MS" w:hAnsi="Trebuchet MS"/>
          <w:color w:val="1F4E79" w:themeColor="accent1" w:themeShade="80"/>
        </w:rPr>
        <w:t>, pe durata studiilor,</w:t>
      </w:r>
      <w:r w:rsidRPr="00A94974">
        <w:rPr>
          <w:rFonts w:ascii="Trebuchet MS" w:hAnsi="Trebuchet MS"/>
          <w:color w:val="1F4E79" w:themeColor="accent1" w:themeShade="80"/>
        </w:rPr>
        <w:t xml:space="preserve"> în oricare regiune de dezvoltare eligibilă: </w:t>
      </w:r>
    </w:p>
    <w:p w14:paraId="3958FB97" w14:textId="77777777" w:rsidR="00B4617D" w:rsidRPr="00A94974" w:rsidRDefault="00B4617D" w:rsidP="00381961">
      <w:pPr>
        <w:pStyle w:val="ListParagraph"/>
        <w:numPr>
          <w:ilvl w:val="0"/>
          <w:numId w:val="25"/>
        </w:numPr>
        <w:jc w:val="both"/>
        <w:rPr>
          <w:rFonts w:ascii="Trebuchet MS" w:hAnsi="Trebuchet MS"/>
          <w:color w:val="1F4E79" w:themeColor="accent1" w:themeShade="80"/>
        </w:rPr>
      </w:pPr>
      <w:r w:rsidRPr="00A94974">
        <w:rPr>
          <w:rFonts w:ascii="Trebuchet MS" w:hAnsi="Trebuchet MS"/>
          <w:color w:val="1F4E79" w:themeColor="accent1" w:themeShade="80"/>
        </w:rPr>
        <w:t xml:space="preserve">Nord Est, Sud-Est, Sud-Muntenia, Sud-Vest Oltenia, Nord-Vest, Vest și Centru pentru apelul dedicat regiunilor de dezvoltare mai puțin dezvoltate; </w:t>
      </w:r>
    </w:p>
    <w:p w14:paraId="57F39733" w14:textId="3E33103A" w:rsidR="00B4617D" w:rsidRPr="00A94974" w:rsidRDefault="00B4617D" w:rsidP="00381961">
      <w:pPr>
        <w:pStyle w:val="ListParagraph"/>
        <w:numPr>
          <w:ilvl w:val="0"/>
          <w:numId w:val="25"/>
        </w:numPr>
        <w:jc w:val="both"/>
        <w:rPr>
          <w:rFonts w:ascii="Trebuchet MS" w:hAnsi="Trebuchet MS"/>
          <w:color w:val="1F4E79" w:themeColor="accent1" w:themeShade="80"/>
        </w:rPr>
      </w:pPr>
      <w:r w:rsidRPr="00A94974">
        <w:rPr>
          <w:rFonts w:ascii="Trebuchet MS" w:hAnsi="Trebuchet MS"/>
          <w:color w:val="1F4E79" w:themeColor="accent1" w:themeShade="80"/>
        </w:rPr>
        <w:t xml:space="preserve">București-Ilfov pentru apelul dedicat regiunii dezvoltate. </w:t>
      </w:r>
    </w:p>
    <w:p w14:paraId="5C9A250C" w14:textId="52EB8911" w:rsidR="00C63E14" w:rsidRPr="00A94974" w:rsidRDefault="00D06763" w:rsidP="00E467FC">
      <w:pPr>
        <w:jc w:val="both"/>
        <w:rPr>
          <w:rFonts w:ascii="Trebuchet MS" w:hAnsi="Trebuchet MS"/>
          <w:color w:val="1F4E79" w:themeColor="accent1" w:themeShade="80"/>
        </w:rPr>
      </w:pPr>
      <w:r w:rsidRPr="00A94974">
        <w:rPr>
          <w:rFonts w:ascii="Trebuchet MS" w:hAnsi="Trebuchet MS"/>
          <w:color w:val="1F4E79" w:themeColor="accent1" w:themeShade="80"/>
        </w:rPr>
        <w:t xml:space="preserve">Valorile minime acceptate ale participanților pe categorii de grupuri țintă eligibil sunt prezentate </w:t>
      </w:r>
      <w:r w:rsidR="00F3070F" w:rsidRPr="00A94974">
        <w:rPr>
          <w:rFonts w:ascii="Trebuchet MS" w:hAnsi="Trebuchet MS"/>
          <w:color w:val="1F4E79" w:themeColor="accent1" w:themeShade="80"/>
        </w:rPr>
        <w:t xml:space="preserve">în tabelul de </w:t>
      </w:r>
      <w:r w:rsidRPr="00A94974">
        <w:rPr>
          <w:rFonts w:ascii="Trebuchet MS" w:hAnsi="Trebuchet MS"/>
          <w:color w:val="1F4E79" w:themeColor="accent1" w:themeShade="80"/>
        </w:rPr>
        <w:t>mai jos:</w:t>
      </w:r>
    </w:p>
    <w:tbl>
      <w:tblPr>
        <w:tblStyle w:val="TableGrid"/>
        <w:tblW w:w="9396" w:type="dxa"/>
        <w:tblLook w:val="04A0" w:firstRow="1" w:lastRow="0" w:firstColumn="1" w:lastColumn="0" w:noHBand="0" w:noVBand="1"/>
      </w:tblPr>
      <w:tblGrid>
        <w:gridCol w:w="1586"/>
        <w:gridCol w:w="3316"/>
        <w:gridCol w:w="2440"/>
        <w:gridCol w:w="2054"/>
      </w:tblGrid>
      <w:tr w:rsidR="00A94974" w:rsidRPr="00A94974" w14:paraId="61FFDA0F" w14:textId="3C4BF91B" w:rsidTr="69BF97CB">
        <w:tc>
          <w:tcPr>
            <w:tcW w:w="1586" w:type="dxa"/>
          </w:tcPr>
          <w:p w14:paraId="74B7CE4C" w14:textId="77777777" w:rsidR="00C63E14" w:rsidRPr="00A94974" w:rsidRDefault="00C63E14" w:rsidP="00E467FC">
            <w:pPr>
              <w:jc w:val="both"/>
              <w:rPr>
                <w:rFonts w:ascii="Trebuchet MS" w:eastAsia="Calibri" w:hAnsi="Trebuchet MS" w:cs="Times New Roman"/>
                <w:i/>
                <w:color w:val="1F4E79" w:themeColor="accent1" w:themeShade="80"/>
              </w:rPr>
            </w:pPr>
            <w:r w:rsidRPr="00A94974">
              <w:rPr>
                <w:rFonts w:ascii="Trebuchet MS" w:eastAsia="Calibri" w:hAnsi="Trebuchet MS" w:cs="Times New Roman"/>
                <w:i/>
                <w:color w:val="1F4E79" w:themeColor="accent1" w:themeShade="80"/>
              </w:rPr>
              <w:lastRenderedPageBreak/>
              <w:t>Obiectiv specific</w:t>
            </w:r>
          </w:p>
        </w:tc>
        <w:tc>
          <w:tcPr>
            <w:tcW w:w="3316" w:type="dxa"/>
          </w:tcPr>
          <w:p w14:paraId="4A723E9B" w14:textId="77777777" w:rsidR="00C63E14" w:rsidRPr="00A94974" w:rsidRDefault="00C63E14" w:rsidP="00E467FC">
            <w:pPr>
              <w:jc w:val="both"/>
              <w:rPr>
                <w:rFonts w:ascii="Trebuchet MS" w:eastAsia="Calibri" w:hAnsi="Trebuchet MS" w:cs="Times New Roman"/>
                <w:i/>
                <w:color w:val="1F4E79" w:themeColor="accent1" w:themeShade="80"/>
              </w:rPr>
            </w:pPr>
            <w:r w:rsidRPr="00A94974">
              <w:rPr>
                <w:rFonts w:ascii="Trebuchet MS" w:eastAsia="Calibri" w:hAnsi="Trebuchet MS" w:cs="Times New Roman"/>
                <w:i/>
                <w:color w:val="1F4E79" w:themeColor="accent1" w:themeShade="80"/>
              </w:rPr>
              <w:t>Categorie grup țintă</w:t>
            </w:r>
          </w:p>
        </w:tc>
        <w:tc>
          <w:tcPr>
            <w:tcW w:w="2440" w:type="dxa"/>
          </w:tcPr>
          <w:p w14:paraId="1BD8AA09" w14:textId="44736050" w:rsidR="00C63E14" w:rsidRPr="00A94974" w:rsidRDefault="00C63E14" w:rsidP="00E467FC">
            <w:pPr>
              <w:jc w:val="both"/>
              <w:rPr>
                <w:rFonts w:ascii="Trebuchet MS" w:eastAsia="Calibri" w:hAnsi="Trebuchet MS" w:cs="Times New Roman"/>
                <w:i/>
                <w:color w:val="1F4E79" w:themeColor="accent1" w:themeShade="80"/>
              </w:rPr>
            </w:pPr>
            <w:r w:rsidRPr="00A94974">
              <w:rPr>
                <w:rFonts w:ascii="Trebuchet MS" w:eastAsia="Calibri" w:hAnsi="Trebuchet MS" w:cs="Times New Roman"/>
                <w:i/>
                <w:color w:val="1F4E79" w:themeColor="accent1" w:themeShade="80"/>
              </w:rPr>
              <w:t>Valoarea minimă obligatorie per proiect – Regiune dezvoltată</w:t>
            </w:r>
          </w:p>
        </w:tc>
        <w:tc>
          <w:tcPr>
            <w:tcW w:w="2054" w:type="dxa"/>
          </w:tcPr>
          <w:p w14:paraId="49A06596" w14:textId="500EBAD9" w:rsidR="00C63E14" w:rsidRPr="00A94974" w:rsidRDefault="00C63E14" w:rsidP="00E467FC">
            <w:pPr>
              <w:jc w:val="both"/>
              <w:rPr>
                <w:rFonts w:ascii="Trebuchet MS" w:eastAsia="Calibri" w:hAnsi="Trebuchet MS" w:cs="Times New Roman"/>
                <w:i/>
                <w:color w:val="1F4E79" w:themeColor="accent1" w:themeShade="80"/>
              </w:rPr>
            </w:pPr>
            <w:r w:rsidRPr="00A94974">
              <w:rPr>
                <w:rFonts w:ascii="Trebuchet MS" w:eastAsia="Calibri" w:hAnsi="Trebuchet MS" w:cs="Times New Roman"/>
                <w:i/>
                <w:color w:val="1F4E79" w:themeColor="accent1" w:themeShade="80"/>
              </w:rPr>
              <w:t>Valoarea minimă obligatorie per proiect – Regiune mai puțin dezvoltată</w:t>
            </w:r>
          </w:p>
        </w:tc>
      </w:tr>
      <w:tr w:rsidR="005C6615" w:rsidRPr="00A94974" w14:paraId="5D215B9A" w14:textId="77777777" w:rsidTr="69BF97CB">
        <w:tc>
          <w:tcPr>
            <w:tcW w:w="1586" w:type="dxa"/>
          </w:tcPr>
          <w:p w14:paraId="79FD45B7" w14:textId="258C3041" w:rsidR="005C6615" w:rsidRPr="00A94974" w:rsidRDefault="005C6615" w:rsidP="00E467FC">
            <w:pPr>
              <w:jc w:val="both"/>
              <w:rPr>
                <w:rFonts w:ascii="Trebuchet MS" w:eastAsia="Calibri" w:hAnsi="Trebuchet MS" w:cs="Times New Roman"/>
                <w:color w:val="1F4E79" w:themeColor="accent1" w:themeShade="80"/>
              </w:rPr>
            </w:pPr>
            <w:r w:rsidRPr="00A94974">
              <w:rPr>
                <w:rFonts w:ascii="Trebuchet MS" w:hAnsi="Trebuchet MS"/>
                <w:color w:val="1F4E79" w:themeColor="accent1" w:themeShade="80"/>
              </w:rPr>
              <w:t>ESO4.6</w:t>
            </w:r>
          </w:p>
        </w:tc>
        <w:tc>
          <w:tcPr>
            <w:tcW w:w="3316" w:type="dxa"/>
          </w:tcPr>
          <w:p w14:paraId="04687572" w14:textId="73449791" w:rsidR="005C6615" w:rsidRPr="00A94974" w:rsidRDefault="005C6615" w:rsidP="00E467FC">
            <w:pPr>
              <w:jc w:val="both"/>
              <w:rPr>
                <w:rFonts w:ascii="Trebuchet MS" w:eastAsia="Calibri" w:hAnsi="Trebuchet MS" w:cs="Times New Roman"/>
                <w:color w:val="1F4E79" w:themeColor="accent1" w:themeShade="80"/>
              </w:rPr>
            </w:pPr>
            <w:r w:rsidRPr="00A94974">
              <w:rPr>
                <w:rFonts w:ascii="Trebuchet MS" w:eastAsia="Calibri" w:hAnsi="Trebuchet MS" w:cs="Times New Roman"/>
                <w:color w:val="1F4E79" w:themeColor="accent1" w:themeShade="80"/>
              </w:rPr>
              <w:t xml:space="preserve">Studenți </w:t>
            </w:r>
            <w:bookmarkStart w:id="24" w:name="_Hlk181013126"/>
            <w:r w:rsidRPr="00A94974">
              <w:rPr>
                <w:rFonts w:ascii="Trebuchet MS" w:eastAsia="Calibri" w:hAnsi="Trebuchet MS" w:cs="Times New Roman"/>
                <w:color w:val="1F4E79" w:themeColor="accent1" w:themeShade="80"/>
              </w:rPr>
              <w:t>ISCED 5-8</w:t>
            </w:r>
            <w:bookmarkEnd w:id="24"/>
          </w:p>
        </w:tc>
        <w:tc>
          <w:tcPr>
            <w:tcW w:w="2440" w:type="dxa"/>
          </w:tcPr>
          <w:p w14:paraId="366E428C" w14:textId="0B48FEB5" w:rsidR="005C6615" w:rsidRPr="00A94974" w:rsidRDefault="00B17AF4" w:rsidP="00E467FC">
            <w:pPr>
              <w:jc w:val="both"/>
              <w:rPr>
                <w:rFonts w:ascii="Trebuchet MS" w:eastAsia="Calibri" w:hAnsi="Trebuchet MS" w:cs="Times New Roman"/>
                <w:color w:val="1F4E79" w:themeColor="accent1" w:themeShade="80"/>
              </w:rPr>
            </w:pPr>
            <w:r w:rsidRPr="00A94974">
              <w:rPr>
                <w:rFonts w:ascii="Trebuchet MS" w:eastAsia="Calibri" w:hAnsi="Trebuchet MS" w:cs="Times New Roman"/>
                <w:color w:val="1F4E79" w:themeColor="accent1" w:themeShade="80"/>
              </w:rPr>
              <w:t>39</w:t>
            </w:r>
          </w:p>
        </w:tc>
        <w:tc>
          <w:tcPr>
            <w:tcW w:w="2054" w:type="dxa"/>
          </w:tcPr>
          <w:p w14:paraId="3EFBCE2D" w14:textId="0A601496" w:rsidR="005C6615" w:rsidRPr="00A94974" w:rsidRDefault="00B17AF4" w:rsidP="00E467FC">
            <w:pPr>
              <w:jc w:val="both"/>
              <w:rPr>
                <w:rFonts w:ascii="Trebuchet MS" w:eastAsia="Calibri" w:hAnsi="Trebuchet MS" w:cs="Times New Roman"/>
                <w:color w:val="1F4E79" w:themeColor="accent1" w:themeShade="80"/>
              </w:rPr>
            </w:pPr>
            <w:r w:rsidRPr="00A94974">
              <w:rPr>
                <w:rFonts w:ascii="Trebuchet MS" w:eastAsia="Calibri" w:hAnsi="Trebuchet MS" w:cs="Times New Roman"/>
                <w:color w:val="1F4E79" w:themeColor="accent1" w:themeShade="80"/>
              </w:rPr>
              <w:t>39</w:t>
            </w:r>
          </w:p>
        </w:tc>
      </w:tr>
    </w:tbl>
    <w:p w14:paraId="65AFA91D" w14:textId="77777777" w:rsidR="00A2703A" w:rsidRPr="00A94974" w:rsidRDefault="00A2703A" w:rsidP="00E467FC">
      <w:pPr>
        <w:jc w:val="both"/>
        <w:rPr>
          <w:rFonts w:ascii="Trebuchet MS" w:hAnsi="Trebuchet MS"/>
          <w:color w:val="1F4E79" w:themeColor="accent1" w:themeShade="80"/>
        </w:rPr>
      </w:pPr>
    </w:p>
    <w:p w14:paraId="2635B0F4" w14:textId="32E045FA" w:rsidR="0089356C" w:rsidRPr="00A94974" w:rsidRDefault="0089356C" w:rsidP="00E467FC">
      <w:pPr>
        <w:jc w:val="both"/>
        <w:rPr>
          <w:rFonts w:ascii="Trebuchet MS" w:hAnsi="Trebuchet MS"/>
          <w:color w:val="1F4E79" w:themeColor="accent1" w:themeShade="80"/>
        </w:rPr>
      </w:pPr>
      <w:r w:rsidRPr="00A94974">
        <w:rPr>
          <w:rFonts w:ascii="Trebuchet MS" w:hAnsi="Trebuchet MS"/>
          <w:color w:val="1F4E79" w:themeColor="accent1" w:themeShade="80"/>
        </w:rPr>
        <w:t>Valoarea minimă obligatorie per proiect de 39 studenți va fi corelată cu valoarea minimă eligibilă nerambursabilă a unui proiect precizată în secțiunea 5</w:t>
      </w:r>
      <w:r w:rsidRPr="00A94974">
        <w:rPr>
          <w:rFonts w:ascii="Trebuchet MS" w:hAnsi="Trebuchet MS"/>
          <w:i/>
          <w:iCs/>
          <w:color w:val="1F4E79" w:themeColor="accent1" w:themeShade="80"/>
        </w:rPr>
        <w:t>.4 Valoarea minimă și maximă eligibilă/nerambursabilă a unui proiect</w:t>
      </w:r>
      <w:r w:rsidRPr="00A94974">
        <w:rPr>
          <w:rFonts w:ascii="Trebuchet MS" w:hAnsi="Trebuchet MS"/>
          <w:color w:val="1F4E79" w:themeColor="accent1" w:themeShade="80"/>
        </w:rPr>
        <w:t xml:space="preserve"> a prezentului Ghid. În situația în care se optează pentru suplimentarea valorii grupului țintă în raport cu valoarea minimă obligatorie precizată în tabelul de mai sus, valoarea eligibilă a proiectelor se poate suplimenta cu suma </w:t>
      </w:r>
      <w:r w:rsidR="00BC5050" w:rsidRPr="00A94974">
        <w:rPr>
          <w:rFonts w:ascii="Trebuchet MS" w:hAnsi="Trebuchet MS"/>
          <w:color w:val="1F4E79" w:themeColor="accent1" w:themeShade="80"/>
        </w:rPr>
        <w:t xml:space="preserve">maximă </w:t>
      </w:r>
      <w:r w:rsidRPr="00A94974">
        <w:rPr>
          <w:rFonts w:ascii="Trebuchet MS" w:hAnsi="Trebuchet MS"/>
          <w:color w:val="1F4E79" w:themeColor="accent1" w:themeShade="80"/>
        </w:rPr>
        <w:t xml:space="preserve">de </w:t>
      </w:r>
      <w:r w:rsidR="00A21D59" w:rsidRPr="00A94974">
        <w:rPr>
          <w:rFonts w:ascii="Trebuchet MS" w:hAnsi="Trebuchet MS"/>
          <w:color w:val="1F4E79" w:themeColor="accent1" w:themeShade="80"/>
        </w:rPr>
        <w:t>5</w:t>
      </w:r>
      <w:r w:rsidR="00BC5050" w:rsidRPr="00A94974">
        <w:rPr>
          <w:rFonts w:ascii="Trebuchet MS" w:hAnsi="Trebuchet MS"/>
          <w:color w:val="1F4E79" w:themeColor="accent1" w:themeShade="80"/>
        </w:rPr>
        <w:t>.</w:t>
      </w:r>
      <w:r w:rsidR="00A21D59" w:rsidRPr="00A94974">
        <w:rPr>
          <w:rFonts w:ascii="Trebuchet MS" w:hAnsi="Trebuchet MS"/>
          <w:color w:val="1F4E79" w:themeColor="accent1" w:themeShade="80"/>
        </w:rPr>
        <w:t>204 euro/student</w:t>
      </w:r>
      <w:r w:rsidR="00F545C3" w:rsidRPr="00A94974">
        <w:rPr>
          <w:rFonts w:ascii="Trebuchet MS" w:hAnsi="Trebuchet MS"/>
          <w:color w:val="1F4E79" w:themeColor="accent1" w:themeShade="80"/>
        </w:rPr>
        <w:t>.</w:t>
      </w:r>
    </w:p>
    <w:p w14:paraId="5C6FA7CD" w14:textId="3A428D5B" w:rsidR="00A7718E" w:rsidRPr="00A94974" w:rsidRDefault="00A7718E" w:rsidP="00E467FC">
      <w:pPr>
        <w:jc w:val="both"/>
        <w:rPr>
          <w:rFonts w:ascii="Trebuchet MS" w:hAnsi="Trebuchet MS"/>
          <w:color w:val="1F4E79" w:themeColor="accent1" w:themeShade="80"/>
        </w:rPr>
      </w:pPr>
      <w:r w:rsidRPr="00A94974">
        <w:rPr>
          <w:rFonts w:ascii="Trebuchet MS" w:hAnsi="Trebuchet MS"/>
          <w:color w:val="1F4E79" w:themeColor="accent1" w:themeShade="80"/>
        </w:rPr>
        <w:t xml:space="preserve">Pentru a fi eligibile, persoanele din grupul țintă îndeplinesc </w:t>
      </w:r>
      <w:r w:rsidR="007F2010" w:rsidRPr="00A94974">
        <w:rPr>
          <w:rFonts w:ascii="Trebuchet MS" w:hAnsi="Trebuchet MS"/>
          <w:color w:val="1F4E79" w:themeColor="accent1" w:themeShade="80"/>
        </w:rPr>
        <w:t xml:space="preserve">cumulativ </w:t>
      </w:r>
      <w:r w:rsidRPr="00A94974">
        <w:rPr>
          <w:rFonts w:ascii="Trebuchet MS" w:hAnsi="Trebuchet MS"/>
          <w:color w:val="1F4E79" w:themeColor="accent1" w:themeShade="80"/>
        </w:rPr>
        <w:t xml:space="preserve">la data intrării în operațiune următoarele condiții: </w:t>
      </w:r>
    </w:p>
    <w:p w14:paraId="0378138A" w14:textId="36720C12" w:rsidR="00620DD8" w:rsidRPr="00A94974" w:rsidRDefault="00A7718E" w:rsidP="00BE3FAB">
      <w:pPr>
        <w:pStyle w:val="ListParagraph"/>
        <w:numPr>
          <w:ilvl w:val="0"/>
          <w:numId w:val="22"/>
        </w:numPr>
        <w:jc w:val="both"/>
        <w:rPr>
          <w:rFonts w:ascii="Trebuchet MS" w:hAnsi="Trebuchet MS"/>
          <w:color w:val="1F4E79" w:themeColor="accent1" w:themeShade="80"/>
        </w:rPr>
      </w:pPr>
      <w:r w:rsidRPr="00A94974">
        <w:rPr>
          <w:rFonts w:ascii="Trebuchet MS" w:hAnsi="Trebuchet MS"/>
          <w:color w:val="1F4E79" w:themeColor="accent1" w:themeShade="80"/>
        </w:rPr>
        <w:t xml:space="preserve">sunt înmatriculate ca studenți </w:t>
      </w:r>
      <w:r w:rsidR="00F6308C" w:rsidRPr="00A94974">
        <w:rPr>
          <w:rFonts w:ascii="Trebuchet MS" w:hAnsi="Trebuchet MS"/>
          <w:color w:val="1F4E79" w:themeColor="accent1" w:themeShade="80"/>
        </w:rPr>
        <w:t>într-un program de nivel ISCED 5-8 din cadrul</w:t>
      </w:r>
      <w:r w:rsidRPr="00A94974">
        <w:rPr>
          <w:rFonts w:ascii="Trebuchet MS" w:hAnsi="Trebuchet MS"/>
          <w:color w:val="1F4E79" w:themeColor="accent1" w:themeShade="80"/>
        </w:rPr>
        <w:t xml:space="preserve"> instituții</w:t>
      </w:r>
      <w:r w:rsidR="00F6308C" w:rsidRPr="00A94974">
        <w:rPr>
          <w:rFonts w:ascii="Trebuchet MS" w:hAnsi="Trebuchet MS"/>
          <w:color w:val="1F4E79" w:themeColor="accent1" w:themeShade="80"/>
        </w:rPr>
        <w:t>lor</w:t>
      </w:r>
      <w:r w:rsidRPr="00A94974">
        <w:rPr>
          <w:rFonts w:ascii="Trebuchet MS" w:hAnsi="Trebuchet MS"/>
          <w:color w:val="1F4E79" w:themeColor="accent1" w:themeShade="80"/>
        </w:rPr>
        <w:t xml:space="preserve"> de învățământ superior de stat sau particulare care posedă Carta Universitară Erasmus (ECHE) 2021-2027 și care au încheiat contract de finanțare cu ANPCDEFP pentru proiecte de mobilitate în domeniul universitar prin Programul Erasmus+, conform Anexei nr. 7 a Ghidului Solicitantului Condiții Specifice</w:t>
      </w:r>
      <w:r w:rsidR="003375DA" w:rsidRPr="00A94974">
        <w:rPr>
          <w:rFonts w:ascii="Trebuchet MS" w:hAnsi="Trebuchet MS"/>
          <w:color w:val="1F4E79" w:themeColor="accent1" w:themeShade="80"/>
        </w:rPr>
        <w:t>;</w:t>
      </w:r>
    </w:p>
    <w:p w14:paraId="3B2D85B8" w14:textId="5A6B5BD7" w:rsidR="00A7718E" w:rsidRPr="00A94974" w:rsidRDefault="003375DA" w:rsidP="00BE3FAB">
      <w:pPr>
        <w:pStyle w:val="ListParagraph"/>
        <w:numPr>
          <w:ilvl w:val="0"/>
          <w:numId w:val="22"/>
        </w:numPr>
        <w:jc w:val="both"/>
        <w:rPr>
          <w:rFonts w:ascii="Trebuchet MS" w:hAnsi="Trebuchet MS"/>
          <w:color w:val="1F4E79" w:themeColor="accent1" w:themeShade="80"/>
        </w:rPr>
      </w:pPr>
      <w:r w:rsidRPr="00A94974">
        <w:rPr>
          <w:rFonts w:ascii="Trebuchet MS" w:hAnsi="Trebuchet MS"/>
          <w:color w:val="1F4E79" w:themeColor="accent1" w:themeShade="80"/>
        </w:rPr>
        <w:t>se încadrează în categoria ”student cu oportunități reduse”, conform definiției prezentului Ghid al Solicitantului Condiții Specifice.</w:t>
      </w:r>
    </w:p>
    <w:p w14:paraId="29F57D15" w14:textId="77777777" w:rsidR="007953BF" w:rsidRPr="00A94974" w:rsidRDefault="00972835" w:rsidP="000C5732">
      <w:pPr>
        <w:jc w:val="both"/>
        <w:rPr>
          <w:rFonts w:ascii="Trebuchet MS" w:hAnsi="Trebuchet MS"/>
          <w:color w:val="1F4E79" w:themeColor="accent1" w:themeShade="80"/>
        </w:rPr>
      </w:pPr>
      <w:bookmarkStart w:id="25" w:name="_Hlk173839860"/>
      <w:r w:rsidRPr="00A94974">
        <w:rPr>
          <w:rFonts w:ascii="Trebuchet MS" w:hAnsi="Trebuchet MS"/>
          <w:color w:val="1F4E79" w:themeColor="accent1" w:themeShade="80"/>
        </w:rPr>
        <w:t xml:space="preserve">În cadrul prezentelor apeluri de proiecte, prin </w:t>
      </w:r>
      <w:r w:rsidRPr="00A94974">
        <w:rPr>
          <w:rFonts w:ascii="Trebuchet MS" w:hAnsi="Trebuchet MS"/>
          <w:b/>
          <w:bCs/>
          <w:color w:val="1F4E79" w:themeColor="accent1" w:themeShade="80"/>
          <w:u w:val="single"/>
        </w:rPr>
        <w:t>student cu oportunități reduse</w:t>
      </w:r>
      <w:r w:rsidRPr="00A94974">
        <w:rPr>
          <w:rFonts w:ascii="Trebuchet MS" w:hAnsi="Trebuchet MS"/>
          <w:color w:val="1F4E79" w:themeColor="accent1" w:themeShade="80"/>
        </w:rPr>
        <w:t xml:space="preserve"> se înțelege</w:t>
      </w:r>
      <w:r w:rsidR="007954EE" w:rsidRPr="00A94974">
        <w:rPr>
          <w:color w:val="1F4E79" w:themeColor="accent1" w:themeShade="80"/>
        </w:rPr>
        <w:t xml:space="preserve"> </w:t>
      </w:r>
      <w:r w:rsidR="007954EE" w:rsidRPr="00A94974">
        <w:rPr>
          <w:rFonts w:ascii="Trebuchet MS" w:hAnsi="Trebuchet MS"/>
          <w:color w:val="1F4E79" w:themeColor="accent1" w:themeShade="80"/>
        </w:rPr>
        <w:t xml:space="preserve">studentul care, din rațiuni economice, sociale, culturale, geografice,   de sănătate, dizabilitate sau dificultăți educaționale, </w:t>
      </w:r>
      <w:r w:rsidR="00B17AF4" w:rsidRPr="00A94974">
        <w:rPr>
          <w:rFonts w:ascii="Trebuchet MS" w:hAnsi="Trebuchet MS"/>
          <w:color w:val="1F4E79" w:themeColor="accent1" w:themeShade="80"/>
        </w:rPr>
        <w:t>din cauza</w:t>
      </w:r>
      <w:r w:rsidR="007954EE" w:rsidRPr="00A94974">
        <w:rPr>
          <w:rFonts w:ascii="Trebuchet MS" w:hAnsi="Trebuchet MS"/>
          <w:color w:val="1F4E79" w:themeColor="accent1" w:themeShade="80"/>
        </w:rPr>
        <w:t xml:space="preserve"> statut</w:t>
      </w:r>
      <w:r w:rsidR="00B17AF4" w:rsidRPr="00A94974">
        <w:rPr>
          <w:rFonts w:ascii="Trebuchet MS" w:hAnsi="Trebuchet MS"/>
          <w:color w:val="1F4E79" w:themeColor="accent1" w:themeShade="80"/>
        </w:rPr>
        <w:t>u</w:t>
      </w:r>
      <w:r w:rsidR="00C12A18" w:rsidRPr="00A94974">
        <w:rPr>
          <w:rFonts w:ascii="Trebuchet MS" w:hAnsi="Trebuchet MS"/>
          <w:color w:val="1F4E79" w:themeColor="accent1" w:themeShade="80"/>
        </w:rPr>
        <w:t>lu</w:t>
      </w:r>
      <w:r w:rsidR="00B17AF4" w:rsidRPr="00A94974">
        <w:rPr>
          <w:rFonts w:ascii="Trebuchet MS" w:hAnsi="Trebuchet MS"/>
          <w:color w:val="1F4E79" w:themeColor="accent1" w:themeShade="80"/>
        </w:rPr>
        <w:t>i</w:t>
      </w:r>
      <w:r w:rsidR="007954EE" w:rsidRPr="00A94974">
        <w:rPr>
          <w:rFonts w:ascii="Trebuchet MS" w:hAnsi="Trebuchet MS"/>
          <w:color w:val="1F4E79" w:themeColor="accent1" w:themeShade="80"/>
        </w:rPr>
        <w:t xml:space="preserve"> de </w:t>
      </w:r>
      <w:proofErr w:type="spellStart"/>
      <w:r w:rsidR="007954EE" w:rsidRPr="00A94974">
        <w:rPr>
          <w:rFonts w:ascii="Trebuchet MS" w:hAnsi="Trebuchet MS"/>
          <w:color w:val="1F4E79" w:themeColor="accent1" w:themeShade="80"/>
        </w:rPr>
        <w:t>migrant</w:t>
      </w:r>
      <w:proofErr w:type="spellEnd"/>
      <w:r w:rsidR="007954EE" w:rsidRPr="00A94974">
        <w:rPr>
          <w:rFonts w:ascii="Trebuchet MS" w:hAnsi="Trebuchet MS"/>
          <w:color w:val="1F4E79" w:themeColor="accent1" w:themeShade="80"/>
        </w:rPr>
        <w:t xml:space="preserve"> sau din oricare alte motive, incluzându-le pe acelea care ar putea da naștere la discriminări sub incidența art. 21 din Carta drepturilor fundamentale a Uniunii Europene, întâmpină obstacole care îl împiedică să aibă acces efectiv la oportunități oferite de programul Erasmus+. În acest sens, </w:t>
      </w:r>
      <w:r w:rsidRPr="00A94974">
        <w:rPr>
          <w:rFonts w:ascii="Trebuchet MS" w:hAnsi="Trebuchet MS"/>
          <w:color w:val="1F4E79" w:themeColor="accent1" w:themeShade="80"/>
        </w:rPr>
        <w:t>studentul</w:t>
      </w:r>
      <w:r w:rsidR="00CB72D0" w:rsidRPr="00A94974">
        <w:rPr>
          <w:rFonts w:ascii="Trebuchet MS" w:hAnsi="Trebuchet MS"/>
          <w:color w:val="1F4E79" w:themeColor="accent1" w:themeShade="80"/>
        </w:rPr>
        <w:t xml:space="preserve"> </w:t>
      </w:r>
      <w:r w:rsidR="007954EE" w:rsidRPr="00A94974">
        <w:rPr>
          <w:rFonts w:ascii="Trebuchet MS" w:hAnsi="Trebuchet MS"/>
          <w:color w:val="1F4E79" w:themeColor="accent1" w:themeShade="80"/>
        </w:rPr>
        <w:t xml:space="preserve">cu oportunități reduse </w:t>
      </w:r>
      <w:r w:rsidR="00CB72D0" w:rsidRPr="00A94974">
        <w:rPr>
          <w:rFonts w:ascii="Trebuchet MS" w:hAnsi="Trebuchet MS"/>
          <w:color w:val="1F4E79" w:themeColor="accent1" w:themeShade="80"/>
        </w:rPr>
        <w:t>se încadrează în cel puțin una din</w:t>
      </w:r>
      <w:r w:rsidR="002527B9" w:rsidRPr="00A94974">
        <w:rPr>
          <w:rFonts w:ascii="Trebuchet MS" w:hAnsi="Trebuchet MS"/>
          <w:color w:val="1F4E79" w:themeColor="accent1" w:themeShade="80"/>
        </w:rPr>
        <w:t>tre</w:t>
      </w:r>
      <w:r w:rsidR="00CB72D0" w:rsidRPr="00A94974">
        <w:rPr>
          <w:rFonts w:ascii="Trebuchet MS" w:hAnsi="Trebuchet MS"/>
          <w:color w:val="1F4E79" w:themeColor="accent1" w:themeShade="80"/>
        </w:rPr>
        <w:t xml:space="preserve"> următoarele categorii</w:t>
      </w:r>
      <w:r w:rsidRPr="00A94974">
        <w:rPr>
          <w:rFonts w:ascii="Trebuchet MS" w:hAnsi="Trebuchet MS"/>
          <w:color w:val="1F4E79" w:themeColor="accent1" w:themeShade="80"/>
        </w:rPr>
        <w:t>:</w:t>
      </w:r>
      <w:r w:rsidR="00F2795F" w:rsidRPr="00A94974">
        <w:rPr>
          <w:rFonts w:ascii="Trebuchet MS" w:hAnsi="Trebuchet MS"/>
          <w:color w:val="1F4E79" w:themeColor="accent1" w:themeShade="80"/>
        </w:rPr>
        <w:t xml:space="preserve"> </w:t>
      </w:r>
      <w:bookmarkEnd w:id="25"/>
    </w:p>
    <w:p w14:paraId="6FD7B941" w14:textId="77F49DE6" w:rsidR="00620DD8" w:rsidRPr="00A94974" w:rsidRDefault="00972835" w:rsidP="00BE3FAB">
      <w:pPr>
        <w:pStyle w:val="ListParagraph"/>
        <w:numPr>
          <w:ilvl w:val="0"/>
          <w:numId w:val="23"/>
        </w:numPr>
        <w:jc w:val="both"/>
        <w:rPr>
          <w:rFonts w:ascii="Trebuchet MS" w:hAnsi="Trebuchet MS"/>
          <w:color w:val="1F4E79" w:themeColor="accent1" w:themeShade="80"/>
        </w:rPr>
      </w:pPr>
      <w:r w:rsidRPr="00A94974">
        <w:rPr>
          <w:rFonts w:ascii="Trebuchet MS" w:hAnsi="Trebuchet MS"/>
          <w:color w:val="1F4E79" w:themeColor="accent1" w:themeShade="80"/>
        </w:rPr>
        <w:t xml:space="preserve">care beneficiază de o bursă socială sau care se califică/întrunește condițiile pentru a beneficia de o bursă socială acordată de instituția de învățământ superior la care acesta este înmatriculat, conform </w:t>
      </w:r>
      <w:r w:rsidR="00A50E17" w:rsidRPr="00A94974">
        <w:rPr>
          <w:rFonts w:ascii="Trebuchet MS" w:hAnsi="Trebuchet MS"/>
          <w:color w:val="1F4E79" w:themeColor="accent1" w:themeShade="80"/>
        </w:rPr>
        <w:t xml:space="preserve">prevederilor art. 10, alin. (9) din </w:t>
      </w:r>
      <w:r w:rsidRPr="00A94974">
        <w:rPr>
          <w:rFonts w:ascii="Trebuchet MS" w:hAnsi="Trebuchet MS"/>
          <w:color w:val="1F4E79" w:themeColor="accent1" w:themeShade="80"/>
        </w:rPr>
        <w:t>Ordinul ME 6463/2023</w:t>
      </w:r>
      <w:r w:rsidR="00E91F28" w:rsidRPr="00A94974">
        <w:rPr>
          <w:rStyle w:val="FootnoteReference"/>
          <w:rFonts w:ascii="Trebuchet MS" w:hAnsi="Trebuchet MS"/>
          <w:color w:val="1F4E79" w:themeColor="accent1" w:themeShade="80"/>
        </w:rPr>
        <w:footnoteReference w:id="2"/>
      </w:r>
      <w:r w:rsidRPr="00A94974">
        <w:rPr>
          <w:rFonts w:ascii="Trebuchet MS" w:hAnsi="Trebuchet MS"/>
          <w:color w:val="1F4E79" w:themeColor="accent1" w:themeShade="80"/>
        </w:rPr>
        <w:t xml:space="preserve">; </w:t>
      </w:r>
    </w:p>
    <w:p w14:paraId="7CF95E0E" w14:textId="558D32E8" w:rsidR="00620DD8" w:rsidRPr="00A94974" w:rsidRDefault="00972835" w:rsidP="00BE3FAB">
      <w:pPr>
        <w:pStyle w:val="ListParagraph"/>
        <w:numPr>
          <w:ilvl w:val="0"/>
          <w:numId w:val="23"/>
        </w:numPr>
        <w:jc w:val="both"/>
        <w:rPr>
          <w:rFonts w:ascii="Trebuchet MS" w:hAnsi="Trebuchet MS"/>
          <w:color w:val="1F4E79" w:themeColor="accent1" w:themeShade="80"/>
        </w:rPr>
      </w:pPr>
      <w:r w:rsidRPr="00A94974">
        <w:rPr>
          <w:rFonts w:ascii="Trebuchet MS" w:hAnsi="Trebuchet MS"/>
          <w:color w:val="1F4E79" w:themeColor="accent1" w:themeShade="80"/>
        </w:rPr>
        <w:t>care intră în categoria „primului student din familie” (însemnând că nu deține deja o diplomă de licență, părinții săi nu au obținut o diplomă de studii universitare, dar poate avea frați/surori care sunt deja studenți la universitate / au absolvit deja o universitate);</w:t>
      </w:r>
    </w:p>
    <w:p w14:paraId="11765770" w14:textId="77777777" w:rsidR="00620DD8" w:rsidRPr="00A94974" w:rsidRDefault="00972835" w:rsidP="00BE3FAB">
      <w:pPr>
        <w:pStyle w:val="ListParagraph"/>
        <w:numPr>
          <w:ilvl w:val="0"/>
          <w:numId w:val="23"/>
        </w:numPr>
        <w:jc w:val="both"/>
        <w:rPr>
          <w:rFonts w:ascii="Trebuchet MS" w:hAnsi="Trebuchet MS"/>
          <w:color w:val="1F4E79" w:themeColor="accent1" w:themeShade="80"/>
        </w:rPr>
      </w:pPr>
      <w:bookmarkStart w:id="26" w:name="_Hlk173839835"/>
      <w:r w:rsidRPr="00A94974">
        <w:rPr>
          <w:rFonts w:ascii="Trebuchet MS" w:hAnsi="Trebuchet MS"/>
          <w:color w:val="1F4E79" w:themeColor="accent1" w:themeShade="80"/>
        </w:rPr>
        <w:t xml:space="preserve">care are calitate de unic părinte (din motive de deces, dispariție, încarcerare a celuilalt părinte sau nerecunoaștere prin certificatul de naștere); </w:t>
      </w:r>
    </w:p>
    <w:p w14:paraId="1F2CA11A" w14:textId="2F06F835" w:rsidR="00620DD8" w:rsidRPr="00A94974" w:rsidRDefault="00972835" w:rsidP="002C259B">
      <w:pPr>
        <w:pStyle w:val="ListParagraph"/>
        <w:numPr>
          <w:ilvl w:val="0"/>
          <w:numId w:val="23"/>
        </w:numPr>
        <w:jc w:val="both"/>
        <w:rPr>
          <w:rFonts w:ascii="Trebuchet MS" w:hAnsi="Trebuchet MS"/>
          <w:color w:val="1F4E79" w:themeColor="accent1" w:themeShade="80"/>
        </w:rPr>
      </w:pPr>
      <w:r w:rsidRPr="00A94974">
        <w:rPr>
          <w:rFonts w:ascii="Trebuchet MS" w:hAnsi="Trebuchet MS"/>
          <w:color w:val="1F4E79" w:themeColor="accent1" w:themeShade="80"/>
        </w:rPr>
        <w:t xml:space="preserve">care </w:t>
      </w:r>
      <w:r w:rsidR="006B50E8" w:rsidRPr="00A94974">
        <w:rPr>
          <w:rFonts w:ascii="Trebuchet MS" w:hAnsi="Trebuchet MS"/>
          <w:color w:val="1F4E79" w:themeColor="accent1" w:themeShade="80"/>
        </w:rPr>
        <w:t xml:space="preserve">este de </w:t>
      </w:r>
      <w:r w:rsidRPr="00A94974">
        <w:rPr>
          <w:rFonts w:ascii="Trebuchet MS" w:hAnsi="Trebuchet MS"/>
          <w:color w:val="1F4E79" w:themeColor="accent1" w:themeShade="80"/>
        </w:rPr>
        <w:t>etnie</w:t>
      </w:r>
      <w:r w:rsidR="0024503C" w:rsidRPr="00A94974">
        <w:rPr>
          <w:rFonts w:ascii="Trebuchet MS" w:hAnsi="Trebuchet MS"/>
          <w:color w:val="1F4E79" w:themeColor="accent1" w:themeShade="80"/>
        </w:rPr>
        <w:t xml:space="preserve"> rom</w:t>
      </w:r>
      <w:r w:rsidR="006B50E8" w:rsidRPr="00A94974">
        <w:rPr>
          <w:rFonts w:ascii="Trebuchet MS" w:hAnsi="Trebuchet MS"/>
          <w:color w:val="1F4E79" w:themeColor="accent1" w:themeShade="80"/>
        </w:rPr>
        <w:t>ă</w:t>
      </w:r>
      <w:r w:rsidRPr="00A94974">
        <w:rPr>
          <w:rFonts w:ascii="Trebuchet MS" w:hAnsi="Trebuchet MS"/>
          <w:color w:val="1F4E79" w:themeColor="accent1" w:themeShade="80"/>
        </w:rPr>
        <w:t xml:space="preserve">;  </w:t>
      </w:r>
    </w:p>
    <w:p w14:paraId="11938E32" w14:textId="149E56A7" w:rsidR="00620DD8" w:rsidRPr="00A94974" w:rsidRDefault="00972835" w:rsidP="00BE3FAB">
      <w:pPr>
        <w:pStyle w:val="ListParagraph"/>
        <w:numPr>
          <w:ilvl w:val="0"/>
          <w:numId w:val="23"/>
        </w:numPr>
        <w:jc w:val="both"/>
        <w:rPr>
          <w:rFonts w:ascii="Trebuchet MS" w:hAnsi="Trebuchet MS"/>
          <w:color w:val="1F4E79" w:themeColor="accent1" w:themeShade="80"/>
        </w:rPr>
      </w:pPr>
      <w:r w:rsidRPr="00A94974">
        <w:rPr>
          <w:rFonts w:ascii="Trebuchet MS" w:hAnsi="Trebuchet MS"/>
          <w:color w:val="1F4E79" w:themeColor="accent1" w:themeShade="80"/>
        </w:rPr>
        <w:t>care provine din mediul rural;</w:t>
      </w:r>
    </w:p>
    <w:p w14:paraId="4F2C5DBB" w14:textId="71CF74CD" w:rsidR="00972835" w:rsidRPr="00A94974" w:rsidRDefault="00972835" w:rsidP="00BE3FAB">
      <w:pPr>
        <w:pStyle w:val="ListParagraph"/>
        <w:numPr>
          <w:ilvl w:val="0"/>
          <w:numId w:val="23"/>
        </w:numPr>
        <w:jc w:val="both"/>
        <w:rPr>
          <w:rFonts w:ascii="Trebuchet MS" w:hAnsi="Trebuchet MS"/>
          <w:color w:val="1F4E79" w:themeColor="accent1" w:themeShade="80"/>
        </w:rPr>
      </w:pPr>
      <w:r w:rsidRPr="00A94974">
        <w:rPr>
          <w:rFonts w:ascii="Trebuchet MS" w:hAnsi="Trebuchet MS"/>
          <w:color w:val="1F4E79" w:themeColor="accent1" w:themeShade="80"/>
        </w:rPr>
        <w:t xml:space="preserve">care are statut de </w:t>
      </w:r>
      <w:proofErr w:type="spellStart"/>
      <w:r w:rsidRPr="00A94974">
        <w:rPr>
          <w:rFonts w:ascii="Trebuchet MS" w:hAnsi="Trebuchet MS"/>
          <w:color w:val="1F4E79" w:themeColor="accent1" w:themeShade="80"/>
        </w:rPr>
        <w:t>migrant</w:t>
      </w:r>
      <w:proofErr w:type="spellEnd"/>
      <w:r w:rsidRPr="00A94974">
        <w:rPr>
          <w:rFonts w:ascii="Trebuchet MS" w:hAnsi="Trebuchet MS"/>
          <w:color w:val="1F4E79" w:themeColor="accent1" w:themeShade="80"/>
        </w:rPr>
        <w:t xml:space="preserve"> sau refugiat.</w:t>
      </w:r>
    </w:p>
    <w:bookmarkEnd w:id="26"/>
    <w:p w14:paraId="255FA9A5" w14:textId="4514D13B" w:rsidR="00972835" w:rsidRPr="00A94974" w:rsidRDefault="005821BB" w:rsidP="00E467FC">
      <w:pPr>
        <w:jc w:val="both"/>
        <w:rPr>
          <w:rFonts w:ascii="Trebuchet MS" w:hAnsi="Trebuchet MS"/>
          <w:color w:val="1F4E79" w:themeColor="accent1" w:themeShade="80"/>
        </w:rPr>
      </w:pPr>
      <w:r w:rsidRPr="00A94974">
        <w:rPr>
          <w:rFonts w:ascii="Trebuchet MS" w:hAnsi="Trebuchet MS"/>
          <w:color w:val="1F4E79" w:themeColor="accent1" w:themeShade="80"/>
        </w:rPr>
        <w:t>Încadrarea membrilor grupului țintă într-una dintre categoriile mai sus menționate se va realiza în baza următoarelor documente</w:t>
      </w:r>
      <w:r w:rsidR="009C729D" w:rsidRPr="00A94974">
        <w:rPr>
          <w:rFonts w:ascii="Trebuchet MS" w:hAnsi="Trebuchet MS"/>
          <w:color w:val="1F4E79" w:themeColor="accent1" w:themeShade="80"/>
        </w:rPr>
        <w:t xml:space="preserve"> </w:t>
      </w:r>
      <w:r w:rsidR="00874BF5" w:rsidRPr="00A94974">
        <w:rPr>
          <w:rFonts w:ascii="Trebuchet MS" w:hAnsi="Trebuchet MS"/>
          <w:color w:val="1F4E79" w:themeColor="accent1" w:themeShade="80"/>
        </w:rPr>
        <w:t>(l</w:t>
      </w:r>
      <w:r w:rsidR="001B79AC" w:rsidRPr="00A94974">
        <w:rPr>
          <w:rFonts w:ascii="Trebuchet MS" w:hAnsi="Trebuchet MS"/>
          <w:color w:val="1F4E79" w:themeColor="accent1" w:themeShade="80"/>
        </w:rPr>
        <w:t>ista nu este exhaustivă)</w:t>
      </w:r>
      <w:r w:rsidRPr="00A94974">
        <w:rPr>
          <w:rFonts w:ascii="Trebuchet MS" w:hAnsi="Trebuchet MS"/>
          <w:color w:val="1F4E79" w:themeColor="accent1" w:themeShade="80"/>
        </w:rPr>
        <w:t>:</w:t>
      </w:r>
    </w:p>
    <w:p w14:paraId="199B04DF" w14:textId="10448866" w:rsidR="00620DD8" w:rsidRPr="00A94974" w:rsidRDefault="005821BB" w:rsidP="00BE3FAB">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lastRenderedPageBreak/>
        <w:t>documente care atestă încadrarea în condițiile de acordare a burselor sociale stipulate în art. 10 alin. (9) lit. a) – c) din OME nr. 6</w:t>
      </w:r>
      <w:r w:rsidR="00DA6228"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463/2023 privind aprobarea Criteriilor generale de acordare a burselor și a altor forme de sprijin financiar de la bugetul de stat pentru studenții și cursanții din învățământul superior, învățământ cu frecvență;</w:t>
      </w:r>
    </w:p>
    <w:p w14:paraId="63D69AEB" w14:textId="4172CDA4" w:rsidR="00DA6228" w:rsidRPr="00A94974" w:rsidRDefault="00DA6228" w:rsidP="00BE3FAB">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t>dosar medical sau documente medicale</w:t>
      </w:r>
      <w:r w:rsidR="0010246F" w:rsidRPr="00A94974">
        <w:rPr>
          <w:rFonts w:ascii="Trebuchet MS" w:hAnsi="Trebuchet MS"/>
          <w:color w:val="1F4E79" w:themeColor="accent1" w:themeShade="80"/>
        </w:rPr>
        <w:t xml:space="preserve"> valide</w:t>
      </w:r>
      <w:r w:rsidRPr="00A94974">
        <w:rPr>
          <w:rFonts w:ascii="Trebuchet MS" w:hAnsi="Trebuchet MS"/>
          <w:color w:val="1F4E79" w:themeColor="accent1" w:themeShade="80"/>
        </w:rPr>
        <w:t>;</w:t>
      </w:r>
    </w:p>
    <w:p w14:paraId="76AD6274" w14:textId="77777777" w:rsidR="006C3050" w:rsidRPr="00A94974" w:rsidRDefault="00BA372C" w:rsidP="00BE3FAB">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t>certificat</w:t>
      </w:r>
      <w:r w:rsidR="00300056" w:rsidRPr="00A94974">
        <w:rPr>
          <w:rFonts w:ascii="Trebuchet MS" w:hAnsi="Trebuchet MS"/>
          <w:color w:val="1F4E79" w:themeColor="accent1" w:themeShade="80"/>
        </w:rPr>
        <w:t>(e)</w:t>
      </w:r>
      <w:r w:rsidRPr="00A94974">
        <w:rPr>
          <w:rFonts w:ascii="Trebuchet MS" w:hAnsi="Trebuchet MS"/>
          <w:color w:val="1F4E79" w:themeColor="accent1" w:themeShade="80"/>
        </w:rPr>
        <w:t xml:space="preserve"> </w:t>
      </w:r>
      <w:r w:rsidR="004068DC" w:rsidRPr="00A94974">
        <w:rPr>
          <w:rFonts w:ascii="Trebuchet MS" w:hAnsi="Trebuchet MS"/>
          <w:color w:val="1F4E79" w:themeColor="accent1" w:themeShade="80"/>
        </w:rPr>
        <w:t xml:space="preserve">de </w:t>
      </w:r>
      <w:r w:rsidRPr="00A94974">
        <w:rPr>
          <w:rFonts w:ascii="Trebuchet MS" w:hAnsi="Trebuchet MS"/>
          <w:color w:val="1F4E79" w:themeColor="accent1" w:themeShade="80"/>
        </w:rPr>
        <w:t>deces</w:t>
      </w:r>
      <w:r w:rsidR="006C3050" w:rsidRPr="00A94974">
        <w:rPr>
          <w:rFonts w:ascii="Trebuchet MS" w:hAnsi="Trebuchet MS"/>
          <w:color w:val="1F4E79" w:themeColor="accent1" w:themeShade="80"/>
        </w:rPr>
        <w:t>;</w:t>
      </w:r>
    </w:p>
    <w:p w14:paraId="6E473F08" w14:textId="6D54F4C6" w:rsidR="0010246F" w:rsidRPr="00A94974" w:rsidRDefault="006C3050" w:rsidP="00BE3FAB">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t xml:space="preserve">documente care atestă </w:t>
      </w:r>
      <w:r w:rsidR="00552DD2" w:rsidRPr="00A94974">
        <w:rPr>
          <w:rFonts w:ascii="Trebuchet MS" w:hAnsi="Trebuchet MS"/>
          <w:color w:val="1F4E79" w:themeColor="accent1" w:themeShade="80"/>
        </w:rPr>
        <w:t>apartenența la familie monoparentală</w:t>
      </w:r>
      <w:r w:rsidR="00BA372C" w:rsidRPr="00A94974">
        <w:rPr>
          <w:rFonts w:ascii="Trebuchet MS" w:hAnsi="Trebuchet MS"/>
          <w:color w:val="1F4E79" w:themeColor="accent1" w:themeShade="80"/>
        </w:rPr>
        <w:t xml:space="preserve"> </w:t>
      </w:r>
      <w:r w:rsidR="00552DD2" w:rsidRPr="00A94974">
        <w:rPr>
          <w:rFonts w:ascii="Trebuchet MS" w:hAnsi="Trebuchet MS"/>
          <w:color w:val="1F4E79" w:themeColor="accent1" w:themeShade="80"/>
        </w:rPr>
        <w:t>(</w:t>
      </w:r>
      <w:r w:rsidR="00E15257" w:rsidRPr="00A94974">
        <w:rPr>
          <w:rFonts w:ascii="Trebuchet MS" w:hAnsi="Trebuchet MS"/>
          <w:color w:val="1F4E79" w:themeColor="accent1" w:themeShade="80"/>
        </w:rPr>
        <w:t xml:space="preserve">după caz, </w:t>
      </w:r>
      <w:r w:rsidR="00BA372C" w:rsidRPr="00A94974">
        <w:rPr>
          <w:rFonts w:ascii="Trebuchet MS" w:hAnsi="Trebuchet MS"/>
          <w:color w:val="1F4E79" w:themeColor="accent1" w:themeShade="80"/>
        </w:rPr>
        <w:t xml:space="preserve">acte de stare civilă, </w:t>
      </w:r>
      <w:r w:rsidR="00E0114F" w:rsidRPr="00A94974">
        <w:rPr>
          <w:rFonts w:ascii="Trebuchet MS" w:hAnsi="Trebuchet MS"/>
          <w:color w:val="1F4E79" w:themeColor="accent1" w:themeShade="80"/>
        </w:rPr>
        <w:t xml:space="preserve">dovadă de încarcerare, </w:t>
      </w:r>
      <w:r w:rsidR="00BA372C" w:rsidRPr="00A94974">
        <w:rPr>
          <w:rFonts w:ascii="Trebuchet MS" w:hAnsi="Trebuchet MS"/>
          <w:color w:val="1F4E79" w:themeColor="accent1" w:themeShade="80"/>
        </w:rPr>
        <w:t xml:space="preserve">decizia </w:t>
      </w:r>
      <w:proofErr w:type="spellStart"/>
      <w:r w:rsidR="00BA372C" w:rsidRPr="00A94974">
        <w:rPr>
          <w:rFonts w:ascii="Trebuchet MS" w:hAnsi="Trebuchet MS"/>
          <w:color w:val="1F4E79" w:themeColor="accent1" w:themeShade="80"/>
        </w:rPr>
        <w:t>instanţei</w:t>
      </w:r>
      <w:proofErr w:type="spellEnd"/>
      <w:r w:rsidR="00BA372C" w:rsidRPr="00A94974">
        <w:rPr>
          <w:rFonts w:ascii="Trebuchet MS" w:hAnsi="Trebuchet MS"/>
          <w:color w:val="1F4E79" w:themeColor="accent1" w:themeShade="80"/>
        </w:rPr>
        <w:t xml:space="preserve"> de </w:t>
      </w:r>
      <w:proofErr w:type="spellStart"/>
      <w:r w:rsidR="00BA372C" w:rsidRPr="00A94974">
        <w:rPr>
          <w:rFonts w:ascii="Trebuchet MS" w:hAnsi="Trebuchet MS"/>
          <w:color w:val="1F4E79" w:themeColor="accent1" w:themeShade="80"/>
        </w:rPr>
        <w:t>menţinere</w:t>
      </w:r>
      <w:proofErr w:type="spellEnd"/>
      <w:r w:rsidR="00BA372C" w:rsidRPr="00A94974">
        <w:rPr>
          <w:rFonts w:ascii="Trebuchet MS" w:hAnsi="Trebuchet MS"/>
          <w:color w:val="1F4E79" w:themeColor="accent1" w:themeShade="80"/>
        </w:rPr>
        <w:t xml:space="preserve"> a stării de arest</w:t>
      </w:r>
      <w:r w:rsidR="004068DC" w:rsidRPr="00A94974">
        <w:rPr>
          <w:rFonts w:ascii="Trebuchet MS" w:hAnsi="Trebuchet MS"/>
          <w:color w:val="1F4E79" w:themeColor="accent1" w:themeShade="80"/>
        </w:rPr>
        <w:t xml:space="preserve">, </w:t>
      </w:r>
      <w:r w:rsidR="00BA372C" w:rsidRPr="00A94974">
        <w:rPr>
          <w:rFonts w:ascii="Trebuchet MS" w:hAnsi="Trebuchet MS"/>
          <w:color w:val="1F4E79" w:themeColor="accent1" w:themeShade="80"/>
        </w:rPr>
        <w:t xml:space="preserve">raportul de anchetă socială în cazul </w:t>
      </w:r>
      <w:proofErr w:type="spellStart"/>
      <w:r w:rsidR="00BA372C" w:rsidRPr="00A94974">
        <w:rPr>
          <w:rFonts w:ascii="Trebuchet MS" w:hAnsi="Trebuchet MS"/>
          <w:color w:val="1F4E79" w:themeColor="accent1" w:themeShade="80"/>
        </w:rPr>
        <w:t>părinţilor</w:t>
      </w:r>
      <w:proofErr w:type="spellEnd"/>
      <w:r w:rsidR="00BA372C" w:rsidRPr="00A94974">
        <w:rPr>
          <w:rFonts w:ascii="Trebuchet MS" w:hAnsi="Trebuchet MS"/>
          <w:color w:val="1F4E79" w:themeColor="accent1" w:themeShade="80"/>
        </w:rPr>
        <w:t xml:space="preserve"> </w:t>
      </w:r>
      <w:proofErr w:type="spellStart"/>
      <w:r w:rsidR="00BA372C" w:rsidRPr="00A94974">
        <w:rPr>
          <w:rFonts w:ascii="Trebuchet MS" w:hAnsi="Trebuchet MS"/>
          <w:color w:val="1F4E79" w:themeColor="accent1" w:themeShade="80"/>
        </w:rPr>
        <w:t>dispăruţi</w:t>
      </w:r>
      <w:proofErr w:type="spellEnd"/>
      <w:r w:rsidR="00552DD2" w:rsidRPr="00A94974">
        <w:rPr>
          <w:rFonts w:ascii="Trebuchet MS" w:hAnsi="Trebuchet MS"/>
          <w:color w:val="1F4E79" w:themeColor="accent1" w:themeShade="80"/>
        </w:rPr>
        <w:t xml:space="preserve"> etc.)</w:t>
      </w:r>
    </w:p>
    <w:p w14:paraId="58B3F281" w14:textId="436AE6CE" w:rsidR="00835653" w:rsidRPr="00A94974" w:rsidRDefault="00835653" w:rsidP="00BE3FAB">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t xml:space="preserve">documente care </w:t>
      </w:r>
      <w:r w:rsidR="003D1EA7" w:rsidRPr="00A94974">
        <w:rPr>
          <w:rFonts w:ascii="Trebuchet MS" w:hAnsi="Trebuchet MS"/>
          <w:color w:val="1F4E79" w:themeColor="accent1" w:themeShade="80"/>
        </w:rPr>
        <w:t>atestă nivelul de venit (</w:t>
      </w:r>
      <w:r w:rsidR="00E15257" w:rsidRPr="00A94974">
        <w:rPr>
          <w:rFonts w:ascii="Trebuchet MS" w:hAnsi="Trebuchet MS"/>
          <w:color w:val="1F4E79" w:themeColor="accent1" w:themeShade="80"/>
        </w:rPr>
        <w:t xml:space="preserve">după caz, </w:t>
      </w:r>
      <w:r w:rsidR="003D1EA7" w:rsidRPr="00A94974">
        <w:rPr>
          <w:rFonts w:ascii="Trebuchet MS" w:hAnsi="Trebuchet MS"/>
          <w:color w:val="1F4E79" w:themeColor="accent1" w:themeShade="80"/>
        </w:rPr>
        <w:t>a</w:t>
      </w:r>
      <w:r w:rsidRPr="00A94974">
        <w:rPr>
          <w:rFonts w:ascii="Trebuchet MS" w:hAnsi="Trebuchet MS"/>
          <w:color w:val="1F4E79" w:themeColor="accent1" w:themeShade="80"/>
        </w:rPr>
        <w:t>deverință de venit pentru fiecare membru al familiei</w:t>
      </w:r>
      <w:r w:rsidR="003D1EA7"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raport de anchetă socială</w:t>
      </w:r>
      <w:r w:rsidR="003D1EA7" w:rsidRPr="00A94974">
        <w:rPr>
          <w:rFonts w:ascii="Trebuchet MS" w:hAnsi="Trebuchet MS"/>
          <w:color w:val="1F4E79" w:themeColor="accent1" w:themeShade="80"/>
        </w:rPr>
        <w:t xml:space="preserve"> etc.)</w:t>
      </w:r>
    </w:p>
    <w:p w14:paraId="34DA18D7" w14:textId="31972F7C" w:rsidR="00620DD8" w:rsidRPr="00A94974" w:rsidRDefault="00FF6E51" w:rsidP="00BE3FAB">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t>declarație pe proprie răspundere a studentului</w:t>
      </w:r>
      <w:r w:rsidR="006171C7"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care atestă faptul că membrul grupului țintă se încadrează în categoria persoanelor cu nivel educațional al părinților scăzut, însoțită de copie după actele de studii ale părinților;</w:t>
      </w:r>
    </w:p>
    <w:p w14:paraId="71B31766" w14:textId="1A645CB7" w:rsidR="004D61DA" w:rsidRPr="00A94974" w:rsidRDefault="005B1667" w:rsidP="004D61DA">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t xml:space="preserve">documente </w:t>
      </w:r>
      <w:r w:rsidR="004D61DA" w:rsidRPr="00A94974">
        <w:rPr>
          <w:rFonts w:ascii="Trebuchet MS" w:hAnsi="Trebuchet MS"/>
          <w:color w:val="1F4E79" w:themeColor="accent1" w:themeShade="80"/>
        </w:rPr>
        <w:t xml:space="preserve">care </w:t>
      </w:r>
      <w:r w:rsidRPr="00A94974">
        <w:rPr>
          <w:rFonts w:ascii="Trebuchet MS" w:hAnsi="Trebuchet MS"/>
          <w:color w:val="1F4E79" w:themeColor="accent1" w:themeShade="80"/>
        </w:rPr>
        <w:t xml:space="preserve">atestă </w:t>
      </w:r>
      <w:r w:rsidR="004D61DA" w:rsidRPr="00A94974">
        <w:rPr>
          <w:rFonts w:ascii="Trebuchet MS" w:hAnsi="Trebuchet MS"/>
          <w:color w:val="1F4E79" w:themeColor="accent1" w:themeShade="80"/>
        </w:rPr>
        <w:t>calitate</w:t>
      </w:r>
      <w:r w:rsidR="004068DC" w:rsidRPr="00A94974">
        <w:rPr>
          <w:rFonts w:ascii="Trebuchet MS" w:hAnsi="Trebuchet MS"/>
          <w:color w:val="1F4E79" w:themeColor="accent1" w:themeShade="80"/>
        </w:rPr>
        <w:t>a</w:t>
      </w:r>
      <w:r w:rsidR="004D61DA" w:rsidRPr="00A94974">
        <w:rPr>
          <w:rFonts w:ascii="Trebuchet MS" w:hAnsi="Trebuchet MS"/>
          <w:color w:val="1F4E79" w:themeColor="accent1" w:themeShade="80"/>
        </w:rPr>
        <w:t xml:space="preserve"> de unic părinte</w:t>
      </w:r>
      <w:r w:rsidRPr="00A94974">
        <w:rPr>
          <w:rFonts w:ascii="Trebuchet MS" w:hAnsi="Trebuchet MS"/>
          <w:color w:val="1F4E79" w:themeColor="accent1" w:themeShade="80"/>
        </w:rPr>
        <w:t xml:space="preserve"> (</w:t>
      </w:r>
      <w:r w:rsidR="00E15257" w:rsidRPr="00A94974">
        <w:rPr>
          <w:rFonts w:ascii="Trebuchet MS" w:hAnsi="Trebuchet MS"/>
          <w:color w:val="1F4E79" w:themeColor="accent1" w:themeShade="80"/>
        </w:rPr>
        <w:t xml:space="preserve">după caz, </w:t>
      </w:r>
      <w:r w:rsidRPr="00A94974">
        <w:rPr>
          <w:rFonts w:ascii="Trebuchet MS" w:hAnsi="Trebuchet MS"/>
          <w:color w:val="1F4E79" w:themeColor="accent1" w:themeShade="80"/>
        </w:rPr>
        <w:t>certificat de naștere</w:t>
      </w:r>
      <w:r w:rsidR="007D282C" w:rsidRPr="00A94974">
        <w:rPr>
          <w:rFonts w:ascii="Trebuchet MS" w:hAnsi="Trebuchet MS"/>
          <w:color w:val="1F4E79" w:themeColor="accent1" w:themeShade="80"/>
        </w:rPr>
        <w:t xml:space="preserve"> cu tată nedeterminat (natural)</w:t>
      </w:r>
      <w:r w:rsidR="009D3204" w:rsidRPr="00A94974">
        <w:rPr>
          <w:rFonts w:ascii="Trebuchet MS" w:hAnsi="Trebuchet MS"/>
          <w:color w:val="1F4E79" w:themeColor="accent1" w:themeShade="80"/>
        </w:rPr>
        <w:t xml:space="preserve">, certificat de </w:t>
      </w:r>
      <w:r w:rsidRPr="00A94974">
        <w:rPr>
          <w:rFonts w:ascii="Trebuchet MS" w:hAnsi="Trebuchet MS"/>
          <w:color w:val="1F4E79" w:themeColor="accent1" w:themeShade="80"/>
        </w:rPr>
        <w:t>deces</w:t>
      </w:r>
      <w:r w:rsidR="009D3204" w:rsidRPr="00A94974">
        <w:rPr>
          <w:rFonts w:ascii="Trebuchet MS" w:hAnsi="Trebuchet MS"/>
          <w:color w:val="1F4E79" w:themeColor="accent1" w:themeShade="80"/>
        </w:rPr>
        <w:t xml:space="preserve"> al celuilalt părinte</w:t>
      </w:r>
      <w:r w:rsidRPr="00A94974">
        <w:rPr>
          <w:rFonts w:ascii="Trebuchet MS" w:hAnsi="Trebuchet MS"/>
          <w:color w:val="1F4E79" w:themeColor="accent1" w:themeShade="80"/>
        </w:rPr>
        <w:t>,</w:t>
      </w:r>
      <w:r w:rsidR="003B5FD5" w:rsidRPr="00A94974">
        <w:rPr>
          <w:rFonts w:ascii="Trebuchet MS" w:hAnsi="Trebuchet MS"/>
          <w:color w:val="1F4E79" w:themeColor="accent1" w:themeShade="80"/>
        </w:rPr>
        <w:t xml:space="preserve"> acte de stare civilă</w:t>
      </w:r>
      <w:r w:rsidR="00300056" w:rsidRPr="00A94974">
        <w:rPr>
          <w:rFonts w:ascii="Trebuchet MS" w:hAnsi="Trebuchet MS"/>
          <w:color w:val="1F4E79" w:themeColor="accent1" w:themeShade="80"/>
        </w:rPr>
        <w:t xml:space="preserve">, </w:t>
      </w:r>
      <w:r w:rsidR="00235668" w:rsidRPr="00A94974">
        <w:rPr>
          <w:rFonts w:ascii="Trebuchet MS" w:hAnsi="Trebuchet MS"/>
          <w:color w:val="1F4E79" w:themeColor="accent1" w:themeShade="80"/>
        </w:rPr>
        <w:t>dovadă</w:t>
      </w:r>
      <w:r w:rsidR="00E0114F" w:rsidRPr="00A94974">
        <w:rPr>
          <w:rFonts w:ascii="Trebuchet MS" w:hAnsi="Trebuchet MS"/>
          <w:color w:val="1F4E79" w:themeColor="accent1" w:themeShade="80"/>
        </w:rPr>
        <w:t xml:space="preserve"> de</w:t>
      </w:r>
      <w:r w:rsidR="00235668" w:rsidRPr="00A94974">
        <w:rPr>
          <w:rFonts w:ascii="Trebuchet MS" w:hAnsi="Trebuchet MS"/>
          <w:color w:val="1F4E79" w:themeColor="accent1" w:themeShade="80"/>
        </w:rPr>
        <w:t xml:space="preserve"> încarcerare, </w:t>
      </w:r>
      <w:r w:rsidR="00300056" w:rsidRPr="00A94974">
        <w:rPr>
          <w:rFonts w:ascii="Trebuchet MS" w:hAnsi="Trebuchet MS"/>
          <w:color w:val="1F4E79" w:themeColor="accent1" w:themeShade="80"/>
        </w:rPr>
        <w:t xml:space="preserve">decizia </w:t>
      </w:r>
      <w:proofErr w:type="spellStart"/>
      <w:r w:rsidR="00300056" w:rsidRPr="00A94974">
        <w:rPr>
          <w:rFonts w:ascii="Trebuchet MS" w:hAnsi="Trebuchet MS"/>
          <w:color w:val="1F4E79" w:themeColor="accent1" w:themeShade="80"/>
        </w:rPr>
        <w:t>instanţei</w:t>
      </w:r>
      <w:proofErr w:type="spellEnd"/>
      <w:r w:rsidR="00300056" w:rsidRPr="00A94974">
        <w:rPr>
          <w:rFonts w:ascii="Trebuchet MS" w:hAnsi="Trebuchet MS"/>
          <w:color w:val="1F4E79" w:themeColor="accent1" w:themeShade="80"/>
        </w:rPr>
        <w:t xml:space="preserve"> de </w:t>
      </w:r>
      <w:proofErr w:type="spellStart"/>
      <w:r w:rsidR="00300056" w:rsidRPr="00A94974">
        <w:rPr>
          <w:rFonts w:ascii="Trebuchet MS" w:hAnsi="Trebuchet MS"/>
          <w:color w:val="1F4E79" w:themeColor="accent1" w:themeShade="80"/>
        </w:rPr>
        <w:t>menţinere</w:t>
      </w:r>
      <w:proofErr w:type="spellEnd"/>
      <w:r w:rsidR="00300056" w:rsidRPr="00A94974">
        <w:rPr>
          <w:rFonts w:ascii="Trebuchet MS" w:hAnsi="Trebuchet MS"/>
          <w:color w:val="1F4E79" w:themeColor="accent1" w:themeShade="80"/>
        </w:rPr>
        <w:t xml:space="preserve"> a stării de arest, raportul de anchetă socială în cazul </w:t>
      </w:r>
      <w:proofErr w:type="spellStart"/>
      <w:r w:rsidR="00300056" w:rsidRPr="00A94974">
        <w:rPr>
          <w:rFonts w:ascii="Trebuchet MS" w:hAnsi="Trebuchet MS"/>
          <w:color w:val="1F4E79" w:themeColor="accent1" w:themeShade="80"/>
        </w:rPr>
        <w:t>părinţilor</w:t>
      </w:r>
      <w:proofErr w:type="spellEnd"/>
      <w:r w:rsidR="00300056" w:rsidRPr="00A94974">
        <w:rPr>
          <w:rFonts w:ascii="Trebuchet MS" w:hAnsi="Trebuchet MS"/>
          <w:color w:val="1F4E79" w:themeColor="accent1" w:themeShade="80"/>
        </w:rPr>
        <w:t xml:space="preserve"> </w:t>
      </w:r>
      <w:proofErr w:type="spellStart"/>
      <w:r w:rsidR="00300056" w:rsidRPr="00A94974">
        <w:rPr>
          <w:rFonts w:ascii="Trebuchet MS" w:hAnsi="Trebuchet MS"/>
          <w:color w:val="1F4E79" w:themeColor="accent1" w:themeShade="80"/>
        </w:rPr>
        <w:t>dispăruţi</w:t>
      </w:r>
      <w:proofErr w:type="spellEnd"/>
      <w:r w:rsidRPr="00A94974">
        <w:rPr>
          <w:rFonts w:ascii="Trebuchet MS" w:hAnsi="Trebuchet MS"/>
          <w:color w:val="1F4E79" w:themeColor="accent1" w:themeShade="80"/>
        </w:rPr>
        <w:t xml:space="preserve"> etc)</w:t>
      </w:r>
      <w:r w:rsidR="004D61DA" w:rsidRPr="00A94974">
        <w:rPr>
          <w:rFonts w:ascii="Trebuchet MS" w:hAnsi="Trebuchet MS"/>
          <w:color w:val="1F4E79" w:themeColor="accent1" w:themeShade="80"/>
        </w:rPr>
        <w:t>;</w:t>
      </w:r>
    </w:p>
    <w:p w14:paraId="7E959C63" w14:textId="7E543E3A" w:rsidR="004D61DA" w:rsidRPr="00A94974" w:rsidRDefault="004D61DA" w:rsidP="004D61DA">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t xml:space="preserve">declarație pe proprie răspundere a studentului </w:t>
      </w:r>
      <w:r w:rsidR="009D7FAF" w:rsidRPr="00A94974">
        <w:rPr>
          <w:rFonts w:ascii="Trebuchet MS" w:hAnsi="Trebuchet MS"/>
          <w:color w:val="1F4E79" w:themeColor="accent1" w:themeShade="80"/>
        </w:rPr>
        <w:t>sau document</w:t>
      </w:r>
      <w:r w:rsidR="0042677F" w:rsidRPr="00A94974">
        <w:rPr>
          <w:rFonts w:ascii="Trebuchet MS" w:hAnsi="Trebuchet MS"/>
          <w:color w:val="1F4E79" w:themeColor="accent1" w:themeShade="80"/>
        </w:rPr>
        <w:t xml:space="preserve"> eliberat de o organizație abilitată </w:t>
      </w:r>
      <w:r w:rsidRPr="00A94974">
        <w:rPr>
          <w:rFonts w:ascii="Trebuchet MS" w:hAnsi="Trebuchet MS"/>
          <w:color w:val="1F4E79" w:themeColor="accent1" w:themeShade="80"/>
        </w:rPr>
        <w:t>care atestă apartenența la etnia romă;</w:t>
      </w:r>
    </w:p>
    <w:p w14:paraId="637D7400" w14:textId="20D10E58" w:rsidR="005B1667" w:rsidRPr="00A94974" w:rsidRDefault="005B1667" w:rsidP="004D61DA">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t>carte de identitate din care rei</w:t>
      </w:r>
      <w:r w:rsidR="00BD3258" w:rsidRPr="00A94974">
        <w:rPr>
          <w:rFonts w:ascii="Trebuchet MS" w:hAnsi="Trebuchet MS"/>
          <w:color w:val="1F4E79" w:themeColor="accent1" w:themeShade="80"/>
        </w:rPr>
        <w:t>e</w:t>
      </w:r>
      <w:r w:rsidRPr="00A94974">
        <w:rPr>
          <w:rFonts w:ascii="Trebuchet MS" w:hAnsi="Trebuchet MS"/>
          <w:color w:val="1F4E79" w:themeColor="accent1" w:themeShade="80"/>
        </w:rPr>
        <w:t xml:space="preserve">se faptul că studentul are </w:t>
      </w:r>
      <w:r w:rsidR="005D6061" w:rsidRPr="00A94974">
        <w:rPr>
          <w:rFonts w:ascii="Trebuchet MS" w:hAnsi="Trebuchet MS"/>
          <w:color w:val="1F4E79" w:themeColor="accent1" w:themeShade="80"/>
        </w:rPr>
        <w:t>domiciliul</w:t>
      </w:r>
      <w:r w:rsidRPr="00A94974">
        <w:rPr>
          <w:rFonts w:ascii="Trebuchet MS" w:hAnsi="Trebuchet MS"/>
          <w:color w:val="1F4E79" w:themeColor="accent1" w:themeShade="80"/>
        </w:rPr>
        <w:t xml:space="preserve"> în mediul rural;</w:t>
      </w:r>
    </w:p>
    <w:p w14:paraId="4C9D7761" w14:textId="6319BC09" w:rsidR="004D61DA" w:rsidRPr="00A94974" w:rsidRDefault="004D61DA" w:rsidP="004D61DA">
      <w:pPr>
        <w:pStyle w:val="ListParagraph"/>
        <w:numPr>
          <w:ilvl w:val="0"/>
          <w:numId w:val="24"/>
        </w:numPr>
        <w:jc w:val="both"/>
        <w:rPr>
          <w:rFonts w:ascii="Trebuchet MS" w:hAnsi="Trebuchet MS"/>
          <w:color w:val="1F4E79" w:themeColor="accent1" w:themeShade="80"/>
        </w:rPr>
      </w:pPr>
      <w:r w:rsidRPr="00A94974">
        <w:rPr>
          <w:rFonts w:ascii="Trebuchet MS" w:hAnsi="Trebuchet MS"/>
          <w:color w:val="1F4E79" w:themeColor="accent1" w:themeShade="80"/>
        </w:rPr>
        <w:t xml:space="preserve">permis de </w:t>
      </w:r>
      <w:r w:rsidR="005D6061" w:rsidRPr="00A94974">
        <w:rPr>
          <w:rFonts w:ascii="Trebuchet MS" w:hAnsi="Trebuchet MS"/>
          <w:color w:val="1F4E79" w:themeColor="accent1" w:themeShade="80"/>
        </w:rPr>
        <w:t>ședere</w:t>
      </w:r>
      <w:r w:rsidRPr="00A94974">
        <w:rPr>
          <w:rFonts w:ascii="Trebuchet MS" w:hAnsi="Trebuchet MS"/>
          <w:color w:val="1F4E79" w:themeColor="accent1" w:themeShade="80"/>
        </w:rPr>
        <w:t xml:space="preserve"> (sau alt document oficial </w:t>
      </w:r>
      <w:proofErr w:type="spellStart"/>
      <w:r w:rsidRPr="00A94974">
        <w:rPr>
          <w:rFonts w:ascii="Trebuchet MS" w:hAnsi="Trebuchet MS"/>
          <w:color w:val="1F4E79" w:themeColor="accent1" w:themeShade="80"/>
        </w:rPr>
        <w:t>oficial</w:t>
      </w:r>
      <w:proofErr w:type="spellEnd"/>
      <w:r w:rsidRPr="00A94974">
        <w:rPr>
          <w:rFonts w:ascii="Trebuchet MS" w:hAnsi="Trebuchet MS"/>
          <w:color w:val="1F4E79" w:themeColor="accent1" w:themeShade="80"/>
        </w:rPr>
        <w:t xml:space="preserve"> eliberat de autorit</w:t>
      </w:r>
      <w:r w:rsidR="00BD3258" w:rsidRPr="00A94974">
        <w:rPr>
          <w:rFonts w:ascii="Trebuchet MS" w:hAnsi="Trebuchet MS"/>
          <w:color w:val="1F4E79" w:themeColor="accent1" w:themeShade="80"/>
        </w:rPr>
        <w:t>ăț</w:t>
      </w:r>
      <w:r w:rsidRPr="00A94974">
        <w:rPr>
          <w:rFonts w:ascii="Trebuchet MS" w:hAnsi="Trebuchet MS"/>
          <w:color w:val="1F4E79" w:themeColor="accent1" w:themeShade="80"/>
        </w:rPr>
        <w:t>ile competente) care atestă stat</w:t>
      </w:r>
      <w:r w:rsidR="00867941" w:rsidRPr="00A94974">
        <w:rPr>
          <w:rFonts w:ascii="Trebuchet MS" w:hAnsi="Trebuchet MS"/>
          <w:color w:val="1F4E79" w:themeColor="accent1" w:themeShade="80"/>
        </w:rPr>
        <w:t>ut</w:t>
      </w:r>
      <w:r w:rsidRPr="00A94974">
        <w:rPr>
          <w:rFonts w:ascii="Trebuchet MS" w:hAnsi="Trebuchet MS"/>
          <w:color w:val="1F4E79" w:themeColor="accent1" w:themeShade="80"/>
        </w:rPr>
        <w:t xml:space="preserve">ul de </w:t>
      </w:r>
      <w:proofErr w:type="spellStart"/>
      <w:r w:rsidRPr="00A94974">
        <w:rPr>
          <w:rFonts w:ascii="Trebuchet MS" w:hAnsi="Trebuchet MS"/>
          <w:color w:val="1F4E79" w:themeColor="accent1" w:themeShade="80"/>
        </w:rPr>
        <w:t>migrant</w:t>
      </w:r>
      <w:proofErr w:type="spellEnd"/>
      <w:r w:rsidRPr="00A94974">
        <w:rPr>
          <w:rFonts w:ascii="Trebuchet MS" w:hAnsi="Trebuchet MS"/>
          <w:color w:val="1F4E79" w:themeColor="accent1" w:themeShade="80"/>
        </w:rPr>
        <w:t xml:space="preserve"> sau refugiat.</w:t>
      </w:r>
    </w:p>
    <w:p w14:paraId="27B1AE5A" w14:textId="5E7A8975" w:rsidR="00C27C22" w:rsidRPr="00A94974" w:rsidRDefault="00C27C22" w:rsidP="002A6F07">
      <w:pPr>
        <w:jc w:val="both"/>
        <w:rPr>
          <w:rFonts w:ascii="Trebuchet MS" w:hAnsi="Trebuchet MS"/>
          <w:color w:val="1F4E79" w:themeColor="accent1" w:themeShade="80"/>
        </w:rPr>
      </w:pPr>
      <w:r w:rsidRPr="00A94974">
        <w:rPr>
          <w:rFonts w:ascii="Trebuchet MS" w:hAnsi="Trebuchet MS"/>
          <w:color w:val="1F4E79" w:themeColor="accent1" w:themeShade="80"/>
        </w:rPr>
        <w:t xml:space="preserve">Grupul țintă eligibil în cadrul acestor apeluri de proiecte poate include persoane cu domiciliul legal </w:t>
      </w:r>
      <w:r w:rsidR="00024C8B" w:rsidRPr="00A94974">
        <w:rPr>
          <w:rFonts w:ascii="Trebuchet MS" w:hAnsi="Trebuchet MS"/>
          <w:color w:val="1F4E79" w:themeColor="accent1" w:themeShade="80"/>
        </w:rPr>
        <w:t xml:space="preserve">/ reședința </w:t>
      </w:r>
      <w:r w:rsidRPr="00A94974">
        <w:rPr>
          <w:rFonts w:ascii="Trebuchet MS" w:hAnsi="Trebuchet MS"/>
          <w:color w:val="1F4E79" w:themeColor="accent1" w:themeShade="80"/>
        </w:rPr>
        <w:t>în România</w:t>
      </w:r>
      <w:r w:rsidR="002A6F07" w:rsidRPr="00A94974">
        <w:rPr>
          <w:rFonts w:ascii="Trebuchet MS" w:hAnsi="Trebuchet MS"/>
          <w:color w:val="1F4E79" w:themeColor="accent1" w:themeShade="80"/>
        </w:rPr>
        <w:t>.</w:t>
      </w:r>
    </w:p>
    <w:p w14:paraId="3066D0FF" w14:textId="0EE35E82" w:rsidR="002D267D" w:rsidRPr="00A94974" w:rsidRDefault="002D267D" w:rsidP="00E467FC">
      <w:pPr>
        <w:jc w:val="both"/>
        <w:rPr>
          <w:rFonts w:ascii="Trebuchet MS" w:hAnsi="Trebuchet MS"/>
          <w:color w:val="1F4E79" w:themeColor="accent1" w:themeShade="80"/>
        </w:rPr>
      </w:pPr>
      <w:r w:rsidRPr="00A94974">
        <w:rPr>
          <w:rFonts w:ascii="Trebuchet MS" w:hAnsi="Trebuchet MS"/>
          <w:color w:val="1F4E79" w:themeColor="accent1" w:themeShade="80"/>
        </w:rPr>
        <w:t xml:space="preserve">În ceea ce privește identificarea și selectarea grupului țintă, solicitantul poate atașa la cererea de finanțare Metodologia de identificare și selectare a grupului țintă. Acest document este opțional, dar pentru care se acordă punctaj suplimentar. </w:t>
      </w:r>
    </w:p>
    <w:p w14:paraId="271E19E1" w14:textId="03C179B5" w:rsidR="00DD1161" w:rsidRPr="00A94974" w:rsidRDefault="00DD1161" w:rsidP="00E467FC">
      <w:pPr>
        <w:jc w:val="both"/>
        <w:rPr>
          <w:rFonts w:ascii="Trebuchet MS" w:hAnsi="Trebuchet MS"/>
          <w:color w:val="1F4E79" w:themeColor="accent1" w:themeShade="80"/>
        </w:rPr>
      </w:pPr>
      <w:r w:rsidRPr="00A94974">
        <w:rPr>
          <w:rFonts w:ascii="Trebuchet MS" w:hAnsi="Trebuchet MS"/>
          <w:color w:val="1F4E79" w:themeColor="accent1" w:themeShade="80"/>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ulterioare,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Astfel, participanții la activitățile proiectului vor fi informați despre obligativitatea de a furniza datele lor personale și despre faptul că datele lor personale vor fi prelucrate în aplicațiile electronice SMIS/MySMIS, în toate fazele de evaluare/contractare/implementare/sustenabilitate 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w:t>
      </w:r>
      <w:r w:rsidRPr="00A94974">
        <w:rPr>
          <w:rFonts w:ascii="Trebuchet MS" w:hAnsi="Trebuchet MS"/>
          <w:color w:val="1F4E79" w:themeColor="accent1" w:themeShade="80"/>
        </w:rPr>
        <w:lastRenderedPageBreak/>
        <w:t>angajament ferm privind acordul solicitantului în nume propriu și/sau pentru interpuși, cu privire la prelucrarea datelor cu caracter personal procesate în evaluarea proiectului.</w:t>
      </w:r>
    </w:p>
    <w:p w14:paraId="78D8D7D6" w14:textId="77777777" w:rsidR="008C082A" w:rsidRPr="00A94974" w:rsidRDefault="008C082A" w:rsidP="00DD1161">
      <w:pPr>
        <w:spacing w:before="120" w:after="120" w:line="276" w:lineRule="auto"/>
        <w:jc w:val="both"/>
        <w:rPr>
          <w:rFonts w:ascii="Trebuchet MS" w:hAnsi="Trebuchet MS"/>
          <w:color w:val="1F4E79" w:themeColor="accent1" w:themeShade="80"/>
        </w:rPr>
      </w:pPr>
    </w:p>
    <w:p w14:paraId="0EF8EC7D" w14:textId="249B468D" w:rsidR="00423649" w:rsidRPr="00A94974" w:rsidRDefault="00DC7B34" w:rsidP="00DC7B34">
      <w:pPr>
        <w:pStyle w:val="Heading2"/>
        <w:rPr>
          <w:color w:val="1F4E79" w:themeColor="accent1" w:themeShade="80"/>
        </w:rPr>
      </w:pPr>
      <w:bookmarkStart w:id="27" w:name="_Toc179368085"/>
      <w:r w:rsidRPr="00A94974">
        <w:rPr>
          <w:color w:val="1F4E79" w:themeColor="accent1" w:themeShade="80"/>
        </w:rPr>
        <w:t xml:space="preserve">3.8 </w:t>
      </w:r>
      <w:r w:rsidR="00423649" w:rsidRPr="00A94974">
        <w:rPr>
          <w:color w:val="1F4E79" w:themeColor="accent1" w:themeShade="80"/>
        </w:rPr>
        <w:t>Indicatori</w:t>
      </w:r>
      <w:bookmarkEnd w:id="27"/>
    </w:p>
    <w:p w14:paraId="7E566966" w14:textId="54166FFB" w:rsidR="00A80E52" w:rsidRPr="00A94974" w:rsidRDefault="00DC7B34" w:rsidP="00F7542F">
      <w:pPr>
        <w:pStyle w:val="Heading3"/>
        <w:rPr>
          <w:color w:val="1F4E79" w:themeColor="accent1" w:themeShade="80"/>
        </w:rPr>
      </w:pPr>
      <w:bookmarkStart w:id="28" w:name="_Toc179368086"/>
      <w:r w:rsidRPr="00A94974">
        <w:rPr>
          <w:color w:val="1F4E79" w:themeColor="accent1" w:themeShade="80"/>
        </w:rPr>
        <w:t xml:space="preserve">3.8.1 </w:t>
      </w:r>
      <w:r w:rsidR="00423649" w:rsidRPr="00A94974">
        <w:rPr>
          <w:color w:val="1F4E79" w:themeColor="accent1" w:themeShade="80"/>
        </w:rPr>
        <w:t>Indicatori de realizare</w:t>
      </w:r>
      <w:bookmarkEnd w:id="28"/>
      <w:r w:rsidR="00423649" w:rsidRPr="00A94974">
        <w:rPr>
          <w:color w:val="1F4E79" w:themeColor="accent1" w:themeShade="80"/>
        </w:rPr>
        <w:t xml:space="preserve"> </w:t>
      </w:r>
    </w:p>
    <w:p w14:paraId="68A0BEFB" w14:textId="77777777" w:rsidR="00DD75E8" w:rsidRPr="00A94974" w:rsidRDefault="00DD75E8" w:rsidP="00DD75E8">
      <w:pPr>
        <w:rPr>
          <w:color w:val="1F4E79" w:themeColor="accent1" w:themeShade="80"/>
        </w:rPr>
      </w:pPr>
    </w:p>
    <w:tbl>
      <w:tblPr>
        <w:tblStyle w:val="TableGrid"/>
        <w:tblW w:w="0" w:type="auto"/>
        <w:tblLook w:val="04A0" w:firstRow="1" w:lastRow="0" w:firstColumn="1" w:lastColumn="0" w:noHBand="0" w:noVBand="1"/>
      </w:tblPr>
      <w:tblGrid>
        <w:gridCol w:w="2349"/>
        <w:gridCol w:w="2349"/>
        <w:gridCol w:w="2349"/>
        <w:gridCol w:w="2349"/>
      </w:tblGrid>
      <w:tr w:rsidR="00A94974" w:rsidRPr="00A94974" w14:paraId="57CA4FDF" w14:textId="77777777" w:rsidTr="00DD75E8">
        <w:tc>
          <w:tcPr>
            <w:tcW w:w="2349" w:type="dxa"/>
          </w:tcPr>
          <w:p w14:paraId="6EBE9724" w14:textId="2969D074" w:rsidR="00DD75E8" w:rsidRPr="00A94974" w:rsidRDefault="00DD75E8" w:rsidP="00D27E14">
            <w:pPr>
              <w:pStyle w:val="Default"/>
              <w:jc w:val="center"/>
              <w:rPr>
                <w:color w:val="1F4E79" w:themeColor="accent1" w:themeShade="80"/>
                <w:lang w:val="ro-RO"/>
              </w:rPr>
            </w:pPr>
            <w:r w:rsidRPr="00A94974">
              <w:rPr>
                <w:b/>
                <w:bCs/>
                <w:color w:val="1F4E79" w:themeColor="accent1" w:themeShade="80"/>
                <w:sz w:val="22"/>
                <w:szCs w:val="22"/>
                <w:lang w:val="ro-RO"/>
              </w:rPr>
              <w:t>Tip regiune</w:t>
            </w:r>
          </w:p>
          <w:p w14:paraId="4C642700" w14:textId="77777777" w:rsidR="00DD75E8" w:rsidRPr="00A94974" w:rsidRDefault="00DD75E8" w:rsidP="00D27E14">
            <w:pPr>
              <w:jc w:val="center"/>
              <w:rPr>
                <w:color w:val="1F4E79" w:themeColor="accent1" w:themeShade="80"/>
              </w:rPr>
            </w:pPr>
          </w:p>
        </w:tc>
        <w:tc>
          <w:tcPr>
            <w:tcW w:w="2349" w:type="dxa"/>
          </w:tcPr>
          <w:p w14:paraId="39390C42" w14:textId="7B125C49" w:rsidR="00DD75E8" w:rsidRPr="00A94974" w:rsidRDefault="00DD75E8" w:rsidP="00D27E14">
            <w:pPr>
              <w:jc w:val="center"/>
              <w:rPr>
                <w:color w:val="1F4E79" w:themeColor="accent1" w:themeShade="80"/>
              </w:rPr>
            </w:pPr>
            <w:r w:rsidRPr="00A94974">
              <w:rPr>
                <w:rFonts w:ascii="Trebuchet MS" w:hAnsi="Trebuchet MS"/>
                <w:b/>
                <w:iCs/>
                <w:color w:val="1F4E79" w:themeColor="accent1" w:themeShade="80"/>
              </w:rPr>
              <w:t>Cod indicator</w:t>
            </w:r>
          </w:p>
        </w:tc>
        <w:tc>
          <w:tcPr>
            <w:tcW w:w="2349" w:type="dxa"/>
          </w:tcPr>
          <w:p w14:paraId="5C9810F9" w14:textId="4DC1579A" w:rsidR="00DD75E8" w:rsidRPr="00A94974" w:rsidRDefault="00DD75E8" w:rsidP="00D27E14">
            <w:pPr>
              <w:jc w:val="center"/>
              <w:rPr>
                <w:color w:val="1F4E79" w:themeColor="accent1" w:themeShade="80"/>
              </w:rPr>
            </w:pPr>
            <w:r w:rsidRPr="00A94974">
              <w:rPr>
                <w:rFonts w:ascii="Trebuchet MS" w:hAnsi="Trebuchet MS"/>
                <w:b/>
                <w:iCs/>
                <w:color w:val="1F4E79" w:themeColor="accent1" w:themeShade="80"/>
              </w:rPr>
              <w:t>Denumire indicator</w:t>
            </w:r>
          </w:p>
        </w:tc>
        <w:tc>
          <w:tcPr>
            <w:tcW w:w="2349" w:type="dxa"/>
          </w:tcPr>
          <w:p w14:paraId="50D007DB" w14:textId="54DBCE5A" w:rsidR="00DD75E8" w:rsidRPr="00A94974" w:rsidRDefault="00DD75E8" w:rsidP="00D27E14">
            <w:pPr>
              <w:jc w:val="center"/>
              <w:rPr>
                <w:color w:val="1F4E79" w:themeColor="accent1" w:themeShade="80"/>
              </w:rPr>
            </w:pPr>
            <w:r w:rsidRPr="00A94974">
              <w:rPr>
                <w:rFonts w:ascii="Trebuchet MS" w:hAnsi="Trebuchet MS"/>
                <w:b/>
                <w:iCs/>
                <w:color w:val="1F4E79" w:themeColor="accent1" w:themeShade="80"/>
              </w:rPr>
              <w:t>Țintă</w:t>
            </w:r>
            <w:r w:rsidRPr="00A94974">
              <w:rPr>
                <w:rFonts w:ascii="Trebuchet MS" w:hAnsi="Trebuchet MS"/>
                <w:color w:val="1F4E79" w:themeColor="accent1" w:themeShade="80"/>
              </w:rPr>
              <w:t xml:space="preserve"> </w:t>
            </w:r>
            <w:r w:rsidRPr="00A94974">
              <w:rPr>
                <w:rFonts w:ascii="Trebuchet MS" w:hAnsi="Trebuchet MS"/>
                <w:b/>
                <w:iCs/>
                <w:color w:val="1F4E79" w:themeColor="accent1" w:themeShade="80"/>
              </w:rPr>
              <w:t>minimă/proiect</w:t>
            </w:r>
          </w:p>
        </w:tc>
      </w:tr>
      <w:tr w:rsidR="00A94974" w:rsidRPr="00A94974" w14:paraId="2AA815A0" w14:textId="77777777" w:rsidTr="00DD75E8">
        <w:tc>
          <w:tcPr>
            <w:tcW w:w="2349" w:type="dxa"/>
          </w:tcPr>
          <w:p w14:paraId="6BE1E1E2" w14:textId="77777777" w:rsidR="00DD75E8" w:rsidRPr="00A94974" w:rsidRDefault="00DD75E8" w:rsidP="00DD75E8">
            <w:pPr>
              <w:pStyle w:val="Default"/>
              <w:jc w:val="center"/>
              <w:rPr>
                <w:color w:val="1F4E79" w:themeColor="accent1" w:themeShade="80"/>
                <w:lang w:val="ro-RO"/>
              </w:rPr>
            </w:pPr>
            <w:r w:rsidRPr="00A94974">
              <w:rPr>
                <w:color w:val="1F4E79" w:themeColor="accent1" w:themeShade="80"/>
                <w:sz w:val="22"/>
                <w:szCs w:val="22"/>
                <w:lang w:val="ro-RO"/>
              </w:rPr>
              <w:t xml:space="preserve">Regiune mai dezvoltată </w:t>
            </w:r>
          </w:p>
          <w:p w14:paraId="07670CC2" w14:textId="77777777" w:rsidR="00DD75E8" w:rsidRPr="00A94974" w:rsidRDefault="00DD75E8" w:rsidP="00DD75E8">
            <w:pPr>
              <w:rPr>
                <w:color w:val="1F4E79" w:themeColor="accent1" w:themeShade="80"/>
              </w:rPr>
            </w:pPr>
          </w:p>
        </w:tc>
        <w:tc>
          <w:tcPr>
            <w:tcW w:w="2349" w:type="dxa"/>
          </w:tcPr>
          <w:p w14:paraId="176133CA" w14:textId="728D9F99" w:rsidR="00DD75E8" w:rsidRPr="00A94974" w:rsidRDefault="00DD75E8" w:rsidP="00DD75E8">
            <w:pPr>
              <w:rPr>
                <w:rFonts w:ascii="Trebuchet MS" w:hAnsi="Trebuchet MS"/>
                <w:color w:val="1F4E79" w:themeColor="accent1" w:themeShade="80"/>
              </w:rPr>
            </w:pPr>
            <w:r w:rsidRPr="00A94974">
              <w:rPr>
                <w:rFonts w:ascii="Trebuchet MS" w:hAnsi="Trebuchet MS" w:cstheme="minorHAnsi"/>
                <w:color w:val="1F4E79" w:themeColor="accent1" w:themeShade="80"/>
              </w:rPr>
              <w:t>EECO06+07</w:t>
            </w:r>
          </w:p>
        </w:tc>
        <w:tc>
          <w:tcPr>
            <w:tcW w:w="2349" w:type="dxa"/>
          </w:tcPr>
          <w:p w14:paraId="070C8089" w14:textId="46C5FE58" w:rsidR="00DD75E8" w:rsidRPr="00A94974" w:rsidRDefault="00DD75E8" w:rsidP="00DD75E8">
            <w:pPr>
              <w:rPr>
                <w:rFonts w:ascii="Trebuchet MS" w:hAnsi="Trebuchet MS"/>
                <w:color w:val="1F4E79" w:themeColor="accent1" w:themeShade="80"/>
              </w:rPr>
            </w:pPr>
            <w:r w:rsidRPr="00A94974">
              <w:rPr>
                <w:rFonts w:ascii="Trebuchet MS" w:eastAsia="Trebuchet MS" w:hAnsi="Trebuchet MS"/>
                <w:color w:val="1F4E79" w:themeColor="accent1" w:themeShade="80"/>
              </w:rPr>
              <w:t>Copii și tineri</w:t>
            </w:r>
          </w:p>
        </w:tc>
        <w:tc>
          <w:tcPr>
            <w:tcW w:w="2349" w:type="dxa"/>
          </w:tcPr>
          <w:p w14:paraId="05ABCB6F" w14:textId="0B018575" w:rsidR="00DD75E8" w:rsidRPr="00A94974" w:rsidRDefault="00CC2787" w:rsidP="00AB2182">
            <w:pPr>
              <w:jc w:val="center"/>
              <w:rPr>
                <w:rFonts w:ascii="Trebuchet MS" w:hAnsi="Trebuchet MS"/>
                <w:color w:val="1F4E79" w:themeColor="accent1" w:themeShade="80"/>
              </w:rPr>
            </w:pPr>
            <w:r w:rsidRPr="00A94974">
              <w:rPr>
                <w:rFonts w:ascii="Trebuchet MS" w:hAnsi="Trebuchet MS"/>
                <w:color w:val="1F4E79" w:themeColor="accent1" w:themeShade="80"/>
              </w:rPr>
              <w:t>39</w:t>
            </w:r>
          </w:p>
        </w:tc>
      </w:tr>
      <w:tr w:rsidR="009431C5" w:rsidRPr="00A94974" w14:paraId="16F8A2C3" w14:textId="77777777" w:rsidTr="00DD75E8">
        <w:tc>
          <w:tcPr>
            <w:tcW w:w="2349" w:type="dxa"/>
          </w:tcPr>
          <w:p w14:paraId="44DAA47B" w14:textId="77777777" w:rsidR="00DD75E8" w:rsidRPr="00A94974" w:rsidRDefault="00DD75E8" w:rsidP="00DD75E8">
            <w:pPr>
              <w:pStyle w:val="Default"/>
              <w:jc w:val="center"/>
              <w:rPr>
                <w:color w:val="1F4E79" w:themeColor="accent1" w:themeShade="80"/>
                <w:lang w:val="ro-RO"/>
              </w:rPr>
            </w:pPr>
            <w:r w:rsidRPr="00A94974">
              <w:rPr>
                <w:color w:val="1F4E79" w:themeColor="accent1" w:themeShade="80"/>
                <w:sz w:val="22"/>
                <w:szCs w:val="22"/>
                <w:lang w:val="ro-RO"/>
              </w:rPr>
              <w:t xml:space="preserve">Regiuni mai puțin dezvoltate </w:t>
            </w:r>
          </w:p>
          <w:p w14:paraId="0D526CBA" w14:textId="77777777" w:rsidR="00DD75E8" w:rsidRPr="00A94974" w:rsidRDefault="00DD75E8" w:rsidP="00DD75E8">
            <w:pPr>
              <w:rPr>
                <w:color w:val="1F4E79" w:themeColor="accent1" w:themeShade="80"/>
              </w:rPr>
            </w:pPr>
          </w:p>
        </w:tc>
        <w:tc>
          <w:tcPr>
            <w:tcW w:w="2349" w:type="dxa"/>
          </w:tcPr>
          <w:p w14:paraId="2E21C7A1" w14:textId="2DC0DBF5" w:rsidR="00DD75E8" w:rsidRPr="00A94974" w:rsidRDefault="00DD75E8" w:rsidP="00DD75E8">
            <w:pPr>
              <w:rPr>
                <w:rFonts w:ascii="Trebuchet MS" w:hAnsi="Trebuchet MS"/>
                <w:color w:val="1F4E79" w:themeColor="accent1" w:themeShade="80"/>
              </w:rPr>
            </w:pPr>
            <w:r w:rsidRPr="00A94974">
              <w:rPr>
                <w:rFonts w:ascii="Trebuchet MS" w:hAnsi="Trebuchet MS" w:cstheme="minorHAnsi"/>
                <w:color w:val="1F4E79" w:themeColor="accent1" w:themeShade="80"/>
              </w:rPr>
              <w:t>EECO06+07</w:t>
            </w:r>
          </w:p>
        </w:tc>
        <w:tc>
          <w:tcPr>
            <w:tcW w:w="2349" w:type="dxa"/>
          </w:tcPr>
          <w:p w14:paraId="60F43DD5" w14:textId="5AC2FF53" w:rsidR="00DD75E8" w:rsidRPr="00A94974" w:rsidRDefault="00DD75E8" w:rsidP="00DD75E8">
            <w:pPr>
              <w:rPr>
                <w:rFonts w:ascii="Trebuchet MS" w:hAnsi="Trebuchet MS"/>
                <w:color w:val="1F4E79" w:themeColor="accent1" w:themeShade="80"/>
              </w:rPr>
            </w:pPr>
            <w:r w:rsidRPr="00A94974">
              <w:rPr>
                <w:rFonts w:ascii="Trebuchet MS" w:eastAsia="Trebuchet MS" w:hAnsi="Trebuchet MS"/>
                <w:color w:val="1F4E79" w:themeColor="accent1" w:themeShade="80"/>
              </w:rPr>
              <w:t>Copii și tineri</w:t>
            </w:r>
          </w:p>
        </w:tc>
        <w:tc>
          <w:tcPr>
            <w:tcW w:w="2349" w:type="dxa"/>
          </w:tcPr>
          <w:p w14:paraId="14F5061F" w14:textId="546994C5" w:rsidR="00DD75E8" w:rsidRPr="00A94974" w:rsidRDefault="00CC2787" w:rsidP="00AB2182">
            <w:pPr>
              <w:jc w:val="center"/>
              <w:rPr>
                <w:rFonts w:ascii="Trebuchet MS" w:hAnsi="Trebuchet MS"/>
                <w:color w:val="1F4E79" w:themeColor="accent1" w:themeShade="80"/>
              </w:rPr>
            </w:pPr>
            <w:r w:rsidRPr="00A94974">
              <w:rPr>
                <w:rFonts w:ascii="Trebuchet MS" w:hAnsi="Trebuchet MS"/>
                <w:color w:val="1F4E79" w:themeColor="accent1" w:themeShade="80"/>
              </w:rPr>
              <w:t>39</w:t>
            </w:r>
          </w:p>
        </w:tc>
      </w:tr>
    </w:tbl>
    <w:p w14:paraId="06356E7C" w14:textId="77777777" w:rsidR="00620DD8" w:rsidRPr="00A94974" w:rsidRDefault="00620DD8" w:rsidP="007318BF">
      <w:pPr>
        <w:spacing w:line="276" w:lineRule="auto"/>
        <w:contextualSpacing/>
        <w:jc w:val="both"/>
        <w:rPr>
          <w:rFonts w:ascii="Trebuchet MS" w:hAnsi="Trebuchet MS"/>
          <w:b/>
          <w:bCs/>
          <w:color w:val="1F4E79" w:themeColor="accent1" w:themeShade="80"/>
          <w:u w:val="single"/>
        </w:rPr>
      </w:pPr>
    </w:p>
    <w:p w14:paraId="05990A75" w14:textId="5F3EC5C1" w:rsidR="007318BF" w:rsidRPr="00A94974" w:rsidRDefault="007318BF" w:rsidP="007318BF">
      <w:pPr>
        <w:spacing w:line="276" w:lineRule="auto"/>
        <w:contextualSpacing/>
        <w:jc w:val="both"/>
        <w:rPr>
          <w:rFonts w:ascii="Trebuchet MS" w:hAnsi="Trebuchet MS"/>
          <w:b/>
          <w:bCs/>
          <w:color w:val="1F4E79" w:themeColor="accent1" w:themeShade="80"/>
          <w:u w:val="single"/>
        </w:rPr>
      </w:pPr>
      <w:r w:rsidRPr="00A94974">
        <w:rPr>
          <w:rFonts w:ascii="Trebuchet MS" w:hAnsi="Trebuchet MS"/>
          <w:b/>
          <w:bCs/>
          <w:color w:val="1F4E79" w:themeColor="accent1" w:themeShade="80"/>
          <w:u w:val="single"/>
        </w:rPr>
        <w:t>Definiții</w:t>
      </w:r>
      <w:r w:rsidR="00152383" w:rsidRPr="00A94974">
        <w:rPr>
          <w:rFonts w:ascii="Trebuchet MS" w:hAnsi="Trebuchet MS"/>
          <w:b/>
          <w:bCs/>
          <w:color w:val="1F4E79" w:themeColor="accent1" w:themeShade="80"/>
          <w:u w:val="single"/>
        </w:rPr>
        <w:t>:</w:t>
      </w:r>
    </w:p>
    <w:p w14:paraId="793F1F19" w14:textId="6116DC13" w:rsidR="007318BF" w:rsidRPr="00A94974" w:rsidRDefault="007318BF" w:rsidP="007318BF">
      <w:pPr>
        <w:spacing w:after="0" w:line="276" w:lineRule="auto"/>
        <w:jc w:val="both"/>
        <w:rPr>
          <w:rFonts w:ascii="Trebuchet MS" w:hAnsi="Trebuchet MS"/>
          <w:color w:val="1F4E79" w:themeColor="accent1" w:themeShade="80"/>
        </w:rPr>
      </w:pPr>
      <w:r w:rsidRPr="00A94974">
        <w:rPr>
          <w:rFonts w:ascii="Trebuchet MS" w:hAnsi="Trebuchet MS"/>
          <w:b/>
          <w:bCs/>
          <w:color w:val="1F4E79" w:themeColor="accent1" w:themeShade="80"/>
          <w:u w:val="single"/>
        </w:rPr>
        <w:t>Indicatorul de realizare EECO06+07 – Copii și tineri</w:t>
      </w:r>
      <w:r w:rsidRPr="00A94974">
        <w:rPr>
          <w:rFonts w:ascii="Trebuchet MS" w:hAnsi="Trebuchet MS"/>
          <w:b/>
          <w:bCs/>
          <w:color w:val="1F4E79" w:themeColor="accent1" w:themeShade="80"/>
        </w:rPr>
        <w:t xml:space="preserve"> </w:t>
      </w:r>
      <w:r w:rsidRPr="00A94974">
        <w:rPr>
          <w:rFonts w:ascii="Trebuchet MS" w:hAnsi="Trebuchet MS"/>
          <w:color w:val="1F4E79" w:themeColor="accent1" w:themeShade="80"/>
        </w:rPr>
        <w:t>reprezintă numărul de studenți cu oportunități reduse, cu vârsta cuprinsă între 18 și 29 ani la data intrării în operațiune, înmatriculați</w:t>
      </w:r>
      <w:r w:rsidR="00911F64" w:rsidRPr="00A94974">
        <w:rPr>
          <w:rFonts w:ascii="Trebuchet MS" w:hAnsi="Trebuchet MS"/>
          <w:color w:val="1F4E79" w:themeColor="accent1" w:themeShade="80"/>
        </w:rPr>
        <w:t xml:space="preserve"> într-un program de nivel ISCED 5-8</w:t>
      </w:r>
      <w:r w:rsidRPr="00A94974">
        <w:rPr>
          <w:rFonts w:ascii="Trebuchet MS" w:hAnsi="Trebuchet MS"/>
          <w:color w:val="1F4E79" w:themeColor="accent1" w:themeShade="80"/>
        </w:rPr>
        <w:t xml:space="preserve"> </w:t>
      </w:r>
      <w:r w:rsidR="00911F64" w:rsidRPr="00A94974">
        <w:rPr>
          <w:rFonts w:ascii="Trebuchet MS" w:hAnsi="Trebuchet MS"/>
          <w:color w:val="1F4E79" w:themeColor="accent1" w:themeShade="80"/>
        </w:rPr>
        <w:t xml:space="preserve"> din </w:t>
      </w:r>
      <w:r w:rsidRPr="00A94974">
        <w:rPr>
          <w:rFonts w:ascii="Trebuchet MS" w:hAnsi="Trebuchet MS"/>
          <w:color w:val="1F4E79" w:themeColor="accent1" w:themeShade="80"/>
        </w:rPr>
        <w:t>cadrul unei instituții de învățământ superior de stat sau particulară</w:t>
      </w:r>
      <w:r w:rsidR="00911F64" w:rsidRPr="00A94974">
        <w:rPr>
          <w:rFonts w:ascii="Trebuchet MS" w:hAnsi="Trebuchet MS"/>
          <w:color w:val="1F4E79" w:themeColor="accent1" w:themeShade="80"/>
        </w:rPr>
        <w:t>,</w:t>
      </w:r>
      <w:r w:rsidR="00152383" w:rsidRPr="00A94974">
        <w:rPr>
          <w:rFonts w:ascii="Trebuchet MS" w:hAnsi="Trebuchet MS"/>
          <w:color w:val="1F4E79" w:themeColor="accent1" w:themeShade="80"/>
        </w:rPr>
        <w:t xml:space="preserve"> inclusă în Anexa nr. 7 a Ghidului Solicitantului Condiții Specifice</w:t>
      </w:r>
      <w:r w:rsidRPr="00A94974">
        <w:rPr>
          <w:rFonts w:ascii="Trebuchet MS" w:hAnsi="Trebuchet MS"/>
          <w:color w:val="1F4E79" w:themeColor="accent1" w:themeShade="80"/>
        </w:rPr>
        <w:t>, sprijiniți pentru a beneficia de</w:t>
      </w:r>
      <w:r w:rsidR="00A61F78" w:rsidRPr="00A94974">
        <w:rPr>
          <w:rFonts w:ascii="Trebuchet MS" w:hAnsi="Trebuchet MS"/>
          <w:color w:val="1F4E79" w:themeColor="accent1" w:themeShade="80"/>
        </w:rPr>
        <w:t xml:space="preserve"> participarea la</w:t>
      </w:r>
      <w:r w:rsidRPr="00A94974">
        <w:rPr>
          <w:rFonts w:ascii="Trebuchet MS" w:hAnsi="Trebuchet MS"/>
          <w:color w:val="1F4E79" w:themeColor="accent1" w:themeShade="80"/>
        </w:rPr>
        <w:t xml:space="preserve"> o mobilitate în cadrul programului E</w:t>
      </w:r>
      <w:r w:rsidR="00261486" w:rsidRPr="00A94974">
        <w:rPr>
          <w:rFonts w:ascii="Trebuchet MS" w:hAnsi="Trebuchet MS"/>
          <w:color w:val="1F4E79" w:themeColor="accent1" w:themeShade="80"/>
        </w:rPr>
        <w:t>rasmus</w:t>
      </w:r>
      <w:r w:rsidRPr="00A94974">
        <w:rPr>
          <w:rFonts w:ascii="Trebuchet MS" w:hAnsi="Trebuchet MS"/>
          <w:color w:val="1F4E79" w:themeColor="accent1" w:themeShade="80"/>
        </w:rPr>
        <w:t>+.</w:t>
      </w:r>
      <w:r w:rsidR="00F85146" w:rsidRPr="00A94974">
        <w:rPr>
          <w:rFonts w:ascii="Trebuchet MS" w:hAnsi="Trebuchet MS"/>
          <w:color w:val="1F4E79" w:themeColor="accent1" w:themeShade="80"/>
        </w:rPr>
        <w:t xml:space="preserve"> </w:t>
      </w:r>
    </w:p>
    <w:p w14:paraId="74DDA239" w14:textId="77777777" w:rsidR="00C4473B" w:rsidRPr="00A94974" w:rsidRDefault="00C4473B" w:rsidP="007318BF">
      <w:pPr>
        <w:spacing w:after="0" w:line="276" w:lineRule="auto"/>
        <w:jc w:val="both"/>
        <w:rPr>
          <w:rFonts w:ascii="Trebuchet MS" w:hAnsi="Trebuchet MS"/>
          <w:color w:val="1F4E79" w:themeColor="accent1" w:themeShade="80"/>
        </w:rPr>
      </w:pPr>
    </w:p>
    <w:p w14:paraId="66704121" w14:textId="64BF7DD6" w:rsidR="00C4473B" w:rsidRPr="00A94974" w:rsidRDefault="00C4473B" w:rsidP="007318BF">
      <w:pPr>
        <w:spacing w:after="0" w:line="276" w:lineRule="auto"/>
        <w:jc w:val="both"/>
        <w:rPr>
          <w:rFonts w:ascii="Trebuchet MS" w:hAnsi="Trebuchet MS"/>
          <w:color w:val="1F4E79" w:themeColor="accent1" w:themeShade="80"/>
        </w:rPr>
      </w:pPr>
      <w:r w:rsidRPr="00A94974">
        <w:rPr>
          <w:rFonts w:ascii="Trebuchet MS" w:hAnsi="Trebuchet MS"/>
          <w:color w:val="1F4E79" w:themeColor="accent1" w:themeShade="80"/>
        </w:rPr>
        <w:t>Valorile indicatorilor de realizare vor fi corelate cu valorile categoriilor de grup țintă, specificate în secțiunea 3.7 Grup țintă vizat de apelurile de proiecte a prezentului document.</w:t>
      </w:r>
    </w:p>
    <w:p w14:paraId="7999D09D" w14:textId="77777777" w:rsidR="00911F64" w:rsidRPr="00A94974" w:rsidRDefault="00911F64" w:rsidP="007318BF">
      <w:pPr>
        <w:spacing w:after="0" w:line="276" w:lineRule="auto"/>
        <w:jc w:val="both"/>
        <w:rPr>
          <w:color w:val="1F4E79" w:themeColor="accent1" w:themeShade="80"/>
        </w:rPr>
      </w:pPr>
    </w:p>
    <w:p w14:paraId="3CC050A2" w14:textId="41906114" w:rsidR="00423649" w:rsidRPr="00A94974" w:rsidRDefault="00BC658D" w:rsidP="00F7542F">
      <w:pPr>
        <w:pStyle w:val="Heading3"/>
        <w:rPr>
          <w:color w:val="1F4E79" w:themeColor="accent1" w:themeShade="80"/>
        </w:rPr>
      </w:pPr>
      <w:bookmarkStart w:id="29" w:name="_Toc179368087"/>
      <w:r w:rsidRPr="00A94974">
        <w:rPr>
          <w:color w:val="1F4E79" w:themeColor="accent1" w:themeShade="80"/>
        </w:rPr>
        <w:t xml:space="preserve">3.8.2 </w:t>
      </w:r>
      <w:r w:rsidR="00423649" w:rsidRPr="00A94974">
        <w:rPr>
          <w:color w:val="1F4E79" w:themeColor="accent1" w:themeShade="80"/>
        </w:rPr>
        <w:t>Indicatori de rezultat</w:t>
      </w:r>
      <w:bookmarkEnd w:id="29"/>
      <w:r w:rsidR="00423649" w:rsidRPr="00A94974">
        <w:rPr>
          <w:color w:val="1F4E79" w:themeColor="accent1" w:themeShade="80"/>
        </w:rPr>
        <w:t xml:space="preserve"> </w:t>
      </w:r>
    </w:p>
    <w:p w14:paraId="0A2CDCCB" w14:textId="77777777" w:rsidR="00D27E14" w:rsidRPr="00A94974" w:rsidRDefault="00D27E14" w:rsidP="00D27E14">
      <w:pPr>
        <w:rPr>
          <w:color w:val="1F4E79" w:themeColor="accent1" w:themeShade="80"/>
        </w:rPr>
      </w:pPr>
    </w:p>
    <w:tbl>
      <w:tblPr>
        <w:tblStyle w:val="TableGrid"/>
        <w:tblW w:w="0" w:type="auto"/>
        <w:tblLook w:val="04A0" w:firstRow="1" w:lastRow="0" w:firstColumn="1" w:lastColumn="0" w:noHBand="0" w:noVBand="1"/>
      </w:tblPr>
      <w:tblGrid>
        <w:gridCol w:w="2349"/>
        <w:gridCol w:w="1606"/>
        <w:gridCol w:w="3092"/>
        <w:gridCol w:w="2349"/>
      </w:tblGrid>
      <w:tr w:rsidR="00A94974" w:rsidRPr="00A94974" w14:paraId="4B36B07A" w14:textId="77777777" w:rsidTr="00D27E14">
        <w:tc>
          <w:tcPr>
            <w:tcW w:w="2349" w:type="dxa"/>
          </w:tcPr>
          <w:p w14:paraId="098BD9D5" w14:textId="77777777" w:rsidR="00D27E14" w:rsidRPr="00A94974" w:rsidRDefault="00D27E14" w:rsidP="00AF7097">
            <w:pPr>
              <w:pStyle w:val="Default"/>
              <w:jc w:val="center"/>
              <w:rPr>
                <w:color w:val="1F4E79" w:themeColor="accent1" w:themeShade="80"/>
                <w:lang w:val="ro-RO"/>
              </w:rPr>
            </w:pPr>
            <w:r w:rsidRPr="00A94974">
              <w:rPr>
                <w:b/>
                <w:bCs/>
                <w:color w:val="1F4E79" w:themeColor="accent1" w:themeShade="80"/>
                <w:sz w:val="22"/>
                <w:szCs w:val="22"/>
                <w:lang w:val="ro-RO"/>
              </w:rPr>
              <w:t>Tip regiune</w:t>
            </w:r>
          </w:p>
          <w:p w14:paraId="553078B9" w14:textId="77777777" w:rsidR="00D27E14" w:rsidRPr="00A94974" w:rsidRDefault="00D27E14" w:rsidP="00AF7097">
            <w:pPr>
              <w:jc w:val="center"/>
              <w:rPr>
                <w:color w:val="1F4E79" w:themeColor="accent1" w:themeShade="80"/>
              </w:rPr>
            </w:pPr>
          </w:p>
        </w:tc>
        <w:tc>
          <w:tcPr>
            <w:tcW w:w="1606" w:type="dxa"/>
          </w:tcPr>
          <w:p w14:paraId="3F9441D3" w14:textId="77777777" w:rsidR="00D27E14" w:rsidRPr="00A94974" w:rsidRDefault="00D27E14" w:rsidP="00AF7097">
            <w:pPr>
              <w:jc w:val="center"/>
              <w:rPr>
                <w:color w:val="1F4E79" w:themeColor="accent1" w:themeShade="80"/>
              </w:rPr>
            </w:pPr>
            <w:r w:rsidRPr="00A94974">
              <w:rPr>
                <w:rFonts w:ascii="Trebuchet MS" w:hAnsi="Trebuchet MS"/>
                <w:b/>
                <w:iCs/>
                <w:color w:val="1F4E79" w:themeColor="accent1" w:themeShade="80"/>
              </w:rPr>
              <w:t>Cod indicator</w:t>
            </w:r>
          </w:p>
        </w:tc>
        <w:tc>
          <w:tcPr>
            <w:tcW w:w="3092" w:type="dxa"/>
          </w:tcPr>
          <w:p w14:paraId="35AE15B8" w14:textId="77777777" w:rsidR="00D27E14" w:rsidRPr="00A94974" w:rsidRDefault="00D27E14" w:rsidP="00AF7097">
            <w:pPr>
              <w:jc w:val="center"/>
              <w:rPr>
                <w:color w:val="1F4E79" w:themeColor="accent1" w:themeShade="80"/>
              </w:rPr>
            </w:pPr>
            <w:r w:rsidRPr="00A94974">
              <w:rPr>
                <w:rFonts w:ascii="Trebuchet MS" w:hAnsi="Trebuchet MS"/>
                <w:b/>
                <w:iCs/>
                <w:color w:val="1F4E79" w:themeColor="accent1" w:themeShade="80"/>
              </w:rPr>
              <w:t>Denumire indicator</w:t>
            </w:r>
          </w:p>
        </w:tc>
        <w:tc>
          <w:tcPr>
            <w:tcW w:w="2349" w:type="dxa"/>
          </w:tcPr>
          <w:p w14:paraId="7283F40E" w14:textId="77777777" w:rsidR="00D27E14" w:rsidRPr="00A94974" w:rsidRDefault="00D27E14" w:rsidP="00AF7097">
            <w:pPr>
              <w:jc w:val="center"/>
              <w:rPr>
                <w:color w:val="1F4E79" w:themeColor="accent1" w:themeShade="80"/>
              </w:rPr>
            </w:pPr>
            <w:r w:rsidRPr="00A94974">
              <w:rPr>
                <w:rFonts w:ascii="Trebuchet MS" w:hAnsi="Trebuchet MS"/>
                <w:b/>
                <w:iCs/>
                <w:color w:val="1F4E79" w:themeColor="accent1" w:themeShade="80"/>
              </w:rPr>
              <w:t>Țintă</w:t>
            </w:r>
            <w:r w:rsidRPr="00A94974">
              <w:rPr>
                <w:rFonts w:ascii="Trebuchet MS" w:hAnsi="Trebuchet MS"/>
                <w:color w:val="1F4E79" w:themeColor="accent1" w:themeShade="80"/>
              </w:rPr>
              <w:t xml:space="preserve"> </w:t>
            </w:r>
            <w:r w:rsidRPr="00A94974">
              <w:rPr>
                <w:rFonts w:ascii="Trebuchet MS" w:hAnsi="Trebuchet MS"/>
                <w:b/>
                <w:iCs/>
                <w:color w:val="1F4E79" w:themeColor="accent1" w:themeShade="80"/>
              </w:rPr>
              <w:t>minimă/proiect</w:t>
            </w:r>
          </w:p>
        </w:tc>
      </w:tr>
      <w:tr w:rsidR="00A94974" w:rsidRPr="00A94974" w14:paraId="168D4A10" w14:textId="77777777" w:rsidTr="00D27E14">
        <w:tc>
          <w:tcPr>
            <w:tcW w:w="2349" w:type="dxa"/>
          </w:tcPr>
          <w:p w14:paraId="0C1D07AC" w14:textId="77777777" w:rsidR="00D27E14" w:rsidRPr="00A94974" w:rsidRDefault="00D27E14" w:rsidP="00AF7097">
            <w:pPr>
              <w:pStyle w:val="Default"/>
              <w:jc w:val="center"/>
              <w:rPr>
                <w:color w:val="1F4E79" w:themeColor="accent1" w:themeShade="80"/>
                <w:lang w:val="ro-RO"/>
              </w:rPr>
            </w:pPr>
            <w:r w:rsidRPr="00A94974">
              <w:rPr>
                <w:color w:val="1F4E79" w:themeColor="accent1" w:themeShade="80"/>
                <w:sz w:val="22"/>
                <w:szCs w:val="22"/>
                <w:lang w:val="ro-RO"/>
              </w:rPr>
              <w:t xml:space="preserve">Regiune mai dezvoltată </w:t>
            </w:r>
          </w:p>
          <w:p w14:paraId="50BC12AC" w14:textId="77777777" w:rsidR="00D27E14" w:rsidRPr="00A94974" w:rsidRDefault="00D27E14" w:rsidP="00AF7097">
            <w:pPr>
              <w:rPr>
                <w:color w:val="1F4E79" w:themeColor="accent1" w:themeShade="80"/>
              </w:rPr>
            </w:pPr>
          </w:p>
        </w:tc>
        <w:tc>
          <w:tcPr>
            <w:tcW w:w="1606" w:type="dxa"/>
          </w:tcPr>
          <w:p w14:paraId="29B7C67C" w14:textId="77777777" w:rsidR="00D27E14" w:rsidRPr="00A94974" w:rsidRDefault="00D27E14" w:rsidP="00D27E14">
            <w:pPr>
              <w:jc w:val="center"/>
              <w:rPr>
                <w:rFonts w:ascii="Trebuchet MS" w:hAnsi="Trebuchet MS" w:cstheme="minorHAnsi"/>
                <w:color w:val="1F4E79" w:themeColor="accent1" w:themeShade="80"/>
              </w:rPr>
            </w:pPr>
          </w:p>
          <w:p w14:paraId="5A252B5F" w14:textId="7F02CE78" w:rsidR="00D27E14" w:rsidRPr="00A94974" w:rsidRDefault="00D27E14" w:rsidP="00D27E14">
            <w:pPr>
              <w:jc w:val="center"/>
              <w:rPr>
                <w:rFonts w:ascii="Trebuchet MS" w:hAnsi="Trebuchet MS"/>
                <w:color w:val="1F4E79" w:themeColor="accent1" w:themeShade="80"/>
              </w:rPr>
            </w:pPr>
            <w:r w:rsidRPr="00A94974">
              <w:rPr>
                <w:rFonts w:ascii="Trebuchet MS" w:hAnsi="Trebuchet MS" w:cstheme="minorHAnsi"/>
                <w:color w:val="1F4E79" w:themeColor="accent1" w:themeShade="80"/>
              </w:rPr>
              <w:t>5SR01</w:t>
            </w:r>
          </w:p>
        </w:tc>
        <w:tc>
          <w:tcPr>
            <w:tcW w:w="3092" w:type="dxa"/>
          </w:tcPr>
          <w:p w14:paraId="5EFDC203" w14:textId="287EB7CE" w:rsidR="00D27E14" w:rsidRPr="00A94974" w:rsidRDefault="00D27E14" w:rsidP="00D27E14">
            <w:pPr>
              <w:jc w:val="center"/>
              <w:rPr>
                <w:rFonts w:ascii="Trebuchet MS" w:hAnsi="Trebuchet MS"/>
                <w:color w:val="1F4E79" w:themeColor="accent1" w:themeShade="80"/>
              </w:rPr>
            </w:pPr>
            <w:r w:rsidRPr="00A94974">
              <w:rPr>
                <w:rFonts w:ascii="Trebuchet MS" w:eastAsia="Trebuchet MS" w:hAnsi="Trebuchet MS"/>
                <w:color w:val="1F4E79" w:themeColor="accent1" w:themeShade="80"/>
              </w:rPr>
              <w:t>Participanți care au  finalizat formarea cu certificat/care au participat la schimb de bune practici/instruiri</w:t>
            </w:r>
          </w:p>
        </w:tc>
        <w:tc>
          <w:tcPr>
            <w:tcW w:w="2349" w:type="dxa"/>
          </w:tcPr>
          <w:p w14:paraId="4808D983" w14:textId="5992A7FA" w:rsidR="00D27E14" w:rsidRPr="00A94974" w:rsidRDefault="002D267D" w:rsidP="002D267D">
            <w:pPr>
              <w:jc w:val="center"/>
              <w:rPr>
                <w:rFonts w:ascii="Trebuchet MS" w:hAnsi="Trebuchet MS"/>
                <w:color w:val="1F4E79" w:themeColor="accent1" w:themeShade="80"/>
              </w:rPr>
            </w:pPr>
            <w:r w:rsidRPr="00A94974">
              <w:rPr>
                <w:rFonts w:ascii="Trebuchet MS" w:hAnsi="Trebuchet MS"/>
                <w:color w:val="1F4E79" w:themeColor="accent1" w:themeShade="80"/>
              </w:rPr>
              <w:t xml:space="preserve">95% din </w:t>
            </w:r>
            <w:r w:rsidRPr="00A94974">
              <w:rPr>
                <w:rFonts w:ascii="Trebuchet MS" w:hAnsi="Trebuchet MS" w:cs="Arial"/>
                <w:color w:val="1F4E79" w:themeColor="accent1" w:themeShade="80"/>
              </w:rPr>
              <w:t xml:space="preserve">ținta asumată a indicatorului de realizare </w:t>
            </w:r>
            <w:r w:rsidRPr="00A94974">
              <w:rPr>
                <w:rFonts w:ascii="Trebuchet MS" w:hAnsi="Trebuchet MS" w:cs="TimesNewRomanPSMT"/>
                <w:color w:val="1F4E79" w:themeColor="accent1" w:themeShade="80"/>
              </w:rPr>
              <w:t>EECO06+07</w:t>
            </w:r>
          </w:p>
        </w:tc>
      </w:tr>
      <w:tr w:rsidR="00A94974" w:rsidRPr="00A94974" w14:paraId="443B75DC" w14:textId="77777777" w:rsidTr="00D27E14">
        <w:tc>
          <w:tcPr>
            <w:tcW w:w="2349" w:type="dxa"/>
          </w:tcPr>
          <w:p w14:paraId="455F08A0" w14:textId="77777777" w:rsidR="00D27E14" w:rsidRPr="00A94974" w:rsidRDefault="00D27E14" w:rsidP="00D27E14">
            <w:pPr>
              <w:pStyle w:val="Default"/>
              <w:jc w:val="center"/>
              <w:rPr>
                <w:color w:val="1F4E79" w:themeColor="accent1" w:themeShade="80"/>
                <w:lang w:val="ro-RO"/>
              </w:rPr>
            </w:pPr>
            <w:r w:rsidRPr="00A94974">
              <w:rPr>
                <w:color w:val="1F4E79" w:themeColor="accent1" w:themeShade="80"/>
                <w:sz w:val="22"/>
                <w:szCs w:val="22"/>
                <w:lang w:val="ro-RO"/>
              </w:rPr>
              <w:t xml:space="preserve">Regiuni mai puțin dezvoltate </w:t>
            </w:r>
          </w:p>
          <w:p w14:paraId="69DAC088" w14:textId="77777777" w:rsidR="00D27E14" w:rsidRPr="00A94974" w:rsidRDefault="00D27E14" w:rsidP="00D27E14">
            <w:pPr>
              <w:rPr>
                <w:color w:val="1F4E79" w:themeColor="accent1" w:themeShade="80"/>
              </w:rPr>
            </w:pPr>
          </w:p>
        </w:tc>
        <w:tc>
          <w:tcPr>
            <w:tcW w:w="1606" w:type="dxa"/>
          </w:tcPr>
          <w:p w14:paraId="421371D5" w14:textId="77777777" w:rsidR="00D27E14" w:rsidRPr="00A94974" w:rsidRDefault="00D27E14" w:rsidP="00D27E14">
            <w:pPr>
              <w:jc w:val="center"/>
              <w:rPr>
                <w:rFonts w:ascii="Trebuchet MS" w:hAnsi="Trebuchet MS" w:cstheme="minorHAnsi"/>
                <w:color w:val="1F4E79" w:themeColor="accent1" w:themeShade="80"/>
              </w:rPr>
            </w:pPr>
          </w:p>
          <w:p w14:paraId="08191C84" w14:textId="156E432A" w:rsidR="00D27E14" w:rsidRPr="00A94974" w:rsidRDefault="00D27E14" w:rsidP="00D27E14">
            <w:pPr>
              <w:jc w:val="center"/>
              <w:rPr>
                <w:rFonts w:ascii="Trebuchet MS" w:hAnsi="Trebuchet MS"/>
                <w:color w:val="1F4E79" w:themeColor="accent1" w:themeShade="80"/>
              </w:rPr>
            </w:pPr>
            <w:r w:rsidRPr="00A94974">
              <w:rPr>
                <w:rFonts w:ascii="Trebuchet MS" w:hAnsi="Trebuchet MS" w:cstheme="minorHAnsi"/>
                <w:color w:val="1F4E79" w:themeColor="accent1" w:themeShade="80"/>
              </w:rPr>
              <w:t>5SR01</w:t>
            </w:r>
          </w:p>
        </w:tc>
        <w:tc>
          <w:tcPr>
            <w:tcW w:w="3092" w:type="dxa"/>
          </w:tcPr>
          <w:p w14:paraId="4667B823" w14:textId="5983194B" w:rsidR="00D27E14" w:rsidRPr="00A94974" w:rsidRDefault="00D27E14" w:rsidP="00D27E14">
            <w:pPr>
              <w:jc w:val="center"/>
              <w:rPr>
                <w:rFonts w:ascii="Trebuchet MS" w:hAnsi="Trebuchet MS"/>
                <w:color w:val="1F4E79" w:themeColor="accent1" w:themeShade="80"/>
              </w:rPr>
            </w:pPr>
            <w:bookmarkStart w:id="30" w:name="_Hlk172883534"/>
            <w:r w:rsidRPr="00A94974">
              <w:rPr>
                <w:rFonts w:ascii="Trebuchet MS" w:eastAsia="Trebuchet MS" w:hAnsi="Trebuchet MS"/>
                <w:color w:val="1F4E79" w:themeColor="accent1" w:themeShade="80"/>
              </w:rPr>
              <w:t>Participanți care au  finalizat formarea cu certificat/care au participat la schimb de bune practici/instruiri</w:t>
            </w:r>
            <w:bookmarkEnd w:id="30"/>
          </w:p>
        </w:tc>
        <w:tc>
          <w:tcPr>
            <w:tcW w:w="2349" w:type="dxa"/>
          </w:tcPr>
          <w:p w14:paraId="140FFBCC" w14:textId="1EC66DEA" w:rsidR="00D27E14" w:rsidRPr="00A94974" w:rsidRDefault="002D267D" w:rsidP="002D267D">
            <w:pPr>
              <w:jc w:val="center"/>
              <w:rPr>
                <w:rFonts w:ascii="Trebuchet MS" w:hAnsi="Trebuchet MS"/>
                <w:color w:val="1F4E79" w:themeColor="accent1" w:themeShade="80"/>
              </w:rPr>
            </w:pPr>
            <w:r w:rsidRPr="00A94974">
              <w:rPr>
                <w:rFonts w:ascii="Trebuchet MS" w:hAnsi="Trebuchet MS"/>
                <w:color w:val="1F4E79" w:themeColor="accent1" w:themeShade="80"/>
              </w:rPr>
              <w:t xml:space="preserve">95% din </w:t>
            </w:r>
            <w:r w:rsidRPr="00A94974">
              <w:rPr>
                <w:rFonts w:ascii="Trebuchet MS" w:hAnsi="Trebuchet MS" w:cs="Arial"/>
                <w:color w:val="1F4E79" w:themeColor="accent1" w:themeShade="80"/>
              </w:rPr>
              <w:t xml:space="preserve">ținta asumată a indicatorului de realizare </w:t>
            </w:r>
            <w:r w:rsidRPr="00A94974">
              <w:rPr>
                <w:rFonts w:ascii="Trebuchet MS" w:hAnsi="Trebuchet MS" w:cs="TimesNewRomanPSMT"/>
                <w:color w:val="1F4E79" w:themeColor="accent1" w:themeShade="80"/>
              </w:rPr>
              <w:t>EECO06+07</w:t>
            </w:r>
          </w:p>
        </w:tc>
      </w:tr>
    </w:tbl>
    <w:p w14:paraId="5704F816" w14:textId="4ADC37B4" w:rsidR="004A6DB6" w:rsidRPr="00A94974" w:rsidRDefault="0067467B" w:rsidP="001342E5">
      <w:pPr>
        <w:jc w:val="both"/>
        <w:rPr>
          <w:rFonts w:ascii="Trebuchet MS" w:hAnsi="Trebuchet MS"/>
          <w:b/>
          <w:bCs/>
          <w:color w:val="1F4E79" w:themeColor="accent1" w:themeShade="80"/>
          <w:u w:val="single"/>
        </w:rPr>
      </w:pPr>
      <w:r w:rsidRPr="00A94974">
        <w:rPr>
          <w:rFonts w:ascii="Trebuchet MS" w:hAnsi="Trebuchet MS"/>
          <w:b/>
          <w:bCs/>
          <w:color w:val="1F4E79" w:themeColor="accent1" w:themeShade="80"/>
          <w:u w:val="single"/>
        </w:rPr>
        <w:t>I</w:t>
      </w:r>
      <w:r w:rsidR="005611E5" w:rsidRPr="00A94974">
        <w:rPr>
          <w:rFonts w:ascii="Trebuchet MS" w:hAnsi="Trebuchet MS"/>
          <w:b/>
          <w:bCs/>
          <w:color w:val="1F4E79" w:themeColor="accent1" w:themeShade="80"/>
          <w:u w:val="single"/>
        </w:rPr>
        <w:t>ndicatorii de rezultat</w:t>
      </w:r>
      <w:r w:rsidRPr="00A94974">
        <w:rPr>
          <w:rFonts w:ascii="Trebuchet MS" w:hAnsi="Trebuchet MS"/>
          <w:b/>
          <w:bCs/>
          <w:color w:val="1F4E79" w:themeColor="accent1" w:themeShade="80"/>
          <w:u w:val="single"/>
        </w:rPr>
        <w:t xml:space="preserve"> - definiții</w:t>
      </w:r>
      <w:r w:rsidR="005611E5" w:rsidRPr="00A94974">
        <w:rPr>
          <w:rFonts w:ascii="Trebuchet MS" w:hAnsi="Trebuchet MS"/>
          <w:b/>
          <w:bCs/>
          <w:color w:val="1F4E79" w:themeColor="accent1" w:themeShade="80"/>
          <w:u w:val="single"/>
        </w:rPr>
        <w:t>:</w:t>
      </w:r>
    </w:p>
    <w:p w14:paraId="59802AB4" w14:textId="5A70AEFD" w:rsidR="008849F8" w:rsidRPr="00A94974" w:rsidRDefault="005611E5" w:rsidP="001342E5">
      <w:pPr>
        <w:spacing w:after="0" w:line="276" w:lineRule="auto"/>
        <w:jc w:val="both"/>
        <w:rPr>
          <w:rFonts w:ascii="Trebuchet MS" w:hAnsi="Trebuchet MS"/>
          <w:color w:val="1F4E79" w:themeColor="accent1" w:themeShade="80"/>
        </w:rPr>
      </w:pPr>
      <w:r w:rsidRPr="00A94974">
        <w:rPr>
          <w:rFonts w:ascii="Trebuchet MS" w:hAnsi="Trebuchet MS"/>
          <w:b/>
          <w:bCs/>
          <w:color w:val="1F4E79" w:themeColor="accent1" w:themeShade="80"/>
          <w:u w:val="single"/>
        </w:rPr>
        <w:t>Indicatorul de rezultat 5SR0</w:t>
      </w:r>
      <w:r w:rsidR="000F0102" w:rsidRPr="00A94974">
        <w:rPr>
          <w:rFonts w:ascii="Trebuchet MS" w:hAnsi="Trebuchet MS"/>
          <w:b/>
          <w:bCs/>
          <w:color w:val="1F4E79" w:themeColor="accent1" w:themeShade="80"/>
          <w:u w:val="single"/>
        </w:rPr>
        <w:t>1</w:t>
      </w:r>
      <w:r w:rsidR="00A61F78" w:rsidRPr="00A94974">
        <w:rPr>
          <w:rFonts w:ascii="Trebuchet MS" w:hAnsi="Trebuchet MS"/>
          <w:color w:val="1F4E79" w:themeColor="accent1" w:themeShade="80"/>
        </w:rPr>
        <w:t xml:space="preserve"> reprezintă numărul de </w:t>
      </w:r>
      <w:r w:rsidR="00A61F78" w:rsidRPr="00A94974">
        <w:rPr>
          <w:rFonts w:ascii="Trebuchet MS" w:hAnsi="Trebuchet MS"/>
          <w:i/>
          <w:iCs/>
          <w:color w:val="1F4E79" w:themeColor="accent1" w:themeShade="80"/>
        </w:rPr>
        <w:t>p</w:t>
      </w:r>
      <w:r w:rsidR="000F0102" w:rsidRPr="00A94974">
        <w:rPr>
          <w:rFonts w:ascii="Trebuchet MS" w:hAnsi="Trebuchet MS"/>
          <w:i/>
          <w:iCs/>
          <w:color w:val="1F4E79" w:themeColor="accent1" w:themeShade="80"/>
        </w:rPr>
        <w:t xml:space="preserve">articipanți care au finalizat formarea cu certificat/care au participat la schimb de bune practici/instruiri </w:t>
      </w:r>
      <w:r w:rsidR="008849F8" w:rsidRPr="00A94974">
        <w:rPr>
          <w:rFonts w:ascii="Trebuchet MS" w:hAnsi="Trebuchet MS"/>
          <w:color w:val="1F4E79" w:themeColor="accent1" w:themeShade="80"/>
        </w:rPr>
        <w:t xml:space="preserve">se raportează la indicatorul de realizare comun </w:t>
      </w:r>
      <w:r w:rsidR="008849F8" w:rsidRPr="00A94974">
        <w:rPr>
          <w:rFonts w:ascii="Trebuchet MS" w:hAnsi="Trebuchet MS"/>
          <w:b/>
          <w:bCs/>
          <w:color w:val="1F4E79" w:themeColor="accent1" w:themeShade="80"/>
          <w:u w:val="single"/>
        </w:rPr>
        <w:t xml:space="preserve">EECO06+07 – Copii și tineri. </w:t>
      </w:r>
      <w:r w:rsidR="008849F8" w:rsidRPr="00A94974">
        <w:rPr>
          <w:rFonts w:ascii="Trebuchet MS" w:hAnsi="Trebuchet MS"/>
          <w:color w:val="1F4E79" w:themeColor="accent1" w:themeShade="80"/>
        </w:rPr>
        <w:t>Astfel</w:t>
      </w:r>
      <w:r w:rsidR="00BA6EB8" w:rsidRPr="00A94974">
        <w:rPr>
          <w:rFonts w:ascii="Trebuchet MS" w:hAnsi="Trebuchet MS"/>
          <w:color w:val="1F4E79" w:themeColor="accent1" w:themeShade="80"/>
        </w:rPr>
        <w:t>,</w:t>
      </w:r>
      <w:r w:rsidR="008849F8" w:rsidRPr="00A94974">
        <w:rPr>
          <w:rFonts w:ascii="Trebuchet MS" w:hAnsi="Trebuchet MS"/>
          <w:color w:val="1F4E79" w:themeColor="accent1" w:themeShade="80"/>
        </w:rPr>
        <w:t xml:space="preserve"> rezultatul este reprezentat de acei participanți măsurați de indicatorul </w:t>
      </w:r>
      <w:r w:rsidR="008849F8" w:rsidRPr="00A94974">
        <w:rPr>
          <w:rFonts w:ascii="Trebuchet MS" w:hAnsi="Trebuchet MS"/>
          <w:b/>
          <w:bCs/>
          <w:color w:val="1F4E79" w:themeColor="accent1" w:themeShade="80"/>
          <w:u w:val="single"/>
        </w:rPr>
        <w:t xml:space="preserve">EECO06+07 – Copii și tineri </w:t>
      </w:r>
      <w:r w:rsidR="008849F8" w:rsidRPr="00A94974">
        <w:rPr>
          <w:rFonts w:ascii="Trebuchet MS" w:hAnsi="Trebuchet MS"/>
          <w:color w:val="1F4E79" w:themeColor="accent1" w:themeShade="80"/>
        </w:rPr>
        <w:t xml:space="preserve">care finalizează cu succes </w:t>
      </w:r>
      <w:r w:rsidR="008849F8" w:rsidRPr="00A94974">
        <w:rPr>
          <w:rFonts w:ascii="Trebuchet MS" w:hAnsi="Trebuchet MS"/>
          <w:color w:val="1F4E79" w:themeColor="accent1" w:themeShade="80"/>
        </w:rPr>
        <w:lastRenderedPageBreak/>
        <w:t>p</w:t>
      </w:r>
      <w:r w:rsidR="00AE0D47" w:rsidRPr="00A94974">
        <w:rPr>
          <w:rFonts w:ascii="Trebuchet MS" w:hAnsi="Trebuchet MS"/>
          <w:color w:val="1F4E79" w:themeColor="accent1" w:themeShade="80"/>
        </w:rPr>
        <w:t>erioada</w:t>
      </w:r>
      <w:r w:rsidR="008849F8" w:rsidRPr="00A94974">
        <w:rPr>
          <w:rFonts w:ascii="Trebuchet MS" w:hAnsi="Trebuchet MS"/>
          <w:color w:val="1F4E79" w:themeColor="accent1" w:themeShade="80"/>
        </w:rPr>
        <w:t xml:space="preserve"> de mobilitate Erasmus+.</w:t>
      </w:r>
      <w:r w:rsidR="00BA6EB8" w:rsidRPr="00A94974">
        <w:rPr>
          <w:rFonts w:ascii="Trebuchet MS" w:hAnsi="Trebuchet MS"/>
          <w:color w:val="1F4E79" w:themeColor="accent1" w:themeShade="80"/>
        </w:rPr>
        <w:t xml:space="preserve"> Valoarea acestui indicator de rezultat trebuie să reprezinte minimum 95% din valoarea indicatorul de realizare EEC06+07 Copii și tineri.</w:t>
      </w:r>
    </w:p>
    <w:p w14:paraId="70406935" w14:textId="3225900B" w:rsidR="00F85146" w:rsidRPr="00A94974" w:rsidRDefault="00F85146" w:rsidP="00F85146">
      <w:pPr>
        <w:spacing w:after="0" w:line="276" w:lineRule="auto"/>
        <w:jc w:val="both"/>
        <w:rPr>
          <w:rFonts w:ascii="Trebuchet MS" w:hAnsi="Trebuchet MS"/>
          <w:color w:val="1F4E79" w:themeColor="accent1" w:themeShade="80"/>
        </w:rPr>
      </w:pPr>
      <w:r w:rsidRPr="00A94974">
        <w:rPr>
          <w:rFonts w:ascii="Trebuchet MS" w:hAnsi="Trebuchet MS"/>
          <w:color w:val="1F4E79" w:themeColor="accent1" w:themeShade="80"/>
        </w:rPr>
        <w:t>Documentele justificative care atestă finalizarea cu succes a programului de mobilitate sunt reprezentate de:</w:t>
      </w:r>
    </w:p>
    <w:p w14:paraId="2218EAE8" w14:textId="1CD066C3" w:rsidR="00F85146" w:rsidRPr="00A94974" w:rsidRDefault="00F85146" w:rsidP="00BE3FAB">
      <w:pPr>
        <w:pStyle w:val="ListParagraph"/>
        <w:numPr>
          <w:ilvl w:val="0"/>
          <w:numId w:val="19"/>
        </w:numPr>
        <w:spacing w:after="0" w:line="276" w:lineRule="auto"/>
        <w:jc w:val="both"/>
        <w:rPr>
          <w:rFonts w:ascii="Trebuchet MS" w:hAnsi="Trebuchet MS"/>
          <w:color w:val="1F4E79" w:themeColor="accent1" w:themeShade="80"/>
        </w:rPr>
      </w:pPr>
      <w:r w:rsidRPr="00A94974">
        <w:rPr>
          <w:rFonts w:ascii="Trebuchet MS" w:hAnsi="Trebuchet MS"/>
          <w:color w:val="1F4E79" w:themeColor="accent1" w:themeShade="80"/>
        </w:rPr>
        <w:t>obținerea unui certificat de participare și</w:t>
      </w:r>
      <w:r w:rsidR="00AE0D47" w:rsidRPr="00A94974">
        <w:rPr>
          <w:rFonts w:ascii="Trebuchet MS" w:hAnsi="Trebuchet MS"/>
          <w:color w:val="1F4E79" w:themeColor="accent1" w:themeShade="80"/>
        </w:rPr>
        <w:t>/sau</w:t>
      </w:r>
      <w:r w:rsidRPr="00A94974">
        <w:rPr>
          <w:rFonts w:ascii="Trebuchet MS" w:hAnsi="Trebuchet MS"/>
          <w:color w:val="1F4E79" w:themeColor="accent1" w:themeShade="80"/>
        </w:rPr>
        <w:t xml:space="preserve"> a foii matricole emise de universitatea gazdă în cazul participării la mobilitatea de studiu;</w:t>
      </w:r>
    </w:p>
    <w:p w14:paraId="04B731E1" w14:textId="02030735" w:rsidR="00C4473B" w:rsidRPr="00A94974" w:rsidRDefault="00F85146" w:rsidP="00BE3FAB">
      <w:pPr>
        <w:pStyle w:val="ListParagraph"/>
        <w:numPr>
          <w:ilvl w:val="0"/>
          <w:numId w:val="19"/>
        </w:numPr>
        <w:spacing w:after="0" w:line="276" w:lineRule="auto"/>
        <w:jc w:val="both"/>
        <w:rPr>
          <w:rFonts w:ascii="Trebuchet MS" w:hAnsi="Trebuchet MS"/>
          <w:color w:val="1F4E79" w:themeColor="accent1" w:themeShade="80"/>
        </w:rPr>
      </w:pPr>
      <w:r w:rsidRPr="00A94974">
        <w:rPr>
          <w:rFonts w:ascii="Trebuchet MS" w:hAnsi="Trebuchet MS"/>
          <w:color w:val="1F4E79" w:themeColor="accent1" w:themeShade="80"/>
        </w:rPr>
        <w:t xml:space="preserve">obținerea unui certificat de participare emis de </w:t>
      </w:r>
      <w:r w:rsidR="00935E13" w:rsidRPr="00A94974">
        <w:rPr>
          <w:rFonts w:ascii="Trebuchet MS" w:hAnsi="Trebuchet MS"/>
          <w:color w:val="1F4E79" w:themeColor="accent1" w:themeShade="80"/>
        </w:rPr>
        <w:t>organizația</w:t>
      </w:r>
      <w:r w:rsidRPr="00A94974">
        <w:rPr>
          <w:rFonts w:ascii="Trebuchet MS" w:hAnsi="Trebuchet MS"/>
          <w:color w:val="1F4E79" w:themeColor="accent1" w:themeShade="80"/>
        </w:rPr>
        <w:t xml:space="preserve"> gazdă în cazul participării la mobilitatea de plasament.</w:t>
      </w:r>
    </w:p>
    <w:p w14:paraId="35B103E6" w14:textId="77777777" w:rsidR="00C4473B" w:rsidRPr="00A94974" w:rsidRDefault="00C4473B" w:rsidP="00C4473B">
      <w:pPr>
        <w:spacing w:after="0" w:line="276" w:lineRule="auto"/>
        <w:jc w:val="both"/>
        <w:rPr>
          <w:rFonts w:ascii="Trebuchet MS" w:hAnsi="Trebuchet MS"/>
          <w:color w:val="1F4E79" w:themeColor="accent1" w:themeShade="80"/>
        </w:rPr>
      </w:pPr>
    </w:p>
    <w:p w14:paraId="07A5D838" w14:textId="2FF5FA0D" w:rsidR="00C4473B" w:rsidRPr="00A94974" w:rsidRDefault="00C4473B" w:rsidP="00C4473B">
      <w:pPr>
        <w:spacing w:after="0" w:line="276" w:lineRule="auto"/>
        <w:jc w:val="both"/>
        <w:rPr>
          <w:rFonts w:ascii="Trebuchet MS" w:hAnsi="Trebuchet MS"/>
          <w:color w:val="1F4E79" w:themeColor="accent1" w:themeShade="80"/>
        </w:rPr>
      </w:pPr>
      <w:r w:rsidRPr="00A94974">
        <w:rPr>
          <w:rFonts w:ascii="Trebuchet MS" w:hAnsi="Trebuchet MS"/>
          <w:color w:val="1F4E79" w:themeColor="accent1" w:themeShade="80"/>
        </w:rPr>
        <w:t>Toți indicatorii de realizare și de rezultat de mai sus sunt obligatorii pentru fiecare proiect finanțat în cadrul acestor apeluri de proiecte.</w:t>
      </w:r>
      <w:r w:rsidR="008B412C" w:rsidRPr="00A94974">
        <w:rPr>
          <w:rFonts w:ascii="Trebuchet MS" w:hAnsi="Trebuchet MS"/>
          <w:color w:val="1F4E79" w:themeColor="accent1" w:themeShade="80"/>
        </w:rPr>
        <w:t xml:space="preserve"> Valoarea indicatorilor de realizare va fi corelată cu valoarea grupului țintă și a bugetului eligibil al proiectului.</w:t>
      </w:r>
    </w:p>
    <w:p w14:paraId="3940989C" w14:textId="591BD0B2" w:rsidR="000C1F26" w:rsidRPr="00A94974" w:rsidRDefault="000C1F26" w:rsidP="00C4473B">
      <w:pPr>
        <w:spacing w:after="0" w:line="276" w:lineRule="auto"/>
        <w:jc w:val="both"/>
        <w:rPr>
          <w:rFonts w:ascii="Trebuchet MS" w:hAnsi="Trebuchet MS"/>
          <w:color w:val="1F4E79" w:themeColor="accent1" w:themeShade="80"/>
        </w:rPr>
      </w:pPr>
      <w:r w:rsidRPr="00A94974">
        <w:rPr>
          <w:rFonts w:ascii="Trebuchet MS" w:hAnsi="Trebuchet MS"/>
          <w:color w:val="1F4E79" w:themeColor="accent1" w:themeShade="80"/>
        </w:rPr>
        <w:t xml:space="preserve">În situația în care Solicitantul / Partenerii își asumă o valoarea mai mare a indicatorului de realizare </w:t>
      </w:r>
      <w:r w:rsidRPr="00A94974">
        <w:rPr>
          <w:rFonts w:ascii="Trebuchet MS" w:hAnsi="Trebuchet MS"/>
          <w:b/>
          <w:bCs/>
          <w:color w:val="1F4E79" w:themeColor="accent1" w:themeShade="80"/>
          <w:u w:val="single"/>
        </w:rPr>
        <w:t xml:space="preserve">EECO06+07 – Copii și tineri </w:t>
      </w:r>
      <w:r w:rsidRPr="00A94974">
        <w:rPr>
          <w:rFonts w:ascii="Trebuchet MS" w:hAnsi="Trebuchet MS"/>
          <w:color w:val="1F4E79" w:themeColor="accent1" w:themeShade="80"/>
        </w:rPr>
        <w:t>mai mare în raport cu țintă minimă/proiect stabil</w:t>
      </w:r>
      <w:r w:rsidR="005C5CC2" w:rsidRPr="00A94974">
        <w:rPr>
          <w:rFonts w:ascii="Trebuchet MS" w:hAnsi="Trebuchet MS"/>
          <w:color w:val="1F4E79" w:themeColor="accent1" w:themeShade="80"/>
        </w:rPr>
        <w:t>it</w:t>
      </w:r>
      <w:r w:rsidRPr="00A94974">
        <w:rPr>
          <w:rFonts w:ascii="Trebuchet MS" w:hAnsi="Trebuchet MS"/>
          <w:color w:val="1F4E79" w:themeColor="accent1" w:themeShade="80"/>
        </w:rPr>
        <w:t>ă în secțiunea 3.8.1 Indicatori de realizare</w:t>
      </w:r>
      <w:r w:rsidR="00C32580" w:rsidRPr="00A94974">
        <w:rPr>
          <w:rFonts w:ascii="Trebuchet MS" w:hAnsi="Trebuchet MS"/>
          <w:color w:val="1F4E79" w:themeColor="accent1" w:themeShade="80"/>
        </w:rPr>
        <w:t>, cererea de finanțare va primi un punctaj suplimentar în etapa de evaluare tehnică și financiară</w:t>
      </w:r>
      <w:r w:rsidR="002A1EA7" w:rsidRPr="00A94974">
        <w:rPr>
          <w:rFonts w:ascii="Trebuchet MS" w:hAnsi="Trebuchet MS"/>
          <w:color w:val="1F4E79" w:themeColor="accent1" w:themeShade="80"/>
        </w:rPr>
        <w:t xml:space="preserve"> în conformitate cu prevederile subcriteriului 1.9 din ANEXA nr. 3 la Ghidul Solicitantului - Condiții Specifice</w:t>
      </w:r>
      <w:r w:rsidR="00C32580" w:rsidRPr="00A94974">
        <w:rPr>
          <w:rFonts w:ascii="Trebuchet MS" w:hAnsi="Trebuchet MS"/>
          <w:color w:val="1F4E79" w:themeColor="accent1" w:themeShade="80"/>
        </w:rPr>
        <w:t>.</w:t>
      </w:r>
    </w:p>
    <w:p w14:paraId="77757618" w14:textId="77777777" w:rsidR="00F85146" w:rsidRPr="00A94974" w:rsidRDefault="00F85146" w:rsidP="001342E5">
      <w:pPr>
        <w:spacing w:after="0" w:line="276" w:lineRule="auto"/>
        <w:jc w:val="both"/>
        <w:rPr>
          <w:rFonts w:ascii="Trebuchet MS" w:hAnsi="Trebuchet MS"/>
          <w:i/>
          <w:iCs/>
          <w:color w:val="1F4E79" w:themeColor="accent1" w:themeShade="80"/>
        </w:rPr>
      </w:pPr>
    </w:p>
    <w:p w14:paraId="752DD66E" w14:textId="45251132" w:rsidR="005611E5" w:rsidRPr="00A94974" w:rsidRDefault="005611E5" w:rsidP="001342E5">
      <w:pPr>
        <w:spacing w:after="0" w:line="276" w:lineRule="auto"/>
        <w:jc w:val="both"/>
        <w:rPr>
          <w:rFonts w:ascii="Trebuchet MS" w:hAnsi="Trebuchet MS"/>
          <w:color w:val="1F4E79" w:themeColor="accent1" w:themeShade="80"/>
        </w:rPr>
      </w:pPr>
    </w:p>
    <w:p w14:paraId="566043FF" w14:textId="28A37029" w:rsidR="00423649" w:rsidRPr="00A94974" w:rsidRDefault="00BC658D" w:rsidP="00F7542F">
      <w:pPr>
        <w:pStyle w:val="Heading3"/>
        <w:rPr>
          <w:color w:val="1F4E79" w:themeColor="accent1" w:themeShade="80"/>
        </w:rPr>
      </w:pPr>
      <w:bookmarkStart w:id="31" w:name="_Toc179368088"/>
      <w:r w:rsidRPr="00A94974">
        <w:rPr>
          <w:color w:val="1F4E79" w:themeColor="accent1" w:themeShade="80"/>
        </w:rPr>
        <w:t xml:space="preserve">3.8.3 </w:t>
      </w:r>
      <w:r w:rsidR="00423649" w:rsidRPr="00A94974">
        <w:rPr>
          <w:color w:val="1F4E79" w:themeColor="accent1" w:themeShade="80"/>
        </w:rPr>
        <w:t>Indicatori suplimentari specifici Apelului de Proiecte (dacă este cazul)</w:t>
      </w:r>
      <w:bookmarkEnd w:id="31"/>
    </w:p>
    <w:p w14:paraId="4AAFE57D" w14:textId="47DCEE09" w:rsidR="00B37697" w:rsidRPr="00A94974" w:rsidRDefault="00553702" w:rsidP="00CA43F7">
      <w:pPr>
        <w:spacing w:before="120" w:after="120" w:line="276" w:lineRule="auto"/>
        <w:rPr>
          <w:rFonts w:ascii="Trebuchet MS" w:hAnsi="Trebuchet MS"/>
          <w:iCs/>
          <w:color w:val="1F4E79" w:themeColor="accent1" w:themeShade="80"/>
        </w:rPr>
      </w:pPr>
      <w:r w:rsidRPr="00A94974">
        <w:rPr>
          <w:rFonts w:ascii="Trebuchet MS" w:hAnsi="Trebuchet MS"/>
          <w:iCs/>
          <w:color w:val="1F4E79" w:themeColor="accent1" w:themeShade="80"/>
        </w:rPr>
        <w:t>Nu este cazul.</w:t>
      </w:r>
    </w:p>
    <w:p w14:paraId="53145C69" w14:textId="68A3AF73" w:rsidR="00423649" w:rsidRPr="00A94974" w:rsidRDefault="00BC658D" w:rsidP="00CE53D6">
      <w:pPr>
        <w:pStyle w:val="Heading2"/>
        <w:rPr>
          <w:color w:val="1F4E79" w:themeColor="accent1" w:themeShade="80"/>
        </w:rPr>
      </w:pPr>
      <w:bookmarkStart w:id="32" w:name="_Toc179368089"/>
      <w:r w:rsidRPr="00A94974">
        <w:rPr>
          <w:color w:val="1F4E79" w:themeColor="accent1" w:themeShade="80"/>
        </w:rPr>
        <w:t xml:space="preserve">3.9 </w:t>
      </w:r>
      <w:r w:rsidR="00423649" w:rsidRPr="00A94974">
        <w:rPr>
          <w:color w:val="1F4E79" w:themeColor="accent1" w:themeShade="80"/>
        </w:rPr>
        <w:t>Rezultatele așteptate</w:t>
      </w:r>
      <w:bookmarkEnd w:id="32"/>
      <w:r w:rsidR="00423649" w:rsidRPr="00A94974">
        <w:rPr>
          <w:color w:val="1F4E79" w:themeColor="accent1" w:themeShade="80"/>
        </w:rPr>
        <w:tab/>
      </w:r>
    </w:p>
    <w:p w14:paraId="31BE72A4" w14:textId="2303C6B2" w:rsidR="00D06763" w:rsidRPr="00A94974" w:rsidRDefault="00D06763" w:rsidP="00CE53D6">
      <w:pPr>
        <w:spacing w:before="120"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Rezultatele așteptate </w:t>
      </w:r>
      <w:r w:rsidR="00935E13" w:rsidRPr="00A94974">
        <w:rPr>
          <w:rFonts w:ascii="Trebuchet MS" w:hAnsi="Trebuchet MS"/>
          <w:iCs/>
          <w:color w:val="1F4E79" w:themeColor="accent1" w:themeShade="80"/>
        </w:rPr>
        <w:t xml:space="preserve">ca </w:t>
      </w:r>
      <w:r w:rsidRPr="00A94974">
        <w:rPr>
          <w:rFonts w:ascii="Trebuchet MS" w:hAnsi="Trebuchet MS"/>
          <w:iCs/>
          <w:color w:val="1F4E79" w:themeColor="accent1" w:themeShade="80"/>
        </w:rPr>
        <w:t>urmare a acordării sprijinului financiar în cadrul prez</w:t>
      </w:r>
      <w:r w:rsidR="00EE41E9" w:rsidRPr="00A94974">
        <w:rPr>
          <w:rFonts w:ascii="Trebuchet MS" w:hAnsi="Trebuchet MS"/>
          <w:iCs/>
          <w:color w:val="1F4E79" w:themeColor="accent1" w:themeShade="80"/>
        </w:rPr>
        <w:t xml:space="preserve">entelor </w:t>
      </w:r>
      <w:r w:rsidRPr="00A94974">
        <w:rPr>
          <w:rFonts w:ascii="Trebuchet MS" w:hAnsi="Trebuchet MS"/>
          <w:iCs/>
          <w:color w:val="1F4E79" w:themeColor="accent1" w:themeShade="80"/>
        </w:rPr>
        <w:t>apel</w:t>
      </w:r>
      <w:r w:rsidR="00EE41E9" w:rsidRPr="00A94974">
        <w:rPr>
          <w:rFonts w:ascii="Trebuchet MS" w:hAnsi="Trebuchet MS"/>
          <w:iCs/>
          <w:color w:val="1F4E79" w:themeColor="accent1" w:themeShade="80"/>
        </w:rPr>
        <w:t>uri</w:t>
      </w:r>
      <w:r w:rsidRPr="00A94974">
        <w:rPr>
          <w:rFonts w:ascii="Trebuchet MS" w:hAnsi="Trebuchet MS"/>
          <w:iCs/>
          <w:color w:val="1F4E79" w:themeColor="accent1" w:themeShade="80"/>
        </w:rPr>
        <w:t xml:space="preserve"> de proiecte </w:t>
      </w:r>
      <w:r w:rsidR="00EE41E9" w:rsidRPr="00A94974">
        <w:rPr>
          <w:rFonts w:ascii="Trebuchet MS" w:hAnsi="Trebuchet MS"/>
          <w:iCs/>
          <w:color w:val="1F4E79" w:themeColor="accent1" w:themeShade="80"/>
        </w:rPr>
        <w:t>vizează</w:t>
      </w:r>
      <w:r w:rsidR="001B329D" w:rsidRPr="00A94974">
        <w:rPr>
          <w:rFonts w:ascii="Trebuchet MS" w:hAnsi="Trebuchet MS"/>
          <w:iCs/>
          <w:color w:val="1F4E79" w:themeColor="accent1" w:themeShade="80"/>
        </w:rPr>
        <w:t xml:space="preserve"> creșterea semnificativă a incluziunii în procesul de internaționalizare a învățământului superior și a accesului persoanelor cu oportunități reduse la mobilitatea cu scop de învățare și sunt cuantificate prin raportare la</w:t>
      </w:r>
      <w:r w:rsidR="00EE41E9" w:rsidRPr="00A94974">
        <w:rPr>
          <w:rFonts w:ascii="Trebuchet MS" w:hAnsi="Trebuchet MS"/>
          <w:iCs/>
          <w:color w:val="1F4E79" w:themeColor="accent1" w:themeShade="80"/>
        </w:rPr>
        <w:t>:</w:t>
      </w:r>
    </w:p>
    <w:p w14:paraId="16B866B5" w14:textId="125F3557" w:rsidR="00790ED9" w:rsidRPr="00A94974" w:rsidRDefault="001B329D" w:rsidP="00BE3FAB">
      <w:pPr>
        <w:pStyle w:val="ListParagraph"/>
        <w:numPr>
          <w:ilvl w:val="0"/>
          <w:numId w:val="2"/>
        </w:numPr>
        <w:tabs>
          <w:tab w:val="left" w:pos="230"/>
        </w:tabs>
        <w:spacing w:after="0" w:line="240" w:lineRule="auto"/>
        <w:jc w:val="both"/>
        <w:rPr>
          <w:rFonts w:ascii="Trebuchet MS" w:eastAsia="Trebuchet MS" w:hAnsi="Trebuchet MS" w:cs="Trebuchet MS"/>
          <w:color w:val="1F4E79" w:themeColor="accent1" w:themeShade="80"/>
        </w:rPr>
      </w:pPr>
      <w:bookmarkStart w:id="33" w:name="_Hlk162863806"/>
      <w:r w:rsidRPr="00A94974">
        <w:rPr>
          <w:rFonts w:ascii="Trebuchet MS" w:hAnsi="Trebuchet MS"/>
          <w:bCs/>
          <w:color w:val="1F4E79" w:themeColor="accent1" w:themeShade="80"/>
        </w:rPr>
        <w:t>n</w:t>
      </w:r>
      <w:r w:rsidR="00EE41E9" w:rsidRPr="00A94974">
        <w:rPr>
          <w:rFonts w:ascii="Trebuchet MS" w:hAnsi="Trebuchet MS"/>
          <w:bCs/>
          <w:color w:val="1F4E79" w:themeColor="accent1" w:themeShade="80"/>
        </w:rPr>
        <w:t>umăr</w:t>
      </w:r>
      <w:r w:rsidRPr="00A94974">
        <w:rPr>
          <w:rFonts w:ascii="Trebuchet MS" w:hAnsi="Trebuchet MS"/>
          <w:bCs/>
          <w:color w:val="1F4E79" w:themeColor="accent1" w:themeShade="80"/>
        </w:rPr>
        <w:t>ul</w:t>
      </w:r>
      <w:r w:rsidR="00EE41E9" w:rsidRPr="00A94974">
        <w:rPr>
          <w:rFonts w:ascii="Trebuchet MS" w:hAnsi="Trebuchet MS"/>
          <w:bCs/>
          <w:color w:val="1F4E79" w:themeColor="accent1" w:themeShade="80"/>
        </w:rPr>
        <w:t xml:space="preserve"> de studenți </w:t>
      </w:r>
      <w:r w:rsidR="42B9A030" w:rsidRPr="00A94974">
        <w:rPr>
          <w:rFonts w:ascii="Trebuchet MS" w:hAnsi="Trebuchet MS"/>
          <w:color w:val="1F4E79" w:themeColor="accent1" w:themeShade="80"/>
        </w:rPr>
        <w:t>cu oportunit</w:t>
      </w:r>
      <w:r w:rsidR="00935E13" w:rsidRPr="00A94974">
        <w:rPr>
          <w:rFonts w:ascii="Trebuchet MS" w:hAnsi="Trebuchet MS"/>
          <w:color w:val="1F4E79" w:themeColor="accent1" w:themeShade="80"/>
        </w:rPr>
        <w:t>ăț</w:t>
      </w:r>
      <w:r w:rsidR="42B9A030" w:rsidRPr="00A94974">
        <w:rPr>
          <w:rFonts w:ascii="Trebuchet MS" w:hAnsi="Trebuchet MS"/>
          <w:color w:val="1F4E79" w:themeColor="accent1" w:themeShade="80"/>
        </w:rPr>
        <w:t xml:space="preserve">i reduse </w:t>
      </w:r>
      <w:r w:rsidR="00EE41E9" w:rsidRPr="00A94974">
        <w:rPr>
          <w:rFonts w:ascii="Trebuchet MS" w:hAnsi="Trebuchet MS"/>
          <w:color w:val="1F4E79" w:themeColor="accent1" w:themeShade="80"/>
        </w:rPr>
        <w:t>sprijiniți</w:t>
      </w:r>
      <w:r w:rsidR="00EE41E9" w:rsidRPr="00A94974">
        <w:rPr>
          <w:rFonts w:ascii="Trebuchet MS" w:hAnsi="Trebuchet MS"/>
          <w:bCs/>
          <w:color w:val="1F4E79" w:themeColor="accent1" w:themeShade="80"/>
        </w:rPr>
        <w:t xml:space="preserve"> în vederea </w:t>
      </w:r>
      <w:r w:rsidR="00EE41E9" w:rsidRPr="00A94974">
        <w:rPr>
          <w:rFonts w:ascii="Trebuchet MS" w:hAnsi="Trebuchet MS"/>
          <w:color w:val="1F4E79" w:themeColor="accent1" w:themeShade="80"/>
        </w:rPr>
        <w:t>participării la o mobilitate în cadrul programului E</w:t>
      </w:r>
      <w:r w:rsidR="00935E13" w:rsidRPr="00A94974">
        <w:rPr>
          <w:rFonts w:ascii="Trebuchet MS" w:hAnsi="Trebuchet MS"/>
          <w:color w:val="1F4E79" w:themeColor="accent1" w:themeShade="80"/>
        </w:rPr>
        <w:t>rasmus</w:t>
      </w:r>
      <w:r w:rsidR="00EE41E9" w:rsidRPr="00A94974">
        <w:rPr>
          <w:rFonts w:ascii="Trebuchet MS" w:hAnsi="Trebuchet MS"/>
          <w:color w:val="1F4E79" w:themeColor="accent1" w:themeShade="80"/>
        </w:rPr>
        <w:t>+.</w:t>
      </w:r>
    </w:p>
    <w:bookmarkEnd w:id="33"/>
    <w:p w14:paraId="252BBE2B" w14:textId="77777777" w:rsidR="00317D13" w:rsidRPr="00A94974" w:rsidRDefault="00317D13" w:rsidP="00CE53D6">
      <w:pPr>
        <w:tabs>
          <w:tab w:val="left" w:pos="230"/>
        </w:tabs>
        <w:spacing w:after="0" w:line="240" w:lineRule="auto"/>
        <w:jc w:val="both"/>
        <w:rPr>
          <w:rFonts w:ascii="Trebuchet MS" w:eastAsia="Trebuchet MS" w:hAnsi="Trebuchet MS" w:cs="Trebuchet MS"/>
          <w:color w:val="1F4E79" w:themeColor="accent1" w:themeShade="80"/>
        </w:rPr>
      </w:pPr>
    </w:p>
    <w:p w14:paraId="70C86BB0" w14:textId="58B4E419" w:rsidR="00D5232B" w:rsidRPr="00A94974" w:rsidRDefault="00BC658D" w:rsidP="00F7542F">
      <w:pPr>
        <w:pStyle w:val="Heading2"/>
        <w:rPr>
          <w:rFonts w:ascii="Trebuchet MS" w:hAnsi="Trebuchet MS"/>
          <w:color w:val="1F4E79" w:themeColor="accent1" w:themeShade="80"/>
        </w:rPr>
      </w:pPr>
      <w:bookmarkStart w:id="34" w:name="_Toc179368090"/>
      <w:r w:rsidRPr="00A94974">
        <w:rPr>
          <w:color w:val="1F4E79" w:themeColor="accent1" w:themeShade="80"/>
        </w:rPr>
        <w:t xml:space="preserve">3.10 </w:t>
      </w:r>
      <w:r w:rsidR="00A34AAA" w:rsidRPr="00A94974">
        <w:rPr>
          <w:color w:val="1F4E79" w:themeColor="accent1" w:themeShade="80"/>
        </w:rPr>
        <w:t>Operațiune de importanță strategică</w:t>
      </w:r>
      <w:bookmarkEnd w:id="34"/>
      <w:r w:rsidR="00A34AAA" w:rsidRPr="00A94974">
        <w:rPr>
          <w:rFonts w:ascii="Trebuchet MS" w:hAnsi="Trebuchet MS"/>
          <w:color w:val="1F4E79" w:themeColor="accent1" w:themeShade="80"/>
        </w:rPr>
        <w:t xml:space="preserve"> </w:t>
      </w:r>
      <w:r w:rsidR="00A34AAA" w:rsidRPr="00A94974">
        <w:rPr>
          <w:rFonts w:ascii="Trebuchet MS" w:hAnsi="Trebuchet MS"/>
          <w:color w:val="1F4E79" w:themeColor="accent1" w:themeShade="80"/>
        </w:rPr>
        <w:tab/>
      </w:r>
    </w:p>
    <w:p w14:paraId="599EA6E5" w14:textId="01A4A1EB" w:rsidR="00BF764A" w:rsidRPr="00A94974" w:rsidRDefault="0030476B" w:rsidP="00CE53D6">
      <w:pPr>
        <w:rPr>
          <w:color w:val="1F4E79" w:themeColor="accent1" w:themeShade="80"/>
        </w:rPr>
      </w:pPr>
      <w:r w:rsidRPr="00A94974">
        <w:rPr>
          <w:color w:val="1F4E79" w:themeColor="accent1" w:themeShade="80"/>
        </w:rPr>
        <w:t>Nu este cazul.</w:t>
      </w:r>
    </w:p>
    <w:p w14:paraId="3141CBB9" w14:textId="4EC32FE8" w:rsidR="00A34AAA" w:rsidRPr="00A94974" w:rsidRDefault="00BC658D" w:rsidP="00CE53D6">
      <w:pPr>
        <w:pStyle w:val="Heading2"/>
        <w:rPr>
          <w:color w:val="1F4E79" w:themeColor="accent1" w:themeShade="80"/>
        </w:rPr>
      </w:pPr>
      <w:bookmarkStart w:id="35" w:name="_Toc179368091"/>
      <w:r w:rsidRPr="00A94974">
        <w:rPr>
          <w:color w:val="1F4E79" w:themeColor="accent1" w:themeShade="80"/>
        </w:rPr>
        <w:t xml:space="preserve">3.11 </w:t>
      </w:r>
      <w:r w:rsidR="00A34AAA" w:rsidRPr="00A94974">
        <w:rPr>
          <w:color w:val="1F4E79" w:themeColor="accent1" w:themeShade="80"/>
        </w:rPr>
        <w:t>Investiții teritoriale integrate</w:t>
      </w:r>
      <w:bookmarkEnd w:id="35"/>
      <w:r w:rsidR="00A34AAA" w:rsidRPr="00A94974">
        <w:rPr>
          <w:color w:val="1F4E79" w:themeColor="accent1" w:themeShade="80"/>
        </w:rPr>
        <w:t xml:space="preserve"> </w:t>
      </w:r>
      <w:r w:rsidR="00A34AAA" w:rsidRPr="00A94974">
        <w:rPr>
          <w:color w:val="1F4E79" w:themeColor="accent1" w:themeShade="80"/>
        </w:rPr>
        <w:tab/>
      </w:r>
    </w:p>
    <w:p w14:paraId="72D9201D" w14:textId="23E47543" w:rsidR="00A07E50" w:rsidRPr="00A94974" w:rsidRDefault="00553702" w:rsidP="00CE53D6">
      <w:pPr>
        <w:spacing w:before="120" w:after="120" w:line="276" w:lineRule="auto"/>
        <w:rPr>
          <w:rFonts w:ascii="Trebuchet MS" w:hAnsi="Trebuchet MS"/>
          <w:iCs/>
          <w:color w:val="1F4E79" w:themeColor="accent1" w:themeShade="80"/>
        </w:rPr>
      </w:pPr>
      <w:r w:rsidRPr="00A94974">
        <w:rPr>
          <w:rFonts w:ascii="Trebuchet MS" w:hAnsi="Trebuchet MS"/>
          <w:iCs/>
          <w:color w:val="1F4E79" w:themeColor="accent1" w:themeShade="80"/>
        </w:rPr>
        <w:t>Nu este cazul.</w:t>
      </w:r>
    </w:p>
    <w:p w14:paraId="0E7AABC3" w14:textId="487C419A" w:rsidR="008F4B56" w:rsidRPr="00A94974" w:rsidRDefault="00BC658D" w:rsidP="00CE53D6">
      <w:pPr>
        <w:pStyle w:val="Heading2"/>
        <w:rPr>
          <w:color w:val="1F4E79" w:themeColor="accent1" w:themeShade="80"/>
        </w:rPr>
      </w:pPr>
      <w:bookmarkStart w:id="36" w:name="_Toc179368092"/>
      <w:r w:rsidRPr="00A94974">
        <w:rPr>
          <w:color w:val="1F4E79" w:themeColor="accent1" w:themeShade="80"/>
        </w:rPr>
        <w:t xml:space="preserve">3.12 </w:t>
      </w:r>
      <w:r w:rsidR="008F4B56" w:rsidRPr="00A94974">
        <w:rPr>
          <w:color w:val="1F4E79" w:themeColor="accent1" w:themeShade="80"/>
        </w:rPr>
        <w:t xml:space="preserve">Dezvoltare locală </w:t>
      </w:r>
      <w:r w:rsidR="007431D9" w:rsidRPr="00A94974">
        <w:rPr>
          <w:color w:val="1F4E79" w:themeColor="accent1" w:themeShade="80"/>
        </w:rPr>
        <w:t xml:space="preserve">plasată </w:t>
      </w:r>
      <w:r w:rsidR="008F4B56" w:rsidRPr="00A94974">
        <w:rPr>
          <w:color w:val="1F4E79" w:themeColor="accent1" w:themeShade="80"/>
        </w:rPr>
        <w:t>sub responsabilitatea comunității</w:t>
      </w:r>
      <w:bookmarkEnd w:id="36"/>
    </w:p>
    <w:p w14:paraId="1FBEFEF5" w14:textId="0E734A5C" w:rsidR="00A07E50" w:rsidRPr="00A94974" w:rsidRDefault="00553702" w:rsidP="00CE53D6">
      <w:pPr>
        <w:spacing w:before="120" w:after="120" w:line="276" w:lineRule="auto"/>
        <w:rPr>
          <w:rFonts w:ascii="Trebuchet MS" w:hAnsi="Trebuchet MS"/>
          <w:iCs/>
          <w:color w:val="1F4E79" w:themeColor="accent1" w:themeShade="80"/>
        </w:rPr>
      </w:pPr>
      <w:r w:rsidRPr="00A94974">
        <w:rPr>
          <w:rFonts w:ascii="Trebuchet MS" w:hAnsi="Trebuchet MS"/>
          <w:iCs/>
          <w:color w:val="1F4E79" w:themeColor="accent1" w:themeShade="80"/>
        </w:rPr>
        <w:t>Nu este cazul.</w:t>
      </w:r>
    </w:p>
    <w:p w14:paraId="63AD0FB7" w14:textId="14ED5399" w:rsidR="00F51C65" w:rsidRPr="00A94974" w:rsidRDefault="00BC658D" w:rsidP="00CE53D6">
      <w:pPr>
        <w:pStyle w:val="Heading2"/>
        <w:rPr>
          <w:color w:val="1F4E79" w:themeColor="accent1" w:themeShade="80"/>
        </w:rPr>
      </w:pPr>
      <w:bookmarkStart w:id="37" w:name="_Toc179368093"/>
      <w:r w:rsidRPr="00A94974">
        <w:rPr>
          <w:color w:val="1F4E79" w:themeColor="accent1" w:themeShade="80"/>
        </w:rPr>
        <w:t xml:space="preserve">3.13 </w:t>
      </w:r>
      <w:r w:rsidR="00F51C65" w:rsidRPr="00A94974">
        <w:rPr>
          <w:color w:val="1F4E79" w:themeColor="accent1" w:themeShade="80"/>
        </w:rPr>
        <w:t>Reguli privind ajutorul de stat</w:t>
      </w:r>
      <w:bookmarkEnd w:id="37"/>
      <w:r w:rsidR="00F51C65" w:rsidRPr="00A94974">
        <w:rPr>
          <w:color w:val="1F4E79" w:themeColor="accent1" w:themeShade="80"/>
        </w:rPr>
        <w:t xml:space="preserve"> </w:t>
      </w:r>
    </w:p>
    <w:p w14:paraId="703F3BE1" w14:textId="77F8612E" w:rsidR="00A07E50" w:rsidRPr="00A94974" w:rsidRDefault="00553702" w:rsidP="00CE53D6">
      <w:pPr>
        <w:spacing w:before="120" w:after="120" w:line="276" w:lineRule="auto"/>
        <w:rPr>
          <w:rFonts w:ascii="Trebuchet MS" w:hAnsi="Trebuchet MS"/>
          <w:iCs/>
          <w:color w:val="1F4E79" w:themeColor="accent1" w:themeShade="80"/>
        </w:rPr>
      </w:pPr>
      <w:r w:rsidRPr="00A94974">
        <w:rPr>
          <w:rFonts w:ascii="Trebuchet MS" w:hAnsi="Trebuchet MS"/>
          <w:iCs/>
          <w:color w:val="1F4E79" w:themeColor="accent1" w:themeShade="80"/>
        </w:rPr>
        <w:t>Nu este cazul.</w:t>
      </w:r>
    </w:p>
    <w:p w14:paraId="6BBE5515" w14:textId="1F9EABDA" w:rsidR="001F48A8" w:rsidRPr="00A94974" w:rsidRDefault="00BC658D" w:rsidP="00CE53D6">
      <w:pPr>
        <w:pStyle w:val="Heading2"/>
        <w:rPr>
          <w:color w:val="1F4E79" w:themeColor="accent1" w:themeShade="80"/>
        </w:rPr>
      </w:pPr>
      <w:bookmarkStart w:id="38" w:name="_Toc179368094"/>
      <w:r w:rsidRPr="00A94974">
        <w:rPr>
          <w:color w:val="1F4E79" w:themeColor="accent1" w:themeShade="80"/>
        </w:rPr>
        <w:t xml:space="preserve">3.14 </w:t>
      </w:r>
      <w:r w:rsidR="001F48A8" w:rsidRPr="00A94974">
        <w:rPr>
          <w:color w:val="1F4E79" w:themeColor="accent1" w:themeShade="80"/>
        </w:rPr>
        <w:t>Reguli privind instrumentele financiare</w:t>
      </w:r>
      <w:bookmarkEnd w:id="38"/>
      <w:r w:rsidR="001F48A8" w:rsidRPr="00A94974">
        <w:rPr>
          <w:color w:val="1F4E79" w:themeColor="accent1" w:themeShade="80"/>
        </w:rPr>
        <w:t xml:space="preserve"> </w:t>
      </w:r>
    </w:p>
    <w:p w14:paraId="5A4346DC" w14:textId="324CFC3E" w:rsidR="00553702" w:rsidRPr="00A94974" w:rsidRDefault="00DE05B9" w:rsidP="00CE53D6">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Nu este cazul</w:t>
      </w:r>
      <w:r w:rsidR="00553702" w:rsidRPr="00A94974">
        <w:rPr>
          <w:rFonts w:ascii="Trebuchet MS" w:hAnsi="Trebuchet MS"/>
          <w:iCs/>
          <w:color w:val="1F4E79" w:themeColor="accent1" w:themeShade="80"/>
        </w:rPr>
        <w:t>.</w:t>
      </w:r>
    </w:p>
    <w:p w14:paraId="1E2CABF5" w14:textId="77777777" w:rsidR="00A07E50" w:rsidRPr="00A94974" w:rsidRDefault="00A07E50" w:rsidP="00CE53D6">
      <w:pPr>
        <w:spacing w:before="120" w:after="120" w:line="276" w:lineRule="auto"/>
        <w:jc w:val="both"/>
        <w:rPr>
          <w:rFonts w:ascii="Trebuchet MS" w:hAnsi="Trebuchet MS"/>
          <w:iCs/>
          <w:color w:val="1F4E79" w:themeColor="accent1" w:themeShade="80"/>
        </w:rPr>
      </w:pPr>
    </w:p>
    <w:p w14:paraId="3078D71E" w14:textId="0EAE8FBC" w:rsidR="008174A5" w:rsidRPr="00A94974" w:rsidRDefault="00BC658D" w:rsidP="00CE53D6">
      <w:pPr>
        <w:pStyle w:val="Heading2"/>
        <w:rPr>
          <w:color w:val="1F4E79" w:themeColor="accent1" w:themeShade="80"/>
        </w:rPr>
      </w:pPr>
      <w:bookmarkStart w:id="39" w:name="_Toc179368095"/>
      <w:r w:rsidRPr="00A94974">
        <w:rPr>
          <w:color w:val="1F4E79" w:themeColor="accent1" w:themeShade="80"/>
        </w:rPr>
        <w:t xml:space="preserve">3.15 </w:t>
      </w:r>
      <w:r w:rsidR="008174A5" w:rsidRPr="00A94974">
        <w:rPr>
          <w:color w:val="1F4E79" w:themeColor="accent1" w:themeShade="80"/>
        </w:rPr>
        <w:t>Acțiuni interregionale, transfrontaliere și transnaționale</w:t>
      </w:r>
      <w:bookmarkEnd w:id="39"/>
      <w:r w:rsidR="008174A5" w:rsidRPr="00A94974">
        <w:rPr>
          <w:color w:val="1F4E79" w:themeColor="accent1" w:themeShade="80"/>
        </w:rPr>
        <w:t xml:space="preserve"> </w:t>
      </w:r>
    </w:p>
    <w:p w14:paraId="23436416" w14:textId="0EB51B49" w:rsidR="00A07E50" w:rsidRPr="00A94974" w:rsidRDefault="00553702" w:rsidP="00CE53D6">
      <w:pPr>
        <w:spacing w:before="120" w:after="120" w:line="276" w:lineRule="auto"/>
        <w:rPr>
          <w:rFonts w:ascii="Trebuchet MS" w:hAnsi="Trebuchet MS"/>
          <w:iCs/>
          <w:color w:val="1F4E79" w:themeColor="accent1" w:themeShade="80"/>
        </w:rPr>
      </w:pPr>
      <w:r w:rsidRPr="00A94974">
        <w:rPr>
          <w:rFonts w:ascii="Trebuchet MS" w:hAnsi="Trebuchet MS"/>
          <w:iCs/>
          <w:color w:val="1F4E79" w:themeColor="accent1" w:themeShade="80"/>
        </w:rPr>
        <w:t>Nu este cazul.</w:t>
      </w:r>
    </w:p>
    <w:p w14:paraId="388E9D34" w14:textId="3008D10E" w:rsidR="00EF15DA" w:rsidRPr="00A94974" w:rsidRDefault="00BC658D" w:rsidP="001D23B8">
      <w:pPr>
        <w:pStyle w:val="Heading2"/>
        <w:rPr>
          <w:color w:val="1F4E79" w:themeColor="accent1" w:themeShade="80"/>
        </w:rPr>
      </w:pPr>
      <w:bookmarkStart w:id="40" w:name="_Toc179368096"/>
      <w:r w:rsidRPr="00A94974">
        <w:rPr>
          <w:color w:val="1F4E79" w:themeColor="accent1" w:themeShade="80"/>
        </w:rPr>
        <w:t xml:space="preserve">3.16 </w:t>
      </w:r>
      <w:r w:rsidR="00C80415" w:rsidRPr="00A94974">
        <w:rPr>
          <w:color w:val="1F4E79" w:themeColor="accent1" w:themeShade="80"/>
        </w:rPr>
        <w:t xml:space="preserve">Principii </w:t>
      </w:r>
      <w:r w:rsidR="00EF15DA" w:rsidRPr="00A94974">
        <w:rPr>
          <w:color w:val="1F4E79" w:themeColor="accent1" w:themeShade="80"/>
        </w:rPr>
        <w:t>orizontale</w:t>
      </w:r>
      <w:bookmarkEnd w:id="40"/>
    </w:p>
    <w:p w14:paraId="3A2984B5" w14:textId="756B6A43" w:rsidR="00C62EFE" w:rsidRPr="00A94974" w:rsidRDefault="00C62EFE" w:rsidP="001D23B8">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În conformitate cu prevederile art. 9 alin. (1) din Regulamentul UE nr. 2021/1060 și cu prevederile articolelor 6 și 28 din Regulamentul UE nr. 1057/2021</w:t>
      </w:r>
      <w:r w:rsidR="00616F93"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atât în pregătirea</w:t>
      </w:r>
      <w:r w:rsidR="00616F93" w:rsidRPr="00A94974">
        <w:rPr>
          <w:rFonts w:ascii="Trebuchet MS" w:hAnsi="Trebuchet MS"/>
          <w:iCs/>
          <w:color w:val="1F4E79" w:themeColor="accent1" w:themeShade="80"/>
        </w:rPr>
        <w:t xml:space="preserve">, cât </w:t>
      </w:r>
      <w:r w:rsidRPr="00A94974">
        <w:rPr>
          <w:rFonts w:ascii="Trebuchet MS" w:hAnsi="Trebuchet MS"/>
          <w:iCs/>
          <w:color w:val="1F4E79" w:themeColor="accent1" w:themeShade="80"/>
        </w:rPr>
        <w:t xml:space="preserve">și </w:t>
      </w:r>
      <w:r w:rsidR="00616F93" w:rsidRPr="00A94974">
        <w:rPr>
          <w:rFonts w:ascii="Trebuchet MS" w:hAnsi="Trebuchet MS"/>
          <w:iCs/>
          <w:color w:val="1F4E79" w:themeColor="accent1" w:themeShade="80"/>
        </w:rPr>
        <w:t xml:space="preserve">în </w:t>
      </w:r>
      <w:r w:rsidRPr="00A94974">
        <w:rPr>
          <w:rFonts w:ascii="Trebuchet MS" w:hAnsi="Trebuchet MS"/>
          <w:iCs/>
          <w:color w:val="1F4E79" w:themeColor="accent1" w:themeShade="80"/>
        </w:rPr>
        <w:t>implementarea operațiunilor</w:t>
      </w:r>
      <w:r w:rsidR="00616F93"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beneficiarul trebuie să asigure respectarea principiilor și temelor orizontale:</w:t>
      </w:r>
    </w:p>
    <w:p w14:paraId="65148E1F" w14:textId="0AA03A2C" w:rsidR="00616F93" w:rsidRPr="00A94974" w:rsidRDefault="00C62EFE" w:rsidP="00BE3FAB">
      <w:pPr>
        <w:pStyle w:val="ListParagraph"/>
        <w:numPr>
          <w:ilvl w:val="0"/>
          <w:numId w:val="3"/>
        </w:numPr>
        <w:spacing w:before="120" w:after="120" w:line="276" w:lineRule="auto"/>
        <w:jc w:val="both"/>
        <w:rPr>
          <w:rFonts w:ascii="Trebuchet MS" w:hAnsi="Trebuchet MS"/>
          <w:iCs/>
          <w:color w:val="1F4E79" w:themeColor="accent1" w:themeShade="80"/>
        </w:rPr>
      </w:pPr>
      <w:r w:rsidRPr="00A94974">
        <w:rPr>
          <w:rFonts w:ascii="Trebuchet MS" w:hAnsi="Trebuchet MS"/>
          <w:b/>
          <w:bCs/>
          <w:iCs/>
          <w:color w:val="1F4E79" w:themeColor="accent1" w:themeShade="80"/>
        </w:rPr>
        <w:t>Egalitatea de șanse și de tratament între femei și bărbați și integrarea perspectivei de gen</w:t>
      </w:r>
    </w:p>
    <w:p w14:paraId="65D4F130" w14:textId="0F9F15D0" w:rsidR="00C62EFE" w:rsidRPr="00A94974" w:rsidRDefault="00C62EFE" w:rsidP="001D23B8">
      <w:pPr>
        <w:pStyle w:val="ListParagraph"/>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Se vor prezenta în Cererea de finanțare măsurile concrete ce vor fi implementate în vederea asigurării re</w:t>
      </w:r>
      <w:r w:rsidR="003A2F25" w:rsidRPr="00A94974">
        <w:rPr>
          <w:rFonts w:ascii="Trebuchet MS" w:hAnsi="Trebuchet MS"/>
          <w:iCs/>
          <w:color w:val="1F4E79" w:themeColor="accent1" w:themeShade="80"/>
        </w:rPr>
        <w:t>s</w:t>
      </w:r>
      <w:r w:rsidRPr="00A94974">
        <w:rPr>
          <w:rFonts w:ascii="Trebuchet MS" w:hAnsi="Trebuchet MS"/>
          <w:iCs/>
          <w:color w:val="1F4E79" w:themeColor="accent1" w:themeShade="80"/>
        </w:rPr>
        <w:t>pectării principiului și prevederilor legale naționale și comunitare cu privire la egalitatea de șanse și de tratament între femei și bărbați și integrarea perspectivei de gen.</w:t>
      </w:r>
    </w:p>
    <w:p w14:paraId="3535ABAF" w14:textId="1A597B59" w:rsidR="00C62EFE" w:rsidRPr="00A94974" w:rsidRDefault="00C62EFE" w:rsidP="00BE3FAB">
      <w:pPr>
        <w:pStyle w:val="ListParagraph"/>
        <w:numPr>
          <w:ilvl w:val="0"/>
          <w:numId w:val="3"/>
        </w:numPr>
        <w:spacing w:before="120" w:after="120" w:line="276" w:lineRule="auto"/>
        <w:jc w:val="both"/>
        <w:rPr>
          <w:rFonts w:ascii="Trebuchet MS" w:hAnsi="Trebuchet MS"/>
          <w:iCs/>
          <w:color w:val="1F4E79" w:themeColor="accent1" w:themeShade="80"/>
        </w:rPr>
      </w:pPr>
      <w:r w:rsidRPr="00A94974">
        <w:rPr>
          <w:rFonts w:ascii="Trebuchet MS" w:hAnsi="Trebuchet MS"/>
          <w:b/>
          <w:bCs/>
          <w:iCs/>
          <w:color w:val="1F4E79" w:themeColor="accent1" w:themeShade="80"/>
        </w:rPr>
        <w:t>Nediscriminarea și prevenirea oricărei forme de discriminare</w:t>
      </w:r>
      <w:r w:rsidRPr="00A94974">
        <w:rPr>
          <w:rFonts w:ascii="Trebuchet MS" w:hAnsi="Trebuchet MS"/>
          <w:iCs/>
          <w:color w:val="1F4E79" w:themeColor="accent1" w:themeShade="80"/>
        </w:rPr>
        <w:t xml:space="preserve"> pe criterii de rasă, </w:t>
      </w:r>
      <w:proofErr w:type="spellStart"/>
      <w:r w:rsidRPr="00A94974">
        <w:rPr>
          <w:rFonts w:ascii="Trebuchet MS" w:hAnsi="Trebuchet MS"/>
          <w:iCs/>
          <w:color w:val="1F4E79" w:themeColor="accent1" w:themeShade="80"/>
        </w:rPr>
        <w:t>naţionalitate</w:t>
      </w:r>
      <w:proofErr w:type="spellEnd"/>
      <w:r w:rsidRPr="00A94974">
        <w:rPr>
          <w:rFonts w:ascii="Trebuchet MS" w:hAnsi="Trebuchet MS"/>
          <w:iCs/>
          <w:color w:val="1F4E79" w:themeColor="accent1" w:themeShade="80"/>
        </w:rPr>
        <w:t xml:space="preserve">, etnie, limbă, religie, categorie socială, convingeri, sex, orientare sexuală, vârstă, handicap, boală cronică necontagioasă, infectare HIV, </w:t>
      </w:r>
      <w:proofErr w:type="spellStart"/>
      <w:r w:rsidRPr="00A94974">
        <w:rPr>
          <w:rFonts w:ascii="Trebuchet MS" w:hAnsi="Trebuchet MS"/>
          <w:iCs/>
          <w:color w:val="1F4E79" w:themeColor="accent1" w:themeShade="80"/>
        </w:rPr>
        <w:t>apartenenţă</w:t>
      </w:r>
      <w:proofErr w:type="spellEnd"/>
      <w:r w:rsidRPr="00A94974">
        <w:rPr>
          <w:rFonts w:ascii="Trebuchet MS" w:hAnsi="Trebuchet MS"/>
          <w:iCs/>
          <w:color w:val="1F4E79" w:themeColor="accent1" w:themeShade="80"/>
        </w:rPr>
        <w:t xml:space="preserve"> la o categorie defavorizată, precum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orice alt criteriu care are ca scop sau efect restrângerea, înlăturarea </w:t>
      </w:r>
      <w:proofErr w:type="spellStart"/>
      <w:r w:rsidRPr="00A94974">
        <w:rPr>
          <w:rFonts w:ascii="Trebuchet MS" w:hAnsi="Trebuchet MS"/>
          <w:iCs/>
          <w:color w:val="1F4E79" w:themeColor="accent1" w:themeShade="80"/>
        </w:rPr>
        <w:t>recunoaşterii</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folosinţei</w:t>
      </w:r>
      <w:proofErr w:type="spellEnd"/>
      <w:r w:rsidRPr="00A94974">
        <w:rPr>
          <w:rFonts w:ascii="Trebuchet MS" w:hAnsi="Trebuchet MS"/>
          <w:iCs/>
          <w:color w:val="1F4E79" w:themeColor="accent1" w:themeShade="80"/>
        </w:rPr>
        <w:t xml:space="preserve"> sau exercitării, în </w:t>
      </w:r>
      <w:proofErr w:type="spellStart"/>
      <w:r w:rsidRPr="00A94974">
        <w:rPr>
          <w:rFonts w:ascii="Trebuchet MS" w:hAnsi="Trebuchet MS"/>
          <w:iCs/>
          <w:color w:val="1F4E79" w:themeColor="accent1" w:themeShade="80"/>
        </w:rPr>
        <w:t>condiţii</w:t>
      </w:r>
      <w:proofErr w:type="spellEnd"/>
      <w:r w:rsidRPr="00A94974">
        <w:rPr>
          <w:rFonts w:ascii="Trebuchet MS" w:hAnsi="Trebuchet MS"/>
          <w:iCs/>
          <w:color w:val="1F4E79" w:themeColor="accent1" w:themeShade="80"/>
        </w:rPr>
        <w:t xml:space="preserve"> de egalitate, a drepturilor omului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a </w:t>
      </w:r>
      <w:proofErr w:type="spellStart"/>
      <w:r w:rsidRPr="00A94974">
        <w:rPr>
          <w:rFonts w:ascii="Trebuchet MS" w:hAnsi="Trebuchet MS"/>
          <w:iCs/>
          <w:color w:val="1F4E79" w:themeColor="accent1" w:themeShade="80"/>
        </w:rPr>
        <w:t>libertăţilor</w:t>
      </w:r>
      <w:proofErr w:type="spellEnd"/>
      <w:r w:rsidRPr="00A94974">
        <w:rPr>
          <w:rFonts w:ascii="Trebuchet MS" w:hAnsi="Trebuchet MS"/>
          <w:iCs/>
          <w:color w:val="1F4E79" w:themeColor="accent1" w:themeShade="80"/>
        </w:rPr>
        <w:t xml:space="preserve"> fundamentale sau a drepturilor recunoscute de lege, în domeniul politic, economic, social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cultural sau în orice alte domenii ale </w:t>
      </w:r>
      <w:proofErr w:type="spellStart"/>
      <w:r w:rsidRPr="00A94974">
        <w:rPr>
          <w:rFonts w:ascii="Trebuchet MS" w:hAnsi="Trebuchet MS"/>
          <w:iCs/>
          <w:color w:val="1F4E79" w:themeColor="accent1" w:themeShade="80"/>
        </w:rPr>
        <w:t>vieţii</w:t>
      </w:r>
      <w:proofErr w:type="spellEnd"/>
      <w:r w:rsidRPr="00A94974">
        <w:rPr>
          <w:rFonts w:ascii="Trebuchet MS" w:hAnsi="Trebuchet MS"/>
          <w:iCs/>
          <w:color w:val="1F4E79" w:themeColor="accent1" w:themeShade="80"/>
        </w:rPr>
        <w:t xml:space="preserve"> publice. Se vor prezenta în Cererea de finanțare măsurile concrete ce vor fi implementate în vederea asigurării re</w:t>
      </w:r>
      <w:r w:rsidR="003A2F25" w:rsidRPr="00A94974">
        <w:rPr>
          <w:rFonts w:ascii="Trebuchet MS" w:hAnsi="Trebuchet MS"/>
          <w:iCs/>
          <w:color w:val="1F4E79" w:themeColor="accent1" w:themeShade="80"/>
        </w:rPr>
        <w:t>s</w:t>
      </w:r>
      <w:r w:rsidRPr="00A94974">
        <w:rPr>
          <w:rFonts w:ascii="Trebuchet MS" w:hAnsi="Trebuchet MS"/>
          <w:iCs/>
          <w:color w:val="1F4E79" w:themeColor="accent1" w:themeShade="80"/>
        </w:rPr>
        <w:t>pectării principiului și prevederilor legale naționale și comunitare cu privire la prevenirea oricăror forme de discriminare.</w:t>
      </w:r>
    </w:p>
    <w:p w14:paraId="70051FBA" w14:textId="3FE471EA" w:rsidR="00616F93" w:rsidRPr="00A94974" w:rsidRDefault="00C62EFE" w:rsidP="00BE3FAB">
      <w:pPr>
        <w:pStyle w:val="ListParagraph"/>
        <w:numPr>
          <w:ilvl w:val="0"/>
          <w:numId w:val="3"/>
        </w:numPr>
        <w:spacing w:before="120" w:after="120" w:line="276" w:lineRule="auto"/>
        <w:jc w:val="both"/>
        <w:rPr>
          <w:rFonts w:ascii="Trebuchet MS" w:hAnsi="Trebuchet MS"/>
          <w:iCs/>
          <w:color w:val="1F4E79" w:themeColor="accent1" w:themeShade="80"/>
        </w:rPr>
      </w:pPr>
      <w:r w:rsidRPr="00A94974">
        <w:rPr>
          <w:rFonts w:ascii="Trebuchet MS" w:hAnsi="Trebuchet MS"/>
          <w:b/>
          <w:bCs/>
          <w:iCs/>
          <w:color w:val="1F4E79" w:themeColor="accent1" w:themeShade="80"/>
        </w:rPr>
        <w:t>Accesibilitatea pentru persoanele cu dizabilități</w:t>
      </w:r>
      <w:r w:rsidRPr="00A94974">
        <w:rPr>
          <w:rFonts w:ascii="Trebuchet MS" w:hAnsi="Trebuchet MS"/>
          <w:iCs/>
          <w:color w:val="1F4E79" w:themeColor="accent1" w:themeShade="80"/>
        </w:rPr>
        <w:t xml:space="preserve"> </w:t>
      </w:r>
    </w:p>
    <w:p w14:paraId="67082BF8" w14:textId="34D87B76" w:rsidR="00C62EFE" w:rsidRPr="00A94974" w:rsidRDefault="00C62EFE" w:rsidP="001D23B8">
      <w:pPr>
        <w:pStyle w:val="ListParagraph"/>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Se vor prezenta în Cererea de finanțare măsurile concrete ce vor fi implementate în vederea asigurării accesibilității persoanelor cu dizabilități în toate spațiile în care se desfășoară operațiunea.</w:t>
      </w:r>
    </w:p>
    <w:p w14:paraId="134AC643" w14:textId="77777777" w:rsidR="00616F93" w:rsidRPr="00A94974" w:rsidRDefault="00C62EFE" w:rsidP="00BE3FAB">
      <w:pPr>
        <w:pStyle w:val="ListParagraph"/>
        <w:numPr>
          <w:ilvl w:val="0"/>
          <w:numId w:val="3"/>
        </w:numPr>
        <w:spacing w:before="120" w:after="120" w:line="276" w:lineRule="auto"/>
        <w:jc w:val="both"/>
        <w:rPr>
          <w:rFonts w:ascii="Trebuchet MS" w:hAnsi="Trebuchet MS"/>
          <w:color w:val="1F4E79" w:themeColor="accent1" w:themeShade="80"/>
        </w:rPr>
      </w:pPr>
      <w:r w:rsidRPr="00A94974">
        <w:rPr>
          <w:rFonts w:ascii="Trebuchet MS" w:hAnsi="Trebuchet MS"/>
          <w:b/>
          <w:bCs/>
          <w:iCs/>
          <w:color w:val="1F4E79" w:themeColor="accent1" w:themeShade="80"/>
        </w:rPr>
        <w:t>Dezvoltarea durabilă</w:t>
      </w:r>
    </w:p>
    <w:p w14:paraId="755A54A1" w14:textId="6CA99193" w:rsidR="00C62EFE" w:rsidRPr="00A94974" w:rsidRDefault="00C62EFE" w:rsidP="001D23B8">
      <w:pPr>
        <w:pStyle w:val="ListParagraph"/>
        <w:spacing w:before="120" w:after="120" w:line="276" w:lineRule="auto"/>
        <w:jc w:val="both"/>
        <w:rPr>
          <w:rFonts w:ascii="Trebuchet MS" w:hAnsi="Trebuchet MS"/>
          <w:color w:val="1F4E79" w:themeColor="accent1" w:themeShade="80"/>
        </w:rPr>
      </w:pPr>
      <w:r w:rsidRPr="00A94974">
        <w:rPr>
          <w:rFonts w:ascii="Trebuchet MS" w:hAnsi="Trebuchet MS"/>
          <w:iCs/>
          <w:color w:val="1F4E79" w:themeColor="accent1" w:themeShade="80"/>
        </w:rPr>
        <w:t>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A94974">
        <w:rPr>
          <w:rFonts w:ascii="Trebuchet MS" w:hAnsi="Trebuchet MS"/>
          <w:i/>
          <w:color w:val="1F4E79" w:themeColor="accent1" w:themeShade="80"/>
        </w:rPr>
        <w:t>.</w:t>
      </w:r>
    </w:p>
    <w:p w14:paraId="19032B38" w14:textId="54F1D826" w:rsidR="00C56104" w:rsidRPr="00A94974" w:rsidRDefault="00BC658D" w:rsidP="00573389">
      <w:pPr>
        <w:pStyle w:val="Heading2"/>
        <w:rPr>
          <w:color w:val="1F4E79" w:themeColor="accent1" w:themeShade="80"/>
        </w:rPr>
      </w:pPr>
      <w:bookmarkStart w:id="41" w:name="_Toc179368097"/>
      <w:r w:rsidRPr="00A94974">
        <w:rPr>
          <w:color w:val="1F4E79" w:themeColor="accent1" w:themeShade="80"/>
        </w:rPr>
        <w:t xml:space="preserve">3.17 </w:t>
      </w:r>
      <w:r w:rsidR="00C56104" w:rsidRPr="00A94974">
        <w:rPr>
          <w:color w:val="1F4E79" w:themeColor="accent1" w:themeShade="80"/>
        </w:rPr>
        <w:t>Aspecte de mediu</w:t>
      </w:r>
      <w:r w:rsidR="006464F5" w:rsidRPr="00A94974">
        <w:rPr>
          <w:color w:val="1F4E79" w:themeColor="accent1" w:themeShade="80"/>
        </w:rPr>
        <w:t xml:space="preserve"> (inclusiv aplicarea Directivei 2011/92/UE a Parlamentului European și a Consiliului). Aplicarea principiului  DNSH. Imunizarea la schimbările climatice</w:t>
      </w:r>
      <w:bookmarkEnd w:id="41"/>
    </w:p>
    <w:p w14:paraId="1394835F" w14:textId="77777777" w:rsidR="00D7169F" w:rsidRPr="00A94974" w:rsidRDefault="00D7169F" w:rsidP="001D23B8">
      <w:pPr>
        <w:pStyle w:val="Heading2"/>
        <w:rPr>
          <w:rFonts w:ascii="Trebuchet MS" w:eastAsiaTheme="minorHAnsi" w:hAnsi="Trebuchet MS" w:cstheme="minorBidi"/>
          <w:color w:val="1F4E79" w:themeColor="accent1" w:themeShade="80"/>
          <w:sz w:val="22"/>
          <w:szCs w:val="22"/>
        </w:rPr>
      </w:pPr>
    </w:p>
    <w:p w14:paraId="7B097AEE" w14:textId="1DD1C58D" w:rsidR="00B04A0A" w:rsidRPr="00A94974" w:rsidRDefault="00D7169F" w:rsidP="00E467FC">
      <w:pPr>
        <w:jc w:val="both"/>
        <w:rPr>
          <w:rFonts w:ascii="Trebuchet MS" w:hAnsi="Trebuchet MS"/>
          <w:color w:val="1F4E79" w:themeColor="accent1" w:themeShade="80"/>
        </w:rPr>
      </w:pPr>
      <w:r w:rsidRPr="00A94974">
        <w:rPr>
          <w:rFonts w:ascii="Trebuchet MS" w:hAnsi="Trebuchet MS"/>
          <w:color w:val="1F4E79" w:themeColor="accent1" w:themeShade="80"/>
        </w:rPr>
        <w:t xml:space="preserve">Solicitantul va prezenta în Cererea de finanțare măsurile concrete ce vor fi ulterior implementate în vederea promovării dezvoltării durabile astfel cum este prevăzut la articolul 11 din TFUE, ținând seama de obiectivele de dezvoltare durabilă ale ONU, de Acordul de la Paris </w:t>
      </w:r>
      <w:r w:rsidRPr="00A94974">
        <w:rPr>
          <w:rFonts w:ascii="Trebuchet MS" w:hAnsi="Trebuchet MS"/>
          <w:color w:val="1F4E79" w:themeColor="accent1" w:themeShade="80"/>
        </w:rPr>
        <w:lastRenderedPageBreak/>
        <w:t>și de principiul de „a nu prejudicia în mod semnificativ“ cu respectarea acquis-ului Uniunii Europene în domeniul protecției mediului.</w:t>
      </w:r>
    </w:p>
    <w:p w14:paraId="55498CED" w14:textId="77777777" w:rsidR="00E467FC" w:rsidRPr="00A94974" w:rsidRDefault="00E467FC" w:rsidP="00D7169F">
      <w:pPr>
        <w:rPr>
          <w:color w:val="1F4E79" w:themeColor="accent1" w:themeShade="80"/>
        </w:rPr>
      </w:pPr>
    </w:p>
    <w:p w14:paraId="0A66A398" w14:textId="54E47B3D" w:rsidR="0043381D" w:rsidRPr="00A94974" w:rsidRDefault="00BC658D" w:rsidP="00620DD8">
      <w:pPr>
        <w:pStyle w:val="Heading2"/>
        <w:rPr>
          <w:color w:val="1F4E79" w:themeColor="accent1" w:themeShade="80"/>
        </w:rPr>
      </w:pPr>
      <w:bookmarkStart w:id="42" w:name="_Toc179368098"/>
      <w:r w:rsidRPr="00A94974">
        <w:rPr>
          <w:color w:val="1F4E79" w:themeColor="accent1" w:themeShade="80"/>
        </w:rPr>
        <w:t xml:space="preserve">3.18 </w:t>
      </w:r>
      <w:r w:rsidR="003048E0" w:rsidRPr="00A94974">
        <w:rPr>
          <w:color w:val="1F4E79" w:themeColor="accent1" w:themeShade="80"/>
        </w:rPr>
        <w:t>Caracterul durabil al proiectului</w:t>
      </w:r>
      <w:bookmarkEnd w:id="42"/>
    </w:p>
    <w:p w14:paraId="14278E78" w14:textId="754525C2" w:rsidR="0043381D" w:rsidRPr="00A94974" w:rsidRDefault="0043381D" w:rsidP="00A80492">
      <w:pPr>
        <w:jc w:val="both"/>
        <w:rPr>
          <w:rFonts w:ascii="Trebuchet MS" w:hAnsi="Trebuchet MS"/>
          <w:color w:val="1F4E79" w:themeColor="accent1" w:themeShade="80"/>
        </w:rPr>
      </w:pPr>
      <w:bookmarkStart w:id="43" w:name="_Hlk132976018"/>
      <w:r w:rsidRPr="00A94974">
        <w:rPr>
          <w:rFonts w:ascii="Trebuchet MS" w:hAnsi="Trebuchet MS"/>
          <w:color w:val="1F4E79" w:themeColor="accent1" w:themeShade="80"/>
        </w:rP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PEO/OI PEO delegat, Autorității de Certificare și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45A99489" w14:textId="6B75D07D" w:rsidR="0043381D" w:rsidRPr="00A94974" w:rsidRDefault="0043381D" w:rsidP="00A80492">
      <w:pPr>
        <w:jc w:val="both"/>
        <w:rPr>
          <w:rFonts w:ascii="Trebuchet MS" w:hAnsi="Trebuchet MS"/>
          <w:color w:val="1F4E79" w:themeColor="accent1" w:themeShade="80"/>
        </w:rPr>
      </w:pPr>
      <w:r w:rsidRPr="00A94974">
        <w:rPr>
          <w:rFonts w:ascii="Trebuchet MS" w:hAnsi="Trebuchet MS"/>
          <w:color w:val="1F4E79" w:themeColor="accent1" w:themeShade="80"/>
        </w:rPr>
        <w:t>În vederea asigurării sustenabilității, Beneficiarii vor avea obligația de a identifica resursele financiare publice și private necesare continuării activităților proiectului, precum și modalitățile de valorificarea a rezultatelor printr-un alt proiect/alte activități similare destinate creșterii accesului la mobilități pentru studenții cu oportunități reduse.</w:t>
      </w:r>
    </w:p>
    <w:p w14:paraId="3B97DD65" w14:textId="77777777" w:rsidR="0043381D" w:rsidRPr="00A94974" w:rsidRDefault="0043381D" w:rsidP="0043381D">
      <w:pPr>
        <w:pStyle w:val="Heading2"/>
        <w:jc w:val="both"/>
        <w:rPr>
          <w:rFonts w:ascii="Trebuchet MS" w:eastAsiaTheme="minorHAnsi" w:hAnsi="Trebuchet MS" w:cstheme="minorBidi"/>
          <w:iCs/>
          <w:color w:val="1F4E79" w:themeColor="accent1" w:themeShade="80"/>
          <w:sz w:val="22"/>
          <w:szCs w:val="22"/>
        </w:rPr>
      </w:pPr>
    </w:p>
    <w:p w14:paraId="753AA605" w14:textId="15B4290F" w:rsidR="00E7551B" w:rsidRPr="00A94974" w:rsidRDefault="00BC658D" w:rsidP="0043381D">
      <w:pPr>
        <w:pStyle w:val="Heading2"/>
        <w:jc w:val="both"/>
        <w:rPr>
          <w:color w:val="1F4E79" w:themeColor="accent1" w:themeShade="80"/>
        </w:rPr>
      </w:pPr>
      <w:bookmarkStart w:id="44" w:name="_Toc179368099"/>
      <w:r w:rsidRPr="00A94974">
        <w:rPr>
          <w:color w:val="1F4E79" w:themeColor="accent1" w:themeShade="80"/>
        </w:rPr>
        <w:t xml:space="preserve">3.19 </w:t>
      </w:r>
      <w:r w:rsidR="00E7551B" w:rsidRPr="00A94974">
        <w:rPr>
          <w:color w:val="1F4E79" w:themeColor="accent1" w:themeShade="80"/>
        </w:rPr>
        <w:t>Acțiuni menite să garanteze egalitatea de șanse, de gen, incluziunea și nediscriminarea</w:t>
      </w:r>
      <w:bookmarkEnd w:id="44"/>
      <w:r w:rsidR="00E7551B" w:rsidRPr="00A94974">
        <w:rPr>
          <w:color w:val="1F4E79" w:themeColor="accent1" w:themeShade="80"/>
        </w:rPr>
        <w:t xml:space="preserve"> </w:t>
      </w:r>
    </w:p>
    <w:p w14:paraId="7C8C3FB2" w14:textId="2F8861C0" w:rsidR="00DE05B9" w:rsidRPr="00A94974" w:rsidRDefault="00DE05B9" w:rsidP="001D23B8">
      <w:pPr>
        <w:pStyle w:val="NoSpacing"/>
        <w:jc w:val="both"/>
        <w:rPr>
          <w:rFonts w:eastAsia="Times New Roman" w:cs="Courier New"/>
          <w:color w:val="1F4E79" w:themeColor="accent1" w:themeShade="80"/>
          <w:lang w:eastAsia="ro-RO"/>
        </w:rPr>
      </w:pPr>
      <w:r w:rsidRPr="00A94974">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30F112B5" w14:textId="492A1245" w:rsidR="00DE05B9" w:rsidRPr="00A94974" w:rsidRDefault="00DE05B9" w:rsidP="001D23B8">
      <w:pPr>
        <w:pStyle w:val="NoSpacing"/>
        <w:jc w:val="both"/>
        <w:rPr>
          <w:rFonts w:eastAsia="Times New Roman" w:cs="Courier New"/>
          <w:color w:val="1F4E79" w:themeColor="accent1" w:themeShade="80"/>
          <w:lang w:eastAsia="ro-RO"/>
        </w:rPr>
      </w:pPr>
      <w:r w:rsidRPr="00A94974">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B677FEC" w14:textId="77777777" w:rsidR="00DE05B9" w:rsidRPr="00A94974" w:rsidRDefault="00DE05B9" w:rsidP="00DE05B9">
      <w:pPr>
        <w:pStyle w:val="NoSpacing"/>
        <w:jc w:val="both"/>
        <w:rPr>
          <w:rFonts w:eastAsia="Times New Roman" w:cs="Courier New"/>
          <w:color w:val="1F4E79" w:themeColor="accent1" w:themeShade="80"/>
          <w:lang w:eastAsia="ro-RO"/>
        </w:rPr>
      </w:pPr>
    </w:p>
    <w:p w14:paraId="4D9B10A1" w14:textId="3E37D9D8" w:rsidR="0074287F" w:rsidRPr="00A94974" w:rsidRDefault="00BC658D" w:rsidP="00573389">
      <w:pPr>
        <w:pStyle w:val="Heading2"/>
        <w:jc w:val="both"/>
        <w:rPr>
          <w:color w:val="1F4E79" w:themeColor="accent1" w:themeShade="80"/>
        </w:rPr>
      </w:pPr>
      <w:bookmarkStart w:id="45" w:name="_Toc179368100"/>
      <w:r w:rsidRPr="00A94974">
        <w:rPr>
          <w:color w:val="1F4E79" w:themeColor="accent1" w:themeShade="80"/>
        </w:rPr>
        <w:t xml:space="preserve">3.20 </w:t>
      </w:r>
      <w:r w:rsidR="0074287F" w:rsidRPr="00A94974">
        <w:rPr>
          <w:color w:val="1F4E79" w:themeColor="accent1" w:themeShade="80"/>
        </w:rPr>
        <w:t>Teme secundare</w:t>
      </w:r>
      <w:bookmarkEnd w:id="45"/>
    </w:p>
    <w:p w14:paraId="3CACCD12" w14:textId="77777777" w:rsidR="00484565" w:rsidRPr="00A94974" w:rsidRDefault="00484565" w:rsidP="00484565">
      <w:pPr>
        <w:jc w:val="both"/>
        <w:rPr>
          <w:rFonts w:ascii="Trebuchet MS" w:hAnsi="Trebuchet MS"/>
          <w:iCs/>
          <w:color w:val="1F4E79" w:themeColor="accent1" w:themeShade="80"/>
        </w:rPr>
      </w:pPr>
    </w:p>
    <w:p w14:paraId="1B9A487B" w14:textId="77777777" w:rsidR="00484565" w:rsidRPr="00A94974" w:rsidRDefault="00484565" w:rsidP="00484565">
      <w:pPr>
        <w:jc w:val="both"/>
        <w:rPr>
          <w:rFonts w:ascii="Trebuchet MS" w:hAnsi="Trebuchet MS"/>
          <w:iCs/>
          <w:color w:val="1F4E79" w:themeColor="accent1" w:themeShade="80"/>
        </w:rPr>
      </w:pPr>
      <w:r w:rsidRPr="00A94974">
        <w:rPr>
          <w:rFonts w:ascii="Trebuchet MS" w:hAnsi="Trebuchet MS"/>
          <w:iCs/>
          <w:color w:val="1F4E79" w:themeColor="accent1" w:themeShade="80"/>
        </w:rPr>
        <w:t>În conformitate cu prevederile art. 9 alin. (1) din Regulamentul UE nr. 2021/1060 și cu prevederile articolelor 6 și 28 din Regulamentul UE nr. 1057/2021 atât în pregătirea și implementarea operațiunilor beneficiarul trebuie să asigure respectarea principiilor și temelor secundare:</w:t>
      </w:r>
    </w:p>
    <w:p w14:paraId="08DB6A28" w14:textId="77777777" w:rsidR="00484565" w:rsidRPr="00A94974" w:rsidRDefault="00484565" w:rsidP="00BE3FAB">
      <w:pPr>
        <w:pStyle w:val="ListParagraph"/>
        <w:numPr>
          <w:ilvl w:val="0"/>
          <w:numId w:val="20"/>
        </w:numPr>
        <w:jc w:val="both"/>
        <w:rPr>
          <w:rFonts w:ascii="Trebuchet MS" w:hAnsi="Trebuchet MS"/>
          <w:iCs/>
          <w:color w:val="1F4E79" w:themeColor="accent1" w:themeShade="80"/>
        </w:rPr>
      </w:pPr>
      <w:r w:rsidRPr="00A94974">
        <w:rPr>
          <w:rFonts w:ascii="Trebuchet MS" w:hAnsi="Trebuchet MS"/>
          <w:iCs/>
          <w:color w:val="1F4E79" w:themeColor="accent1" w:themeShade="80"/>
        </w:rPr>
        <w:t>01. Contribuția la competențele și locurile de muncă verzi și la economia verde</w:t>
      </w:r>
    </w:p>
    <w:p w14:paraId="64844158" w14:textId="4042A9AA" w:rsidR="00484565" w:rsidRPr="00A94974" w:rsidRDefault="00484565" w:rsidP="00484565">
      <w:pPr>
        <w:jc w:val="both"/>
        <w:rPr>
          <w:rFonts w:ascii="Trebuchet MS" w:hAnsi="Trebuchet MS"/>
          <w:iCs/>
          <w:color w:val="1F4E79" w:themeColor="accent1" w:themeShade="80"/>
        </w:rPr>
      </w:pPr>
      <w:r w:rsidRPr="00A94974">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 sau care au în vedere protecția sau îmbunătățirea mediului, protejarea și conservarea biodiversității sau utilizarea eficientă a resurselor.</w:t>
      </w:r>
    </w:p>
    <w:p w14:paraId="40CBAB61" w14:textId="34EEB2B2" w:rsidR="00484565" w:rsidRPr="00A94974" w:rsidRDefault="00484565" w:rsidP="00484565">
      <w:pPr>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Pentru ca o operațiune să contribuie la sprijinirea temei secundare 01.„Contribuția la competențele și locurile de muncă verzi și la economia verde“ un procent de </w:t>
      </w:r>
      <w:r w:rsidR="00982586" w:rsidRPr="00A94974">
        <w:rPr>
          <w:rFonts w:ascii="Trebuchet MS" w:hAnsi="Trebuchet MS"/>
          <w:iCs/>
          <w:color w:val="1F4E79" w:themeColor="accent1" w:themeShade="80"/>
        </w:rPr>
        <w:t>minimum</w:t>
      </w:r>
      <w:r w:rsidRPr="00A94974">
        <w:rPr>
          <w:rFonts w:ascii="Trebuchet MS" w:hAnsi="Trebuchet MS"/>
          <w:iCs/>
          <w:color w:val="1F4E79" w:themeColor="accent1" w:themeShade="80"/>
        </w:rPr>
        <w:t xml:space="preserve"> 4% din cheltuielile totale eligibile trebuie să fie aferente implementării temei secundare.</w:t>
      </w:r>
    </w:p>
    <w:p w14:paraId="607A7CFB" w14:textId="77777777" w:rsidR="00484565" w:rsidRPr="00A94974" w:rsidRDefault="00484565" w:rsidP="00BE3FAB">
      <w:pPr>
        <w:pStyle w:val="ListParagraph"/>
        <w:numPr>
          <w:ilvl w:val="0"/>
          <w:numId w:val="20"/>
        </w:numPr>
        <w:jc w:val="both"/>
        <w:rPr>
          <w:rFonts w:ascii="Trebuchet MS" w:hAnsi="Trebuchet MS"/>
          <w:iCs/>
          <w:color w:val="1F4E79" w:themeColor="accent1" w:themeShade="80"/>
        </w:rPr>
      </w:pPr>
      <w:r w:rsidRPr="00A94974">
        <w:rPr>
          <w:rFonts w:ascii="Trebuchet MS" w:hAnsi="Trebuchet MS"/>
          <w:iCs/>
          <w:color w:val="1F4E79" w:themeColor="accent1" w:themeShade="80"/>
        </w:rPr>
        <w:lastRenderedPageBreak/>
        <w:t>10. Abordarea provocărilor identificate în cadrul semestrului european</w:t>
      </w:r>
    </w:p>
    <w:p w14:paraId="561993BB" w14:textId="77777777" w:rsidR="00484565" w:rsidRPr="00A94974" w:rsidRDefault="00484565" w:rsidP="00484565">
      <w:pPr>
        <w:jc w:val="both"/>
        <w:rPr>
          <w:rFonts w:ascii="Trebuchet MS" w:hAnsi="Trebuchet MS"/>
          <w:iCs/>
          <w:color w:val="1F4E79" w:themeColor="accent1" w:themeShade="80"/>
        </w:rPr>
      </w:pPr>
      <w:r w:rsidRPr="00A94974">
        <w:rPr>
          <w:rFonts w:ascii="Trebuchet MS" w:hAnsi="Trebuchet MS"/>
          <w:iCs/>
          <w:color w:val="1F4E79" w:themeColor="accent1" w:themeShade="80"/>
        </w:rPr>
        <w:t>Solicitantul va prezenta în Cererea de finanțare măsurile concrete prin care activitățile finanțate din Fondul Social European Plus contribuie la realizarea Priorității cheie în materie de reforme ca răspuns la RST și la provocările economice și sociale 3</w:t>
      </w:r>
      <w:r w:rsidRPr="00A94974">
        <w:rPr>
          <w:rFonts w:ascii="Trebuchet MS" w:hAnsi="Trebuchet MS"/>
          <w:i/>
          <w:color w:val="1F4E79" w:themeColor="accent1" w:themeShade="80"/>
        </w:rPr>
        <w:t>.7 Educație și competențe</w:t>
      </w:r>
      <w:r w:rsidRPr="00A94974">
        <w:rPr>
          <w:rFonts w:ascii="Trebuchet MS" w:hAnsi="Trebuchet MS"/>
          <w:iCs/>
          <w:color w:val="1F4E79" w:themeColor="accent1" w:themeShade="80"/>
        </w:rPr>
        <w:t xml:space="preserve"> din Programul Național de Reformă 2024.</w:t>
      </w:r>
    </w:p>
    <w:p w14:paraId="2E455203" w14:textId="6C0A4568" w:rsidR="00484565" w:rsidRDefault="00484565" w:rsidP="00554F30">
      <w:pPr>
        <w:jc w:val="both"/>
        <w:rPr>
          <w:rFonts w:ascii="Trebuchet MS" w:hAnsi="Trebuchet MS"/>
          <w:i/>
          <w:color w:val="1F4E79" w:themeColor="accent1" w:themeShade="80"/>
        </w:rPr>
      </w:pPr>
      <w:r w:rsidRPr="00A94974">
        <w:rPr>
          <w:rFonts w:ascii="Trebuchet MS" w:hAnsi="Trebuchet MS"/>
          <w:iCs/>
          <w:color w:val="1F4E79" w:themeColor="accent1" w:themeShade="80"/>
        </w:rPr>
        <w:t xml:space="preserve">Pentru ca o operațiune să contribuie la sprijinirea temei secundare </w:t>
      </w:r>
      <w:r w:rsidRPr="00A94974">
        <w:rPr>
          <w:rFonts w:ascii="Trebuchet MS" w:hAnsi="Trebuchet MS"/>
          <w:i/>
          <w:color w:val="1F4E79" w:themeColor="accent1" w:themeShade="80"/>
        </w:rPr>
        <w:t>10.Abordarea provocărilor identificate în cadrul semestrului european</w:t>
      </w:r>
      <w:r w:rsidRPr="00A94974">
        <w:rPr>
          <w:rFonts w:ascii="Trebuchet MS" w:hAnsi="Trebuchet MS"/>
          <w:iCs/>
          <w:color w:val="1F4E79" w:themeColor="accent1" w:themeShade="80"/>
        </w:rPr>
        <w:t xml:space="preserve"> un procent de </w:t>
      </w:r>
      <w:r w:rsidR="00AF5C78" w:rsidRPr="00A94974">
        <w:rPr>
          <w:rFonts w:ascii="Trebuchet MS" w:hAnsi="Trebuchet MS"/>
          <w:iCs/>
          <w:color w:val="1F4E79" w:themeColor="accent1" w:themeShade="80"/>
        </w:rPr>
        <w:t>100</w:t>
      </w:r>
      <w:r w:rsidRPr="00A94974">
        <w:rPr>
          <w:rFonts w:ascii="Trebuchet MS" w:hAnsi="Trebuchet MS"/>
          <w:iCs/>
          <w:color w:val="1F4E79" w:themeColor="accent1" w:themeShade="80"/>
        </w:rPr>
        <w:t>% din cheltuielile totale eligibile trebuie să fie aferente implementării temei secundare</w:t>
      </w:r>
      <w:r w:rsidR="00554F30" w:rsidRPr="00A94974">
        <w:rPr>
          <w:rFonts w:ascii="Trebuchet MS" w:hAnsi="Trebuchet MS"/>
          <w:iCs/>
          <w:color w:val="1F4E79" w:themeColor="accent1" w:themeShade="80"/>
        </w:rPr>
        <w:t xml:space="preserve"> și să </w:t>
      </w:r>
      <w:proofErr w:type="spellStart"/>
      <w:r w:rsidR="00554F30" w:rsidRPr="00A94974">
        <w:rPr>
          <w:rFonts w:ascii="Trebuchet MS" w:hAnsi="Trebuchet MS"/>
          <w:iCs/>
          <w:color w:val="1F4E79" w:themeColor="accent1" w:themeShade="80"/>
        </w:rPr>
        <w:t>impacteze</w:t>
      </w:r>
      <w:proofErr w:type="spellEnd"/>
      <w:r w:rsidR="00554F30" w:rsidRPr="00A94974">
        <w:rPr>
          <w:rFonts w:ascii="Trebuchet MS" w:hAnsi="Trebuchet MS"/>
          <w:iCs/>
          <w:color w:val="1F4E79" w:themeColor="accent1" w:themeShade="80"/>
        </w:rPr>
        <w:t xml:space="preserve"> dezideratul pentru România Educată la orizont 2030 ”8. </w:t>
      </w:r>
      <w:r w:rsidR="00554F30" w:rsidRPr="00A94974">
        <w:rPr>
          <w:rFonts w:ascii="Trebuchet MS" w:hAnsi="Trebuchet MS"/>
          <w:i/>
          <w:color w:val="1F4E79" w:themeColor="accent1" w:themeShade="80"/>
        </w:rPr>
        <w:t>Sistemul de educație românesc este atrăgător pentru comunitățile academice din România și din întreaga lume, facilitând o intensitate crescută a mobilităților internaționale</w:t>
      </w:r>
      <w:r w:rsidRPr="00A94974">
        <w:rPr>
          <w:rFonts w:ascii="Trebuchet MS" w:hAnsi="Trebuchet MS"/>
          <w:i/>
          <w:color w:val="1F4E79" w:themeColor="accent1" w:themeShade="80"/>
        </w:rPr>
        <w:t>.</w:t>
      </w:r>
      <w:r w:rsidR="00554F30" w:rsidRPr="00A94974">
        <w:rPr>
          <w:rFonts w:ascii="Trebuchet MS" w:hAnsi="Trebuchet MS"/>
          <w:i/>
          <w:color w:val="1F4E79" w:themeColor="accent1" w:themeShade="80"/>
        </w:rPr>
        <w:t>”</w:t>
      </w:r>
    </w:p>
    <w:p w14:paraId="64EA5E66" w14:textId="77777777" w:rsidR="00A94974" w:rsidRPr="00A94974" w:rsidRDefault="00A94974" w:rsidP="00554F30">
      <w:pPr>
        <w:jc w:val="both"/>
        <w:rPr>
          <w:rFonts w:ascii="Trebuchet MS" w:hAnsi="Trebuchet MS"/>
          <w:iCs/>
          <w:color w:val="1F4E79" w:themeColor="accent1" w:themeShade="80"/>
        </w:rPr>
      </w:pPr>
    </w:p>
    <w:p w14:paraId="7DDCC39F" w14:textId="1BEFB402" w:rsidR="0074287F" w:rsidRPr="00A94974" w:rsidRDefault="00BC658D" w:rsidP="00573389">
      <w:pPr>
        <w:pStyle w:val="Heading2"/>
        <w:jc w:val="both"/>
        <w:rPr>
          <w:color w:val="1F4E79" w:themeColor="accent1" w:themeShade="80"/>
        </w:rPr>
      </w:pPr>
      <w:bookmarkStart w:id="46" w:name="_Toc179368101"/>
      <w:bookmarkEnd w:id="43"/>
      <w:r w:rsidRPr="00A94974">
        <w:rPr>
          <w:color w:val="1F4E79" w:themeColor="accent1" w:themeShade="80"/>
        </w:rPr>
        <w:t xml:space="preserve">3.21 </w:t>
      </w:r>
      <w:r w:rsidR="0074287F" w:rsidRPr="00A94974">
        <w:rPr>
          <w:color w:val="1F4E79" w:themeColor="accent1" w:themeShade="80"/>
        </w:rPr>
        <w:t>Informare</w:t>
      </w:r>
      <w:r w:rsidR="00EE0F16" w:rsidRPr="00A94974">
        <w:rPr>
          <w:color w:val="1F4E79" w:themeColor="accent1" w:themeShade="80"/>
        </w:rPr>
        <w:t>a</w:t>
      </w:r>
      <w:r w:rsidR="00E7551B" w:rsidRPr="00A94974">
        <w:rPr>
          <w:color w:val="1F4E79" w:themeColor="accent1" w:themeShade="80"/>
        </w:rPr>
        <w:t xml:space="preserve"> și vizibilitatea sprijinului din fonduri</w:t>
      </w:r>
      <w:bookmarkEnd w:id="46"/>
    </w:p>
    <w:p w14:paraId="55FB823A" w14:textId="77777777" w:rsidR="00C62EFE" w:rsidRPr="00A94974" w:rsidRDefault="00C62EFE" w:rsidP="001D23B8">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Activitatea de informare și publicitate este realizată în conformitate cu prevederile Ghidului Solicitantului  - Condiții generale PEO 2021-2027, „Informare și publicitate”.</w:t>
      </w:r>
    </w:p>
    <w:p w14:paraId="2CBFD77E" w14:textId="77777777" w:rsidR="00C62EFE" w:rsidRPr="00A94974" w:rsidRDefault="00C62EFE" w:rsidP="001D23B8">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În cererea de finanțare se vor prevedea obligatoriu măsurile minime de informare, publicitate și vizibilitate la nivelul proiectului:</w:t>
      </w:r>
    </w:p>
    <w:p w14:paraId="56BAD03E" w14:textId="77777777" w:rsidR="00C62EFE" w:rsidRPr="00A94974" w:rsidRDefault="00C62EFE" w:rsidP="00BE3FAB">
      <w:pPr>
        <w:pStyle w:val="ListParagraph"/>
        <w:numPr>
          <w:ilvl w:val="0"/>
          <w:numId w:val="4"/>
        </w:num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Asigurarea vizibilității proiectului (prin expunerea unui afiș) la sediul/sediile de implementare a proiectului;</w:t>
      </w:r>
    </w:p>
    <w:p w14:paraId="57D3C1B3" w14:textId="77777777" w:rsidR="00C62EFE" w:rsidRPr="00A94974" w:rsidRDefault="00C62EFE" w:rsidP="00BE3FAB">
      <w:pPr>
        <w:pStyle w:val="ListParagraph"/>
        <w:numPr>
          <w:ilvl w:val="0"/>
          <w:numId w:val="4"/>
        </w:num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Beneficiarii se asigură că cei care participă în cadrul proiectului sunt informați în mod specific cu  privire la sprijinul acordat prin FSE+; </w:t>
      </w:r>
    </w:p>
    <w:p w14:paraId="71BACE6F" w14:textId="77777777" w:rsidR="00C62EFE" w:rsidRPr="00A94974" w:rsidRDefault="00C62EFE" w:rsidP="00BE3FAB">
      <w:pPr>
        <w:pStyle w:val="ListParagraph"/>
        <w:numPr>
          <w:ilvl w:val="0"/>
          <w:numId w:val="4"/>
        </w:num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268E736F" w14:textId="5968BE59" w:rsidR="00C62EFE" w:rsidRPr="00A94974" w:rsidRDefault="00C62EFE" w:rsidP="00C62EFE">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N.B. Cheltuielile aferente activității de informare și publicitate proiect vor fi incluse la capitolul cheltuieli indirecte. </w:t>
      </w:r>
    </w:p>
    <w:p w14:paraId="684F5E3F" w14:textId="77777777" w:rsidR="00317899" w:rsidRPr="00A94974" w:rsidRDefault="00317899" w:rsidP="00C62EFE">
      <w:pPr>
        <w:spacing w:before="120" w:after="120" w:line="276" w:lineRule="auto"/>
        <w:jc w:val="both"/>
        <w:rPr>
          <w:rFonts w:ascii="Trebuchet MS" w:hAnsi="Trebuchet MS"/>
          <w:iCs/>
          <w:color w:val="1F4E79" w:themeColor="accent1" w:themeShade="80"/>
        </w:rPr>
      </w:pPr>
    </w:p>
    <w:p w14:paraId="61F10A80" w14:textId="48D158F9" w:rsidR="00566CCA" w:rsidRPr="00A94974" w:rsidRDefault="00B86F1A" w:rsidP="00A701C7">
      <w:pPr>
        <w:pStyle w:val="Heading1"/>
        <w:rPr>
          <w:color w:val="1F4E79" w:themeColor="accent1" w:themeShade="80"/>
        </w:rPr>
      </w:pPr>
      <w:bookmarkStart w:id="47" w:name="_Toc179368102"/>
      <w:r w:rsidRPr="00A94974">
        <w:rPr>
          <w:color w:val="1F4E79" w:themeColor="accent1" w:themeShade="80"/>
        </w:rPr>
        <w:t xml:space="preserve">4. </w:t>
      </w:r>
      <w:r w:rsidR="00566CCA" w:rsidRPr="00A94974">
        <w:rPr>
          <w:color w:val="1F4E79" w:themeColor="accent1" w:themeShade="80"/>
        </w:rPr>
        <w:t xml:space="preserve">INFORMAȚII </w:t>
      </w:r>
      <w:r w:rsidR="00927483" w:rsidRPr="00A94974">
        <w:rPr>
          <w:color w:val="1F4E79" w:themeColor="accent1" w:themeShade="80"/>
        </w:rPr>
        <w:t xml:space="preserve">ADMINISTRATIVE </w:t>
      </w:r>
      <w:r w:rsidR="00566CCA" w:rsidRPr="00A94974">
        <w:rPr>
          <w:color w:val="1F4E79" w:themeColor="accent1" w:themeShade="80"/>
        </w:rPr>
        <w:t>DESPRE APELUL DE PROIECTE</w:t>
      </w:r>
      <w:bookmarkEnd w:id="47"/>
      <w:r w:rsidR="00566CCA" w:rsidRPr="00A94974">
        <w:rPr>
          <w:color w:val="1F4E79" w:themeColor="accent1" w:themeShade="80"/>
        </w:rPr>
        <w:tab/>
      </w:r>
    </w:p>
    <w:p w14:paraId="4C9B5A98" w14:textId="3B986C53" w:rsidR="001D30C5" w:rsidRPr="00A94974" w:rsidRDefault="00B86F1A" w:rsidP="00B33207">
      <w:pPr>
        <w:pStyle w:val="Heading2"/>
        <w:jc w:val="both"/>
        <w:rPr>
          <w:color w:val="1F4E79" w:themeColor="accent1" w:themeShade="80"/>
        </w:rPr>
      </w:pPr>
      <w:bookmarkStart w:id="48" w:name="_Toc179368103"/>
      <w:r w:rsidRPr="00A94974">
        <w:rPr>
          <w:color w:val="1F4E79" w:themeColor="accent1" w:themeShade="80"/>
        </w:rPr>
        <w:t xml:space="preserve">4.1 </w:t>
      </w:r>
      <w:r w:rsidR="001D30C5" w:rsidRPr="00A94974">
        <w:rPr>
          <w:color w:val="1F4E79" w:themeColor="accent1" w:themeShade="80"/>
        </w:rPr>
        <w:t>Data deschiderii apelului de proiecte</w:t>
      </w:r>
      <w:bookmarkEnd w:id="48"/>
    </w:p>
    <w:p w14:paraId="1DAE1F12" w14:textId="7283E786" w:rsidR="001E6F21" w:rsidRPr="00A94974" w:rsidRDefault="001E6F21" w:rsidP="001D23B8">
      <w:pPr>
        <w:jc w:val="both"/>
        <w:rPr>
          <w:rFonts w:ascii="Trebuchet MS" w:hAnsi="Trebuchet MS"/>
          <w:color w:val="1F4E79" w:themeColor="accent1" w:themeShade="80"/>
        </w:rPr>
      </w:pPr>
      <w:r w:rsidRPr="00A94974">
        <w:rPr>
          <w:rFonts w:ascii="Trebuchet MS" w:hAnsi="Trebuchet MS"/>
          <w:color w:val="1F4E79" w:themeColor="accent1" w:themeShade="80"/>
        </w:rPr>
        <w:t xml:space="preserve">Data publicării ghidului solicitantului în consultare publică pe pagina de internet a MIPE </w:t>
      </w:r>
      <w:hyperlink r:id="rId13" w:history="1">
        <w:r w:rsidRPr="00A94974">
          <w:rPr>
            <w:rStyle w:val="Hyperlink"/>
            <w:rFonts w:ascii="Trebuchet MS" w:hAnsi="Trebuchet MS"/>
            <w:color w:val="1F4E79" w:themeColor="accent1" w:themeShade="80"/>
          </w:rPr>
          <w:t>www.mfe.gov.ro</w:t>
        </w:r>
      </w:hyperlink>
      <w:r w:rsidRPr="00A94974">
        <w:rPr>
          <w:rFonts w:ascii="Trebuchet MS" w:hAnsi="Trebuchet MS"/>
          <w:color w:val="1F4E79" w:themeColor="accent1" w:themeShade="80"/>
        </w:rPr>
        <w:t xml:space="preserve"> pentru acest apel este </w:t>
      </w:r>
      <w:r w:rsidR="00A94974">
        <w:rPr>
          <w:rFonts w:ascii="Trebuchet MS" w:hAnsi="Trebuchet MS"/>
          <w:color w:val="1F4E79" w:themeColor="accent1" w:themeShade="80"/>
        </w:rPr>
        <w:t>29</w:t>
      </w:r>
      <w:r w:rsidR="008621DD" w:rsidRPr="00A94974">
        <w:rPr>
          <w:rFonts w:ascii="Trebuchet MS" w:hAnsi="Trebuchet MS"/>
          <w:color w:val="1F4E79" w:themeColor="accent1" w:themeShade="80"/>
        </w:rPr>
        <w:t>.10.2024.</w:t>
      </w:r>
    </w:p>
    <w:p w14:paraId="6B46AB2B" w14:textId="77777777" w:rsidR="00317899" w:rsidRPr="00A94974" w:rsidRDefault="00317899" w:rsidP="001D23B8">
      <w:pPr>
        <w:jc w:val="both"/>
        <w:rPr>
          <w:rFonts w:ascii="Trebuchet MS" w:hAnsi="Trebuchet MS"/>
          <w:color w:val="1F4E79" w:themeColor="accent1" w:themeShade="80"/>
        </w:rPr>
      </w:pPr>
    </w:p>
    <w:p w14:paraId="200294A1" w14:textId="0440B910" w:rsidR="001D30C5" w:rsidRPr="00A94974" w:rsidRDefault="00EF417A" w:rsidP="001D23B8">
      <w:pPr>
        <w:pStyle w:val="Heading2"/>
        <w:rPr>
          <w:color w:val="1F4E79" w:themeColor="accent1" w:themeShade="80"/>
        </w:rPr>
      </w:pPr>
      <w:bookmarkStart w:id="49" w:name="_Toc179368104"/>
      <w:r w:rsidRPr="00A94974">
        <w:rPr>
          <w:color w:val="1F4E79" w:themeColor="accent1" w:themeShade="80"/>
        </w:rPr>
        <w:t xml:space="preserve">4.2 </w:t>
      </w:r>
      <w:r w:rsidR="001D30C5" w:rsidRPr="00A94974">
        <w:rPr>
          <w:color w:val="1F4E79" w:themeColor="accent1" w:themeShade="80"/>
        </w:rPr>
        <w:t>Perioada de pregătire a proiectelor</w:t>
      </w:r>
      <w:bookmarkEnd w:id="49"/>
    </w:p>
    <w:p w14:paraId="4235FD28" w14:textId="77777777" w:rsidR="00A80492" w:rsidRPr="00A94974" w:rsidRDefault="00A80492" w:rsidP="00A80492">
      <w:pPr>
        <w:rPr>
          <w:color w:val="1F4E79" w:themeColor="accent1" w:themeShade="80"/>
        </w:rPr>
      </w:pPr>
    </w:p>
    <w:p w14:paraId="041FB575" w14:textId="36308300" w:rsidR="00950F53" w:rsidRPr="00A94974" w:rsidRDefault="00950F53" w:rsidP="00A80492">
      <w:pPr>
        <w:jc w:val="both"/>
        <w:rPr>
          <w:rFonts w:ascii="Trebuchet MS" w:hAnsi="Trebuchet MS"/>
          <w:color w:val="1F4E79" w:themeColor="accent1" w:themeShade="80"/>
          <w:lang w:eastAsia="ro-RO"/>
        </w:rPr>
      </w:pPr>
      <w:bookmarkStart w:id="50" w:name="_Toc137809540"/>
      <w:bookmarkStart w:id="51" w:name="_Toc137809726"/>
      <w:r w:rsidRPr="00A94974">
        <w:rPr>
          <w:rFonts w:ascii="Trebuchet MS" w:hAnsi="Trebuchet MS"/>
          <w:color w:val="1F4E79" w:themeColor="accent1" w:themeShade="80"/>
          <w:lang w:eastAsia="ro-RO"/>
        </w:rPr>
        <w:t xml:space="preserve">Prezentul Ghid al Solicitantului - Condiții Specifice se publică, în consultare publică, pe pagina de internet a MIPE în data de </w:t>
      </w:r>
      <w:r w:rsidR="00A94974">
        <w:rPr>
          <w:rFonts w:ascii="Trebuchet MS" w:hAnsi="Trebuchet MS"/>
          <w:color w:val="1F4E79" w:themeColor="accent1" w:themeShade="80"/>
          <w:lang w:eastAsia="ro-RO"/>
        </w:rPr>
        <w:t>29</w:t>
      </w:r>
      <w:r w:rsidR="0093316F" w:rsidRPr="00A94974">
        <w:rPr>
          <w:rFonts w:ascii="Trebuchet MS" w:hAnsi="Trebuchet MS"/>
          <w:color w:val="1F4E79" w:themeColor="accent1" w:themeShade="80"/>
          <w:lang w:eastAsia="ro-RO"/>
        </w:rPr>
        <w:t>.10.2024.</w:t>
      </w:r>
    </w:p>
    <w:p w14:paraId="54B2AF2D" w14:textId="366EE714" w:rsidR="00ED162A" w:rsidRPr="00A94974" w:rsidRDefault="00950F53" w:rsidP="00A80492">
      <w:pPr>
        <w:jc w:val="both"/>
        <w:rPr>
          <w:rFonts w:ascii="Trebuchet MS" w:hAnsi="Trebuchet MS"/>
          <w:color w:val="1F4E79" w:themeColor="accent1" w:themeShade="80"/>
          <w:lang w:eastAsia="ro-RO"/>
        </w:rPr>
      </w:pPr>
      <w:r w:rsidRPr="00A94974">
        <w:rPr>
          <w:rFonts w:ascii="Trebuchet MS" w:hAnsi="Trebuchet MS"/>
          <w:color w:val="1F4E79" w:themeColor="accent1" w:themeShade="80"/>
          <w:lang w:eastAsia="ro-RO"/>
        </w:rPr>
        <w:t xml:space="preserve">Propunerile de îmbunătățire pot fi transmise pe adresa de email consultare.peo@mfe.gov.ro până la data de </w:t>
      </w:r>
      <w:r w:rsidR="00A94974">
        <w:rPr>
          <w:rFonts w:ascii="Trebuchet MS" w:hAnsi="Trebuchet MS"/>
          <w:color w:val="1F4E79" w:themeColor="accent1" w:themeShade="80"/>
          <w:lang w:eastAsia="ro-RO"/>
        </w:rPr>
        <w:t>19</w:t>
      </w:r>
      <w:r w:rsidR="0093316F" w:rsidRPr="00A94974">
        <w:rPr>
          <w:rFonts w:ascii="Trebuchet MS" w:hAnsi="Trebuchet MS"/>
          <w:color w:val="1F4E79" w:themeColor="accent1" w:themeShade="80"/>
          <w:lang w:eastAsia="ro-RO"/>
        </w:rPr>
        <w:t>.11.2024.</w:t>
      </w:r>
      <w:r w:rsidRPr="00A94974">
        <w:rPr>
          <w:rFonts w:ascii="Trebuchet MS" w:hAnsi="Trebuchet MS"/>
          <w:color w:val="1F4E79" w:themeColor="accent1" w:themeShade="80"/>
          <w:lang w:eastAsia="ro-RO"/>
        </w:rPr>
        <w:t xml:space="preserve"> În perioada de pregătire a proiectelor, precum și în perioada de </w:t>
      </w:r>
      <w:r w:rsidRPr="00A94974">
        <w:rPr>
          <w:rFonts w:ascii="Trebuchet MS" w:hAnsi="Trebuchet MS"/>
          <w:color w:val="1F4E79" w:themeColor="accent1" w:themeShade="80"/>
          <w:lang w:eastAsia="ro-RO"/>
        </w:rPr>
        <w:lastRenderedPageBreak/>
        <w:t xml:space="preserve">depunere a proiectelor, pot fi adresate solicitări de clarificări în ceea ce privește datele/informațiile cuprinse în cadrul Ghidului Solicitantului Condiții Specifice, prin aplicația de ticketing din secțiunea Helpdesk a site-ului www.mfe.gov.ro. Răspunsurile vor fi transmise prin aplicația de ticketing în maximum 10 zile lucrătoare, dar nu mai târziu de data închiderii apelului de proiecte. Solicitările de clarificări în ceea ce privește datele/informațiile cuprinse în cadrul Ghidului Solicitantului Condiții Specifice, prin aplicația de ticketing, pot fi transmise cu maximum 5 zile lucrătoare anterior datei închiderii apelului de proiecte. Răspunsurile la solicitările de clarificări primite în legătură cu Ghidul Solicitantului vor fi publicate pe site-ul </w:t>
      </w:r>
      <w:hyperlink r:id="rId14" w:history="1">
        <w:r w:rsidR="00A80492" w:rsidRPr="00A94974">
          <w:rPr>
            <w:rStyle w:val="Hyperlink"/>
            <w:rFonts w:ascii="Trebuchet MS" w:eastAsia="Times New Roman" w:hAnsi="Trebuchet MS" w:cs="Courier New"/>
            <w:color w:val="1F4E79" w:themeColor="accent1" w:themeShade="80"/>
            <w:lang w:eastAsia="ro-RO"/>
          </w:rPr>
          <w:t>www.mfe.gov.ro</w:t>
        </w:r>
      </w:hyperlink>
      <w:r w:rsidRPr="00A94974">
        <w:rPr>
          <w:rFonts w:ascii="Trebuchet MS" w:hAnsi="Trebuchet MS"/>
          <w:color w:val="1F4E79" w:themeColor="accent1" w:themeShade="80"/>
          <w:lang w:eastAsia="ro-RO"/>
        </w:rPr>
        <w:t>.</w:t>
      </w:r>
    </w:p>
    <w:p w14:paraId="679BFE5D" w14:textId="77777777" w:rsidR="00A80492" w:rsidRPr="00A94974" w:rsidRDefault="00A80492" w:rsidP="00A80492">
      <w:pPr>
        <w:rPr>
          <w:color w:val="1F4E79" w:themeColor="accent1" w:themeShade="80"/>
          <w:lang w:eastAsia="ro-RO"/>
        </w:rPr>
      </w:pPr>
    </w:p>
    <w:p w14:paraId="72FBAC4C" w14:textId="31283033" w:rsidR="00CF5E11" w:rsidRPr="00A94974" w:rsidRDefault="00EF417A" w:rsidP="00B33207">
      <w:pPr>
        <w:pStyle w:val="Heading2"/>
        <w:rPr>
          <w:color w:val="1F4E79" w:themeColor="accent1" w:themeShade="80"/>
        </w:rPr>
      </w:pPr>
      <w:bookmarkStart w:id="52" w:name="_Toc179368105"/>
      <w:bookmarkEnd w:id="50"/>
      <w:bookmarkEnd w:id="51"/>
      <w:r w:rsidRPr="00A94974">
        <w:rPr>
          <w:color w:val="1F4E79" w:themeColor="accent1" w:themeShade="80"/>
        </w:rPr>
        <w:t xml:space="preserve">4.3 </w:t>
      </w:r>
      <w:r w:rsidR="00CF5E11" w:rsidRPr="00A94974">
        <w:rPr>
          <w:color w:val="1F4E79" w:themeColor="accent1" w:themeShade="80"/>
        </w:rPr>
        <w:t>Perioada de depunere a proiectelor</w:t>
      </w:r>
      <w:bookmarkEnd w:id="52"/>
      <w:r w:rsidR="00CF5E11" w:rsidRPr="00A94974">
        <w:rPr>
          <w:color w:val="1F4E79" w:themeColor="accent1" w:themeShade="80"/>
        </w:rPr>
        <w:t xml:space="preserve"> </w:t>
      </w:r>
      <w:r w:rsidR="00CF5E11" w:rsidRPr="00A94974">
        <w:rPr>
          <w:color w:val="1F4E79" w:themeColor="accent1" w:themeShade="80"/>
        </w:rPr>
        <w:tab/>
      </w:r>
    </w:p>
    <w:p w14:paraId="534BBE19" w14:textId="121D9E3E" w:rsidR="001D23B8" w:rsidRPr="00A94974" w:rsidRDefault="00EF417A" w:rsidP="00F7542F">
      <w:pPr>
        <w:pStyle w:val="Heading3"/>
        <w:rPr>
          <w:color w:val="1F4E79" w:themeColor="accent1" w:themeShade="80"/>
        </w:rPr>
      </w:pPr>
      <w:bookmarkStart w:id="53" w:name="_Toc179368106"/>
      <w:r w:rsidRPr="00A94974">
        <w:rPr>
          <w:color w:val="1F4E79" w:themeColor="accent1" w:themeShade="80"/>
        </w:rPr>
        <w:t xml:space="preserve">4.3.1 </w:t>
      </w:r>
      <w:r w:rsidR="00CF5E11" w:rsidRPr="00A94974">
        <w:rPr>
          <w:color w:val="1F4E79" w:themeColor="accent1" w:themeShade="80"/>
        </w:rPr>
        <w:t>D</w:t>
      </w:r>
      <w:r w:rsidR="00566CCA" w:rsidRPr="00A94974">
        <w:rPr>
          <w:color w:val="1F4E79" w:themeColor="accent1" w:themeShade="80"/>
        </w:rPr>
        <w:t xml:space="preserve">ata și ora </w:t>
      </w:r>
      <w:r w:rsidR="00BA02CA" w:rsidRPr="00A94974">
        <w:rPr>
          <w:color w:val="1F4E79" w:themeColor="accent1" w:themeShade="80"/>
        </w:rPr>
        <w:t xml:space="preserve">pentru </w:t>
      </w:r>
      <w:r w:rsidR="00566CCA" w:rsidRPr="00A94974">
        <w:rPr>
          <w:color w:val="1F4E79" w:themeColor="accent1" w:themeShade="80"/>
        </w:rPr>
        <w:t>începere</w:t>
      </w:r>
      <w:r w:rsidR="00BA02CA" w:rsidRPr="00A94974">
        <w:rPr>
          <w:color w:val="1F4E79" w:themeColor="accent1" w:themeShade="80"/>
        </w:rPr>
        <w:t>a</w:t>
      </w:r>
      <w:r w:rsidR="00566CCA" w:rsidRPr="00A94974">
        <w:rPr>
          <w:color w:val="1F4E79" w:themeColor="accent1" w:themeShade="80"/>
        </w:rPr>
        <w:t xml:space="preserve"> depuner</w:t>
      </w:r>
      <w:r w:rsidR="00BA02CA" w:rsidRPr="00A94974">
        <w:rPr>
          <w:color w:val="1F4E79" w:themeColor="accent1" w:themeShade="80"/>
        </w:rPr>
        <w:t>ii</w:t>
      </w:r>
      <w:r w:rsidR="00566CCA" w:rsidRPr="00A94974">
        <w:rPr>
          <w:color w:val="1F4E79" w:themeColor="accent1" w:themeShade="80"/>
        </w:rPr>
        <w:t xml:space="preserve"> de proiecte</w:t>
      </w:r>
      <w:bookmarkEnd w:id="53"/>
    </w:p>
    <w:p w14:paraId="123D09BF" w14:textId="559FFFDB" w:rsidR="00F7542F" w:rsidRPr="00A94974" w:rsidRDefault="001E6F21" w:rsidP="001D23B8">
      <w:pPr>
        <w:jc w:val="both"/>
        <w:rPr>
          <w:rFonts w:ascii="Trebuchet MS" w:hAnsi="Trebuchet MS"/>
          <w:color w:val="1F4E79" w:themeColor="accent1" w:themeShade="80"/>
        </w:rPr>
      </w:pPr>
      <w:r w:rsidRPr="00A94974">
        <w:rPr>
          <w:rFonts w:ascii="Trebuchet MS" w:hAnsi="Trebuchet MS"/>
          <w:color w:val="1F4E79" w:themeColor="accent1" w:themeShade="80"/>
        </w:rPr>
        <w:t xml:space="preserve">Proiectul poate fi depuse prin Sistemul informatic MySMIS2021 începând cu data de </w:t>
      </w:r>
      <w:r w:rsidR="00950F53" w:rsidRPr="00A94974">
        <w:rPr>
          <w:rFonts w:ascii="Trebuchet MS" w:hAnsi="Trebuchet MS"/>
          <w:color w:val="1F4E79" w:themeColor="accent1" w:themeShade="80"/>
        </w:rPr>
        <w:t>..............</w:t>
      </w:r>
      <w:r w:rsidR="005D6061" w:rsidRPr="00A94974">
        <w:rPr>
          <w:rFonts w:ascii="Trebuchet MS" w:hAnsi="Trebuchet MS"/>
          <w:color w:val="1F4E79" w:themeColor="accent1" w:themeShade="80"/>
        </w:rPr>
        <w:t>, ora ............</w:t>
      </w:r>
      <w:r w:rsidR="005606DA" w:rsidRPr="00A94974">
        <w:rPr>
          <w:rFonts w:ascii="Trebuchet MS" w:hAnsi="Trebuchet MS"/>
          <w:color w:val="1F4E79" w:themeColor="accent1" w:themeShade="80"/>
        </w:rPr>
        <w:t>.</w:t>
      </w:r>
    </w:p>
    <w:p w14:paraId="7D87B2A4" w14:textId="04B0CCE1" w:rsidR="00566CCA" w:rsidRPr="00A94974" w:rsidRDefault="00EF417A" w:rsidP="00F7542F">
      <w:pPr>
        <w:pStyle w:val="Heading3"/>
        <w:rPr>
          <w:color w:val="1F4E79" w:themeColor="accent1" w:themeShade="80"/>
        </w:rPr>
      </w:pPr>
      <w:bookmarkStart w:id="54" w:name="_Toc179368107"/>
      <w:r w:rsidRPr="00A94974">
        <w:rPr>
          <w:color w:val="1F4E79" w:themeColor="accent1" w:themeShade="80"/>
        </w:rPr>
        <w:t xml:space="preserve">4.3.2 </w:t>
      </w:r>
      <w:r w:rsidR="00566CCA" w:rsidRPr="00A94974">
        <w:rPr>
          <w:color w:val="1F4E79" w:themeColor="accent1" w:themeShade="80"/>
        </w:rPr>
        <w:t>Data și ora închiderii apelului de proiecte</w:t>
      </w:r>
      <w:bookmarkEnd w:id="54"/>
    </w:p>
    <w:p w14:paraId="7D82001F" w14:textId="13916F95" w:rsidR="00EE489C" w:rsidRPr="00A94974" w:rsidRDefault="001E6F21" w:rsidP="001D23B8">
      <w:pPr>
        <w:jc w:val="both"/>
        <w:rPr>
          <w:rFonts w:ascii="Trebuchet MS" w:hAnsi="Trebuchet MS"/>
          <w:color w:val="1F4E79" w:themeColor="accent1" w:themeShade="80"/>
        </w:rPr>
      </w:pPr>
      <w:bookmarkStart w:id="55" w:name="_Hlk152075137"/>
      <w:r w:rsidRPr="00A94974">
        <w:rPr>
          <w:rFonts w:ascii="Trebuchet MS" w:hAnsi="Trebuchet MS"/>
          <w:color w:val="1F4E79" w:themeColor="accent1" w:themeShade="80"/>
        </w:rPr>
        <w:t xml:space="preserve">Data închiderii apelului de proiecte este </w:t>
      </w:r>
      <w:r w:rsidR="00950F53" w:rsidRPr="00A94974">
        <w:rPr>
          <w:rFonts w:ascii="Trebuchet MS" w:hAnsi="Trebuchet MS"/>
          <w:color w:val="1F4E79" w:themeColor="accent1" w:themeShade="80"/>
        </w:rPr>
        <w:t>...............</w:t>
      </w:r>
      <w:r w:rsidRPr="00A94974">
        <w:rPr>
          <w:rFonts w:ascii="Trebuchet MS" w:hAnsi="Trebuchet MS"/>
          <w:color w:val="1F4E79" w:themeColor="accent1" w:themeShade="80"/>
        </w:rPr>
        <w:t xml:space="preserve">, </w:t>
      </w:r>
      <w:r w:rsidR="005606DA" w:rsidRPr="00A94974">
        <w:rPr>
          <w:rFonts w:ascii="Trebuchet MS" w:hAnsi="Trebuchet MS"/>
          <w:color w:val="1F4E79" w:themeColor="accent1" w:themeShade="80"/>
        </w:rPr>
        <w:t xml:space="preserve">ora </w:t>
      </w:r>
      <w:r w:rsidR="005D6061" w:rsidRPr="00A94974">
        <w:rPr>
          <w:rFonts w:ascii="Trebuchet MS" w:hAnsi="Trebuchet MS"/>
          <w:color w:val="1F4E79" w:themeColor="accent1" w:themeShade="80"/>
        </w:rPr>
        <w:t>...........</w:t>
      </w:r>
      <w:r w:rsidR="005606DA" w:rsidRPr="00A94974">
        <w:rPr>
          <w:rFonts w:ascii="Trebuchet MS" w:hAnsi="Trebuchet MS"/>
          <w:color w:val="1F4E79" w:themeColor="accent1" w:themeShade="80"/>
        </w:rPr>
        <w:t>.</w:t>
      </w:r>
    </w:p>
    <w:p w14:paraId="59DD4C02" w14:textId="2DEC1C7B" w:rsidR="00566CCA" w:rsidRPr="00A94974" w:rsidRDefault="00EF417A" w:rsidP="00F7542F">
      <w:pPr>
        <w:pStyle w:val="Heading3"/>
        <w:rPr>
          <w:color w:val="1F4E79" w:themeColor="accent1" w:themeShade="80"/>
        </w:rPr>
      </w:pPr>
      <w:bookmarkStart w:id="56" w:name="_Toc179368108"/>
      <w:bookmarkEnd w:id="55"/>
      <w:r w:rsidRPr="00A94974">
        <w:rPr>
          <w:color w:val="1F4E79" w:themeColor="accent1" w:themeShade="80"/>
        </w:rPr>
        <w:t xml:space="preserve">4.3.3 </w:t>
      </w:r>
      <w:r w:rsidR="00566CCA" w:rsidRPr="00A94974">
        <w:rPr>
          <w:color w:val="1F4E79" w:themeColor="accent1" w:themeShade="80"/>
        </w:rPr>
        <w:t>Modalitatea de depunere a proiectelor</w:t>
      </w:r>
      <w:bookmarkEnd w:id="56"/>
      <w:r w:rsidR="00566CCA" w:rsidRPr="00A94974">
        <w:rPr>
          <w:color w:val="1F4E79" w:themeColor="accent1" w:themeShade="80"/>
        </w:rPr>
        <w:t xml:space="preserve"> </w:t>
      </w:r>
      <w:r w:rsidR="00566CCA" w:rsidRPr="00A94974">
        <w:rPr>
          <w:color w:val="1F4E79" w:themeColor="accent1" w:themeShade="80"/>
        </w:rPr>
        <w:tab/>
      </w:r>
    </w:p>
    <w:p w14:paraId="6C4062FC" w14:textId="5FAC27A2" w:rsidR="004B2F52" w:rsidRPr="00A94974" w:rsidRDefault="004B2F52" w:rsidP="001D23B8">
      <w:p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Cererea de finanțare se depune exclusiv prin intermediul aplicației MySMIS2021/SMIS2021+ prin completarea și transmiterea acesteia online. De asemenea, odată cu transmiterea cererii de finanțare se încarcă toate documentele solicitate conform art. 7.</w:t>
      </w:r>
      <w:r w:rsidR="00580DD0" w:rsidRPr="00A94974">
        <w:rPr>
          <w:rFonts w:ascii="Trebuchet MS" w:hAnsi="Trebuchet MS"/>
          <w:iCs/>
          <w:color w:val="1F4E79" w:themeColor="accent1" w:themeShade="80"/>
        </w:rPr>
        <w:t>4</w:t>
      </w:r>
      <w:r w:rsidRPr="00A94974">
        <w:rPr>
          <w:rFonts w:ascii="Trebuchet MS" w:hAnsi="Trebuchet MS"/>
          <w:iCs/>
          <w:color w:val="1F4E79" w:themeColor="accent1" w:themeShade="80"/>
        </w:rPr>
        <w:t xml:space="preserve"> din prezentul ghid.</w:t>
      </w:r>
    </w:p>
    <w:p w14:paraId="2B413114" w14:textId="64923BBB" w:rsidR="00825E42" w:rsidRPr="00A94974" w:rsidRDefault="00061F8D" w:rsidP="001D23B8">
      <w:pPr>
        <w:pStyle w:val="NoSpacing"/>
        <w:jc w:val="both"/>
        <w:rPr>
          <w:rFonts w:eastAsia="Times New Roman" w:cs="Courier New"/>
          <w:color w:val="1F4E79" w:themeColor="accent1" w:themeShade="80"/>
          <w:lang w:eastAsia="ro-RO"/>
        </w:rPr>
      </w:pPr>
      <w:r w:rsidRPr="00A94974">
        <w:rPr>
          <w:rFonts w:eastAsia="Times New Roman" w:cs="Courier New"/>
          <w:color w:val="1F4E79" w:themeColor="accent1" w:themeShade="80"/>
          <w:lang w:eastAsia="ro-RO"/>
        </w:rPr>
        <w:t>Transmiterea c</w:t>
      </w:r>
      <w:r w:rsidR="00A33816" w:rsidRPr="00A94974">
        <w:rPr>
          <w:rFonts w:eastAsia="Times New Roman" w:cs="Courier New"/>
          <w:color w:val="1F4E79" w:themeColor="accent1" w:themeShade="80"/>
          <w:lang w:eastAsia="ro-RO"/>
        </w:rPr>
        <w:t>ereri</w:t>
      </w:r>
      <w:r w:rsidRPr="00A94974">
        <w:rPr>
          <w:rFonts w:eastAsia="Times New Roman" w:cs="Courier New"/>
          <w:color w:val="1F4E79" w:themeColor="accent1" w:themeShade="80"/>
          <w:lang w:eastAsia="ro-RO"/>
        </w:rPr>
        <w:t xml:space="preserve">i </w:t>
      </w:r>
      <w:r w:rsidR="00A33816" w:rsidRPr="00A94974">
        <w:rPr>
          <w:rFonts w:eastAsia="Times New Roman" w:cs="Courier New"/>
          <w:color w:val="1F4E79" w:themeColor="accent1" w:themeShade="80"/>
          <w:lang w:eastAsia="ro-RO"/>
        </w:rPr>
        <w:t>de finanțare</w:t>
      </w:r>
      <w:r w:rsidRPr="00A94974">
        <w:rPr>
          <w:rFonts w:eastAsia="Times New Roman" w:cs="Courier New"/>
          <w:color w:val="1F4E79" w:themeColor="accent1" w:themeShade="80"/>
          <w:lang w:eastAsia="ro-RO"/>
        </w:rPr>
        <w:t xml:space="preserve"> și/sau a documentelor aferente Cererii de finanțare</w:t>
      </w:r>
      <w:r w:rsidR="00A33816" w:rsidRPr="00A94974">
        <w:rPr>
          <w:rFonts w:eastAsia="Times New Roman" w:cs="Courier New"/>
          <w:color w:val="1F4E79" w:themeColor="accent1" w:themeShade="80"/>
          <w:lang w:eastAsia="ro-RO"/>
        </w:rPr>
        <w:t xml:space="preserve"> în</w:t>
      </w:r>
      <w:r w:rsidRPr="00A94974">
        <w:rPr>
          <w:rFonts w:eastAsia="Times New Roman" w:cs="Courier New"/>
          <w:color w:val="1F4E79" w:themeColor="accent1" w:themeShade="80"/>
          <w:lang w:eastAsia="ro-RO"/>
        </w:rPr>
        <w:t xml:space="preserve">tr-un </w:t>
      </w:r>
      <w:r w:rsidR="00A33816" w:rsidRPr="00A94974">
        <w:rPr>
          <w:rFonts w:eastAsia="Times New Roman" w:cs="Courier New"/>
          <w:color w:val="1F4E79" w:themeColor="accent1" w:themeShade="80"/>
          <w:lang w:eastAsia="ro-RO"/>
        </w:rPr>
        <w:t xml:space="preserve"> alt mod </w:t>
      </w:r>
      <w:r w:rsidRPr="00A94974">
        <w:rPr>
          <w:rFonts w:eastAsia="Times New Roman" w:cs="Courier New"/>
          <w:color w:val="1F4E79" w:themeColor="accent1" w:themeShade="80"/>
          <w:lang w:eastAsia="ro-RO"/>
        </w:rPr>
        <w:t xml:space="preserve">decât cel anterior menționat va determina neincluderea acesteia / acestora </w:t>
      </w:r>
      <w:r w:rsidR="00A33816" w:rsidRPr="00A94974">
        <w:rPr>
          <w:rFonts w:eastAsia="Times New Roman" w:cs="Courier New"/>
          <w:color w:val="1F4E79" w:themeColor="accent1" w:themeShade="80"/>
          <w:lang w:eastAsia="ro-RO"/>
        </w:rPr>
        <w:t xml:space="preserve">în procesul de evaluare.  </w:t>
      </w:r>
    </w:p>
    <w:p w14:paraId="073F9AB6" w14:textId="77777777" w:rsidR="00E84533" w:rsidRPr="00A94974" w:rsidRDefault="00E84533" w:rsidP="001D23B8">
      <w:pPr>
        <w:pStyle w:val="NoSpacing"/>
        <w:jc w:val="both"/>
        <w:rPr>
          <w:rFonts w:eastAsia="Times New Roman" w:cs="Courier New"/>
          <w:color w:val="1F4E79" w:themeColor="accent1" w:themeShade="80"/>
          <w:lang w:eastAsia="ro-RO"/>
        </w:rPr>
      </w:pPr>
    </w:p>
    <w:p w14:paraId="4C98E7ED" w14:textId="30B752FC" w:rsidR="00566CCA" w:rsidRPr="00A94974" w:rsidRDefault="00A701C7" w:rsidP="00A701C7">
      <w:pPr>
        <w:pStyle w:val="Heading1"/>
        <w:rPr>
          <w:color w:val="1F4E79" w:themeColor="accent1" w:themeShade="80"/>
        </w:rPr>
      </w:pPr>
      <w:bookmarkStart w:id="57" w:name="_Toc179368109"/>
      <w:r w:rsidRPr="00A94974">
        <w:rPr>
          <w:color w:val="1F4E79" w:themeColor="accent1" w:themeShade="80"/>
        </w:rPr>
        <w:t>5.</w:t>
      </w:r>
      <w:r w:rsidR="007A5DAD" w:rsidRPr="00A94974">
        <w:rPr>
          <w:color w:val="1F4E79" w:themeColor="accent1" w:themeShade="80"/>
        </w:rPr>
        <w:t xml:space="preserve">CONDIȚII DE </w:t>
      </w:r>
      <w:r w:rsidR="00566CCA" w:rsidRPr="00A94974">
        <w:rPr>
          <w:color w:val="1F4E79" w:themeColor="accent1" w:themeShade="80"/>
        </w:rPr>
        <w:t xml:space="preserve"> ELIGIBILITATE</w:t>
      </w:r>
      <w:bookmarkEnd w:id="57"/>
      <w:r w:rsidR="00566CCA" w:rsidRPr="00A94974">
        <w:rPr>
          <w:color w:val="1F4E79" w:themeColor="accent1" w:themeShade="80"/>
        </w:rPr>
        <w:tab/>
      </w:r>
    </w:p>
    <w:p w14:paraId="21065514" w14:textId="6AA7C550" w:rsidR="00566CCA" w:rsidRPr="00A94974" w:rsidRDefault="00D36D80" w:rsidP="001D23B8">
      <w:pPr>
        <w:pStyle w:val="Heading2"/>
        <w:rPr>
          <w:color w:val="1F4E79" w:themeColor="accent1" w:themeShade="80"/>
        </w:rPr>
      </w:pPr>
      <w:bookmarkStart w:id="58" w:name="_Toc179368110"/>
      <w:r w:rsidRPr="00A94974">
        <w:rPr>
          <w:color w:val="1F4E79" w:themeColor="accent1" w:themeShade="80"/>
        </w:rPr>
        <w:t xml:space="preserve">5.1 </w:t>
      </w:r>
      <w:r w:rsidR="00566CCA" w:rsidRPr="00A94974">
        <w:rPr>
          <w:color w:val="1F4E79" w:themeColor="accent1" w:themeShade="80"/>
        </w:rPr>
        <w:t xml:space="preserve">Eligibilitatea solicitanților </w:t>
      </w:r>
      <w:r w:rsidR="00A25D92" w:rsidRPr="00A94974">
        <w:rPr>
          <w:color w:val="1F4E79" w:themeColor="accent1" w:themeShade="80"/>
        </w:rPr>
        <w:t>și partenerilor</w:t>
      </w:r>
      <w:bookmarkEnd w:id="58"/>
      <w:r w:rsidR="00A25D92" w:rsidRPr="00A94974">
        <w:rPr>
          <w:color w:val="1F4E79" w:themeColor="accent1" w:themeShade="80"/>
        </w:rPr>
        <w:t xml:space="preserve"> </w:t>
      </w:r>
    </w:p>
    <w:p w14:paraId="06245406" w14:textId="4D760F72" w:rsidR="00AB1091" w:rsidRPr="00A94974" w:rsidRDefault="00D36D80" w:rsidP="00F7542F">
      <w:pPr>
        <w:pStyle w:val="Heading3"/>
        <w:rPr>
          <w:color w:val="1F4E79" w:themeColor="accent1" w:themeShade="80"/>
        </w:rPr>
      </w:pPr>
      <w:bookmarkStart w:id="59" w:name="_Toc179368111"/>
      <w:r w:rsidRPr="00A94974">
        <w:rPr>
          <w:color w:val="1F4E79" w:themeColor="accent1" w:themeShade="80"/>
        </w:rPr>
        <w:t xml:space="preserve">5.1.1 </w:t>
      </w:r>
      <w:r w:rsidR="00AB1091" w:rsidRPr="00A94974">
        <w:rPr>
          <w:color w:val="1F4E79" w:themeColor="accent1" w:themeShade="80"/>
        </w:rPr>
        <w:t>Cerințe privind eligi</w:t>
      </w:r>
      <w:r w:rsidR="00667183" w:rsidRPr="00A94974">
        <w:rPr>
          <w:color w:val="1F4E79" w:themeColor="accent1" w:themeShade="80"/>
        </w:rPr>
        <w:t>bi</w:t>
      </w:r>
      <w:r w:rsidR="00AB1091" w:rsidRPr="00A94974">
        <w:rPr>
          <w:color w:val="1F4E79" w:themeColor="accent1" w:themeShade="80"/>
        </w:rPr>
        <w:t>litatea solicitanților și partenerilor</w:t>
      </w:r>
      <w:bookmarkEnd w:id="59"/>
    </w:p>
    <w:p w14:paraId="4BF7871E" w14:textId="39D89841" w:rsidR="00060847" w:rsidRPr="00A94974" w:rsidRDefault="004B2F52" w:rsidP="00CC2787">
      <w:p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În cadrul prezent</w:t>
      </w:r>
      <w:r w:rsidR="00024C8B" w:rsidRPr="00A94974">
        <w:rPr>
          <w:rFonts w:ascii="Trebuchet MS" w:hAnsi="Trebuchet MS"/>
          <w:iCs/>
          <w:color w:val="1F4E79" w:themeColor="accent1" w:themeShade="80"/>
        </w:rPr>
        <w:t>elor</w:t>
      </w:r>
      <w:r w:rsidR="007A3D95"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apel</w:t>
      </w:r>
      <w:r w:rsidR="00024C8B" w:rsidRPr="00A94974">
        <w:rPr>
          <w:rFonts w:ascii="Trebuchet MS" w:hAnsi="Trebuchet MS"/>
          <w:iCs/>
          <w:color w:val="1F4E79" w:themeColor="accent1" w:themeShade="80"/>
        </w:rPr>
        <w:t>uri</w:t>
      </w:r>
      <w:r w:rsidRPr="00A94974">
        <w:rPr>
          <w:rFonts w:ascii="Trebuchet MS" w:hAnsi="Trebuchet MS"/>
          <w:iCs/>
          <w:color w:val="1F4E79" w:themeColor="accent1" w:themeShade="80"/>
        </w:rPr>
        <w:t xml:space="preserve"> de proiecte, </w:t>
      </w:r>
      <w:r w:rsidR="00CC2787" w:rsidRPr="00A94974">
        <w:rPr>
          <w:rFonts w:ascii="Trebuchet MS" w:hAnsi="Trebuchet MS"/>
          <w:iCs/>
          <w:color w:val="1F4E79" w:themeColor="accent1" w:themeShade="80"/>
        </w:rPr>
        <w:t xml:space="preserve">proiectele pot </w:t>
      </w:r>
      <w:r w:rsidRPr="00A94974">
        <w:rPr>
          <w:rFonts w:ascii="Trebuchet MS" w:hAnsi="Trebuchet MS"/>
          <w:iCs/>
          <w:color w:val="1F4E79" w:themeColor="accent1" w:themeShade="80"/>
        </w:rPr>
        <w:t>fi depus</w:t>
      </w:r>
      <w:r w:rsidR="00CC2787" w:rsidRPr="00A94974">
        <w:rPr>
          <w:rFonts w:ascii="Trebuchet MS" w:hAnsi="Trebuchet MS"/>
          <w:iCs/>
          <w:color w:val="1F4E79" w:themeColor="accent1" w:themeShade="80"/>
        </w:rPr>
        <w:t>e</w:t>
      </w:r>
      <w:r w:rsidR="00CC2787" w:rsidRPr="00A94974">
        <w:rPr>
          <w:color w:val="1F4E79" w:themeColor="accent1" w:themeShade="80"/>
        </w:rPr>
        <w:t xml:space="preserve"> </w:t>
      </w:r>
      <w:r w:rsidR="00CC2787" w:rsidRPr="00A94974">
        <w:rPr>
          <w:rFonts w:ascii="Trebuchet MS" w:hAnsi="Trebuchet MS"/>
          <w:iCs/>
          <w:color w:val="1F4E79" w:themeColor="accent1" w:themeShade="80"/>
        </w:rPr>
        <w:t>individual sau în parteneriat, constituit din două sau mai multe entități din categoriile eligibile menționate la 5.1.2 și 5.1.3 din prezentul Ghid, în baza unui Acord de parteneriat, partenerii având înțelesul prevederilor de la subcapitolul 1.8. Reguli aplicabile în cazul parteneriatului din Ghidul Solicitantului – Condiții generale Programul Educație și Ocupare 2021-2027 - https://mfe.gov.ro/PEO-21-27/.</w:t>
      </w:r>
      <w:r w:rsidR="00060847" w:rsidRPr="00A94974">
        <w:rPr>
          <w:rFonts w:ascii="Trebuchet MS" w:hAnsi="Trebuchet MS"/>
          <w:iCs/>
          <w:color w:val="1F4E79" w:themeColor="accent1" w:themeShade="80"/>
        </w:rPr>
        <w:t>Pentru a fi</w:t>
      </w:r>
      <w:r w:rsidRPr="00A94974">
        <w:rPr>
          <w:rFonts w:ascii="Trebuchet MS" w:hAnsi="Trebuchet MS"/>
          <w:iCs/>
          <w:color w:val="1F4E79" w:themeColor="accent1" w:themeShade="80"/>
        </w:rPr>
        <w:t xml:space="preserve"> </w:t>
      </w:r>
      <w:r w:rsidR="00060847" w:rsidRPr="00A94974">
        <w:rPr>
          <w:rFonts w:ascii="Trebuchet MS" w:hAnsi="Trebuchet MS"/>
          <w:iCs/>
          <w:color w:val="1F4E79" w:themeColor="accent1" w:themeShade="80"/>
        </w:rPr>
        <w:t>eligibil</w:t>
      </w:r>
      <w:r w:rsidR="00024C8B" w:rsidRPr="00A94974">
        <w:rPr>
          <w:rFonts w:ascii="Trebuchet MS" w:hAnsi="Trebuchet MS"/>
          <w:iCs/>
          <w:color w:val="1F4E79" w:themeColor="accent1" w:themeShade="80"/>
        </w:rPr>
        <w:t>,</w:t>
      </w:r>
      <w:r w:rsidR="00060847" w:rsidRPr="00A94974">
        <w:rPr>
          <w:rFonts w:ascii="Trebuchet MS" w:hAnsi="Trebuchet MS"/>
          <w:iCs/>
          <w:color w:val="1F4E79" w:themeColor="accent1" w:themeShade="80"/>
        </w:rPr>
        <w:t xml:space="preserve"> solicitantul trebuie să îndeplinească următoarele condiții:</w:t>
      </w:r>
    </w:p>
    <w:p w14:paraId="7207786A" w14:textId="77777777" w:rsidR="00060847" w:rsidRPr="00A94974" w:rsidRDefault="00060847" w:rsidP="00BE3FAB">
      <w:pPr>
        <w:pStyle w:val="ListParagraph"/>
        <w:numPr>
          <w:ilvl w:val="0"/>
          <w:numId w:val="4"/>
        </w:num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23A377A4" w14:textId="77777777" w:rsidR="00060847" w:rsidRPr="00A94974" w:rsidRDefault="00060847" w:rsidP="00BE3FAB">
      <w:pPr>
        <w:pStyle w:val="ListParagraph"/>
        <w:numPr>
          <w:ilvl w:val="0"/>
          <w:numId w:val="4"/>
        </w:num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Să se încadreze în regulile generale de eligibilitate stabilite prin intermediul Tabelului nr. 2 „Cerințe generale privind eligibilitatea Solicitantului și a Partenerilor“ definite prin Ghidul Solicitantului Condiții Generale PEO;</w:t>
      </w:r>
    </w:p>
    <w:p w14:paraId="51318F3E" w14:textId="412947F8" w:rsidR="00060847" w:rsidRPr="00A94974" w:rsidRDefault="004B2F52" w:rsidP="00BE3FAB">
      <w:pPr>
        <w:pStyle w:val="ListParagraph"/>
        <w:numPr>
          <w:ilvl w:val="0"/>
          <w:numId w:val="4"/>
        </w:num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lastRenderedPageBreak/>
        <w:t>Să n</w:t>
      </w:r>
      <w:r w:rsidR="00060847" w:rsidRPr="00A94974">
        <w:rPr>
          <w:rFonts w:ascii="Trebuchet MS" w:hAnsi="Trebuchet MS"/>
          <w:iCs/>
          <w:color w:val="1F4E79" w:themeColor="accent1" w:themeShade="80"/>
        </w:rPr>
        <w:t>u se încadre</w:t>
      </w:r>
      <w:r w:rsidRPr="00A94974">
        <w:rPr>
          <w:rFonts w:ascii="Trebuchet MS" w:hAnsi="Trebuchet MS"/>
          <w:iCs/>
          <w:color w:val="1F4E79" w:themeColor="accent1" w:themeShade="80"/>
        </w:rPr>
        <w:t>ze în</w:t>
      </w:r>
      <w:r w:rsidR="00060847" w:rsidRPr="00A94974">
        <w:rPr>
          <w:rFonts w:ascii="Trebuchet MS" w:hAnsi="Trebuchet MS"/>
          <w:iCs/>
          <w:color w:val="1F4E79" w:themeColor="accent1" w:themeShade="80"/>
        </w:rPr>
        <w:t xml:space="preserve"> situațiile prevăzute în Tabelul 3 „Situații în care solicitantul sau partenerul nu este eligibil pentru finanțare“ definite prin Ghidul Solicitantului Condiții Generale PEO.</w:t>
      </w:r>
    </w:p>
    <w:p w14:paraId="0A65E409" w14:textId="77777777" w:rsidR="00E84533" w:rsidRPr="00A94974" w:rsidRDefault="00E84533" w:rsidP="00E84533">
      <w:pPr>
        <w:pStyle w:val="ListParagraph"/>
        <w:spacing w:before="120" w:after="120" w:line="276" w:lineRule="auto"/>
        <w:jc w:val="both"/>
        <w:rPr>
          <w:rFonts w:ascii="Trebuchet MS" w:hAnsi="Trebuchet MS"/>
          <w:iCs/>
          <w:color w:val="1F4E79" w:themeColor="accent1" w:themeShade="80"/>
        </w:rPr>
      </w:pPr>
    </w:p>
    <w:p w14:paraId="691E248A" w14:textId="55C47651" w:rsidR="00AB1091" w:rsidRPr="00A94974" w:rsidRDefault="00D36D80" w:rsidP="00F7542F">
      <w:pPr>
        <w:pStyle w:val="Heading3"/>
        <w:rPr>
          <w:color w:val="1F4E79" w:themeColor="accent1" w:themeShade="80"/>
        </w:rPr>
      </w:pPr>
      <w:bookmarkStart w:id="60" w:name="_Toc179368112"/>
      <w:r w:rsidRPr="00A94974">
        <w:rPr>
          <w:color w:val="1F4E79" w:themeColor="accent1" w:themeShade="80"/>
        </w:rPr>
        <w:t xml:space="preserve">5.1.2 </w:t>
      </w:r>
      <w:r w:rsidR="00AB1091" w:rsidRPr="00A94974">
        <w:rPr>
          <w:color w:val="1F4E79" w:themeColor="accent1" w:themeShade="80"/>
        </w:rPr>
        <w:t>Categorii de solicitanți eligibili</w:t>
      </w:r>
      <w:bookmarkEnd w:id="60"/>
    </w:p>
    <w:p w14:paraId="4F6E30BF" w14:textId="4DB74F02" w:rsidR="0014285C" w:rsidRPr="00A94974" w:rsidRDefault="007D4470" w:rsidP="001D23B8">
      <w:pPr>
        <w:jc w:val="both"/>
        <w:rPr>
          <w:rFonts w:ascii="Trebuchet MS" w:hAnsi="Trebuchet MS"/>
          <w:color w:val="1F4E79" w:themeColor="accent1" w:themeShade="80"/>
        </w:rPr>
      </w:pPr>
      <w:r w:rsidRPr="00A94974">
        <w:rPr>
          <w:rFonts w:ascii="Trebuchet MS" w:hAnsi="Trebuchet MS"/>
          <w:color w:val="1F4E79" w:themeColor="accent1" w:themeShade="80"/>
        </w:rPr>
        <w:t>În cadrul prezentului apel de proiecte, solicitan</w:t>
      </w:r>
      <w:r w:rsidR="00831ADA" w:rsidRPr="00A94974">
        <w:rPr>
          <w:rFonts w:ascii="Trebuchet MS" w:hAnsi="Trebuchet MS"/>
          <w:color w:val="1F4E79" w:themeColor="accent1" w:themeShade="80"/>
        </w:rPr>
        <w:t>ții</w:t>
      </w:r>
      <w:r w:rsidRPr="00A94974">
        <w:rPr>
          <w:rFonts w:ascii="Trebuchet MS" w:hAnsi="Trebuchet MS"/>
          <w:color w:val="1F4E79" w:themeColor="accent1" w:themeShade="80"/>
        </w:rPr>
        <w:t xml:space="preserve"> eligibil</w:t>
      </w:r>
      <w:r w:rsidR="00831ADA" w:rsidRPr="00A94974">
        <w:rPr>
          <w:rFonts w:ascii="Trebuchet MS" w:hAnsi="Trebuchet MS"/>
          <w:color w:val="1F4E79" w:themeColor="accent1" w:themeShade="80"/>
        </w:rPr>
        <w:t>i</w:t>
      </w:r>
      <w:r w:rsidRPr="00A94974">
        <w:rPr>
          <w:rFonts w:ascii="Trebuchet MS" w:hAnsi="Trebuchet MS"/>
          <w:color w:val="1F4E79" w:themeColor="accent1" w:themeShade="80"/>
        </w:rPr>
        <w:t xml:space="preserve"> </w:t>
      </w:r>
      <w:bookmarkStart w:id="61" w:name="_Hlk134022267"/>
      <w:r w:rsidR="00831ADA" w:rsidRPr="00A94974">
        <w:rPr>
          <w:rFonts w:ascii="Trebuchet MS" w:hAnsi="Trebuchet MS"/>
          <w:color w:val="1F4E79" w:themeColor="accent1" w:themeShade="80"/>
        </w:rPr>
        <w:t xml:space="preserve">sunt reprezentați de instituții de învățământ superior de stat și particulare din România, care </w:t>
      </w:r>
      <w:r w:rsidR="00FE29E8" w:rsidRPr="00A94974">
        <w:rPr>
          <w:rFonts w:ascii="Trebuchet MS" w:hAnsi="Trebuchet MS"/>
          <w:color w:val="1F4E79" w:themeColor="accent1" w:themeShade="80"/>
        </w:rPr>
        <w:t>dețin</w:t>
      </w:r>
      <w:r w:rsidR="00831ADA" w:rsidRPr="00A94974">
        <w:rPr>
          <w:rFonts w:ascii="Trebuchet MS" w:hAnsi="Trebuchet MS"/>
          <w:color w:val="1F4E79" w:themeColor="accent1" w:themeShade="80"/>
        </w:rPr>
        <w:t xml:space="preserve"> Carta Universitară Erasmus (ECHE) 2021-2027, care au încheiat contract de finanțare cu ANPCDEFP pentru proiecte de mobilitate în domeniul universitar prin Programul Erasmus+, incluse în Anexa nr. 7 a Ghidului Solicitantului Condiții Specifice.</w:t>
      </w:r>
    </w:p>
    <w:p w14:paraId="013D76F9" w14:textId="07776162" w:rsidR="00CD6D0A" w:rsidRPr="00A94974" w:rsidRDefault="00F7542F" w:rsidP="00F7542F">
      <w:pPr>
        <w:pStyle w:val="Heading3"/>
        <w:rPr>
          <w:color w:val="1F4E79" w:themeColor="accent1" w:themeShade="80"/>
        </w:rPr>
      </w:pPr>
      <w:bookmarkStart w:id="62" w:name="_Toc179368113"/>
      <w:bookmarkEnd w:id="61"/>
      <w:r w:rsidRPr="00A94974">
        <w:rPr>
          <w:color w:val="1F4E79" w:themeColor="accent1" w:themeShade="80"/>
        </w:rPr>
        <w:t xml:space="preserve">5.1.3 </w:t>
      </w:r>
      <w:r w:rsidR="006D3FD7" w:rsidRPr="00A94974">
        <w:rPr>
          <w:color w:val="1F4E79" w:themeColor="accent1" w:themeShade="80"/>
        </w:rPr>
        <w:t>Categorii de parteneri eligibili</w:t>
      </w:r>
      <w:bookmarkEnd w:id="62"/>
      <w:r w:rsidR="00C9340D" w:rsidRPr="00A94974">
        <w:rPr>
          <w:color w:val="1F4E79" w:themeColor="accent1" w:themeShade="80"/>
        </w:rPr>
        <w:t xml:space="preserve"> </w:t>
      </w:r>
      <w:r w:rsidR="007D4470" w:rsidRPr="00A94974">
        <w:rPr>
          <w:color w:val="1F4E79" w:themeColor="accent1" w:themeShade="80"/>
        </w:rPr>
        <w:t xml:space="preserve"> </w:t>
      </w:r>
    </w:p>
    <w:p w14:paraId="74F127F3" w14:textId="0BE77F3B" w:rsidR="00C35C51" w:rsidRPr="00A94974" w:rsidRDefault="00C35C51" w:rsidP="00C35C51">
      <w:pPr>
        <w:jc w:val="both"/>
        <w:rPr>
          <w:rFonts w:ascii="Trebuchet MS" w:hAnsi="Trebuchet MS"/>
          <w:color w:val="1F4E79" w:themeColor="accent1" w:themeShade="80"/>
        </w:rPr>
      </w:pPr>
      <w:bookmarkStart w:id="63" w:name="_Hlk155611570"/>
      <w:r w:rsidRPr="00A94974">
        <w:rPr>
          <w:rFonts w:ascii="Trebuchet MS" w:eastAsia="Trebuchet MS" w:hAnsi="Trebuchet MS" w:cs="Trebuchet MS"/>
          <w:color w:val="1F4E79" w:themeColor="accent1" w:themeShade="80"/>
        </w:rPr>
        <w:t xml:space="preserve">Pentru prezentele apeluri de proiecte, </w:t>
      </w:r>
      <w:r w:rsidR="00B706A9" w:rsidRPr="00A94974">
        <w:rPr>
          <w:rFonts w:ascii="Trebuchet MS" w:eastAsia="Trebuchet MS" w:hAnsi="Trebuchet MS" w:cs="Trebuchet MS"/>
          <w:color w:val="1F4E79" w:themeColor="accent1" w:themeShade="80"/>
        </w:rPr>
        <w:t xml:space="preserve">partenerii </w:t>
      </w:r>
      <w:r w:rsidRPr="00A94974">
        <w:rPr>
          <w:rFonts w:ascii="Trebuchet MS" w:eastAsia="Trebuchet MS" w:hAnsi="Trebuchet MS" w:cs="Trebuchet MS"/>
          <w:color w:val="1F4E79" w:themeColor="accent1" w:themeShade="80"/>
        </w:rPr>
        <w:t xml:space="preserve">eligibili sunt reprezentați </w:t>
      </w:r>
      <w:r w:rsidRPr="00A94974">
        <w:rPr>
          <w:rFonts w:ascii="Trebuchet MS" w:hAnsi="Trebuchet MS"/>
          <w:color w:val="1F4E79" w:themeColor="accent1" w:themeShade="80"/>
        </w:rPr>
        <w:t>de instituții de învățământ superior de stat și particulare din România, care dețin Carta Universitară Erasmus (ECHE) 2021-2027, care au încheiat contract de finanțare cu ANPCDEFP pentru proiecte de mobilitate în domeniul universitar prin Programul Erasmus+, incluse în Anexa nr. 7 a Ghidului Solicitantului Condiții Specifice.</w:t>
      </w:r>
    </w:p>
    <w:p w14:paraId="3804FA1E" w14:textId="2BB6F2F3" w:rsidR="00DA2E51" w:rsidRPr="00A94974" w:rsidRDefault="00C35C51" w:rsidP="00F7542F">
      <w:pPr>
        <w:pStyle w:val="Heading3"/>
        <w:rPr>
          <w:color w:val="1F4E79" w:themeColor="accent1" w:themeShade="80"/>
        </w:rPr>
      </w:pPr>
      <w:r w:rsidRPr="00A94974">
        <w:rPr>
          <w:rFonts w:ascii="Trebuchet MS" w:eastAsia="Trebuchet MS" w:hAnsi="Trebuchet MS" w:cs="Trebuchet MS"/>
          <w:color w:val="1F4E79" w:themeColor="accent1" w:themeShade="80"/>
        </w:rPr>
        <w:t xml:space="preserve"> </w:t>
      </w:r>
      <w:bookmarkStart w:id="64" w:name="_Toc179368114"/>
      <w:bookmarkEnd w:id="63"/>
      <w:r w:rsidR="00D36D80" w:rsidRPr="00A94974">
        <w:rPr>
          <w:color w:val="1F4E79" w:themeColor="accent1" w:themeShade="80"/>
        </w:rPr>
        <w:t xml:space="preserve">5.1.4 </w:t>
      </w:r>
      <w:r w:rsidR="00DA2E51" w:rsidRPr="00A94974">
        <w:rPr>
          <w:color w:val="1F4E79" w:themeColor="accent1" w:themeShade="80"/>
        </w:rPr>
        <w:t>Reguli și cerințe privind parteneriatul</w:t>
      </w:r>
      <w:bookmarkEnd w:id="64"/>
    </w:p>
    <w:p w14:paraId="548DFC80" w14:textId="77777777" w:rsidR="00323F47" w:rsidRPr="00A94974" w:rsidRDefault="00323F47" w:rsidP="009F289C">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În cadrul acestor apeluri de proiecte, cererile de finanțare pot fi depuse atât de solicitant unic, cât și în parteneriat cu unul sau mai mulți parteneri. </w:t>
      </w:r>
    </w:p>
    <w:p w14:paraId="7ED503B4"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Alegerea partenerilor este în exclusivitate în competența Solicitantului, în calitate de lider al parteneriatului.</w:t>
      </w:r>
    </w:p>
    <w:p w14:paraId="4CFC0906"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Partenerii vor fi selectați astfel încât să desfășoare activități relevante pentru domeniul proiectului, în </w:t>
      </w:r>
      <w:proofErr w:type="spellStart"/>
      <w:r w:rsidRPr="00A94974">
        <w:rPr>
          <w:rFonts w:ascii="Trebuchet MS" w:hAnsi="Trebuchet MS"/>
          <w:iCs/>
          <w:color w:val="1F4E79" w:themeColor="accent1" w:themeShade="80"/>
        </w:rPr>
        <w:t>funcţie</w:t>
      </w:r>
      <w:proofErr w:type="spellEnd"/>
      <w:r w:rsidRPr="00A94974">
        <w:rPr>
          <w:rFonts w:ascii="Trebuchet MS" w:hAnsi="Trebuchet MS"/>
          <w:iCs/>
          <w:color w:val="1F4E79" w:themeColor="accent1" w:themeShade="80"/>
        </w:rPr>
        <w:t xml:space="preserve"> de obiectivele specifice ale apelului.</w:t>
      </w:r>
    </w:p>
    <w:p w14:paraId="37A3C501"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Pot fi selectați doar parteneri individuali, nu consorții, asociații de parteneri, grupuri de societăți.</w:t>
      </w:r>
    </w:p>
    <w:p w14:paraId="20C97E06"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Prin parteneri individuali se înțelege entități juridice individuale, fără legături de acționariat între ele.</w:t>
      </w:r>
    </w:p>
    <w:p w14:paraId="6CF46AAB"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661CAD10"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Nu vor fi selectați parteneri în scopul realizării în cadrul proiectului a unor activități de tipul: dezvoltarea de aplicații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45197DC8"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În cazul proiectelor implementate in parteneriat, </w:t>
      </w:r>
      <w:proofErr w:type="spellStart"/>
      <w:r w:rsidRPr="00A94974">
        <w:rPr>
          <w:rFonts w:ascii="Trebuchet MS" w:hAnsi="Trebuchet MS"/>
          <w:iCs/>
          <w:color w:val="1F4E79" w:themeColor="accent1" w:themeShade="80"/>
        </w:rPr>
        <w:t>activităţile</w:t>
      </w:r>
      <w:proofErr w:type="spellEnd"/>
      <w:r w:rsidRPr="00A94974">
        <w:rPr>
          <w:rFonts w:ascii="Trebuchet MS" w:hAnsi="Trebuchet MS"/>
          <w:iCs/>
          <w:color w:val="1F4E79" w:themeColor="accent1" w:themeShade="80"/>
        </w:rPr>
        <w:t xml:space="preserve"> de subcontractare se realizează numai de către solicitantul de </w:t>
      </w:r>
      <w:proofErr w:type="spellStart"/>
      <w:r w:rsidRPr="00A94974">
        <w:rPr>
          <w:rFonts w:ascii="Trebuchet MS" w:hAnsi="Trebuchet MS"/>
          <w:iCs/>
          <w:color w:val="1F4E79" w:themeColor="accent1" w:themeShade="80"/>
        </w:rPr>
        <w:t>finanţare</w:t>
      </w:r>
      <w:proofErr w:type="spellEnd"/>
      <w:r w:rsidRPr="00A94974">
        <w:rPr>
          <w:rFonts w:ascii="Trebuchet MS" w:hAnsi="Trebuchet MS"/>
          <w:iCs/>
          <w:color w:val="1F4E79" w:themeColor="accent1" w:themeShade="80"/>
        </w:rPr>
        <w:t xml:space="preserve">/liderul de parteneriat, nu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de către partenerul/ partenerii acestuia.</w:t>
      </w:r>
    </w:p>
    <w:p w14:paraId="75283499"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Prin excepție, partenerii pot subcontracta activități/subactivități suport (de ex., organizare evenimente, pachete complete </w:t>
      </w:r>
      <w:proofErr w:type="spellStart"/>
      <w:r w:rsidRPr="00A94974">
        <w:rPr>
          <w:rFonts w:ascii="Trebuchet MS" w:hAnsi="Trebuchet MS"/>
          <w:iCs/>
          <w:color w:val="1F4E79" w:themeColor="accent1" w:themeShade="80"/>
        </w:rPr>
        <w:t>conţinând</w:t>
      </w:r>
      <w:proofErr w:type="spellEnd"/>
      <w:r w:rsidRPr="00A94974">
        <w:rPr>
          <w:rFonts w:ascii="Trebuchet MS" w:hAnsi="Trebuchet MS"/>
          <w:iCs/>
          <w:color w:val="1F4E79" w:themeColor="accent1" w:themeShade="80"/>
        </w:rPr>
        <w:t xml:space="preserve"> transport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cazare a </w:t>
      </w:r>
      <w:proofErr w:type="spellStart"/>
      <w:r w:rsidRPr="00A94974">
        <w:rPr>
          <w:rFonts w:ascii="Trebuchet MS" w:hAnsi="Trebuchet MS"/>
          <w:iCs/>
          <w:color w:val="1F4E79" w:themeColor="accent1" w:themeShade="80"/>
        </w:rPr>
        <w:t>participanţilor</w:t>
      </w:r>
      <w:proofErr w:type="spellEnd"/>
      <w:r w:rsidRPr="00A94974">
        <w:rPr>
          <w:rFonts w:ascii="Trebuchet MS" w:hAnsi="Trebuchet MS"/>
          <w:iCs/>
          <w:color w:val="1F4E79" w:themeColor="accent1" w:themeShade="80"/>
        </w:rPr>
        <w:t xml:space="preserve">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/sau a personalului propriu, sonorizare, interpretariat, tipărituri), dar nu și activități relevante, pentru care au fost selectați ca parteneri, în baza expertizei în domeniu.</w:t>
      </w:r>
    </w:p>
    <w:p w14:paraId="04CABF4E" w14:textId="1896DFDB"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lastRenderedPageBreak/>
        <w:t xml:space="preserve">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cu </w:t>
      </w:r>
      <w:r w:rsidR="00B514D7" w:rsidRPr="00A94974">
        <w:rPr>
          <w:rFonts w:ascii="Trebuchet MS" w:hAnsi="Trebuchet MS"/>
          <w:iCs/>
          <w:color w:val="1F4E79" w:themeColor="accent1" w:themeShade="80"/>
        </w:rPr>
        <w:t>excepția</w:t>
      </w:r>
      <w:r w:rsidRPr="00A94974">
        <w:rPr>
          <w:rFonts w:ascii="Trebuchet MS" w:hAnsi="Trebuchet MS"/>
          <w:iCs/>
          <w:color w:val="1F4E79" w:themeColor="accent1" w:themeShade="80"/>
        </w:rPr>
        <w:t xml:space="preserve"> parteneriatelor intre instituțiile publice.</w:t>
      </w:r>
    </w:p>
    <w:p w14:paraId="2276C01A" w14:textId="2FF74C71"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Indiferent de numărul partenerilor </w:t>
      </w:r>
      <w:r w:rsidR="00B514D7" w:rsidRPr="00A94974">
        <w:rPr>
          <w:rFonts w:ascii="Trebuchet MS" w:hAnsi="Trebuchet MS"/>
          <w:iCs/>
          <w:color w:val="1F4E79" w:themeColor="accent1" w:themeShade="80"/>
        </w:rPr>
        <w:t>implicați</w:t>
      </w:r>
      <w:r w:rsidRPr="00A94974">
        <w:rPr>
          <w:rFonts w:ascii="Trebuchet MS" w:hAnsi="Trebuchet MS"/>
          <w:iCs/>
          <w:color w:val="1F4E79" w:themeColor="accent1" w:themeShade="80"/>
        </w:rPr>
        <w:t xml:space="preserve"> în implementarea unui proiect, va fi semnat un singur Acord de parteneriat între </w:t>
      </w:r>
      <w:r w:rsidR="00B514D7" w:rsidRPr="00A94974">
        <w:rPr>
          <w:rFonts w:ascii="Trebuchet MS" w:hAnsi="Trebuchet MS"/>
          <w:iCs/>
          <w:color w:val="1F4E79" w:themeColor="accent1" w:themeShade="80"/>
        </w:rPr>
        <w:t>toți</w:t>
      </w:r>
      <w:r w:rsidRPr="00A94974">
        <w:rPr>
          <w:rFonts w:ascii="Trebuchet MS" w:hAnsi="Trebuchet MS"/>
          <w:iCs/>
          <w:color w:val="1F4E79" w:themeColor="accent1" w:themeShade="80"/>
        </w:rPr>
        <w:t xml:space="preserve"> partenerii (conform Anexei 1 -Acord de parteneriat la Ghidul Solicitantului – Condiții generale PEO 2021-2027). Proiectelor implementate în parteneriat li se aplică dispozițiile Ordonanței de urgență a Guvernului nr. 133/2021, aprobată cu modificări și completări prin Legea nr. 231/2023.</w:t>
      </w:r>
    </w:p>
    <w:p w14:paraId="40B47C4A"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 adăugate a parteneriatului în ceea ce privește utilizarea eficientă a fondurilor și in care vor fi precizate, pentru fiecare partener in parte, rolul si responsabilitățile, contribuția și expertiza/ experiența relevantă pentru implementarea proiectului.</w:t>
      </w:r>
    </w:p>
    <w:p w14:paraId="060C5E4E"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6710EA5D" w14:textId="77777777" w:rsidR="00323F47" w:rsidRPr="00A94974" w:rsidRDefault="00323F47" w:rsidP="00323F47">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20568EE2" w14:textId="77777777" w:rsidR="00323F47" w:rsidRPr="00A94974" w:rsidRDefault="00323F47" w:rsidP="00323F47">
      <w:pPr>
        <w:spacing w:before="120" w:after="120" w:line="276" w:lineRule="auto"/>
        <w:jc w:val="both"/>
        <w:rPr>
          <w:rFonts w:ascii="Trebuchet MS" w:hAnsi="Trebuchet MS"/>
          <w:b/>
          <w:bCs/>
          <w:iCs/>
          <w:color w:val="1F4E79" w:themeColor="accent1" w:themeShade="80"/>
        </w:rPr>
      </w:pPr>
      <w:r w:rsidRPr="00A94974">
        <w:rPr>
          <w:rFonts w:ascii="Trebuchet MS" w:hAnsi="Trebuchet MS"/>
          <w:b/>
          <w:bCs/>
          <w:iCs/>
          <w:color w:val="1F4E79" w:themeColor="accent1" w:themeShade="80"/>
        </w:rPr>
        <w:t>Selecția partenerilor in cazul solicitanților entități finanțate din fonduri publice</w:t>
      </w:r>
    </w:p>
    <w:p w14:paraId="33B43A9C" w14:textId="77777777" w:rsidR="00323F47" w:rsidRPr="00A94974" w:rsidRDefault="00323F47" w:rsidP="00323F47">
      <w:pPr>
        <w:spacing w:before="120" w:after="120" w:line="276" w:lineRule="auto"/>
        <w:jc w:val="both"/>
        <w:rPr>
          <w:rFonts w:ascii="Trebuchet MS" w:hAnsi="Trebuchet MS"/>
          <w:iCs/>
          <w:color w:val="1F4E79" w:themeColor="accent1" w:themeShade="80"/>
        </w:rPr>
      </w:pPr>
      <w:proofErr w:type="spellStart"/>
      <w:r w:rsidRPr="00A94974">
        <w:rPr>
          <w:rFonts w:ascii="Trebuchet MS" w:hAnsi="Trebuchet MS"/>
          <w:iCs/>
          <w:color w:val="1F4E79" w:themeColor="accent1" w:themeShade="80"/>
        </w:rPr>
        <w:t>Solicitanţii</w:t>
      </w:r>
      <w:proofErr w:type="spellEnd"/>
      <w:r w:rsidRPr="00A94974">
        <w:rPr>
          <w:rFonts w:ascii="Trebuchet MS" w:hAnsi="Trebuchet MS"/>
          <w:iCs/>
          <w:color w:val="1F4E79" w:themeColor="accent1" w:themeShade="80"/>
        </w:rPr>
        <w:t xml:space="preserve"> entități finanțate din fonduri publice care intenționează să selecteze parteneri din sectorul privat pentru implementarea proiectelor au </w:t>
      </w:r>
      <w:proofErr w:type="spellStart"/>
      <w:r w:rsidRPr="00A94974">
        <w:rPr>
          <w:rFonts w:ascii="Trebuchet MS" w:hAnsi="Trebuchet MS"/>
          <w:iCs/>
          <w:color w:val="1F4E79" w:themeColor="accent1" w:themeShade="80"/>
        </w:rPr>
        <w:t>obligaţia</w:t>
      </w:r>
      <w:proofErr w:type="spellEnd"/>
      <w:r w:rsidRPr="00A94974">
        <w:rPr>
          <w:rFonts w:ascii="Trebuchet MS" w:hAnsi="Trebuchet MS"/>
          <w:iCs/>
          <w:color w:val="1F4E79" w:themeColor="accent1" w:themeShade="80"/>
        </w:rPr>
        <w:t xml:space="preserve"> de a respecta prevederile relevante din Ordonanța de urgență a Guvernului nr. 133/2021, aprobată cu modificări și completări prin Legea nr. 231/2023 (condiție de eligibilitate).</w:t>
      </w:r>
    </w:p>
    <w:p w14:paraId="37837363" w14:textId="72B75114" w:rsidR="007B7E6A" w:rsidRDefault="00323F47" w:rsidP="001D23B8">
      <w:pPr>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În procesul de selecție a partenerilor privați, </w:t>
      </w:r>
      <w:proofErr w:type="spellStart"/>
      <w:r w:rsidRPr="00A94974">
        <w:rPr>
          <w:rFonts w:ascii="Trebuchet MS" w:hAnsi="Trebuchet MS"/>
          <w:iCs/>
          <w:color w:val="1F4E79" w:themeColor="accent1" w:themeShade="80"/>
        </w:rPr>
        <w:t>solicitanţii</w:t>
      </w:r>
      <w:proofErr w:type="spellEnd"/>
      <w:r w:rsidRPr="00A94974">
        <w:rPr>
          <w:rFonts w:ascii="Trebuchet MS" w:hAnsi="Trebuchet MS"/>
          <w:iCs/>
          <w:color w:val="1F4E79" w:themeColor="accent1" w:themeShade="80"/>
        </w:rPr>
        <w:t xml:space="preserve"> entități finanțate din fonduri publice au obligația de a respecta procedura </w:t>
      </w:r>
      <w:proofErr w:type="spellStart"/>
      <w:r w:rsidRPr="00A94974">
        <w:rPr>
          <w:rFonts w:ascii="Trebuchet MS" w:hAnsi="Trebuchet MS"/>
          <w:iCs/>
          <w:color w:val="1F4E79" w:themeColor="accent1" w:themeShade="80"/>
        </w:rPr>
        <w:t>prevazută</w:t>
      </w:r>
      <w:proofErr w:type="spellEnd"/>
      <w:r w:rsidRPr="00A94974">
        <w:rPr>
          <w:rFonts w:ascii="Trebuchet MS" w:hAnsi="Trebuchet MS"/>
          <w:iCs/>
          <w:color w:val="1F4E79" w:themeColor="accent1" w:themeShade="80"/>
        </w:rPr>
        <w:t xml:space="preserve"> in Anexa 2 Procedura de selecție a partenerilor entități private la Ghidul Solicitantului – Condiții generale PEO 2021-2027.</w:t>
      </w:r>
      <w:r w:rsidRPr="00A94974" w:rsidDel="00323F47">
        <w:rPr>
          <w:rFonts w:ascii="Trebuchet MS" w:hAnsi="Trebuchet MS"/>
          <w:iCs/>
          <w:color w:val="1F4E79" w:themeColor="accent1" w:themeShade="80"/>
        </w:rPr>
        <w:t xml:space="preserve"> </w:t>
      </w:r>
    </w:p>
    <w:p w14:paraId="4D93378E" w14:textId="77777777" w:rsidR="00B514D7" w:rsidRPr="00A94974" w:rsidRDefault="00B514D7" w:rsidP="001D23B8">
      <w:pPr>
        <w:jc w:val="both"/>
        <w:rPr>
          <w:rFonts w:ascii="Trebuchet MS" w:hAnsi="Trebuchet MS"/>
          <w:iCs/>
          <w:color w:val="1F4E79" w:themeColor="accent1" w:themeShade="80"/>
        </w:rPr>
      </w:pPr>
    </w:p>
    <w:p w14:paraId="442084B6" w14:textId="0B02C3C4" w:rsidR="00386F8C" w:rsidRPr="00A94974" w:rsidRDefault="00890888" w:rsidP="001D23B8">
      <w:pPr>
        <w:pStyle w:val="Heading2"/>
        <w:rPr>
          <w:rFonts w:ascii="Trebuchet MS" w:hAnsi="Trebuchet MS"/>
          <w:color w:val="1F4E79" w:themeColor="accent1" w:themeShade="80"/>
          <w:sz w:val="22"/>
          <w:szCs w:val="22"/>
        </w:rPr>
      </w:pPr>
      <w:bookmarkStart w:id="65" w:name="_Toc179368115"/>
      <w:r w:rsidRPr="00A94974">
        <w:rPr>
          <w:color w:val="1F4E79" w:themeColor="accent1" w:themeShade="80"/>
        </w:rPr>
        <w:t xml:space="preserve">5.2 </w:t>
      </w:r>
      <w:r w:rsidR="00386F8C" w:rsidRPr="00A94974">
        <w:rPr>
          <w:color w:val="1F4E79" w:themeColor="accent1" w:themeShade="80"/>
        </w:rPr>
        <w:t>Eligibilitatea activităților</w:t>
      </w:r>
      <w:bookmarkEnd w:id="65"/>
      <w:r w:rsidR="00386F8C" w:rsidRPr="00A94974">
        <w:rPr>
          <w:rFonts w:ascii="Trebuchet MS" w:hAnsi="Trebuchet MS"/>
          <w:color w:val="1F4E79" w:themeColor="accent1" w:themeShade="80"/>
          <w:sz w:val="22"/>
          <w:szCs w:val="22"/>
        </w:rPr>
        <w:t xml:space="preserve"> </w:t>
      </w:r>
      <w:r w:rsidR="00386F8C" w:rsidRPr="00A94974">
        <w:rPr>
          <w:rFonts w:ascii="Trebuchet MS" w:hAnsi="Trebuchet MS"/>
          <w:color w:val="1F4E79" w:themeColor="accent1" w:themeShade="80"/>
          <w:sz w:val="22"/>
          <w:szCs w:val="22"/>
        </w:rPr>
        <w:tab/>
      </w:r>
    </w:p>
    <w:p w14:paraId="23EC82F0" w14:textId="63328414" w:rsidR="00AB1091" w:rsidRPr="00A94974" w:rsidRDefault="00890888" w:rsidP="00F7542F">
      <w:pPr>
        <w:pStyle w:val="Heading3"/>
        <w:rPr>
          <w:color w:val="1F4E79" w:themeColor="accent1" w:themeShade="80"/>
        </w:rPr>
      </w:pPr>
      <w:bookmarkStart w:id="66" w:name="_Toc179368116"/>
      <w:r w:rsidRPr="00A94974">
        <w:rPr>
          <w:color w:val="1F4E79" w:themeColor="accent1" w:themeShade="80"/>
        </w:rPr>
        <w:t xml:space="preserve">5.2.1 </w:t>
      </w:r>
      <w:r w:rsidR="00AB1091" w:rsidRPr="00A94974">
        <w:rPr>
          <w:color w:val="1F4E79" w:themeColor="accent1" w:themeShade="80"/>
        </w:rPr>
        <w:t xml:space="preserve">Cerințe generale privind </w:t>
      </w:r>
      <w:r w:rsidR="007C1B05" w:rsidRPr="00A94974">
        <w:rPr>
          <w:color w:val="1F4E79" w:themeColor="accent1" w:themeShade="80"/>
        </w:rPr>
        <w:t>eligibilitatea</w:t>
      </w:r>
      <w:r w:rsidR="00AB1091" w:rsidRPr="00A94974">
        <w:rPr>
          <w:color w:val="1F4E79" w:themeColor="accent1" w:themeShade="80"/>
        </w:rPr>
        <w:t xml:space="preserve"> activităților</w:t>
      </w:r>
      <w:bookmarkEnd w:id="66"/>
    </w:p>
    <w:p w14:paraId="2DE5EC36" w14:textId="483D9D57" w:rsidR="008D6EFB" w:rsidRPr="00A94974" w:rsidRDefault="008D6EFB" w:rsidP="001D23B8">
      <w:pPr>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In cadrul prezentului apel sunt eligibile activitățile detaliate în secțiunea 5.2.2 care conduc la atingerea indicatorilor aferenți obiectivului specific 4.</w:t>
      </w:r>
      <w:r w:rsidR="00DC5979" w:rsidRPr="00A94974">
        <w:rPr>
          <w:rFonts w:ascii="Trebuchet MS" w:hAnsi="Trebuchet MS"/>
          <w:iCs/>
          <w:color w:val="1F4E79" w:themeColor="accent1" w:themeShade="80"/>
        </w:rPr>
        <w:t>5</w:t>
      </w:r>
      <w:r w:rsidRPr="00A94974">
        <w:rPr>
          <w:rFonts w:ascii="Trebuchet MS" w:hAnsi="Trebuchet MS"/>
          <w:iCs/>
          <w:color w:val="1F4E79" w:themeColor="accent1" w:themeShade="80"/>
        </w:rPr>
        <w:t>.</w:t>
      </w:r>
      <w:r w:rsidR="00DC5979" w:rsidRPr="00A94974">
        <w:rPr>
          <w:rFonts w:ascii="Trebuchet MS" w:hAnsi="Trebuchet MS"/>
          <w:i/>
          <w:color w:val="1F4E79" w:themeColor="accent1" w:themeShade="80"/>
        </w:rPr>
        <w:t>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prin promovarea introducerii sistemelor de formare duală și a sistemelor de ucenicie (FSE+)</w:t>
      </w:r>
      <w:r w:rsidR="00DC5979" w:rsidRPr="00A94974">
        <w:rPr>
          <w:rFonts w:ascii="Trebuchet MS" w:hAnsi="Trebuchet MS"/>
          <w:iCs/>
          <w:color w:val="1F4E79" w:themeColor="accent1" w:themeShade="80"/>
        </w:rPr>
        <w:t>.</w:t>
      </w:r>
    </w:p>
    <w:p w14:paraId="44F362DE" w14:textId="77777777" w:rsidR="00DC5979" w:rsidRPr="00A94974" w:rsidRDefault="00DC5979" w:rsidP="001D23B8">
      <w:pPr>
        <w:spacing w:after="0" w:line="276" w:lineRule="auto"/>
        <w:jc w:val="both"/>
        <w:rPr>
          <w:rFonts w:ascii="Trebuchet MS" w:hAnsi="Trebuchet MS"/>
          <w:iCs/>
          <w:color w:val="1F4E79" w:themeColor="accent1" w:themeShade="80"/>
        </w:rPr>
      </w:pPr>
    </w:p>
    <w:p w14:paraId="03BBE62F" w14:textId="750BF26B" w:rsidR="00060847" w:rsidRPr="00A94974" w:rsidRDefault="00060847" w:rsidP="001D23B8">
      <w:pPr>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Evaluarea eligibilității Cererii de finanțare se realizează în conformitate cu Anexa nr.</w:t>
      </w:r>
      <w:r w:rsidR="00540195" w:rsidRPr="00A94974">
        <w:rPr>
          <w:rFonts w:ascii="Trebuchet MS" w:hAnsi="Trebuchet MS"/>
          <w:iCs/>
          <w:color w:val="1F4E79" w:themeColor="accent1" w:themeShade="80"/>
        </w:rPr>
        <w:t>2</w:t>
      </w:r>
      <w:r w:rsidRPr="00A94974">
        <w:rPr>
          <w:rFonts w:ascii="Trebuchet MS" w:hAnsi="Trebuchet MS"/>
          <w:iCs/>
          <w:color w:val="1F4E79" w:themeColor="accent1" w:themeShade="80"/>
        </w:rPr>
        <w:t xml:space="preserve"> Criterii de evaluare și selecție tehnică preliminară la prezentul Ghid al Solicitantului Condiții Specifice.</w:t>
      </w:r>
    </w:p>
    <w:p w14:paraId="48DFC124" w14:textId="77777777" w:rsidR="00C676A9" w:rsidRPr="00A94974" w:rsidRDefault="00C676A9" w:rsidP="001D23B8">
      <w:pPr>
        <w:spacing w:after="0" w:line="276" w:lineRule="auto"/>
        <w:jc w:val="both"/>
        <w:rPr>
          <w:rFonts w:ascii="Trebuchet MS" w:hAnsi="Trebuchet MS"/>
          <w:iCs/>
          <w:color w:val="1F4E79" w:themeColor="accent1" w:themeShade="80"/>
        </w:rPr>
      </w:pPr>
    </w:p>
    <w:p w14:paraId="4DB453A9" w14:textId="4A45132E" w:rsidR="0061751F" w:rsidRPr="00A94974" w:rsidRDefault="00890888" w:rsidP="00F7542F">
      <w:pPr>
        <w:pStyle w:val="Heading3"/>
        <w:rPr>
          <w:color w:val="1F4E79" w:themeColor="accent1" w:themeShade="80"/>
        </w:rPr>
      </w:pPr>
      <w:bookmarkStart w:id="67" w:name="_Toc179368117"/>
      <w:bookmarkStart w:id="68" w:name="_Hlk173835093"/>
      <w:r w:rsidRPr="00A94974">
        <w:rPr>
          <w:color w:val="1F4E79" w:themeColor="accent1" w:themeShade="80"/>
        </w:rPr>
        <w:t xml:space="preserve">5.2.2 </w:t>
      </w:r>
      <w:r w:rsidR="0061751F" w:rsidRPr="00A94974">
        <w:rPr>
          <w:color w:val="1F4E79" w:themeColor="accent1" w:themeShade="80"/>
        </w:rPr>
        <w:t>Activități eligibile</w:t>
      </w:r>
      <w:bookmarkEnd w:id="67"/>
      <w:r w:rsidR="0061751F" w:rsidRPr="00A94974">
        <w:rPr>
          <w:color w:val="1F4E79" w:themeColor="accent1" w:themeShade="80"/>
        </w:rPr>
        <w:t xml:space="preserve">  </w:t>
      </w:r>
      <w:bookmarkEnd w:id="68"/>
      <w:r w:rsidR="0061751F" w:rsidRPr="00A94974">
        <w:rPr>
          <w:color w:val="1F4E79" w:themeColor="accent1" w:themeShade="80"/>
        </w:rPr>
        <w:tab/>
      </w:r>
    </w:p>
    <w:p w14:paraId="471BD29F" w14:textId="27A0C80D" w:rsidR="00AA4CA3" w:rsidRPr="00A94974" w:rsidRDefault="00060847" w:rsidP="00B20017">
      <w:pPr>
        <w:spacing w:before="120" w:after="120" w:line="276" w:lineRule="auto"/>
        <w:jc w:val="both"/>
        <w:rPr>
          <w:rFonts w:ascii="Trebuchet MS" w:hAnsi="Trebuchet MS"/>
          <w:b/>
          <w:bCs/>
          <w:iCs/>
          <w:color w:val="1F4E79" w:themeColor="accent1" w:themeShade="80"/>
          <w:u w:val="single"/>
        </w:rPr>
      </w:pPr>
      <w:bookmarkStart w:id="69" w:name="_Hlk181013029"/>
      <w:r w:rsidRPr="00A94974">
        <w:rPr>
          <w:rFonts w:ascii="Trebuchet MS" w:hAnsi="Trebuchet MS"/>
          <w:iCs/>
          <w:color w:val="1F4E79" w:themeColor="accent1" w:themeShade="80"/>
        </w:rPr>
        <w:t>Principal</w:t>
      </w:r>
      <w:r w:rsidR="00372900" w:rsidRPr="00A94974">
        <w:rPr>
          <w:rFonts w:ascii="Trebuchet MS" w:hAnsi="Trebuchet MS"/>
          <w:iCs/>
          <w:color w:val="1F4E79" w:themeColor="accent1" w:themeShade="80"/>
        </w:rPr>
        <w:t>a</w:t>
      </w:r>
      <w:r w:rsidRPr="00A94974">
        <w:rPr>
          <w:rFonts w:ascii="Trebuchet MS" w:hAnsi="Trebuchet MS"/>
          <w:iCs/>
          <w:color w:val="1F4E79" w:themeColor="accent1" w:themeShade="80"/>
        </w:rPr>
        <w:t xml:space="preserve"> activit</w:t>
      </w:r>
      <w:r w:rsidR="00372900" w:rsidRPr="00A94974">
        <w:rPr>
          <w:rFonts w:ascii="Trebuchet MS" w:hAnsi="Trebuchet MS"/>
          <w:iCs/>
          <w:color w:val="1F4E79" w:themeColor="accent1" w:themeShade="80"/>
        </w:rPr>
        <w:t>ate</w:t>
      </w:r>
      <w:r w:rsidRPr="00A94974">
        <w:rPr>
          <w:rFonts w:ascii="Trebuchet MS" w:hAnsi="Trebuchet MS"/>
          <w:iCs/>
          <w:color w:val="1F4E79" w:themeColor="accent1" w:themeShade="80"/>
        </w:rPr>
        <w:t xml:space="preserve"> eligibil</w:t>
      </w:r>
      <w:r w:rsidR="00372900"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w:t>
      </w:r>
      <w:r w:rsidR="002E536F" w:rsidRPr="00A94974">
        <w:rPr>
          <w:rFonts w:ascii="Trebuchet MS" w:hAnsi="Trebuchet MS"/>
          <w:iCs/>
          <w:color w:val="1F4E79" w:themeColor="accent1" w:themeShade="80"/>
        </w:rPr>
        <w:t>sprijinit</w:t>
      </w:r>
      <w:r w:rsidR="00372900" w:rsidRPr="00A94974">
        <w:rPr>
          <w:rFonts w:ascii="Trebuchet MS" w:hAnsi="Trebuchet MS"/>
          <w:iCs/>
          <w:color w:val="1F4E79" w:themeColor="accent1" w:themeShade="80"/>
        </w:rPr>
        <w:t>ă</w:t>
      </w:r>
      <w:r w:rsidR="002E536F" w:rsidRPr="00A94974">
        <w:rPr>
          <w:rFonts w:ascii="Trebuchet MS" w:hAnsi="Trebuchet MS"/>
          <w:iCs/>
          <w:color w:val="1F4E79" w:themeColor="accent1" w:themeShade="80"/>
        </w:rPr>
        <w:t xml:space="preserve"> în cadrul prezent</w:t>
      </w:r>
      <w:r w:rsidR="00372900" w:rsidRPr="00A94974">
        <w:rPr>
          <w:rFonts w:ascii="Trebuchet MS" w:hAnsi="Trebuchet MS"/>
          <w:iCs/>
          <w:color w:val="1F4E79" w:themeColor="accent1" w:themeShade="80"/>
        </w:rPr>
        <w:t xml:space="preserve">elor </w:t>
      </w:r>
      <w:r w:rsidR="002E536F" w:rsidRPr="00A94974">
        <w:rPr>
          <w:rFonts w:ascii="Trebuchet MS" w:hAnsi="Trebuchet MS"/>
          <w:iCs/>
          <w:color w:val="1F4E79" w:themeColor="accent1" w:themeShade="80"/>
        </w:rPr>
        <w:t>apel</w:t>
      </w:r>
      <w:r w:rsidR="00372900" w:rsidRPr="00A94974">
        <w:rPr>
          <w:rFonts w:ascii="Trebuchet MS" w:hAnsi="Trebuchet MS"/>
          <w:iCs/>
          <w:color w:val="1F4E79" w:themeColor="accent1" w:themeShade="80"/>
        </w:rPr>
        <w:t>uri de proiecte</w:t>
      </w:r>
      <w:r w:rsidR="002E536F" w:rsidRPr="00A94974">
        <w:rPr>
          <w:rFonts w:ascii="Trebuchet MS" w:hAnsi="Trebuchet MS"/>
          <w:iCs/>
          <w:color w:val="1F4E79" w:themeColor="accent1" w:themeShade="80"/>
        </w:rPr>
        <w:t xml:space="preserve"> </w:t>
      </w:r>
      <w:r w:rsidR="00645193" w:rsidRPr="00A94974">
        <w:rPr>
          <w:rFonts w:ascii="Trebuchet MS" w:hAnsi="Trebuchet MS"/>
          <w:iCs/>
          <w:color w:val="1F4E79" w:themeColor="accent1" w:themeShade="80"/>
        </w:rPr>
        <w:t>vizează</w:t>
      </w:r>
      <w:r w:rsidR="00732210" w:rsidRPr="00A94974">
        <w:rPr>
          <w:rFonts w:ascii="Trebuchet MS" w:hAnsi="Trebuchet MS"/>
          <w:iCs/>
          <w:color w:val="1F4E79" w:themeColor="accent1" w:themeShade="80"/>
        </w:rPr>
        <w:t xml:space="preserve"> acordarea</w:t>
      </w:r>
      <w:r w:rsidR="00372900" w:rsidRPr="00A94974">
        <w:rPr>
          <w:rFonts w:ascii="Trebuchet MS" w:hAnsi="Trebuchet MS"/>
          <w:iCs/>
          <w:color w:val="1F4E79" w:themeColor="accent1" w:themeShade="80"/>
        </w:rPr>
        <w:t xml:space="preserve"> unui sprijin financiar suplimentar față de grantul Erasmus+</w:t>
      </w:r>
      <w:r w:rsidR="00AA4CA3" w:rsidRPr="00A94974">
        <w:rPr>
          <w:rFonts w:ascii="Trebuchet MS" w:hAnsi="Trebuchet MS"/>
          <w:iCs/>
          <w:color w:val="1F4E79" w:themeColor="accent1" w:themeShade="80"/>
        </w:rPr>
        <w:t xml:space="preserve"> pentru universitățile participante în programul Erasmus+, în vederea </w:t>
      </w:r>
      <w:r w:rsidR="00AA4CA3" w:rsidRPr="00A94974">
        <w:rPr>
          <w:rFonts w:ascii="Trebuchet MS" w:hAnsi="Trebuchet MS"/>
          <w:b/>
          <w:bCs/>
          <w:iCs/>
          <w:color w:val="1F4E79" w:themeColor="accent1" w:themeShade="80"/>
        </w:rPr>
        <w:t>suplimentării burselor pentru studenții cu oportunități reduse,</w:t>
      </w:r>
      <w:r w:rsidR="00AA4CA3" w:rsidRPr="00A94974">
        <w:rPr>
          <w:rFonts w:ascii="Trebuchet MS" w:hAnsi="Trebuchet MS"/>
          <w:iCs/>
          <w:color w:val="1F4E79" w:themeColor="accent1" w:themeShade="80"/>
        </w:rPr>
        <w:t xml:space="preserve"> înmatriculați la programe de nivel ISCED 5-8 din cadrul universităților participante în programul Erasmus+, </w:t>
      </w:r>
      <w:r w:rsidR="005663EC" w:rsidRPr="00A94974">
        <w:rPr>
          <w:rFonts w:ascii="Trebuchet MS" w:hAnsi="Trebuchet MS"/>
          <w:iCs/>
          <w:color w:val="1F4E79" w:themeColor="accent1" w:themeShade="80"/>
        </w:rPr>
        <w:t>cu scopul</w:t>
      </w:r>
      <w:r w:rsidR="00AA4CA3" w:rsidRPr="00A94974">
        <w:rPr>
          <w:rFonts w:ascii="Trebuchet MS" w:hAnsi="Trebuchet MS"/>
          <w:iCs/>
          <w:color w:val="1F4E79" w:themeColor="accent1" w:themeShade="80"/>
        </w:rPr>
        <w:t xml:space="preserve"> satisfacerii tuturor nevoilor de sprijin în cadrul acțiunilor de mobilitate Erasmus+</w:t>
      </w:r>
      <w:bookmarkEnd w:id="69"/>
      <w:r w:rsidR="00AA4CA3" w:rsidRPr="00A94974">
        <w:rPr>
          <w:rFonts w:ascii="Trebuchet MS" w:hAnsi="Trebuchet MS"/>
          <w:iCs/>
          <w:color w:val="1F4E79" w:themeColor="accent1" w:themeShade="80"/>
        </w:rPr>
        <w:t xml:space="preserve"> </w:t>
      </w:r>
      <w:r w:rsidR="00AA4CA3" w:rsidRPr="00A94974">
        <w:rPr>
          <w:rFonts w:ascii="Trebuchet MS" w:hAnsi="Trebuchet MS"/>
          <w:b/>
          <w:bCs/>
          <w:iCs/>
          <w:color w:val="1F4E79" w:themeColor="accent1" w:themeShade="80"/>
        </w:rPr>
        <w:t>(activitate obligatorie).</w:t>
      </w:r>
    </w:p>
    <w:p w14:paraId="033094EA" w14:textId="18A7F4C6" w:rsidR="00314FCE" w:rsidRPr="00A94974" w:rsidRDefault="004C4F02" w:rsidP="008456A7">
      <w:pPr>
        <w:spacing w:after="0" w:line="276" w:lineRule="auto"/>
        <w:jc w:val="both"/>
        <w:rPr>
          <w:rFonts w:ascii="Trebuchet MS" w:hAnsi="Trebuchet MS"/>
          <w:b/>
          <w:bCs/>
          <w:iCs/>
          <w:color w:val="1F4E79" w:themeColor="accent1" w:themeShade="80"/>
        </w:rPr>
      </w:pPr>
      <w:r w:rsidRPr="00A94974">
        <w:rPr>
          <w:rFonts w:ascii="Trebuchet MS" w:hAnsi="Trebuchet MS"/>
          <w:b/>
          <w:bCs/>
          <w:iCs/>
          <w:color w:val="1F4E79" w:themeColor="accent1" w:themeShade="80"/>
          <w:u w:val="single"/>
        </w:rPr>
        <w:t xml:space="preserve">De asemenea, sunt eligibile </w:t>
      </w:r>
      <w:bookmarkStart w:id="70" w:name="_Hlk181013082"/>
      <w:r w:rsidRPr="00A94974">
        <w:rPr>
          <w:rFonts w:ascii="Trebuchet MS" w:hAnsi="Trebuchet MS"/>
          <w:b/>
          <w:bCs/>
          <w:iCs/>
          <w:color w:val="1F4E79" w:themeColor="accent1" w:themeShade="80"/>
          <w:u w:val="single"/>
        </w:rPr>
        <w:t xml:space="preserve">activitățile care vizează organizarea de </w:t>
      </w:r>
      <w:proofErr w:type="spellStart"/>
      <w:r w:rsidR="00412BFA" w:rsidRPr="00A94974">
        <w:rPr>
          <w:rFonts w:ascii="Trebuchet MS" w:hAnsi="Trebuchet MS"/>
          <w:b/>
          <w:bCs/>
          <w:iCs/>
          <w:color w:val="1F4E79" w:themeColor="accent1" w:themeShade="80"/>
          <w:u w:val="single"/>
        </w:rPr>
        <w:t>seminarii</w:t>
      </w:r>
      <w:proofErr w:type="spellEnd"/>
      <w:r w:rsidR="00412BFA" w:rsidRPr="00A94974">
        <w:rPr>
          <w:rFonts w:ascii="Trebuchet MS" w:hAnsi="Trebuchet MS"/>
          <w:b/>
          <w:bCs/>
          <w:iCs/>
          <w:color w:val="1F4E79" w:themeColor="accent1" w:themeShade="80"/>
          <w:u w:val="single"/>
        </w:rPr>
        <w:t xml:space="preserve">/conferințe pentru </w:t>
      </w:r>
      <w:r w:rsidR="00FF076F" w:rsidRPr="00A94974">
        <w:rPr>
          <w:rFonts w:ascii="Trebuchet MS" w:hAnsi="Trebuchet MS"/>
          <w:b/>
          <w:bCs/>
          <w:iCs/>
          <w:color w:val="1F4E79" w:themeColor="accent1" w:themeShade="80"/>
          <w:u w:val="single"/>
        </w:rPr>
        <w:t xml:space="preserve">informare/promovare sau </w:t>
      </w:r>
      <w:r w:rsidR="00412BFA" w:rsidRPr="00A94974">
        <w:rPr>
          <w:rFonts w:ascii="Trebuchet MS" w:hAnsi="Trebuchet MS"/>
          <w:b/>
          <w:bCs/>
          <w:iCs/>
          <w:color w:val="1F4E79" w:themeColor="accent1" w:themeShade="80"/>
          <w:u w:val="single"/>
        </w:rPr>
        <w:t xml:space="preserve">schimb de experiență și bune practici dedicate membrilor grupului țintă care </w:t>
      </w:r>
      <w:r w:rsidR="00FF076F" w:rsidRPr="00A94974">
        <w:rPr>
          <w:rFonts w:ascii="Trebuchet MS" w:hAnsi="Trebuchet MS"/>
          <w:b/>
          <w:bCs/>
          <w:iCs/>
          <w:color w:val="1F4E79" w:themeColor="accent1" w:themeShade="80"/>
          <w:u w:val="single"/>
        </w:rPr>
        <w:t xml:space="preserve">vor participa sau </w:t>
      </w:r>
      <w:r w:rsidR="00412BFA" w:rsidRPr="00A94974">
        <w:rPr>
          <w:rFonts w:ascii="Trebuchet MS" w:hAnsi="Trebuchet MS"/>
          <w:b/>
          <w:bCs/>
          <w:iCs/>
          <w:color w:val="1F4E79" w:themeColor="accent1" w:themeShade="80"/>
          <w:u w:val="single"/>
        </w:rPr>
        <w:t xml:space="preserve">au participat la acțiuni de mobilitate Erasmus+ </w:t>
      </w:r>
      <w:r w:rsidR="00412BFA" w:rsidRPr="00A94974">
        <w:rPr>
          <w:rFonts w:ascii="Trebuchet MS" w:hAnsi="Trebuchet MS"/>
          <w:b/>
          <w:bCs/>
          <w:iCs/>
          <w:color w:val="1F4E79" w:themeColor="accent1" w:themeShade="80"/>
        </w:rPr>
        <w:t>(activitate relevantă).</w:t>
      </w:r>
      <w:bookmarkEnd w:id="70"/>
    </w:p>
    <w:p w14:paraId="483565C1" w14:textId="57FB2F2E" w:rsidR="00071B81" w:rsidRPr="00A94974" w:rsidRDefault="00AA4CA3" w:rsidP="008456A7">
      <w:pPr>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Forma principală de s</w:t>
      </w:r>
      <w:r w:rsidR="00071B81" w:rsidRPr="00A94974">
        <w:rPr>
          <w:rFonts w:ascii="Trebuchet MS" w:hAnsi="Trebuchet MS"/>
          <w:iCs/>
          <w:color w:val="1F4E79" w:themeColor="accent1" w:themeShade="80"/>
        </w:rPr>
        <w:t>prijin financiar vizează acordarea unui top-</w:t>
      </w:r>
      <w:proofErr w:type="spellStart"/>
      <w:r w:rsidR="00071B81" w:rsidRPr="00A94974">
        <w:rPr>
          <w:rFonts w:ascii="Trebuchet MS" w:hAnsi="Trebuchet MS"/>
          <w:iCs/>
          <w:color w:val="1F4E79" w:themeColor="accent1" w:themeShade="80"/>
        </w:rPr>
        <w:t>up</w:t>
      </w:r>
      <w:proofErr w:type="spellEnd"/>
      <w:r w:rsidR="00071B81" w:rsidRPr="00A94974">
        <w:rPr>
          <w:rFonts w:ascii="Trebuchet MS" w:hAnsi="Trebuchet MS"/>
          <w:iCs/>
          <w:color w:val="1F4E79" w:themeColor="accent1" w:themeShade="80"/>
        </w:rPr>
        <w:t xml:space="preserve"> </w:t>
      </w:r>
      <w:r w:rsidR="00E07349" w:rsidRPr="00A94974">
        <w:rPr>
          <w:rFonts w:ascii="Trebuchet MS" w:hAnsi="Trebuchet MS"/>
          <w:iCs/>
          <w:color w:val="1F4E79" w:themeColor="accent1" w:themeShade="80"/>
        </w:rPr>
        <w:t>finanțat din</w:t>
      </w:r>
      <w:r w:rsidR="00071B81" w:rsidRPr="00A94974">
        <w:rPr>
          <w:rFonts w:ascii="Trebuchet MS" w:hAnsi="Trebuchet MS"/>
          <w:iCs/>
          <w:color w:val="1F4E79" w:themeColor="accent1" w:themeShade="80"/>
        </w:rPr>
        <w:t xml:space="preserve"> FSE+</w:t>
      </w:r>
      <w:r w:rsidR="00E83EA9" w:rsidRPr="00A94974">
        <w:rPr>
          <w:rFonts w:ascii="Trebuchet MS" w:hAnsi="Trebuchet MS"/>
          <w:iCs/>
          <w:color w:val="1F4E79" w:themeColor="accent1" w:themeShade="80"/>
        </w:rPr>
        <w:t>,</w:t>
      </w:r>
      <w:r w:rsidR="00F248BF" w:rsidRPr="00A94974">
        <w:rPr>
          <w:rFonts w:ascii="Trebuchet MS" w:hAnsi="Trebuchet MS"/>
          <w:iCs/>
          <w:color w:val="1F4E79" w:themeColor="accent1" w:themeShade="80"/>
        </w:rPr>
        <w:t xml:space="preserve"> sub formă de burse pentru mobilitate</w:t>
      </w:r>
      <w:r w:rsidR="00E83EA9" w:rsidRPr="00A94974">
        <w:rPr>
          <w:rFonts w:ascii="Trebuchet MS" w:hAnsi="Trebuchet MS"/>
          <w:iCs/>
          <w:color w:val="1F4E79" w:themeColor="accent1" w:themeShade="80"/>
        </w:rPr>
        <w:t xml:space="preserve">, </w:t>
      </w:r>
      <w:r w:rsidR="00071B81" w:rsidRPr="00A94974">
        <w:rPr>
          <w:rFonts w:ascii="Trebuchet MS" w:hAnsi="Trebuchet MS"/>
          <w:iCs/>
          <w:color w:val="1F4E79" w:themeColor="accent1" w:themeShade="80"/>
        </w:rPr>
        <w:t xml:space="preserve"> </w:t>
      </w:r>
      <w:r w:rsidR="008456A7" w:rsidRPr="00A94974">
        <w:rPr>
          <w:rFonts w:ascii="Trebuchet MS" w:hAnsi="Trebuchet MS"/>
          <w:iCs/>
          <w:color w:val="1F4E79" w:themeColor="accent1" w:themeShade="80"/>
        </w:rPr>
        <w:t xml:space="preserve">pentru studenții cu oportunități reduse </w:t>
      </w:r>
      <w:r w:rsidR="00071B81" w:rsidRPr="00A94974">
        <w:rPr>
          <w:rFonts w:ascii="Trebuchet MS" w:hAnsi="Trebuchet MS"/>
          <w:iCs/>
          <w:color w:val="1F4E79" w:themeColor="accent1" w:themeShade="80"/>
        </w:rPr>
        <w:t>în vederea suplimentării</w:t>
      </w:r>
      <w:r w:rsidR="008456A7" w:rsidRPr="00A94974">
        <w:rPr>
          <w:rFonts w:ascii="Trebuchet MS" w:hAnsi="Trebuchet MS"/>
          <w:iCs/>
          <w:color w:val="1F4E79" w:themeColor="accent1" w:themeShade="80"/>
        </w:rPr>
        <w:t xml:space="preserve"> grantului de sprijin</w:t>
      </w:r>
      <w:r w:rsidR="00470E69" w:rsidRPr="00A94974">
        <w:rPr>
          <w:rFonts w:ascii="Trebuchet MS" w:hAnsi="Trebuchet MS"/>
          <w:iCs/>
          <w:color w:val="1F4E79" w:themeColor="accent1" w:themeShade="80"/>
        </w:rPr>
        <w:t xml:space="preserve"> individual pentru </w:t>
      </w:r>
      <w:r w:rsidR="12B16C1F" w:rsidRPr="00A94974">
        <w:rPr>
          <w:rFonts w:ascii="Trebuchet MS" w:hAnsi="Trebuchet MS"/>
          <w:color w:val="1F4E79" w:themeColor="accent1" w:themeShade="80"/>
        </w:rPr>
        <w:t>mobilit</w:t>
      </w:r>
      <w:r w:rsidR="00470E69" w:rsidRPr="00A94974">
        <w:rPr>
          <w:rFonts w:ascii="Trebuchet MS" w:hAnsi="Trebuchet MS"/>
          <w:color w:val="1F4E79" w:themeColor="accent1" w:themeShade="80"/>
        </w:rPr>
        <w:t>ăți de studiu și/sau plasament</w:t>
      </w:r>
      <w:r w:rsidR="12B16C1F" w:rsidRPr="00A94974">
        <w:rPr>
          <w:rFonts w:ascii="Trebuchet MS" w:hAnsi="Trebuchet MS"/>
          <w:color w:val="1F4E79" w:themeColor="accent1" w:themeShade="80"/>
        </w:rPr>
        <w:t xml:space="preserve"> </w:t>
      </w:r>
      <w:r w:rsidR="008456A7" w:rsidRPr="00A94974">
        <w:rPr>
          <w:rFonts w:ascii="Trebuchet MS" w:hAnsi="Trebuchet MS"/>
          <w:iCs/>
          <w:color w:val="1F4E79" w:themeColor="accent1" w:themeShade="80"/>
        </w:rPr>
        <w:t xml:space="preserve">acordat prin Programul Erasmus+, </w:t>
      </w:r>
      <w:r w:rsidR="009646A8" w:rsidRPr="00A94974">
        <w:rPr>
          <w:rFonts w:ascii="Trebuchet MS" w:hAnsi="Trebuchet MS"/>
          <w:iCs/>
          <w:color w:val="1F4E79" w:themeColor="accent1" w:themeShade="80"/>
        </w:rPr>
        <w:t>cu încadrarea în următoarele plafoane</w:t>
      </w:r>
      <w:r w:rsidR="008456A7" w:rsidRPr="00A94974">
        <w:rPr>
          <w:rFonts w:ascii="Trebuchet MS" w:hAnsi="Trebuchet MS"/>
          <w:iCs/>
          <w:color w:val="1F4E79" w:themeColor="accent1" w:themeShade="80"/>
        </w:rPr>
        <w:t>:</w:t>
      </w:r>
    </w:p>
    <w:p w14:paraId="3BFC9E2E" w14:textId="18C87BC0" w:rsidR="008456A7" w:rsidRPr="00A94974" w:rsidRDefault="008456A7" w:rsidP="00BE3FAB">
      <w:pPr>
        <w:pStyle w:val="ListParagraph"/>
        <w:numPr>
          <w:ilvl w:val="0"/>
          <w:numId w:val="21"/>
        </w:num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 xml:space="preserve">500 Euro / lună pentru o mobilitate fizică de lungă durată (2-12 luni); </w:t>
      </w:r>
    </w:p>
    <w:p w14:paraId="1F1A6F09" w14:textId="6DA19239" w:rsidR="008456A7" w:rsidRPr="00A94974" w:rsidRDefault="00BB2EF0" w:rsidP="00BE3FAB">
      <w:pPr>
        <w:pStyle w:val="ListParagraph"/>
        <w:numPr>
          <w:ilvl w:val="0"/>
          <w:numId w:val="21"/>
        </w:num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 xml:space="preserve">500 </w:t>
      </w:r>
      <w:r w:rsidR="008456A7" w:rsidRPr="00A94974">
        <w:rPr>
          <w:rFonts w:ascii="Trebuchet MS" w:hAnsi="Trebuchet MS"/>
          <w:color w:val="1F4E79" w:themeColor="accent1" w:themeShade="80"/>
        </w:rPr>
        <w:t>Euro (sumă fixă/o singură contribuție) pentru o mobilitate fizică de scurtă durată</w:t>
      </w:r>
      <w:r w:rsidRPr="00A94974">
        <w:rPr>
          <w:rFonts w:ascii="Trebuchet MS" w:hAnsi="Trebuchet MS"/>
          <w:color w:val="1F4E79" w:themeColor="accent1" w:themeShade="80"/>
        </w:rPr>
        <w:t xml:space="preserve"> </w:t>
      </w:r>
      <w:r w:rsidR="008456A7" w:rsidRPr="00A94974">
        <w:rPr>
          <w:rFonts w:ascii="Trebuchet MS" w:hAnsi="Trebuchet MS"/>
          <w:color w:val="1F4E79" w:themeColor="accent1" w:themeShade="80"/>
        </w:rPr>
        <w:t xml:space="preserve"> </w:t>
      </w:r>
      <w:r w:rsidRPr="00A94974">
        <w:rPr>
          <w:rFonts w:ascii="Trebuchet MS" w:hAnsi="Trebuchet MS"/>
          <w:color w:val="1F4E79" w:themeColor="accent1" w:themeShade="80"/>
        </w:rPr>
        <w:t>(</w:t>
      </w:r>
      <w:r w:rsidR="008456A7" w:rsidRPr="00A94974">
        <w:rPr>
          <w:rFonts w:ascii="Trebuchet MS" w:hAnsi="Trebuchet MS"/>
          <w:color w:val="1F4E79" w:themeColor="accent1" w:themeShade="80"/>
        </w:rPr>
        <w:t>5-</w:t>
      </w:r>
      <w:r w:rsidRPr="00A94974">
        <w:rPr>
          <w:rFonts w:ascii="Trebuchet MS" w:hAnsi="Trebuchet MS"/>
          <w:color w:val="1F4E79" w:themeColor="accent1" w:themeShade="80"/>
        </w:rPr>
        <w:t xml:space="preserve">30 </w:t>
      </w:r>
      <w:r w:rsidR="008456A7" w:rsidRPr="00A94974">
        <w:rPr>
          <w:rFonts w:ascii="Trebuchet MS" w:hAnsi="Trebuchet MS"/>
          <w:color w:val="1F4E79" w:themeColor="accent1" w:themeShade="80"/>
        </w:rPr>
        <w:t>zile</w:t>
      </w:r>
      <w:r w:rsidRPr="00A94974">
        <w:rPr>
          <w:rFonts w:ascii="Trebuchet MS" w:hAnsi="Trebuchet MS"/>
          <w:color w:val="1F4E79" w:themeColor="accent1" w:themeShade="80"/>
        </w:rPr>
        <w:t>).</w:t>
      </w:r>
    </w:p>
    <w:p w14:paraId="1385A4FB" w14:textId="77777777" w:rsidR="00AA4CA3" w:rsidRPr="00A94974" w:rsidRDefault="00AA4CA3" w:rsidP="00B20017">
      <w:pPr>
        <w:spacing w:before="120" w:after="120" w:line="276" w:lineRule="auto"/>
        <w:jc w:val="both"/>
        <w:rPr>
          <w:rFonts w:ascii="Trebuchet MS" w:hAnsi="Trebuchet MS"/>
          <w:iCs/>
          <w:color w:val="1F4E79" w:themeColor="accent1" w:themeShade="80"/>
        </w:rPr>
      </w:pPr>
    </w:p>
    <w:p w14:paraId="4CE7A93B" w14:textId="77777777" w:rsidR="00AA4CA3" w:rsidRPr="00A94974" w:rsidRDefault="00AA4CA3" w:rsidP="00B20017">
      <w:pPr>
        <w:spacing w:before="120" w:after="120" w:line="276" w:lineRule="auto"/>
        <w:jc w:val="both"/>
        <w:rPr>
          <w:rFonts w:ascii="Trebuchet MS" w:hAnsi="Trebuchet MS"/>
          <w:iCs/>
          <w:color w:val="1F4E79" w:themeColor="accent1" w:themeShade="80"/>
        </w:rPr>
      </w:pPr>
    </w:p>
    <w:p w14:paraId="744134AE" w14:textId="10E78A84" w:rsidR="0061751F" w:rsidRPr="00A94974" w:rsidRDefault="00890888" w:rsidP="00F7542F">
      <w:pPr>
        <w:pStyle w:val="Heading3"/>
        <w:rPr>
          <w:color w:val="1F4E79" w:themeColor="accent1" w:themeShade="80"/>
        </w:rPr>
      </w:pPr>
      <w:bookmarkStart w:id="71" w:name="_Toc179368118"/>
      <w:r w:rsidRPr="00A94974">
        <w:rPr>
          <w:color w:val="1F4E79" w:themeColor="accent1" w:themeShade="80"/>
        </w:rPr>
        <w:t xml:space="preserve">5.2.3 </w:t>
      </w:r>
      <w:r w:rsidR="001D7438" w:rsidRPr="00A94974">
        <w:rPr>
          <w:color w:val="1F4E79" w:themeColor="accent1" w:themeShade="80"/>
        </w:rPr>
        <w:t>Activitatea de bază</w:t>
      </w:r>
      <w:bookmarkEnd w:id="71"/>
      <w:r w:rsidR="0061751F" w:rsidRPr="00A94974">
        <w:rPr>
          <w:color w:val="1F4E79" w:themeColor="accent1" w:themeShade="80"/>
        </w:rPr>
        <w:t xml:space="preserve">  </w:t>
      </w:r>
      <w:r w:rsidR="0061751F" w:rsidRPr="00A94974">
        <w:rPr>
          <w:color w:val="1F4E79" w:themeColor="accent1" w:themeShade="80"/>
        </w:rPr>
        <w:tab/>
      </w:r>
    </w:p>
    <w:p w14:paraId="5CA8B2E5" w14:textId="28CC828F" w:rsidR="00060847" w:rsidRPr="00A94974" w:rsidRDefault="00060847" w:rsidP="001D23B8">
      <w:p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În cadrul prezentului apel de proiecte</w:t>
      </w:r>
      <w:r w:rsidR="00ED0A2A"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w:t>
      </w:r>
      <w:r w:rsidR="00B07CC3" w:rsidRPr="00A94974">
        <w:rPr>
          <w:rFonts w:ascii="Trebuchet MS" w:hAnsi="Trebuchet MS"/>
          <w:iCs/>
          <w:color w:val="1F4E79" w:themeColor="accent1" w:themeShade="80"/>
        </w:rPr>
        <w:t>a</w:t>
      </w:r>
      <w:r w:rsidR="00C04ACA" w:rsidRPr="00A94974">
        <w:rPr>
          <w:rFonts w:ascii="Trebuchet MS" w:hAnsi="Trebuchet MS"/>
          <w:iCs/>
          <w:color w:val="1F4E79" w:themeColor="accent1" w:themeShade="80"/>
        </w:rPr>
        <w:t xml:space="preserve">ctivitatea </w:t>
      </w:r>
      <w:r w:rsidR="00B07CC3" w:rsidRPr="00A94974">
        <w:rPr>
          <w:rFonts w:ascii="Trebuchet MS" w:hAnsi="Trebuchet MS"/>
          <w:iCs/>
          <w:color w:val="1F4E79" w:themeColor="accent1" w:themeShade="80"/>
        </w:rPr>
        <w:t xml:space="preserve">obligatorie </w:t>
      </w:r>
      <w:r w:rsidRPr="00A94974">
        <w:rPr>
          <w:rFonts w:ascii="Trebuchet MS" w:hAnsi="Trebuchet MS"/>
          <w:iCs/>
          <w:color w:val="1F4E79" w:themeColor="accent1" w:themeShade="80"/>
        </w:rPr>
        <w:t>detaliat</w:t>
      </w:r>
      <w:r w:rsidR="00B07CC3"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la secțiunea 5.2.2 din prezentul Ghid al Solicitantului Condiții Specifice</w:t>
      </w:r>
      <w:r w:rsidR="00580DD0"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reprezintă activit</w:t>
      </w:r>
      <w:r w:rsidR="00B07CC3" w:rsidRPr="00A94974">
        <w:rPr>
          <w:rFonts w:ascii="Trebuchet MS" w:hAnsi="Trebuchet MS"/>
          <w:iCs/>
          <w:color w:val="1F4E79" w:themeColor="accent1" w:themeShade="80"/>
        </w:rPr>
        <w:t>ate</w:t>
      </w:r>
      <w:r w:rsidR="00A50820"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de bază</w:t>
      </w:r>
      <w:r w:rsidR="00B07CC3" w:rsidRPr="00A94974">
        <w:rPr>
          <w:rFonts w:ascii="Trebuchet MS" w:hAnsi="Trebuchet MS"/>
          <w:iCs/>
          <w:color w:val="1F4E79" w:themeColor="accent1" w:themeShade="80"/>
        </w:rPr>
        <w:t>, iar bugetul alocat acestei activități obligatorii trebuie să reprezinte minimum 50% din bugetul total eligibil al proiectului</w:t>
      </w:r>
      <w:r w:rsidR="005A5096" w:rsidRPr="00A94974">
        <w:rPr>
          <w:rStyle w:val="FootnoteReference"/>
          <w:rFonts w:ascii="Trebuchet MS" w:hAnsi="Trebuchet MS"/>
          <w:iCs/>
          <w:color w:val="1F4E79" w:themeColor="accent1" w:themeShade="80"/>
        </w:rPr>
        <w:footnoteReference w:id="3"/>
      </w:r>
      <w:r w:rsidR="00B07CC3" w:rsidRPr="00A94974">
        <w:rPr>
          <w:rFonts w:ascii="Trebuchet MS" w:hAnsi="Trebuchet MS"/>
          <w:iCs/>
          <w:color w:val="1F4E79" w:themeColor="accent1" w:themeShade="80"/>
        </w:rPr>
        <w:t>.</w:t>
      </w:r>
    </w:p>
    <w:p w14:paraId="48EB177F" w14:textId="174116F7" w:rsidR="00190C26" w:rsidRPr="00A94974" w:rsidRDefault="00190C26" w:rsidP="001D23B8">
      <w:p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Pentru fundamentarea activităților de bază, solicitantul poate atașa la cererea de finanțare </w:t>
      </w:r>
      <w:r w:rsidRPr="00A94974">
        <w:rPr>
          <w:rFonts w:ascii="Trebuchet MS" w:hAnsi="Trebuchet MS"/>
          <w:color w:val="1F4E79" w:themeColor="accent1" w:themeShade="80"/>
        </w:rPr>
        <w:t>analiza de nevoi pe baza căreia au fost fundamentate măsurile propuse la finanțare</w:t>
      </w:r>
      <w:r w:rsidRPr="00A94974">
        <w:rPr>
          <w:rFonts w:ascii="Trebuchet MS" w:hAnsi="Trebuchet MS"/>
          <w:iCs/>
          <w:color w:val="1F4E79" w:themeColor="accent1" w:themeShade="80"/>
        </w:rPr>
        <w:t>. Această analiză de nevoi este opțională, dar se punctează suplimentar.</w:t>
      </w:r>
    </w:p>
    <w:p w14:paraId="60B4DF7E" w14:textId="77777777" w:rsidR="00B25E90" w:rsidRPr="00A94974" w:rsidRDefault="00B25E90" w:rsidP="001D23B8">
      <w:pPr>
        <w:spacing w:before="120" w:after="120"/>
        <w:jc w:val="both"/>
        <w:rPr>
          <w:rFonts w:ascii="Trebuchet MS" w:hAnsi="Trebuchet MS"/>
          <w:iCs/>
          <w:color w:val="1F4E79" w:themeColor="accent1" w:themeShade="80"/>
        </w:rPr>
      </w:pPr>
    </w:p>
    <w:p w14:paraId="75B45935" w14:textId="059CC180" w:rsidR="001D7438" w:rsidRPr="00A94974" w:rsidRDefault="00890888" w:rsidP="00F7542F">
      <w:pPr>
        <w:pStyle w:val="Heading3"/>
        <w:rPr>
          <w:color w:val="1F4E79" w:themeColor="accent1" w:themeShade="80"/>
        </w:rPr>
      </w:pPr>
      <w:bookmarkStart w:id="72" w:name="_Toc179368119"/>
      <w:r w:rsidRPr="00A94974">
        <w:rPr>
          <w:color w:val="1F4E79" w:themeColor="accent1" w:themeShade="80"/>
        </w:rPr>
        <w:t xml:space="preserve">5.2.4 </w:t>
      </w:r>
      <w:r w:rsidR="001D7438" w:rsidRPr="00A94974">
        <w:rPr>
          <w:color w:val="1F4E79" w:themeColor="accent1" w:themeShade="80"/>
        </w:rPr>
        <w:t>Activități neeligibile</w:t>
      </w:r>
      <w:bookmarkEnd w:id="72"/>
      <w:r w:rsidR="001D7438" w:rsidRPr="00A94974">
        <w:rPr>
          <w:color w:val="1F4E79" w:themeColor="accent1" w:themeShade="80"/>
        </w:rPr>
        <w:t xml:space="preserve">  </w:t>
      </w:r>
      <w:r w:rsidR="001D7438" w:rsidRPr="00A94974">
        <w:rPr>
          <w:color w:val="1F4E79" w:themeColor="accent1" w:themeShade="80"/>
        </w:rPr>
        <w:tab/>
      </w:r>
    </w:p>
    <w:p w14:paraId="266F76DC" w14:textId="2C83B104" w:rsidR="00060847" w:rsidRPr="00A94974" w:rsidRDefault="00C8207B" w:rsidP="001D23B8">
      <w:pPr>
        <w:spacing w:before="120" w:after="120"/>
        <w:jc w:val="both"/>
        <w:rPr>
          <w:rFonts w:ascii="Trebuchet MS" w:hAnsi="Trebuchet MS"/>
          <w:i/>
          <w:color w:val="1F4E79" w:themeColor="accent1" w:themeShade="80"/>
        </w:rPr>
      </w:pPr>
      <w:r w:rsidRPr="00A94974">
        <w:rPr>
          <w:rFonts w:ascii="Trebuchet MS" w:hAnsi="Trebuchet MS"/>
          <w:iCs/>
          <w:color w:val="1F4E79" w:themeColor="accent1" w:themeShade="80"/>
        </w:rPr>
        <w:t xml:space="preserve">Sunt considerate neeligibile activitățile care fie nu au legătură directă cu activitățile incluse la punctul 5.2.2 din prezentul Ghid, fie nu sunt necesare pentru execuția proiectului, cu excepția activităților de tipul activități de management de proiect, de suport pentru </w:t>
      </w:r>
      <w:r w:rsidRPr="00A94974">
        <w:rPr>
          <w:rFonts w:ascii="Trebuchet MS" w:hAnsi="Trebuchet MS"/>
          <w:iCs/>
          <w:color w:val="1F4E79" w:themeColor="accent1" w:themeShade="80"/>
        </w:rPr>
        <w:lastRenderedPageBreak/>
        <w:t>managementul/coordonarea proiectului, achiziții, ITC, informare și publicitate, activități aferente cheltuielilor indirecte etc.</w:t>
      </w:r>
    </w:p>
    <w:p w14:paraId="036C7AB4" w14:textId="77777777" w:rsidR="00B25E90" w:rsidRPr="00A94974" w:rsidRDefault="00B25E90" w:rsidP="001D23B8">
      <w:pPr>
        <w:spacing w:before="120" w:after="120"/>
        <w:jc w:val="both"/>
        <w:rPr>
          <w:rFonts w:ascii="Trebuchet MS" w:eastAsiaTheme="majorEastAsia" w:hAnsi="Trebuchet MS" w:cstheme="majorBidi"/>
          <w:color w:val="1F4E79" w:themeColor="accent1" w:themeShade="80"/>
        </w:rPr>
      </w:pPr>
    </w:p>
    <w:p w14:paraId="6596B469" w14:textId="63E36A3C" w:rsidR="00566CCA" w:rsidRPr="00A94974" w:rsidRDefault="00A01A80" w:rsidP="001D23B8">
      <w:pPr>
        <w:pStyle w:val="Heading2"/>
        <w:rPr>
          <w:rFonts w:ascii="Trebuchet MS" w:hAnsi="Trebuchet MS"/>
          <w:color w:val="1F4E79" w:themeColor="accent1" w:themeShade="80"/>
          <w:sz w:val="22"/>
          <w:szCs w:val="22"/>
        </w:rPr>
      </w:pPr>
      <w:bookmarkStart w:id="73" w:name="_Toc179368120"/>
      <w:r w:rsidRPr="00A94974">
        <w:rPr>
          <w:color w:val="1F4E79" w:themeColor="accent1" w:themeShade="80"/>
        </w:rPr>
        <w:t xml:space="preserve">5.3 </w:t>
      </w:r>
      <w:r w:rsidR="00566CCA" w:rsidRPr="00A94974">
        <w:rPr>
          <w:color w:val="1F4E79" w:themeColor="accent1" w:themeShade="80"/>
        </w:rPr>
        <w:t>Eligibilitatea cheltuielilor</w:t>
      </w:r>
      <w:bookmarkEnd w:id="73"/>
      <w:r w:rsidR="00566CCA" w:rsidRPr="00A94974">
        <w:rPr>
          <w:rFonts w:ascii="Trebuchet MS" w:hAnsi="Trebuchet MS"/>
          <w:color w:val="1F4E79" w:themeColor="accent1" w:themeShade="80"/>
          <w:sz w:val="22"/>
          <w:szCs w:val="22"/>
        </w:rPr>
        <w:tab/>
      </w:r>
    </w:p>
    <w:p w14:paraId="61941209" w14:textId="6AF9436B" w:rsidR="00566CCA" w:rsidRPr="00A94974" w:rsidRDefault="00A01A80" w:rsidP="00F7542F">
      <w:pPr>
        <w:pStyle w:val="Heading3"/>
        <w:rPr>
          <w:color w:val="1F4E79" w:themeColor="accent1" w:themeShade="80"/>
        </w:rPr>
      </w:pPr>
      <w:bookmarkStart w:id="74" w:name="_Toc179368121"/>
      <w:r w:rsidRPr="00A94974">
        <w:rPr>
          <w:color w:val="1F4E79" w:themeColor="accent1" w:themeShade="80"/>
        </w:rPr>
        <w:t xml:space="preserve">5.3.1 </w:t>
      </w:r>
      <w:r w:rsidR="00566CCA" w:rsidRPr="00A94974">
        <w:rPr>
          <w:color w:val="1F4E79" w:themeColor="accent1" w:themeShade="80"/>
        </w:rPr>
        <w:t>Baza legală pentru stabilirea eligibilității cheltuielilor</w:t>
      </w:r>
      <w:bookmarkEnd w:id="74"/>
    </w:p>
    <w:p w14:paraId="0FD062AE" w14:textId="77777777" w:rsidR="00060847" w:rsidRPr="00A94974" w:rsidRDefault="00060847" w:rsidP="001D23B8">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A94974">
        <w:rPr>
          <w:rFonts w:ascii="Trebuchet MS" w:eastAsiaTheme="minorHAnsi" w:hAnsi="Trebuchet MS" w:cstheme="minorBidi"/>
          <w:iCs/>
          <w:color w:val="1F4E79" w:themeColor="accent1" w:themeShade="80"/>
          <w:sz w:val="22"/>
          <w:szCs w:val="22"/>
          <w:lang w:val="ro-RO"/>
        </w:rPr>
        <w:t>Pentru stabilirea eligibilității cheltuielilor se vor avea în vedere:</w:t>
      </w:r>
    </w:p>
    <w:p w14:paraId="107A19ED" w14:textId="44CBB5D9" w:rsidR="00EE79C8" w:rsidRPr="00A94974" w:rsidRDefault="00EE79C8" w:rsidP="00BE3FAB">
      <w:pPr>
        <w:pStyle w:val="oj-doc-ti"/>
        <w:numPr>
          <w:ilvl w:val="0"/>
          <w:numId w:val="5"/>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A94974">
        <w:rPr>
          <w:rFonts w:ascii="Trebuchet MS" w:eastAsiaTheme="minorHAnsi" w:hAnsi="Trebuchet MS" w:cstheme="minorBidi"/>
          <w:iCs/>
          <w:color w:val="1F4E79" w:themeColor="accent1" w:themeShade="80"/>
          <w:sz w:val="22"/>
          <w:szCs w:val="22"/>
          <w:lang w:val="ro-RO"/>
        </w:rPr>
        <w:t xml:space="preserve">Regulamentul (UE) </w:t>
      </w:r>
      <w:r w:rsidR="00A456CF" w:rsidRPr="00A94974">
        <w:rPr>
          <w:rFonts w:ascii="Trebuchet MS" w:eastAsiaTheme="minorHAnsi" w:hAnsi="Trebuchet MS" w:cstheme="minorBidi"/>
          <w:iCs/>
          <w:color w:val="1F4E79" w:themeColor="accent1" w:themeShade="80"/>
          <w:sz w:val="22"/>
          <w:szCs w:val="22"/>
          <w:lang w:val="ro-RO"/>
        </w:rPr>
        <w:t xml:space="preserve">nr. </w:t>
      </w:r>
      <w:r w:rsidRPr="00A94974">
        <w:rPr>
          <w:rFonts w:ascii="Trebuchet MS" w:eastAsiaTheme="minorHAnsi" w:hAnsi="Trebuchet MS" w:cstheme="minorBidi"/>
          <w:iCs/>
          <w:color w:val="1F4E79" w:themeColor="accent1" w:themeShade="80"/>
          <w:sz w:val="22"/>
          <w:szCs w:val="22"/>
          <w:lang w:val="ro-RO"/>
        </w:rPr>
        <w:t>2021/1057 al Parlamentului European și al Consiliului din 24 iunie 2021 de instituire a Fondului social european Plus (FSE+) și de abrogare a Regulamentului (UE) nr. 1296/2013;</w:t>
      </w:r>
    </w:p>
    <w:p w14:paraId="37415857" w14:textId="5A4DD0E0" w:rsidR="00EE79C8" w:rsidRPr="00A94974" w:rsidRDefault="00EE79C8" w:rsidP="00BE3FAB">
      <w:pPr>
        <w:pStyle w:val="oj-doc-ti"/>
        <w:numPr>
          <w:ilvl w:val="0"/>
          <w:numId w:val="5"/>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A94974">
        <w:rPr>
          <w:rFonts w:ascii="Trebuchet MS" w:eastAsiaTheme="minorHAnsi" w:hAnsi="Trebuchet MS" w:cstheme="minorBidi"/>
          <w:iCs/>
          <w:color w:val="1F4E79" w:themeColor="accent1" w:themeShade="80"/>
          <w:sz w:val="22"/>
          <w:szCs w:val="22"/>
          <w:lang w:val="ro-RO"/>
        </w:rPr>
        <w:t>Regulamentul (UE)</w:t>
      </w:r>
      <w:r w:rsidR="00A456CF" w:rsidRPr="00A94974">
        <w:rPr>
          <w:rFonts w:ascii="Trebuchet MS" w:eastAsiaTheme="minorHAnsi" w:hAnsi="Trebuchet MS" w:cstheme="minorBidi"/>
          <w:iCs/>
          <w:color w:val="1F4E79" w:themeColor="accent1" w:themeShade="80"/>
          <w:sz w:val="22"/>
          <w:szCs w:val="22"/>
          <w:lang w:val="ro-RO"/>
        </w:rPr>
        <w:t xml:space="preserve"> nr. </w:t>
      </w:r>
      <w:r w:rsidRPr="00A94974">
        <w:rPr>
          <w:rFonts w:ascii="Trebuchet MS" w:eastAsiaTheme="minorHAnsi" w:hAnsi="Trebuchet MS" w:cstheme="minorBidi"/>
          <w:iCs/>
          <w:color w:val="1F4E79" w:themeColor="accent1" w:themeShade="80"/>
          <w:sz w:val="22"/>
          <w:szCs w:val="22"/>
          <w:lang w:val="ro-RO"/>
        </w:rPr>
        <w:t>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E6C0C5" w14:textId="77777777" w:rsidR="00EE79C8" w:rsidRPr="00A94974" w:rsidRDefault="00EE79C8" w:rsidP="00BE3FAB">
      <w:pPr>
        <w:pStyle w:val="oj-doc-ti"/>
        <w:numPr>
          <w:ilvl w:val="0"/>
          <w:numId w:val="5"/>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proofErr w:type="spellStart"/>
      <w:r w:rsidRPr="00A94974">
        <w:rPr>
          <w:rFonts w:ascii="Trebuchet MS" w:eastAsiaTheme="minorHAnsi" w:hAnsi="Trebuchet MS" w:cstheme="minorBidi"/>
          <w:iCs/>
          <w:color w:val="1F4E79" w:themeColor="accent1" w:themeShade="80"/>
          <w:sz w:val="22"/>
          <w:szCs w:val="22"/>
          <w:lang w:val="ro-RO"/>
        </w:rPr>
        <w:t>Ordonanţă</w:t>
      </w:r>
      <w:proofErr w:type="spellEnd"/>
      <w:r w:rsidRPr="00A94974">
        <w:rPr>
          <w:rFonts w:ascii="Trebuchet MS" w:eastAsiaTheme="minorHAnsi" w:hAnsi="Trebuchet MS" w:cstheme="minorBidi"/>
          <w:iCs/>
          <w:color w:val="1F4E79" w:themeColor="accent1" w:themeShade="80"/>
          <w:sz w:val="22"/>
          <w:szCs w:val="22"/>
          <w:lang w:val="ro-RO"/>
        </w:rPr>
        <w:t xml:space="preserve"> de </w:t>
      </w:r>
      <w:proofErr w:type="spellStart"/>
      <w:r w:rsidRPr="00A94974">
        <w:rPr>
          <w:rFonts w:ascii="Trebuchet MS" w:eastAsiaTheme="minorHAnsi" w:hAnsi="Trebuchet MS" w:cstheme="minorBidi"/>
          <w:iCs/>
          <w:color w:val="1F4E79" w:themeColor="accent1" w:themeShade="80"/>
          <w:sz w:val="22"/>
          <w:szCs w:val="22"/>
          <w:lang w:val="ro-RO"/>
        </w:rPr>
        <w:t>urgenţă</w:t>
      </w:r>
      <w:proofErr w:type="spellEnd"/>
      <w:r w:rsidRPr="00A94974">
        <w:rPr>
          <w:rFonts w:ascii="Trebuchet MS" w:eastAsiaTheme="minorHAnsi" w:hAnsi="Trebuchet MS" w:cstheme="minorBidi"/>
          <w:iCs/>
          <w:color w:val="1F4E79" w:themeColor="accent1" w:themeShade="80"/>
          <w:sz w:val="22"/>
          <w:szCs w:val="22"/>
          <w:lang w:val="ro-RO"/>
        </w:rPr>
        <w:t xml:space="preserve">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A94974">
        <w:rPr>
          <w:rFonts w:ascii="Trebuchet MS" w:eastAsiaTheme="minorHAnsi" w:hAnsi="Trebuchet MS" w:cstheme="minorBidi"/>
          <w:iCs/>
          <w:color w:val="1F4E79" w:themeColor="accent1" w:themeShade="80"/>
          <w:sz w:val="22"/>
          <w:szCs w:val="22"/>
          <w:lang w:val="ro-RO"/>
        </w:rPr>
        <w:t>tranziţie</w:t>
      </w:r>
      <w:proofErr w:type="spellEnd"/>
      <w:r w:rsidRPr="00A94974">
        <w:rPr>
          <w:rFonts w:ascii="Trebuchet MS" w:eastAsiaTheme="minorHAnsi" w:hAnsi="Trebuchet MS" w:cstheme="minorBidi"/>
          <w:iCs/>
          <w:color w:val="1F4E79" w:themeColor="accent1" w:themeShade="80"/>
          <w:sz w:val="22"/>
          <w:szCs w:val="22"/>
          <w:lang w:val="ro-RO"/>
        </w:rPr>
        <w:t xml:space="preserve"> justă, cu modificările și completările ulterioare;</w:t>
      </w:r>
    </w:p>
    <w:p w14:paraId="0F7E2421" w14:textId="77777777" w:rsidR="00EE79C8" w:rsidRPr="00A94974" w:rsidRDefault="00EE79C8" w:rsidP="00BE3FAB">
      <w:pPr>
        <w:pStyle w:val="oj-doc-ti"/>
        <w:numPr>
          <w:ilvl w:val="0"/>
          <w:numId w:val="5"/>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A94974">
        <w:rPr>
          <w:rFonts w:ascii="Trebuchet MS" w:hAnsi="Trebuchet MS"/>
          <w:iCs/>
          <w:color w:val="1F4E79" w:themeColor="accent1" w:themeShade="80"/>
          <w:sz w:val="22"/>
          <w:szCs w:val="22"/>
          <w:lang w:val="ro-RO"/>
        </w:rPr>
        <w:t xml:space="preserve">Hotărâre nr. 829 din 27 iunie 2022 pentru aprobarea </w:t>
      </w:r>
      <w:hyperlink w:history="1">
        <w:r w:rsidRPr="00A94974">
          <w:rPr>
            <w:rFonts w:ascii="Trebuchet MS" w:hAnsi="Trebuchet MS"/>
            <w:iCs/>
            <w:color w:val="1F4E79" w:themeColor="accent1" w:themeShade="80"/>
            <w:sz w:val="22"/>
            <w:szCs w:val="22"/>
            <w:lang w:val="ro-RO"/>
          </w:rPr>
          <w:t>Normelor metodologice</w:t>
        </w:r>
      </w:hyperlink>
      <w:r w:rsidRPr="00A94974">
        <w:rPr>
          <w:rFonts w:ascii="Trebuchet MS" w:hAnsi="Trebuchet MS"/>
          <w:iCs/>
          <w:color w:val="1F4E79" w:themeColor="accent1" w:themeShade="80"/>
          <w:sz w:val="22"/>
          <w:szCs w:val="22"/>
          <w:lang w:val="ro-RO"/>
        </w:rPr>
        <w:t xml:space="preserve"> de aplicare a </w:t>
      </w:r>
      <w:hyperlink w:history="1">
        <w:proofErr w:type="spellStart"/>
        <w:r w:rsidRPr="00A94974">
          <w:rPr>
            <w:rFonts w:ascii="Trebuchet MS" w:hAnsi="Trebuchet MS"/>
            <w:iCs/>
            <w:color w:val="1F4E79" w:themeColor="accent1" w:themeShade="80"/>
            <w:sz w:val="22"/>
            <w:szCs w:val="22"/>
            <w:lang w:val="ro-RO"/>
          </w:rPr>
          <w:t>Ordonanţei</w:t>
        </w:r>
        <w:proofErr w:type="spellEnd"/>
        <w:r w:rsidRPr="00A94974">
          <w:rPr>
            <w:rFonts w:ascii="Trebuchet MS" w:hAnsi="Trebuchet MS"/>
            <w:iCs/>
            <w:color w:val="1F4E79" w:themeColor="accent1" w:themeShade="80"/>
            <w:sz w:val="22"/>
            <w:szCs w:val="22"/>
            <w:lang w:val="ro-RO"/>
          </w:rPr>
          <w:t xml:space="preserve"> de </w:t>
        </w:r>
        <w:proofErr w:type="spellStart"/>
        <w:r w:rsidRPr="00A94974">
          <w:rPr>
            <w:rFonts w:ascii="Trebuchet MS" w:hAnsi="Trebuchet MS"/>
            <w:iCs/>
            <w:color w:val="1F4E79" w:themeColor="accent1" w:themeShade="80"/>
            <w:sz w:val="22"/>
            <w:szCs w:val="22"/>
            <w:lang w:val="ro-RO"/>
          </w:rPr>
          <w:t>urgenţă</w:t>
        </w:r>
        <w:proofErr w:type="spellEnd"/>
        <w:r w:rsidRPr="00A94974">
          <w:rPr>
            <w:rFonts w:ascii="Trebuchet MS" w:hAnsi="Trebuchet MS"/>
            <w:iCs/>
            <w:color w:val="1F4E79" w:themeColor="accent1" w:themeShade="80"/>
            <w:sz w:val="22"/>
            <w:szCs w:val="22"/>
            <w:lang w:val="ro-RO"/>
          </w:rPr>
          <w:t xml:space="preserve"> a Guvernului nr. 133/2021</w:t>
        </w:r>
      </w:hyperlink>
      <w:r w:rsidRPr="00A94974">
        <w:rPr>
          <w:rFonts w:ascii="Trebuchet MS" w:hAnsi="Trebuchet MS"/>
          <w:iCs/>
          <w:color w:val="1F4E79" w:themeColor="accent1" w:themeShade="8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A94974">
        <w:rPr>
          <w:rFonts w:ascii="Trebuchet MS" w:hAnsi="Trebuchet MS"/>
          <w:iCs/>
          <w:color w:val="1F4E79" w:themeColor="accent1" w:themeShade="80"/>
          <w:sz w:val="22"/>
          <w:szCs w:val="22"/>
          <w:lang w:val="ro-RO"/>
        </w:rPr>
        <w:t>tranziţie</w:t>
      </w:r>
      <w:proofErr w:type="spellEnd"/>
      <w:r w:rsidRPr="00A94974">
        <w:rPr>
          <w:rFonts w:ascii="Trebuchet MS" w:hAnsi="Trebuchet MS"/>
          <w:iCs/>
          <w:color w:val="1F4E79" w:themeColor="accent1" w:themeShade="80"/>
          <w:sz w:val="22"/>
          <w:szCs w:val="22"/>
          <w:lang w:val="ro-RO"/>
        </w:rPr>
        <w:t xml:space="preserve"> justă, cu modificările și completările ulterioare;</w:t>
      </w:r>
    </w:p>
    <w:p w14:paraId="753CC24D" w14:textId="77777777" w:rsidR="00EE79C8" w:rsidRPr="00A94974" w:rsidRDefault="00EE79C8" w:rsidP="00BE3FAB">
      <w:pPr>
        <w:pStyle w:val="oj-doc-ti"/>
        <w:numPr>
          <w:ilvl w:val="0"/>
          <w:numId w:val="5"/>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A94974">
        <w:rPr>
          <w:rFonts w:ascii="Trebuchet MS" w:eastAsiaTheme="minorHAnsi" w:hAnsi="Trebuchet MS" w:cstheme="minorBidi"/>
          <w:iCs/>
          <w:color w:val="1F4E79" w:themeColor="accent1" w:themeShade="80"/>
          <w:sz w:val="22"/>
          <w:szCs w:val="22"/>
          <w:lang w:val="ro-RO"/>
        </w:rPr>
        <w:t xml:space="preserve">Hotărâre nr. 873 din 6 iulie 2022 pentru stabilirea cadrului legal privind eligibilitatea cheltuielilor efectuate de beneficiari în cadrul </w:t>
      </w:r>
      <w:proofErr w:type="spellStart"/>
      <w:r w:rsidRPr="00A94974">
        <w:rPr>
          <w:rFonts w:ascii="Trebuchet MS" w:eastAsiaTheme="minorHAnsi" w:hAnsi="Trebuchet MS" w:cstheme="minorBidi"/>
          <w:iCs/>
          <w:color w:val="1F4E79" w:themeColor="accent1" w:themeShade="80"/>
          <w:sz w:val="22"/>
          <w:szCs w:val="22"/>
          <w:lang w:val="ro-RO"/>
        </w:rPr>
        <w:t>operaţiunilor</w:t>
      </w:r>
      <w:proofErr w:type="spellEnd"/>
      <w:r w:rsidRPr="00A94974">
        <w:rPr>
          <w:rFonts w:ascii="Trebuchet MS" w:eastAsiaTheme="minorHAnsi" w:hAnsi="Trebuchet MS" w:cstheme="minorBidi"/>
          <w:iCs/>
          <w:color w:val="1F4E79" w:themeColor="accent1" w:themeShade="80"/>
          <w:sz w:val="22"/>
          <w:szCs w:val="22"/>
          <w:lang w:val="ro-RO"/>
        </w:rPr>
        <w:t xml:space="preserve"> </w:t>
      </w:r>
      <w:proofErr w:type="spellStart"/>
      <w:r w:rsidRPr="00A94974">
        <w:rPr>
          <w:rFonts w:ascii="Trebuchet MS" w:eastAsiaTheme="minorHAnsi" w:hAnsi="Trebuchet MS" w:cstheme="minorBidi"/>
          <w:iCs/>
          <w:color w:val="1F4E79" w:themeColor="accent1" w:themeShade="80"/>
          <w:sz w:val="22"/>
          <w:szCs w:val="22"/>
          <w:lang w:val="ro-RO"/>
        </w:rPr>
        <w:t>finanţate</w:t>
      </w:r>
      <w:proofErr w:type="spellEnd"/>
      <w:r w:rsidRPr="00A94974">
        <w:rPr>
          <w:rFonts w:ascii="Trebuchet MS" w:eastAsiaTheme="minorHAnsi" w:hAnsi="Trebuchet MS" w:cstheme="minorBidi"/>
          <w:iCs/>
          <w:color w:val="1F4E79" w:themeColor="accent1" w:themeShade="80"/>
          <w:sz w:val="22"/>
          <w:szCs w:val="22"/>
          <w:lang w:val="ro-RO"/>
        </w:rPr>
        <w:t xml:space="preserve"> în perioada de programare 2021-2027 prin Fondul european de dezvoltare regională, Fondul social european Plus, Fondul de coeziune </w:t>
      </w:r>
      <w:proofErr w:type="spellStart"/>
      <w:r w:rsidRPr="00A94974">
        <w:rPr>
          <w:rFonts w:ascii="Trebuchet MS" w:eastAsiaTheme="minorHAnsi" w:hAnsi="Trebuchet MS" w:cstheme="minorBidi"/>
          <w:iCs/>
          <w:color w:val="1F4E79" w:themeColor="accent1" w:themeShade="80"/>
          <w:sz w:val="22"/>
          <w:szCs w:val="22"/>
          <w:lang w:val="ro-RO"/>
        </w:rPr>
        <w:t>şi</w:t>
      </w:r>
      <w:proofErr w:type="spellEnd"/>
      <w:r w:rsidRPr="00A94974">
        <w:rPr>
          <w:rFonts w:ascii="Trebuchet MS" w:eastAsiaTheme="minorHAnsi" w:hAnsi="Trebuchet MS" w:cstheme="minorBidi"/>
          <w:iCs/>
          <w:color w:val="1F4E79" w:themeColor="accent1" w:themeShade="80"/>
          <w:sz w:val="22"/>
          <w:szCs w:val="22"/>
          <w:lang w:val="ro-RO"/>
        </w:rPr>
        <w:t xml:space="preserve"> Fondul pentru o </w:t>
      </w:r>
      <w:proofErr w:type="spellStart"/>
      <w:r w:rsidRPr="00A94974">
        <w:rPr>
          <w:rFonts w:ascii="Trebuchet MS" w:eastAsiaTheme="minorHAnsi" w:hAnsi="Trebuchet MS" w:cstheme="minorBidi"/>
          <w:iCs/>
          <w:color w:val="1F4E79" w:themeColor="accent1" w:themeShade="80"/>
          <w:sz w:val="22"/>
          <w:szCs w:val="22"/>
          <w:lang w:val="ro-RO"/>
        </w:rPr>
        <w:t>tranziţie</w:t>
      </w:r>
      <w:proofErr w:type="spellEnd"/>
      <w:r w:rsidRPr="00A94974">
        <w:rPr>
          <w:rFonts w:ascii="Trebuchet MS" w:eastAsiaTheme="minorHAnsi" w:hAnsi="Trebuchet MS" w:cstheme="minorBidi"/>
          <w:iCs/>
          <w:color w:val="1F4E79" w:themeColor="accent1" w:themeShade="80"/>
          <w:sz w:val="22"/>
          <w:szCs w:val="22"/>
          <w:lang w:val="ro-RO"/>
        </w:rPr>
        <w:t xml:space="preserve"> justă.</w:t>
      </w:r>
    </w:p>
    <w:p w14:paraId="51159175" w14:textId="77777777" w:rsidR="00C676A9" w:rsidRPr="00A94974" w:rsidRDefault="00C676A9" w:rsidP="001D23B8">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p>
    <w:p w14:paraId="360B3178" w14:textId="6654917A" w:rsidR="001D7438" w:rsidRPr="00A94974" w:rsidRDefault="00A01A80" w:rsidP="00F7542F">
      <w:pPr>
        <w:pStyle w:val="Heading3"/>
        <w:rPr>
          <w:color w:val="1F4E79" w:themeColor="accent1" w:themeShade="80"/>
        </w:rPr>
      </w:pPr>
      <w:bookmarkStart w:id="75" w:name="_Toc179368122"/>
      <w:r w:rsidRPr="00A94974">
        <w:rPr>
          <w:color w:val="1F4E79" w:themeColor="accent1" w:themeShade="80"/>
        </w:rPr>
        <w:t xml:space="preserve">5.3.2 </w:t>
      </w:r>
      <w:r w:rsidR="001D7438" w:rsidRPr="00A94974">
        <w:rPr>
          <w:color w:val="1F4E79" w:themeColor="accent1" w:themeShade="80"/>
        </w:rPr>
        <w:t xml:space="preserve">Categorii </w:t>
      </w:r>
      <w:r w:rsidR="00D87653" w:rsidRPr="00A94974">
        <w:rPr>
          <w:color w:val="1F4E79" w:themeColor="accent1" w:themeShade="80"/>
        </w:rPr>
        <w:t xml:space="preserve">și plafoane </w:t>
      </w:r>
      <w:r w:rsidR="001D7438" w:rsidRPr="00A94974">
        <w:rPr>
          <w:color w:val="1F4E79" w:themeColor="accent1" w:themeShade="80"/>
        </w:rPr>
        <w:t>de cheltuieli eligibile</w:t>
      </w:r>
      <w:bookmarkEnd w:id="75"/>
    </w:p>
    <w:p w14:paraId="03F65B7E" w14:textId="77777777" w:rsidR="005758D7" w:rsidRPr="00A94974" w:rsidRDefault="005758D7" w:rsidP="001D23B8">
      <w:pPr>
        <w:tabs>
          <w:tab w:val="left" w:pos="709"/>
        </w:tabs>
        <w:spacing w:after="0" w:line="276" w:lineRule="auto"/>
        <w:jc w:val="both"/>
        <w:rPr>
          <w:rFonts w:ascii="Trebuchet MS" w:hAnsi="Trebuchet MS"/>
          <w:i/>
          <w:color w:val="1F4E79" w:themeColor="accent1" w:themeShade="80"/>
        </w:rPr>
      </w:pPr>
      <w:r w:rsidRPr="00A94974">
        <w:rPr>
          <w:rFonts w:ascii="Trebuchet MS" w:hAnsi="Trebuchet MS"/>
          <w:i/>
          <w:color w:val="1F4E79" w:themeColor="accent1" w:themeShade="80"/>
        </w:rPr>
        <w:t>Listă privind încadrarea cheltuielilor aferente proiectului în categoriile/subcategoriile de cheltuieli conform MySMIS2021+:</w:t>
      </w:r>
    </w:p>
    <w:p w14:paraId="5DA9F1AB" w14:textId="77777777" w:rsidR="00CC2787" w:rsidRPr="00A94974" w:rsidRDefault="00CC2787" w:rsidP="001D23B8">
      <w:pPr>
        <w:tabs>
          <w:tab w:val="left" w:pos="709"/>
        </w:tabs>
        <w:spacing w:after="0" w:line="276" w:lineRule="auto"/>
        <w:jc w:val="both"/>
        <w:rPr>
          <w:rFonts w:ascii="Trebuchet MS" w:hAnsi="Trebuchet MS"/>
          <w:i/>
          <w:color w:val="1F4E79" w:themeColor="accent1" w:themeShade="80"/>
        </w:rPr>
      </w:pPr>
    </w:p>
    <w:tbl>
      <w:tblPr>
        <w:tblStyle w:val="TableGrid"/>
        <w:tblW w:w="5136"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4A0" w:firstRow="1" w:lastRow="0" w:firstColumn="1" w:lastColumn="0" w:noHBand="0" w:noVBand="1"/>
      </w:tblPr>
      <w:tblGrid>
        <w:gridCol w:w="1322"/>
        <w:gridCol w:w="2838"/>
        <w:gridCol w:w="5486"/>
        <w:gridCol w:w="6"/>
      </w:tblGrid>
      <w:tr w:rsidR="00A94974" w:rsidRPr="00A94974" w14:paraId="1246F155" w14:textId="77777777" w:rsidTr="5B8D767C">
        <w:trPr>
          <w:tblHeader/>
        </w:trPr>
        <w:tc>
          <w:tcPr>
            <w:tcW w:w="5000" w:type="pct"/>
            <w:gridSpan w:val="4"/>
            <w:shd w:val="clear" w:color="auto" w:fill="BDD6EE" w:themeFill="accent1" w:themeFillTint="66"/>
            <w:vAlign w:val="center"/>
          </w:tcPr>
          <w:p w14:paraId="1C5F6233" w14:textId="77777777" w:rsidR="00CC2787" w:rsidRPr="00A94974" w:rsidRDefault="00CC2787" w:rsidP="0051610E">
            <w:pPr>
              <w:rPr>
                <w:rFonts w:ascii="Trebuchet MS" w:hAnsi="Trebuchet MS"/>
                <w:b/>
                <w:color w:val="1F4E79" w:themeColor="accent1" w:themeShade="80"/>
                <w:sz w:val="20"/>
                <w:szCs w:val="20"/>
              </w:rPr>
            </w:pPr>
            <w:r w:rsidRPr="00A94974">
              <w:rPr>
                <w:rFonts w:ascii="Trebuchet MS" w:hAnsi="Trebuchet MS"/>
                <w:b/>
                <w:color w:val="1F4E79" w:themeColor="accent1" w:themeShade="80"/>
                <w:sz w:val="20"/>
                <w:szCs w:val="20"/>
              </w:rPr>
              <w:t>Cheltuielile eligibile</w:t>
            </w:r>
            <w:r w:rsidRPr="00A94974">
              <w:rPr>
                <w:rFonts w:ascii="Trebuchet MS" w:hAnsi="Trebuchet MS"/>
                <w:color w:val="1F4E79" w:themeColor="accent1" w:themeShade="80"/>
                <w:sz w:val="20"/>
                <w:szCs w:val="20"/>
              </w:rPr>
              <w:t xml:space="preserve"> </w:t>
            </w:r>
            <w:r w:rsidRPr="00A94974">
              <w:rPr>
                <w:rFonts w:ascii="Trebuchet MS" w:hAnsi="Trebuchet MS"/>
                <w:b/>
                <w:color w:val="1F4E79" w:themeColor="accent1" w:themeShade="80"/>
                <w:sz w:val="20"/>
                <w:szCs w:val="20"/>
              </w:rPr>
              <w:t xml:space="preserve">directe </w:t>
            </w:r>
            <w:r w:rsidRPr="00A94974">
              <w:rPr>
                <w:rFonts w:ascii="Trebuchet MS" w:hAnsi="Trebuchet MS"/>
                <w:color w:val="1F4E79" w:themeColor="accent1" w:themeShade="80"/>
                <w:sz w:val="20"/>
                <w:szCs w:val="20"/>
              </w:rPr>
              <w:t>reprezintă cheltuieli care pot fi atribuite unei anumite activități individuale din cadrul proiectului și pentru care este demonstrată legătura cu activitatea/subactivitatea în cauză</w:t>
            </w:r>
          </w:p>
        </w:tc>
      </w:tr>
      <w:tr w:rsidR="00A94974" w:rsidRPr="00A94974" w14:paraId="3496B632" w14:textId="77777777" w:rsidTr="5B8D767C">
        <w:trPr>
          <w:gridAfter w:val="1"/>
          <w:wAfter w:w="3" w:type="pct"/>
          <w:tblHeader/>
        </w:trPr>
        <w:tc>
          <w:tcPr>
            <w:tcW w:w="685" w:type="pct"/>
            <w:shd w:val="clear" w:color="auto" w:fill="BDD6EE" w:themeFill="accent1" w:themeFillTint="66"/>
            <w:vAlign w:val="center"/>
          </w:tcPr>
          <w:p w14:paraId="46A50333" w14:textId="77777777" w:rsidR="00CC2787" w:rsidRPr="00A94974" w:rsidRDefault="00CC2787" w:rsidP="0051610E">
            <w:pPr>
              <w:rPr>
                <w:rFonts w:ascii="Trebuchet MS" w:hAnsi="Trebuchet MS"/>
                <w:b/>
                <w:bCs/>
                <w:color w:val="1F4E79" w:themeColor="accent1" w:themeShade="80"/>
                <w:sz w:val="20"/>
                <w:szCs w:val="20"/>
              </w:rPr>
            </w:pPr>
            <w:r w:rsidRPr="00A94974">
              <w:rPr>
                <w:rFonts w:ascii="Trebuchet MS" w:hAnsi="Trebuchet MS"/>
                <w:b/>
                <w:bCs/>
                <w:color w:val="1F4E79" w:themeColor="accent1" w:themeShade="80"/>
                <w:sz w:val="20"/>
                <w:szCs w:val="20"/>
              </w:rPr>
              <w:t>Categorie MySMIS</w:t>
            </w:r>
          </w:p>
        </w:tc>
        <w:tc>
          <w:tcPr>
            <w:tcW w:w="1470" w:type="pct"/>
            <w:shd w:val="clear" w:color="auto" w:fill="BDD6EE" w:themeFill="accent1" w:themeFillTint="66"/>
            <w:vAlign w:val="center"/>
          </w:tcPr>
          <w:p w14:paraId="437893A5" w14:textId="77777777" w:rsidR="00CC2787" w:rsidRPr="00A94974" w:rsidRDefault="00CC2787" w:rsidP="0051610E">
            <w:pPr>
              <w:rPr>
                <w:rFonts w:ascii="Trebuchet MS" w:hAnsi="Trebuchet MS"/>
                <w:b/>
                <w:bCs/>
                <w:color w:val="1F4E79" w:themeColor="accent1" w:themeShade="80"/>
                <w:sz w:val="20"/>
                <w:szCs w:val="20"/>
              </w:rPr>
            </w:pPr>
            <w:r w:rsidRPr="00A94974">
              <w:rPr>
                <w:rFonts w:ascii="Trebuchet MS" w:hAnsi="Trebuchet MS"/>
                <w:b/>
                <w:bCs/>
                <w:color w:val="1F4E79" w:themeColor="accent1" w:themeShade="80"/>
                <w:sz w:val="20"/>
                <w:szCs w:val="20"/>
              </w:rPr>
              <w:t>Subcategorie MySMIS</w:t>
            </w:r>
          </w:p>
        </w:tc>
        <w:tc>
          <w:tcPr>
            <w:tcW w:w="2842" w:type="pct"/>
            <w:shd w:val="clear" w:color="auto" w:fill="BDD6EE" w:themeFill="accent1" w:themeFillTint="66"/>
            <w:vAlign w:val="center"/>
          </w:tcPr>
          <w:p w14:paraId="03C4EBCC" w14:textId="77777777" w:rsidR="00CC2787" w:rsidRPr="00A94974" w:rsidRDefault="00CC2787" w:rsidP="0051610E">
            <w:pPr>
              <w:rPr>
                <w:rFonts w:ascii="Trebuchet MS" w:hAnsi="Trebuchet MS"/>
                <w:b/>
                <w:bCs/>
                <w:color w:val="1F4E79" w:themeColor="accent1" w:themeShade="80"/>
                <w:sz w:val="20"/>
                <w:szCs w:val="20"/>
              </w:rPr>
            </w:pPr>
            <w:r w:rsidRPr="00A94974">
              <w:rPr>
                <w:rFonts w:ascii="Trebuchet MS" w:hAnsi="Trebuchet MS"/>
                <w:b/>
                <w:bCs/>
                <w:color w:val="1F4E79" w:themeColor="accent1" w:themeShade="80"/>
                <w:sz w:val="20"/>
                <w:szCs w:val="20"/>
              </w:rPr>
              <w:t>Subcategoria (descrierea cheltuielii) conține:</w:t>
            </w:r>
          </w:p>
        </w:tc>
      </w:tr>
      <w:tr w:rsidR="00A94974" w:rsidRPr="00A94974" w14:paraId="1783E6E3" w14:textId="77777777" w:rsidTr="5B8D767C">
        <w:trPr>
          <w:gridAfter w:val="1"/>
          <w:wAfter w:w="3" w:type="pct"/>
          <w:trHeight w:val="352"/>
        </w:trPr>
        <w:tc>
          <w:tcPr>
            <w:tcW w:w="685" w:type="pct"/>
            <w:vMerge w:val="restart"/>
            <w:shd w:val="clear" w:color="auto" w:fill="auto"/>
            <w:vAlign w:val="center"/>
          </w:tcPr>
          <w:p w14:paraId="14D861C7"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aferente</w:t>
            </w:r>
          </w:p>
          <w:p w14:paraId="4C2BB8F4"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Managementului de proiect</w:t>
            </w:r>
          </w:p>
        </w:tc>
        <w:tc>
          <w:tcPr>
            <w:tcW w:w="1470" w:type="pct"/>
            <w:vAlign w:val="center"/>
          </w:tcPr>
          <w:p w14:paraId="4463422E"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Cheltuielile salariale aferente liderului de parteneriat/partener unic (managerul de proiect, responsabil financiar și, opțional, responsabil achiziții publice și asistent manager</w:t>
            </w:r>
          </w:p>
        </w:tc>
        <w:tc>
          <w:tcPr>
            <w:tcW w:w="2842" w:type="pct"/>
            <w:vAlign w:val="center"/>
          </w:tcPr>
          <w:p w14:paraId="2EEEBAE0"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Salarii manager de proiect, responsabil financiar și opțional, responsabil achiziții publice și asistent manager;</w:t>
            </w:r>
          </w:p>
        </w:tc>
      </w:tr>
      <w:tr w:rsidR="00A94974" w:rsidRPr="00A94974" w14:paraId="211C75A4" w14:textId="77777777" w:rsidTr="5B8D767C">
        <w:trPr>
          <w:gridAfter w:val="1"/>
          <w:wAfter w:w="3" w:type="pct"/>
          <w:trHeight w:val="833"/>
        </w:trPr>
        <w:tc>
          <w:tcPr>
            <w:tcW w:w="685" w:type="pct"/>
            <w:vMerge/>
            <w:vAlign w:val="center"/>
          </w:tcPr>
          <w:p w14:paraId="3A3D5F31" w14:textId="77777777" w:rsidR="00CC2787" w:rsidRPr="00A94974" w:rsidRDefault="00CC2787" w:rsidP="0051610E">
            <w:pPr>
              <w:jc w:val="both"/>
              <w:rPr>
                <w:rFonts w:ascii="Trebuchet MS" w:hAnsi="Trebuchet MS"/>
                <w:color w:val="1F4E79" w:themeColor="accent1" w:themeShade="80"/>
                <w:sz w:val="20"/>
                <w:szCs w:val="20"/>
              </w:rPr>
            </w:pPr>
          </w:p>
        </w:tc>
        <w:tc>
          <w:tcPr>
            <w:tcW w:w="1470" w:type="pct"/>
            <w:vAlign w:val="center"/>
          </w:tcPr>
          <w:p w14:paraId="5F79B4A3"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 xml:space="preserve">Cheltuielile salariale aferente partenerului (coordonator de proiect din partea partenerului, </w:t>
            </w:r>
            <w:r w:rsidRPr="00A94974">
              <w:rPr>
                <w:rFonts w:ascii="Trebuchet MS" w:hAnsi="Trebuchet MS"/>
                <w:color w:val="1F4E79" w:themeColor="accent1" w:themeShade="80"/>
                <w:sz w:val="20"/>
                <w:szCs w:val="20"/>
              </w:rPr>
              <w:lastRenderedPageBreak/>
              <w:t>responsabil financiar și, opțional, responsabilul de achiziții publice și asistent manager)</w:t>
            </w:r>
          </w:p>
        </w:tc>
        <w:tc>
          <w:tcPr>
            <w:tcW w:w="2842" w:type="pct"/>
            <w:vAlign w:val="center"/>
          </w:tcPr>
          <w:p w14:paraId="5B13C940"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lastRenderedPageBreak/>
              <w:t>Salarii coordonator de proiect din partea partenerului, responsabil financiar și opțional, responsabilul de achiziții publice și asistent manager;</w:t>
            </w:r>
          </w:p>
        </w:tc>
      </w:tr>
      <w:tr w:rsidR="00A94974" w:rsidRPr="00A94974" w14:paraId="53AA9ADC" w14:textId="77777777" w:rsidTr="5B8D767C">
        <w:trPr>
          <w:gridAfter w:val="1"/>
          <w:wAfter w:w="3" w:type="pct"/>
          <w:trHeight w:val="532"/>
        </w:trPr>
        <w:tc>
          <w:tcPr>
            <w:tcW w:w="685" w:type="pct"/>
            <w:shd w:val="clear" w:color="auto" w:fill="auto"/>
            <w:vAlign w:val="center"/>
          </w:tcPr>
          <w:p w14:paraId="5BD9E2CD"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salariale</w:t>
            </w:r>
          </w:p>
        </w:tc>
        <w:tc>
          <w:tcPr>
            <w:tcW w:w="1470" w:type="pct"/>
            <w:vAlign w:val="center"/>
          </w:tcPr>
          <w:p w14:paraId="50DEC496"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salariale cu personalul</w:t>
            </w:r>
          </w:p>
          <w:p w14:paraId="0D28A0D6"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implicat în implementarea proiectului (în derularea activităților, altele decât management de proiect)</w:t>
            </w:r>
          </w:p>
        </w:tc>
        <w:tc>
          <w:tcPr>
            <w:tcW w:w="2842" w:type="pct"/>
            <w:vAlign w:val="center"/>
          </w:tcPr>
          <w:p w14:paraId="6AAEEC42"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Salarii pentru personalul implicat în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A94974" w:rsidRPr="00A94974" w14:paraId="36C6C1C6" w14:textId="77777777" w:rsidTr="5B8D767C">
        <w:trPr>
          <w:gridAfter w:val="1"/>
          <w:wAfter w:w="3" w:type="pct"/>
          <w:trHeight w:val="833"/>
        </w:trPr>
        <w:tc>
          <w:tcPr>
            <w:tcW w:w="685" w:type="pct"/>
            <w:shd w:val="clear" w:color="auto" w:fill="auto"/>
            <w:vAlign w:val="center"/>
          </w:tcPr>
          <w:p w14:paraId="5303BF90"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salariale</w:t>
            </w:r>
          </w:p>
        </w:tc>
        <w:tc>
          <w:tcPr>
            <w:tcW w:w="1470" w:type="pct"/>
            <w:vAlign w:val="center"/>
          </w:tcPr>
          <w:p w14:paraId="51D8E8C1"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Contribuții sociale aferente</w:t>
            </w:r>
          </w:p>
          <w:p w14:paraId="09660E1B"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cheltuielilor salariale și cheltuielilor asimilate acestora (contribuții angajați și angajatori)</w:t>
            </w:r>
          </w:p>
        </w:tc>
        <w:tc>
          <w:tcPr>
            <w:tcW w:w="2842" w:type="pct"/>
            <w:vAlign w:val="center"/>
          </w:tcPr>
          <w:p w14:paraId="2B37DB0E"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Contribuții angajat și angajator pentru manager de proiect, responsabil financiar, opțional responsabil achiziții publice și asistent manager,</w:t>
            </w:r>
          </w:p>
          <w:p w14:paraId="18DB793C"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Contribuții angajați și angajatori pentru personalul implicat în implementarea proiectului altele decât management de proiect;</w:t>
            </w:r>
          </w:p>
        </w:tc>
      </w:tr>
      <w:tr w:rsidR="00A94974" w:rsidRPr="00A94974" w14:paraId="02B6A630" w14:textId="77777777" w:rsidTr="5B8D767C">
        <w:trPr>
          <w:gridAfter w:val="1"/>
          <w:wAfter w:w="3" w:type="pct"/>
          <w:trHeight w:val="833"/>
        </w:trPr>
        <w:tc>
          <w:tcPr>
            <w:tcW w:w="685" w:type="pct"/>
            <w:shd w:val="clear" w:color="auto" w:fill="auto"/>
            <w:vAlign w:val="center"/>
          </w:tcPr>
          <w:p w14:paraId="47669A42" w14:textId="50C613D7" w:rsidR="0020790F" w:rsidRPr="00A94974" w:rsidRDefault="0020790F" w:rsidP="0020790F">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salariale</w:t>
            </w:r>
          </w:p>
        </w:tc>
        <w:tc>
          <w:tcPr>
            <w:tcW w:w="1470" w:type="pct"/>
          </w:tcPr>
          <w:p w14:paraId="4638A148" w14:textId="35316E20" w:rsidR="0020790F" w:rsidRPr="00A94974" w:rsidRDefault="0020790F" w:rsidP="0020790F">
            <w:pPr>
              <w:jc w:val="both"/>
              <w:rPr>
                <w:rFonts w:ascii="Trebuchet MS" w:hAnsi="Trebuchet MS"/>
                <w:color w:val="1F4E79" w:themeColor="accent1" w:themeShade="80"/>
                <w:sz w:val="20"/>
                <w:szCs w:val="20"/>
              </w:rPr>
            </w:pPr>
            <w:r w:rsidRPr="00A94974">
              <w:rPr>
                <w:rFonts w:ascii="Trebuchet MS" w:hAnsi="Trebuchet MS"/>
                <w:color w:val="1F4E79" w:themeColor="accent1" w:themeShade="80"/>
              </w:rPr>
              <w:t>Onorarii/venituri asimilate salariilor pentru experți proprii/cooptați</w:t>
            </w:r>
          </w:p>
        </w:tc>
        <w:tc>
          <w:tcPr>
            <w:tcW w:w="2842" w:type="pct"/>
          </w:tcPr>
          <w:p w14:paraId="05900FB1" w14:textId="445A97F1" w:rsidR="0020790F" w:rsidRPr="00A94974" w:rsidRDefault="0020790F" w:rsidP="0020790F">
            <w:pPr>
              <w:jc w:val="both"/>
              <w:rPr>
                <w:rFonts w:ascii="Trebuchet MS" w:hAnsi="Trebuchet MS"/>
                <w:color w:val="1F4E79" w:themeColor="accent1" w:themeShade="80"/>
                <w:sz w:val="20"/>
                <w:szCs w:val="20"/>
              </w:rPr>
            </w:pPr>
            <w:r w:rsidRPr="00A94974">
              <w:rPr>
                <w:rFonts w:ascii="Trebuchet MS" w:hAnsi="Trebuchet MS"/>
                <w:color w:val="1F4E79" w:themeColor="accent1" w:themeShade="80"/>
              </w:rPr>
              <w:t>Onorarii/venituri asimilate salariilor pentru experți proprii/cooptați</w:t>
            </w:r>
          </w:p>
        </w:tc>
      </w:tr>
      <w:tr w:rsidR="00A94974" w:rsidRPr="00A94974" w14:paraId="4BE93352" w14:textId="77777777" w:rsidTr="5B8D767C">
        <w:trPr>
          <w:gridAfter w:val="1"/>
          <w:wAfter w:w="3" w:type="pct"/>
          <w:trHeight w:val="558"/>
        </w:trPr>
        <w:tc>
          <w:tcPr>
            <w:tcW w:w="685" w:type="pct"/>
            <w:vMerge w:val="restart"/>
            <w:shd w:val="clear" w:color="auto" w:fill="auto"/>
            <w:vAlign w:val="center"/>
          </w:tcPr>
          <w:p w14:paraId="02048DA5"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deplasarea</w:t>
            </w:r>
          </w:p>
        </w:tc>
        <w:tc>
          <w:tcPr>
            <w:tcW w:w="1470" w:type="pct"/>
            <w:vAlign w:val="center"/>
          </w:tcPr>
          <w:p w14:paraId="03BA95B6"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deplasarea pentru personal propriu și experți implicați în implementarea proiectului</w:t>
            </w:r>
          </w:p>
        </w:tc>
        <w:tc>
          <w:tcPr>
            <w:tcW w:w="2842" w:type="pct"/>
            <w:vAlign w:val="center"/>
          </w:tcPr>
          <w:p w14:paraId="280E2563"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pentru cazare, inclusiv manager proiect și coordonator proiect partener,</w:t>
            </w:r>
          </w:p>
          <w:p w14:paraId="41BD0F43"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diurna personalului propriu, inclusiv manager proiect și coordonator proiect partener.</w:t>
            </w:r>
          </w:p>
          <w:p w14:paraId="0CFF52CD"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pentru transport, inclusiv manager proiect și coordonator proiect partener (inclusiv transportul efectuat cu mijloacele de transport în comun sau taxi, gară, autogară sau port și locul delegării ori locul de cazare, precum și transportul efectuat pe distanta dintre locul de cazare și locul delegării),</w:t>
            </w:r>
          </w:p>
          <w:p w14:paraId="3A1828FD"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Taxe și asigurări de călătorie și asigurări medicale aferente deplasării;</w:t>
            </w:r>
          </w:p>
        </w:tc>
      </w:tr>
      <w:tr w:rsidR="00A94974" w:rsidRPr="00A94974" w14:paraId="417ABBA5" w14:textId="77777777" w:rsidTr="5B8D767C">
        <w:trPr>
          <w:gridAfter w:val="1"/>
          <w:wAfter w:w="3" w:type="pct"/>
          <w:trHeight w:val="833"/>
        </w:trPr>
        <w:tc>
          <w:tcPr>
            <w:tcW w:w="685" w:type="pct"/>
            <w:vMerge/>
            <w:vAlign w:val="center"/>
          </w:tcPr>
          <w:p w14:paraId="4C62C095" w14:textId="77777777" w:rsidR="00CC2787" w:rsidRPr="00A94974" w:rsidRDefault="00CC2787" w:rsidP="0051610E">
            <w:pPr>
              <w:jc w:val="both"/>
              <w:rPr>
                <w:rFonts w:ascii="Trebuchet MS" w:hAnsi="Trebuchet MS"/>
                <w:color w:val="1F4E79" w:themeColor="accent1" w:themeShade="80"/>
                <w:sz w:val="20"/>
                <w:szCs w:val="20"/>
              </w:rPr>
            </w:pPr>
          </w:p>
        </w:tc>
        <w:tc>
          <w:tcPr>
            <w:tcW w:w="1470" w:type="pct"/>
            <w:vAlign w:val="center"/>
          </w:tcPr>
          <w:p w14:paraId="0382EE46"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deplasarea pentru participanți – grup țintă</w:t>
            </w:r>
          </w:p>
        </w:tc>
        <w:tc>
          <w:tcPr>
            <w:tcW w:w="2842" w:type="pct"/>
            <w:vAlign w:val="center"/>
          </w:tcPr>
          <w:p w14:paraId="50FB943F"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pentru cazare,</w:t>
            </w:r>
          </w:p>
          <w:p w14:paraId="5E732427"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023EE242"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Taxe și asigurări de călătorie și asigurări medicale aferente deplasării;</w:t>
            </w:r>
          </w:p>
        </w:tc>
      </w:tr>
      <w:tr w:rsidR="00A94974" w:rsidRPr="00A94974" w14:paraId="5F5DCC98" w14:textId="77777777" w:rsidTr="5B8D767C">
        <w:trPr>
          <w:gridAfter w:val="1"/>
          <w:wAfter w:w="3" w:type="pct"/>
          <w:trHeight w:val="833"/>
        </w:trPr>
        <w:tc>
          <w:tcPr>
            <w:tcW w:w="685" w:type="pct"/>
            <w:vMerge w:val="restart"/>
            <w:shd w:val="clear" w:color="auto" w:fill="auto"/>
            <w:vAlign w:val="center"/>
          </w:tcPr>
          <w:p w14:paraId="11F32713"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servicii</w:t>
            </w:r>
          </w:p>
        </w:tc>
        <w:tc>
          <w:tcPr>
            <w:tcW w:w="1470" w:type="pct"/>
            <w:vAlign w:val="center"/>
          </w:tcPr>
          <w:p w14:paraId="382EB7AE"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pentru consultanță și expertiză</w:t>
            </w:r>
          </w:p>
        </w:tc>
        <w:tc>
          <w:tcPr>
            <w:tcW w:w="2842" w:type="pct"/>
            <w:vAlign w:val="center"/>
          </w:tcPr>
          <w:p w14:paraId="73495564"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aferente diverselor achiziții de servicii specializate, pentru care solicitantul/partenerii nu au expertiza necesară</w:t>
            </w:r>
          </w:p>
        </w:tc>
      </w:tr>
      <w:tr w:rsidR="00A94974" w:rsidRPr="00A94974" w14:paraId="1E66118B" w14:textId="77777777" w:rsidTr="5B8D767C">
        <w:trPr>
          <w:gridAfter w:val="1"/>
          <w:wAfter w:w="3" w:type="pct"/>
          <w:trHeight w:val="833"/>
        </w:trPr>
        <w:tc>
          <w:tcPr>
            <w:tcW w:w="685" w:type="pct"/>
            <w:vMerge/>
            <w:vAlign w:val="center"/>
          </w:tcPr>
          <w:p w14:paraId="2C7ED962" w14:textId="77777777" w:rsidR="00CC2787" w:rsidRPr="00A94974" w:rsidRDefault="00CC2787" w:rsidP="0051610E">
            <w:pPr>
              <w:jc w:val="both"/>
              <w:rPr>
                <w:rFonts w:ascii="Trebuchet MS" w:hAnsi="Trebuchet MS"/>
                <w:color w:val="1F4E79" w:themeColor="accent1" w:themeShade="80"/>
                <w:sz w:val="20"/>
                <w:szCs w:val="20"/>
              </w:rPr>
            </w:pPr>
          </w:p>
        </w:tc>
        <w:tc>
          <w:tcPr>
            <w:tcW w:w="1470" w:type="pct"/>
            <w:vAlign w:val="center"/>
          </w:tcPr>
          <w:p w14:paraId="1966493D" w14:textId="3D103B88"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 xml:space="preserve">Cheltuieli cu servicii pentru organizarea de evenimente </w:t>
            </w:r>
          </w:p>
        </w:tc>
        <w:tc>
          <w:tcPr>
            <w:tcW w:w="2842" w:type="pct"/>
            <w:vAlign w:val="center"/>
          </w:tcPr>
          <w:p w14:paraId="04146B53" w14:textId="077EED31"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 xml:space="preserve">Servicii de organizare evenimente cu grupul țintă sau în beneficiul grupului țintă, pachete complete conținând transport și cazare a participanților, grupului țintă și/sau a personalului propriu, servicii de sonorizare, interpretariat, servicii de editare și tipărirea de materiale publicitare </w:t>
            </w:r>
            <w:r w:rsidRPr="00A94974">
              <w:rPr>
                <w:rFonts w:ascii="Trebuchet MS" w:hAnsi="Trebuchet MS"/>
                <w:color w:val="1F4E79" w:themeColor="accent1" w:themeShade="80"/>
                <w:sz w:val="20"/>
                <w:szCs w:val="20"/>
              </w:rPr>
              <w:lastRenderedPageBreak/>
              <w:t>destinate grupului țintă, cheltuieli necesare pentru identificarea nevoilor grupului țintă/comunităților etc.;</w:t>
            </w:r>
          </w:p>
        </w:tc>
      </w:tr>
      <w:tr w:rsidR="00A94974" w:rsidRPr="00A94974" w14:paraId="7799E571" w14:textId="77777777" w:rsidTr="5B8D767C">
        <w:trPr>
          <w:gridAfter w:val="1"/>
          <w:wAfter w:w="3" w:type="pct"/>
          <w:trHeight w:val="833"/>
        </w:trPr>
        <w:tc>
          <w:tcPr>
            <w:tcW w:w="685" w:type="pct"/>
            <w:shd w:val="clear" w:color="auto" w:fill="auto"/>
            <w:vAlign w:val="center"/>
          </w:tcPr>
          <w:p w14:paraId="4CBBB26C"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lastRenderedPageBreak/>
              <w:t>Cheltuieli cu taxe/abonamente/cotizații/acorduri/autorizații necesare pentru implementarea proiectului</w:t>
            </w:r>
          </w:p>
        </w:tc>
        <w:tc>
          <w:tcPr>
            <w:tcW w:w="1470" w:type="pct"/>
            <w:vAlign w:val="center"/>
          </w:tcPr>
          <w:p w14:paraId="57B8CA86"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taxe/abonamente/cotizații/acorduri/autorizații/garanții bancare necesare pentru implementarea proiectului</w:t>
            </w:r>
          </w:p>
        </w:tc>
        <w:tc>
          <w:tcPr>
            <w:tcW w:w="2842" w:type="pct"/>
            <w:vAlign w:val="center"/>
          </w:tcPr>
          <w:p w14:paraId="673E6918"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Cheltuielile pentru achiziția de publicații/abonamente la publicații, cărți relevante pentru activitatea beneficiarului, în format tipărit și/sau electronic, precum și cotizațiile pentru participarea la asociații,</w:t>
            </w:r>
          </w:p>
          <w:p w14:paraId="6052A591"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Achiziționare de reviste de specialitate, materiale educaționale relevante pentru operațiune, în format tipărit, audio și/sau electronic,</w:t>
            </w:r>
          </w:p>
          <w:p w14:paraId="5DA6A270"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Taxe de eliberare a certificatelor de absolvire,</w:t>
            </w:r>
          </w:p>
          <w:p w14:paraId="5CB278B4"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Taxe de participare la programe de formare/educație,</w:t>
            </w:r>
          </w:p>
          <w:p w14:paraId="45CD7F4F"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Taxe notariale;</w:t>
            </w:r>
          </w:p>
        </w:tc>
      </w:tr>
      <w:tr w:rsidR="00A94974" w:rsidRPr="00A94974" w14:paraId="03B14268" w14:textId="77777777" w:rsidTr="5B8D767C">
        <w:trPr>
          <w:gridAfter w:val="1"/>
          <w:wAfter w:w="3" w:type="pct"/>
          <w:trHeight w:val="372"/>
        </w:trPr>
        <w:tc>
          <w:tcPr>
            <w:tcW w:w="685" w:type="pct"/>
            <w:shd w:val="clear" w:color="auto" w:fill="auto"/>
            <w:vAlign w:val="center"/>
          </w:tcPr>
          <w:p w14:paraId="660427E5"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achiziția de active fixe corporale (altele decât terenuri și imobile), obiecte de inventar, materii prime și materiale, inclusiv materiale consumabile</w:t>
            </w:r>
          </w:p>
        </w:tc>
        <w:tc>
          <w:tcPr>
            <w:tcW w:w="1470" w:type="pct"/>
            <w:vAlign w:val="center"/>
          </w:tcPr>
          <w:p w14:paraId="487B622B"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achiziția de materii prime, materiale consumabile și alte produse similare necesare proiectului</w:t>
            </w:r>
          </w:p>
        </w:tc>
        <w:tc>
          <w:tcPr>
            <w:tcW w:w="2842" w:type="pct"/>
            <w:vAlign w:val="center"/>
          </w:tcPr>
          <w:p w14:paraId="4071EDA1"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Materiale consumabile,</w:t>
            </w:r>
          </w:p>
          <w:p w14:paraId="6DB60371"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materii prime și materiale necesare derulării cursurilor practice;</w:t>
            </w:r>
          </w:p>
          <w:p w14:paraId="7AAEEA9A"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Materiale direct atribuibile susținerii activităților de educație și formare,</w:t>
            </w:r>
          </w:p>
          <w:p w14:paraId="236B0D29"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Papetărie,</w:t>
            </w:r>
          </w:p>
          <w:p w14:paraId="5CE49112"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materialele auxiliare,</w:t>
            </w:r>
          </w:p>
          <w:p w14:paraId="479E3BB3"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materialele pentru ambalat,</w:t>
            </w:r>
          </w:p>
          <w:p w14:paraId="1C652BE7"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Cheltuieli cu alte materiale consumabile,</w:t>
            </w:r>
          </w:p>
          <w:p w14:paraId="705209A4"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Licențe și software,</w:t>
            </w:r>
          </w:p>
          <w:p w14:paraId="1648D8C9" w14:textId="77777777" w:rsidR="00CC2787" w:rsidRPr="00A94974" w:rsidRDefault="00CC2787" w:rsidP="0051610E">
            <w:pPr>
              <w:jc w:val="both"/>
              <w:rPr>
                <w:rFonts w:ascii="Trebuchet MS" w:hAnsi="Trebuchet MS"/>
                <w:color w:val="1F4E79" w:themeColor="accent1" w:themeShade="80"/>
                <w:sz w:val="20"/>
                <w:szCs w:val="20"/>
              </w:rPr>
            </w:pPr>
            <w:r w:rsidRPr="00A94974">
              <w:rPr>
                <w:rFonts w:ascii="Trebuchet MS" w:hAnsi="Trebuchet MS"/>
                <w:color w:val="1F4E79" w:themeColor="accent1" w:themeShade="80"/>
                <w:sz w:val="20"/>
                <w:szCs w:val="20"/>
              </w:rPr>
              <w:t>Multiplicare;</w:t>
            </w:r>
          </w:p>
        </w:tc>
      </w:tr>
      <w:tr w:rsidR="00A94974" w:rsidRPr="00A94974" w14:paraId="0F8D9535" w14:textId="77777777" w:rsidTr="5B8D767C">
        <w:trPr>
          <w:gridAfter w:val="1"/>
          <w:wAfter w:w="3" w:type="pct"/>
          <w:trHeight w:val="833"/>
        </w:trPr>
        <w:tc>
          <w:tcPr>
            <w:tcW w:w="685" w:type="pct"/>
            <w:shd w:val="clear" w:color="auto" w:fill="auto"/>
            <w:vAlign w:val="center"/>
          </w:tcPr>
          <w:p w14:paraId="35CAD1DE" w14:textId="09943AE3" w:rsidR="0020790F" w:rsidRPr="00A94974" w:rsidRDefault="0020790F" w:rsidP="0020790F">
            <w:pPr>
              <w:jc w:val="both"/>
              <w:rPr>
                <w:rFonts w:ascii="Trebuchet MS" w:hAnsi="Trebuchet MS"/>
                <w:color w:val="1F4E79" w:themeColor="accent1" w:themeShade="80"/>
                <w:sz w:val="20"/>
                <w:szCs w:val="20"/>
              </w:rPr>
            </w:pPr>
            <w:r w:rsidRPr="00A94974">
              <w:rPr>
                <w:rFonts w:ascii="Trebuchet MS" w:hAnsi="Trebuchet MS" w:cs="Tahoma"/>
                <w:color w:val="1F4E79" w:themeColor="accent1" w:themeShade="80"/>
              </w:rPr>
              <w:t>Cheltuieli cu subvenții/burse/premii</w:t>
            </w:r>
          </w:p>
        </w:tc>
        <w:tc>
          <w:tcPr>
            <w:tcW w:w="1470" w:type="pct"/>
            <w:shd w:val="clear" w:color="auto" w:fill="auto"/>
            <w:vAlign w:val="center"/>
          </w:tcPr>
          <w:p w14:paraId="40E209FD" w14:textId="16A3BD48" w:rsidR="0020790F" w:rsidRPr="00A94974" w:rsidRDefault="0020790F" w:rsidP="0020790F">
            <w:pPr>
              <w:jc w:val="both"/>
              <w:rPr>
                <w:rFonts w:ascii="Trebuchet MS" w:hAnsi="Trebuchet MS"/>
                <w:color w:val="1F4E79" w:themeColor="accent1" w:themeShade="80"/>
                <w:sz w:val="20"/>
                <w:szCs w:val="20"/>
              </w:rPr>
            </w:pPr>
            <w:r w:rsidRPr="00A94974">
              <w:rPr>
                <w:rFonts w:ascii="Trebuchet MS" w:hAnsi="Trebuchet MS" w:cs="Tahoma"/>
                <w:color w:val="1F4E79" w:themeColor="accent1" w:themeShade="80"/>
              </w:rPr>
              <w:t xml:space="preserve">Subvenții </w:t>
            </w:r>
          </w:p>
        </w:tc>
        <w:tc>
          <w:tcPr>
            <w:tcW w:w="2842" w:type="pct"/>
            <w:shd w:val="clear" w:color="auto" w:fill="auto"/>
            <w:vAlign w:val="center"/>
          </w:tcPr>
          <w:p w14:paraId="22A12A15" w14:textId="16036BE3" w:rsidR="0020790F" w:rsidRPr="00A94974" w:rsidRDefault="0020790F" w:rsidP="0020790F">
            <w:pPr>
              <w:jc w:val="both"/>
              <w:rPr>
                <w:rFonts w:ascii="Trebuchet MS" w:hAnsi="Trebuchet MS" w:cs="Tahoma"/>
                <w:color w:val="1F4E79" w:themeColor="accent1" w:themeShade="80"/>
              </w:rPr>
            </w:pPr>
            <w:r w:rsidRPr="00A94974">
              <w:rPr>
                <w:rFonts w:ascii="Trebuchet MS" w:hAnsi="Trebuchet MS" w:cs="Tahoma"/>
                <w:color w:val="1F4E79" w:themeColor="accent1" w:themeShade="80"/>
              </w:rPr>
              <w:t>Burse</w:t>
            </w:r>
            <w:r w:rsidRPr="00A94974">
              <w:rPr>
                <w:color w:val="1F4E79" w:themeColor="accent1" w:themeShade="80"/>
              </w:rPr>
              <w:t xml:space="preserve"> </w:t>
            </w:r>
            <w:r w:rsidRPr="00A94974">
              <w:rPr>
                <w:rFonts w:ascii="Trebuchet MS" w:hAnsi="Trebuchet MS" w:cs="Tahoma"/>
                <w:color w:val="1F4E79" w:themeColor="accent1" w:themeShade="80"/>
              </w:rPr>
              <w:t>pentru mobilitate studenți</w:t>
            </w:r>
          </w:p>
          <w:p w14:paraId="3AA60EAB" w14:textId="5A727A89" w:rsidR="0020790F" w:rsidRPr="00A94974" w:rsidRDefault="0020790F" w:rsidP="0020790F">
            <w:pPr>
              <w:jc w:val="both"/>
              <w:rPr>
                <w:rFonts w:ascii="Trebuchet MS" w:hAnsi="Trebuchet MS"/>
                <w:color w:val="1F4E79" w:themeColor="accent1" w:themeShade="80"/>
                <w:sz w:val="20"/>
                <w:szCs w:val="20"/>
              </w:rPr>
            </w:pPr>
          </w:p>
        </w:tc>
      </w:tr>
      <w:tr w:rsidR="00A94974" w:rsidRPr="00A94974" w14:paraId="3613E7D5" w14:textId="77777777" w:rsidTr="5B8D767C">
        <w:trPr>
          <w:gridAfter w:val="1"/>
          <w:wAfter w:w="3" w:type="pct"/>
          <w:trHeight w:val="833"/>
        </w:trPr>
        <w:tc>
          <w:tcPr>
            <w:tcW w:w="685" w:type="pct"/>
            <w:shd w:val="clear" w:color="auto" w:fill="auto"/>
            <w:vAlign w:val="center"/>
          </w:tcPr>
          <w:p w14:paraId="359D8169" w14:textId="77777777" w:rsidR="006F7107" w:rsidRPr="00A94974" w:rsidRDefault="006F7107" w:rsidP="006F7107">
            <w:pPr>
              <w:jc w:val="both"/>
              <w:rPr>
                <w:rFonts w:ascii="Trebuchet MS" w:hAnsi="Trebuchet MS" w:cs="Tahoma"/>
                <w:color w:val="1F4E79" w:themeColor="accent1" w:themeShade="80"/>
              </w:rPr>
            </w:pPr>
            <w:r w:rsidRPr="00A94974">
              <w:rPr>
                <w:rFonts w:ascii="Trebuchet MS" w:hAnsi="Trebuchet MS" w:cs="Tahoma"/>
                <w:color w:val="1F4E79" w:themeColor="accent1" w:themeShade="80"/>
              </w:rPr>
              <w:t>Cheltuieli de tip FEDR</w:t>
            </w:r>
          </w:p>
          <w:p w14:paraId="1C9BB003" w14:textId="77777777" w:rsidR="006F7107" w:rsidRPr="00A94974" w:rsidRDefault="006F7107" w:rsidP="006F7107">
            <w:pPr>
              <w:jc w:val="both"/>
              <w:rPr>
                <w:rFonts w:ascii="Trebuchet MS" w:hAnsi="Trebuchet MS" w:cs="Tahoma"/>
                <w:color w:val="1F4E79" w:themeColor="accent1" w:themeShade="80"/>
              </w:rPr>
            </w:pPr>
          </w:p>
        </w:tc>
        <w:tc>
          <w:tcPr>
            <w:tcW w:w="1470" w:type="pct"/>
            <w:shd w:val="clear" w:color="auto" w:fill="auto"/>
            <w:vAlign w:val="center"/>
          </w:tcPr>
          <w:p w14:paraId="1BBC167E" w14:textId="767A6AD0" w:rsidR="006F7107" w:rsidRPr="00A94974" w:rsidRDefault="006F7107" w:rsidP="006F7107">
            <w:pPr>
              <w:jc w:val="both"/>
              <w:rPr>
                <w:rFonts w:ascii="Trebuchet MS" w:hAnsi="Trebuchet MS" w:cs="Tahoma"/>
                <w:color w:val="1F4E79" w:themeColor="accent1" w:themeShade="80"/>
              </w:rPr>
            </w:pPr>
            <w:r w:rsidRPr="00A94974">
              <w:rPr>
                <w:rFonts w:ascii="Trebuchet MS" w:hAnsi="Trebuchet MS" w:cs="Tahoma"/>
                <w:color w:val="1F4E79" w:themeColor="accent1" w:themeShade="80"/>
              </w:rPr>
              <w:t>Cheltuieli de tip FEDR cu excepția construcțiilor, terenurilor, achiziția imobilelor</w:t>
            </w:r>
          </w:p>
        </w:tc>
        <w:tc>
          <w:tcPr>
            <w:tcW w:w="2842" w:type="pct"/>
            <w:shd w:val="clear" w:color="auto" w:fill="auto"/>
            <w:vAlign w:val="center"/>
          </w:tcPr>
          <w:p w14:paraId="5160AD51" w14:textId="5FC3A81F" w:rsidR="006F7107" w:rsidRPr="00A94974" w:rsidRDefault="006F7107" w:rsidP="006F7107">
            <w:pPr>
              <w:jc w:val="both"/>
              <w:rPr>
                <w:rFonts w:ascii="Trebuchet MS" w:hAnsi="Trebuchet MS" w:cs="Tahoma"/>
                <w:color w:val="1F4E79" w:themeColor="accent1" w:themeShade="80"/>
              </w:rPr>
            </w:pPr>
            <w:r w:rsidRPr="00A94974">
              <w:rPr>
                <w:rFonts w:ascii="Trebuchet MS" w:hAnsi="Trebuchet MS" w:cs="Tahoma"/>
                <w:color w:val="1F4E79" w:themeColor="accent1" w:themeShade="80"/>
              </w:rPr>
              <w:t>Cheltuieli cu achiziția de echipamente, inclusiv echipamente IT, mobilier</w:t>
            </w:r>
          </w:p>
          <w:p w14:paraId="04E5CABB" w14:textId="77777777" w:rsidR="006F7107" w:rsidRPr="00A94974" w:rsidRDefault="006F7107" w:rsidP="006F7107">
            <w:pPr>
              <w:jc w:val="both"/>
              <w:rPr>
                <w:rFonts w:ascii="Trebuchet MS" w:hAnsi="Trebuchet MS" w:cs="Tahoma"/>
                <w:color w:val="1F4E79" w:themeColor="accent1" w:themeShade="80"/>
              </w:rPr>
            </w:pPr>
          </w:p>
          <w:p w14:paraId="19B7AA7B" w14:textId="19356BAE" w:rsidR="006F7107" w:rsidRPr="00A94974" w:rsidRDefault="006F7107" w:rsidP="006F7107">
            <w:pPr>
              <w:jc w:val="both"/>
              <w:rPr>
                <w:rFonts w:ascii="Trebuchet MS" w:hAnsi="Trebuchet MS" w:cs="Tahoma"/>
                <w:color w:val="1F4E79" w:themeColor="accent1" w:themeShade="80"/>
              </w:rPr>
            </w:pPr>
          </w:p>
        </w:tc>
      </w:tr>
      <w:tr w:rsidR="00A94974" w:rsidRPr="00A94974" w14:paraId="6D4707A1" w14:textId="77777777" w:rsidTr="5B8D767C">
        <w:trPr>
          <w:gridAfter w:val="1"/>
          <w:wAfter w:w="3" w:type="pct"/>
          <w:trHeight w:val="833"/>
        </w:trPr>
        <w:tc>
          <w:tcPr>
            <w:tcW w:w="4997" w:type="pct"/>
            <w:gridSpan w:val="3"/>
            <w:shd w:val="clear" w:color="auto" w:fill="auto"/>
            <w:vAlign w:val="center"/>
          </w:tcPr>
          <w:p w14:paraId="2779232C" w14:textId="0A030488" w:rsidR="0020790F" w:rsidRPr="00A94974" w:rsidRDefault="0020790F" w:rsidP="0020790F">
            <w:pPr>
              <w:jc w:val="both"/>
              <w:rPr>
                <w:rFonts w:ascii="Trebuchet MS" w:hAnsi="Trebuchet MS" w:cs="Tahoma"/>
                <w:i/>
                <w:iCs/>
                <w:color w:val="1F4E79" w:themeColor="accent1" w:themeShade="80"/>
              </w:rPr>
            </w:pPr>
            <w:r w:rsidRPr="00A94974">
              <w:rPr>
                <w:rFonts w:ascii="Trebuchet MS" w:hAnsi="Trebuchet MS" w:cs="Tahoma"/>
                <w:i/>
                <w:iCs/>
                <w:color w:val="1F4E79" w:themeColor="accent1" w:themeShade="80"/>
              </w:rPr>
              <w:t>Cheltuielile eligibile indirecte – reprezintă cheltuieli efectuate pentru funcționarea de ansamblu a proiectului și care nu pot fi atribuite unei anume activități</w:t>
            </w:r>
          </w:p>
        </w:tc>
      </w:tr>
      <w:tr w:rsidR="0010406C" w:rsidRPr="00A94974" w14:paraId="4A9A3F0C" w14:textId="77777777" w:rsidTr="5B8D767C">
        <w:trPr>
          <w:gridAfter w:val="1"/>
          <w:wAfter w:w="3" w:type="pct"/>
          <w:trHeight w:val="833"/>
        </w:trPr>
        <w:tc>
          <w:tcPr>
            <w:tcW w:w="685" w:type="pct"/>
          </w:tcPr>
          <w:p w14:paraId="625850AE" w14:textId="3AB47695" w:rsidR="0020790F" w:rsidRPr="00A94974" w:rsidRDefault="0020790F" w:rsidP="0020790F">
            <w:pPr>
              <w:jc w:val="both"/>
              <w:rPr>
                <w:rFonts w:ascii="Trebuchet MS" w:hAnsi="Trebuchet MS" w:cs="Tahoma"/>
                <w:color w:val="1F4E79" w:themeColor="accent1" w:themeShade="80"/>
              </w:rPr>
            </w:pPr>
            <w:r w:rsidRPr="00A94974">
              <w:rPr>
                <w:rFonts w:ascii="Trebuchet MS" w:hAnsi="Trebuchet MS"/>
                <w:iCs/>
                <w:color w:val="1F4E79" w:themeColor="accent1" w:themeShade="80"/>
              </w:rPr>
              <w:t xml:space="preserve">Finanțare la rate forfetare pentru </w:t>
            </w:r>
            <w:r w:rsidRPr="00A94974">
              <w:rPr>
                <w:rFonts w:ascii="Trebuchet MS" w:hAnsi="Trebuchet MS"/>
                <w:iCs/>
                <w:color w:val="1F4E79" w:themeColor="accent1" w:themeShade="80"/>
              </w:rPr>
              <w:lastRenderedPageBreak/>
              <w:t>costurile indirecte</w:t>
            </w:r>
          </w:p>
        </w:tc>
        <w:tc>
          <w:tcPr>
            <w:tcW w:w="1470" w:type="pct"/>
            <w:vAlign w:val="center"/>
          </w:tcPr>
          <w:p w14:paraId="711BFD1F" w14:textId="63FD291D" w:rsidR="0020790F" w:rsidRPr="00A94974" w:rsidRDefault="0020790F" w:rsidP="0020790F">
            <w:pPr>
              <w:jc w:val="both"/>
              <w:rPr>
                <w:rFonts w:ascii="Trebuchet MS" w:hAnsi="Trebuchet MS" w:cs="Tahoma"/>
                <w:color w:val="1F4E79" w:themeColor="accent1" w:themeShade="80"/>
              </w:rPr>
            </w:pPr>
            <w:r w:rsidRPr="00A94974">
              <w:rPr>
                <w:rFonts w:ascii="Trebuchet MS" w:hAnsi="Trebuchet MS"/>
                <w:iCs/>
                <w:color w:val="1F4E79" w:themeColor="accent1" w:themeShade="80"/>
              </w:rPr>
              <w:lastRenderedPageBreak/>
              <w:t>Rata forfetară conform art. 54 lit (</w:t>
            </w:r>
            <w:r w:rsidR="002F2EB2">
              <w:rPr>
                <w:rFonts w:ascii="Trebuchet MS" w:hAnsi="Trebuchet MS"/>
                <w:iCs/>
                <w:color w:val="1F4E79" w:themeColor="accent1" w:themeShade="80"/>
              </w:rPr>
              <w:t>b</w:t>
            </w:r>
            <w:r w:rsidRPr="00A94974">
              <w:rPr>
                <w:rFonts w:ascii="Trebuchet MS" w:hAnsi="Trebuchet MS"/>
                <w:iCs/>
                <w:color w:val="1F4E79" w:themeColor="accent1" w:themeShade="80"/>
              </w:rPr>
              <w:t>) din Regulamentului (UE) nr. 2021/1060</w:t>
            </w:r>
          </w:p>
        </w:tc>
        <w:tc>
          <w:tcPr>
            <w:tcW w:w="2842" w:type="pct"/>
            <w:shd w:val="clear" w:color="auto" w:fill="auto"/>
            <w:vAlign w:val="center"/>
          </w:tcPr>
          <w:p w14:paraId="59CA8D44" w14:textId="4C93E19A" w:rsidR="0020790F" w:rsidRPr="00A94974" w:rsidRDefault="0020790F" w:rsidP="0020790F">
            <w:pPr>
              <w:jc w:val="both"/>
              <w:rPr>
                <w:rFonts w:ascii="Trebuchet MS" w:hAnsi="Trebuchet MS" w:cs="Tahoma"/>
                <w:color w:val="1F4E79" w:themeColor="accent1" w:themeShade="80"/>
              </w:rPr>
            </w:pPr>
            <w:r w:rsidRPr="00A94974">
              <w:rPr>
                <w:rFonts w:ascii="Trebuchet MS" w:hAnsi="Trebuchet MS" w:cs="Tahoma"/>
                <w:color w:val="1F4E79" w:themeColor="accent1" w:themeShade="80"/>
              </w:rPr>
              <w:t>-</w:t>
            </w:r>
          </w:p>
        </w:tc>
      </w:tr>
    </w:tbl>
    <w:p w14:paraId="1D20ACA5" w14:textId="77777777" w:rsidR="005758D7" w:rsidRPr="00A94974" w:rsidRDefault="005758D7" w:rsidP="005758D7">
      <w:pPr>
        <w:tabs>
          <w:tab w:val="left" w:pos="709"/>
        </w:tabs>
        <w:spacing w:after="0" w:line="276" w:lineRule="auto"/>
        <w:jc w:val="both"/>
        <w:rPr>
          <w:rFonts w:ascii="Trebuchet MS" w:hAnsi="Trebuchet MS"/>
          <w:i/>
          <w:color w:val="1F4E79" w:themeColor="accent1" w:themeShade="80"/>
        </w:rPr>
      </w:pPr>
    </w:p>
    <w:p w14:paraId="79566F3C" w14:textId="77777777" w:rsidR="005758D7" w:rsidRPr="00A94974" w:rsidRDefault="005758D7" w:rsidP="00E27636">
      <w:pPr>
        <w:rPr>
          <w:rFonts w:ascii="Trebuchet MS" w:hAnsi="Trebuchet MS"/>
          <w:color w:val="1F4E79" w:themeColor="accent1" w:themeShade="80"/>
        </w:rPr>
      </w:pPr>
    </w:p>
    <w:p w14:paraId="121A2E0D" w14:textId="77777777" w:rsidR="005758D7" w:rsidRPr="00A94974" w:rsidRDefault="005758D7"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În cadrul proiectului pot fi decontate cheltuieli plafonate procentual/valoric, după cum urmează:</w:t>
      </w:r>
    </w:p>
    <w:p w14:paraId="1165510A" w14:textId="77777777" w:rsidR="005758D7" w:rsidRPr="00A94974" w:rsidRDefault="005758D7" w:rsidP="00BE3FAB">
      <w:pPr>
        <w:pStyle w:val="ListParagraph"/>
        <w:numPr>
          <w:ilvl w:val="0"/>
          <w:numId w:val="6"/>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Condiții Generale PEO 2021-2027.</w:t>
      </w:r>
    </w:p>
    <w:p w14:paraId="446E7F11" w14:textId="532A9FDA" w:rsidR="00E05AAE" w:rsidRPr="00A94974" w:rsidRDefault="005758D7" w:rsidP="0010406C">
      <w:pPr>
        <w:pStyle w:val="ListParagraph"/>
        <w:numPr>
          <w:ilvl w:val="0"/>
          <w:numId w:val="6"/>
        </w:numPr>
        <w:tabs>
          <w:tab w:val="left" w:pos="709"/>
        </w:tabs>
        <w:spacing w:after="0" w:line="276" w:lineRule="auto"/>
        <w:jc w:val="both"/>
        <w:rPr>
          <w:color w:val="1F4E79" w:themeColor="accent1" w:themeShade="80"/>
        </w:rPr>
      </w:pPr>
      <w:r w:rsidRPr="00A94974">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5E0D9AB2" w14:textId="38FDD017" w:rsidR="00E05AAE" w:rsidRPr="00A94974" w:rsidRDefault="00E05AAE" w:rsidP="0010406C">
      <w:pPr>
        <w:pStyle w:val="Default"/>
        <w:numPr>
          <w:ilvl w:val="0"/>
          <w:numId w:val="6"/>
        </w:numPr>
        <w:jc w:val="both"/>
        <w:rPr>
          <w:color w:val="1F4E79" w:themeColor="accent1" w:themeShade="80"/>
          <w:sz w:val="22"/>
          <w:szCs w:val="22"/>
          <w:lang w:val="ro-RO"/>
        </w:rPr>
      </w:pPr>
      <w:r w:rsidRPr="00A94974">
        <w:rPr>
          <w:color w:val="1F4E79" w:themeColor="accent1" w:themeShade="80"/>
          <w:sz w:val="22"/>
          <w:szCs w:val="22"/>
          <w:lang w:val="ro-RO"/>
        </w:rPr>
        <w:t xml:space="preserve">Cheltuielile indirecte vor fi decontate ca rată forfetară fixă de 15% din costurile directe cu personalul, per proiect, prin aplicarea articolului 54 litera (b) din Regulamentul UE 2021/1060. În cazul proiectelor implementate în parteneriat, rata forfetară fixă de 15% din costurile directe cu personalul se va aplica atât liderului de parteneriat, cât și fiecărui partener. </w:t>
      </w:r>
    </w:p>
    <w:p w14:paraId="7D251F7C" w14:textId="77777777" w:rsidR="00123A84" w:rsidRPr="00A94974" w:rsidRDefault="00123A84" w:rsidP="00E27636">
      <w:pPr>
        <w:tabs>
          <w:tab w:val="left" w:pos="709"/>
        </w:tabs>
        <w:spacing w:after="0" w:line="276" w:lineRule="auto"/>
        <w:jc w:val="both"/>
        <w:rPr>
          <w:rFonts w:ascii="Trebuchet MS" w:hAnsi="Trebuchet MS"/>
          <w:iCs/>
          <w:color w:val="1F4E79" w:themeColor="accent1" w:themeShade="80"/>
        </w:rPr>
      </w:pPr>
    </w:p>
    <w:p w14:paraId="54FAB89A" w14:textId="7928DA78" w:rsidR="00D919B6" w:rsidRPr="00A94974" w:rsidRDefault="00A01A80" w:rsidP="00F7542F">
      <w:pPr>
        <w:pStyle w:val="Heading3"/>
        <w:rPr>
          <w:color w:val="1F4E79" w:themeColor="accent1" w:themeShade="80"/>
        </w:rPr>
      </w:pPr>
      <w:bookmarkStart w:id="76" w:name="_Toc179368123"/>
      <w:r w:rsidRPr="00A94974">
        <w:rPr>
          <w:color w:val="1F4E79" w:themeColor="accent1" w:themeShade="80"/>
        </w:rPr>
        <w:t xml:space="preserve">5.3.3 </w:t>
      </w:r>
      <w:r w:rsidR="00D919B6" w:rsidRPr="00A94974">
        <w:rPr>
          <w:color w:val="1F4E79" w:themeColor="accent1" w:themeShade="80"/>
        </w:rPr>
        <w:t>Categorii de cheltuieli neeligibile</w:t>
      </w:r>
      <w:bookmarkEnd w:id="76"/>
    </w:p>
    <w:p w14:paraId="39C73EB5" w14:textId="1C90B2EA" w:rsidR="005758D7" w:rsidRPr="00A94974" w:rsidRDefault="005758D7"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Nu sunt eligibile următoarele categorii de cheltuieli, conform prevederilor art. 10 din HG nr. 873/2022, și anume:</w:t>
      </w:r>
    </w:p>
    <w:p w14:paraId="2BBD7435" w14:textId="7777777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a) cheltuielile prevăzute la art. 64 din Regulamentul (UE) 2021/1060; </w:t>
      </w:r>
    </w:p>
    <w:p w14:paraId="1E1FCF8D" w14:textId="7777777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b) cheltuielile efectuate în sprijinul relocării potrivit art. 66 din Regulamentul (UE) 2021/1060; </w:t>
      </w:r>
    </w:p>
    <w:p w14:paraId="456A13D6" w14:textId="7777777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 cheltuielile excluse de la finanțare potrivit art. 7 alin. (1), (4) și (5) din Regulamentul (UE) 2021/1058; </w:t>
      </w:r>
    </w:p>
    <w:p w14:paraId="1187DAC0" w14:textId="7777777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d) cheltuielile excluse de la finanțare potrivit art. 16 alin. (1) și art. 22 alin. (4) din Regulamentul (UE) 2021/1057; </w:t>
      </w:r>
    </w:p>
    <w:p w14:paraId="23DFC1B5" w14:textId="7777777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e) cheltuielile excluse de la finanțare potrivit art. 9 din Regulamentul (UE) 2021/1056; </w:t>
      </w:r>
    </w:p>
    <w:p w14:paraId="5A16FAF1" w14:textId="14D4438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f) achiziția de echipamente și autovehicule sau mijloace de transport second</w:t>
      </w:r>
      <w:r w:rsidR="008A2E44"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hand; </w:t>
      </w:r>
    </w:p>
    <w:p w14:paraId="3EA5E69D" w14:textId="7777777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g) amenzi, penalități, cheltuieli de judecată și cheltuieli de arbitraj; </w:t>
      </w:r>
    </w:p>
    <w:p w14:paraId="7D8CE08F" w14:textId="7777777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208FD1C0" w14:textId="7777777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38413C7F" w14:textId="25433DEC" w:rsidR="00C237FF"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513FEF1E" w14:textId="1FAB4467" w:rsidR="005758D7" w:rsidRPr="00A94974"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TVA recuperat</w:t>
      </w:r>
      <w:r w:rsidR="00C237FF"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pe baza declaraților depuse la ANAF</w:t>
      </w:r>
      <w:r w:rsidR="00C237FF" w:rsidRPr="00A94974">
        <w:rPr>
          <w:rFonts w:ascii="Trebuchet MS" w:hAnsi="Trebuchet MS"/>
          <w:iCs/>
          <w:color w:val="1F4E79" w:themeColor="accent1" w:themeShade="80"/>
        </w:rPr>
        <w:t xml:space="preserve"> nu este eligibilă</w:t>
      </w:r>
      <w:r w:rsidRPr="00A94974">
        <w:rPr>
          <w:rFonts w:ascii="Trebuchet MS" w:hAnsi="Trebuchet MS"/>
          <w:iCs/>
          <w:color w:val="1F4E79" w:themeColor="accent1" w:themeShade="80"/>
        </w:rPr>
        <w:t>.</w:t>
      </w:r>
    </w:p>
    <w:p w14:paraId="1CC52DFD" w14:textId="77777777" w:rsidR="005758D7" w:rsidRPr="00A94974" w:rsidRDefault="005758D7" w:rsidP="00E27636">
      <w:pPr>
        <w:jc w:val="both"/>
        <w:rPr>
          <w:rFonts w:ascii="Trebuchet MS" w:hAnsi="Trebuchet MS"/>
          <w:iCs/>
          <w:color w:val="1F4E79" w:themeColor="accent1" w:themeShade="80"/>
        </w:rPr>
      </w:pPr>
      <w:r w:rsidRPr="00A94974">
        <w:rPr>
          <w:rFonts w:ascii="Trebuchet MS" w:hAnsi="Trebuchet MS"/>
          <w:iCs/>
          <w:color w:val="1F4E79" w:themeColor="accent1" w:themeShade="80"/>
        </w:rPr>
        <w:lastRenderedPageBreak/>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4C1B4D1" w14:textId="22052E62" w:rsidR="001D7438" w:rsidRPr="00A94974" w:rsidRDefault="00A01A80" w:rsidP="00F7542F">
      <w:pPr>
        <w:pStyle w:val="Heading3"/>
        <w:rPr>
          <w:color w:val="1F4E79" w:themeColor="accent1" w:themeShade="80"/>
        </w:rPr>
      </w:pPr>
      <w:bookmarkStart w:id="77" w:name="_Toc179368124"/>
      <w:r w:rsidRPr="00A94974">
        <w:rPr>
          <w:color w:val="1F4E79" w:themeColor="accent1" w:themeShade="80"/>
        </w:rPr>
        <w:t xml:space="preserve">5.3.4 </w:t>
      </w:r>
      <w:r w:rsidR="00AB1091" w:rsidRPr="00A94974">
        <w:rPr>
          <w:color w:val="1F4E79" w:themeColor="accent1" w:themeShade="80"/>
        </w:rPr>
        <w:t>Opțiuni de costuri simplificate. Costuri directe și costuri indirecte</w:t>
      </w:r>
      <w:bookmarkEnd w:id="77"/>
    </w:p>
    <w:p w14:paraId="0D71913E"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58DDB8ED" w14:textId="77777777" w:rsidR="00896D35" w:rsidRPr="00A94974" w:rsidRDefault="00896D35" w:rsidP="5B8D767C">
      <w:pPr>
        <w:pStyle w:val="ListParagraph"/>
        <w:numPr>
          <w:ilvl w:val="0"/>
          <w:numId w:val="8"/>
        </w:num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697F4E52" w14:textId="55AF20DE" w:rsidR="00896D35" w:rsidRPr="00A94974" w:rsidRDefault="00896D35" w:rsidP="5B8D767C">
      <w:pPr>
        <w:pStyle w:val="ListParagraph"/>
        <w:numPr>
          <w:ilvl w:val="0"/>
          <w:numId w:val="8"/>
        </w:num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pe bază de opțiuni de costuri simplificate.</w:t>
      </w:r>
    </w:p>
    <w:p w14:paraId="43272215" w14:textId="77777777" w:rsidR="00B15C0C" w:rsidRPr="00A94974" w:rsidRDefault="00B15C0C" w:rsidP="00E27636">
      <w:pPr>
        <w:pStyle w:val="ListParagraph"/>
        <w:spacing w:after="0" w:line="240" w:lineRule="auto"/>
        <w:jc w:val="both"/>
        <w:rPr>
          <w:rFonts w:ascii="Trebuchet MS" w:hAnsi="Trebuchet MS"/>
          <w:iCs/>
          <w:color w:val="1F4E79" w:themeColor="accent1" w:themeShade="80"/>
        </w:rPr>
      </w:pPr>
    </w:p>
    <w:p w14:paraId="53EC8B76"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PEO prevede două categorii de cheltuieli eligibile: </w:t>
      </w:r>
    </w:p>
    <w:p w14:paraId="34AF0862" w14:textId="77777777" w:rsidR="00896D35" w:rsidRPr="00A94974" w:rsidRDefault="00896D35" w:rsidP="00E27636">
      <w:pPr>
        <w:spacing w:after="0" w:line="240" w:lineRule="auto"/>
        <w:jc w:val="both"/>
        <w:rPr>
          <w:rFonts w:ascii="Trebuchet MS" w:hAnsi="Trebuchet MS"/>
          <w:i/>
          <w:color w:val="1F4E79" w:themeColor="accent1" w:themeShade="80"/>
        </w:rPr>
      </w:pPr>
    </w:p>
    <w:p w14:paraId="39E15B43"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
          <w:color w:val="1F4E79" w:themeColor="accent1" w:themeShade="80"/>
        </w:rPr>
        <w:t>cheltuieli eligibile directe</w:t>
      </w:r>
      <w:r w:rsidRPr="00A94974">
        <w:rPr>
          <w:rFonts w:ascii="Trebuchet MS" w:hAnsi="Trebuchet MS"/>
          <w:iCs/>
          <w:color w:val="1F4E79" w:themeColor="accent1" w:themeShade="80"/>
        </w:rPr>
        <w:t xml:space="preserve"> </w:t>
      </w:r>
    </w:p>
    <w:p w14:paraId="1576F402"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și </w:t>
      </w:r>
    </w:p>
    <w:p w14:paraId="0F7B9BF7" w14:textId="77777777" w:rsidR="00896D35" w:rsidRPr="00A94974" w:rsidRDefault="00896D35" w:rsidP="00E27636">
      <w:pPr>
        <w:spacing w:after="0" w:line="240" w:lineRule="auto"/>
        <w:jc w:val="both"/>
        <w:rPr>
          <w:rFonts w:ascii="Trebuchet MS" w:hAnsi="Trebuchet MS"/>
          <w:i/>
          <w:color w:val="1F4E79" w:themeColor="accent1" w:themeShade="80"/>
        </w:rPr>
      </w:pPr>
      <w:r w:rsidRPr="00A94974">
        <w:rPr>
          <w:rFonts w:ascii="Trebuchet MS" w:hAnsi="Trebuchet MS"/>
          <w:i/>
          <w:color w:val="1F4E79" w:themeColor="accent1" w:themeShade="80"/>
        </w:rPr>
        <w:t>cheltuieli eligibile indirecte.</w:t>
      </w:r>
    </w:p>
    <w:p w14:paraId="141AFECB" w14:textId="77777777" w:rsidR="00896D35" w:rsidRPr="00A94974" w:rsidRDefault="00896D35" w:rsidP="00E27636">
      <w:pPr>
        <w:spacing w:after="0" w:line="240" w:lineRule="auto"/>
        <w:jc w:val="both"/>
        <w:rPr>
          <w:rFonts w:ascii="Trebuchet MS" w:hAnsi="Trebuchet MS"/>
          <w:i/>
          <w:color w:val="1F4E79" w:themeColor="accent1" w:themeShade="80"/>
        </w:rPr>
      </w:pPr>
    </w:p>
    <w:p w14:paraId="6AAD5DBA"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
          <w:color w:val="1F4E79" w:themeColor="accent1" w:themeShade="80"/>
        </w:rPr>
        <w:t>Cheltuielile eligibile directe</w:t>
      </w:r>
      <w:r w:rsidRPr="00A94974">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17F19A50" w14:textId="77777777" w:rsidR="00896D35" w:rsidRPr="00A94974" w:rsidRDefault="00896D35" w:rsidP="00E27636">
      <w:pPr>
        <w:spacing w:after="0" w:line="240" w:lineRule="auto"/>
        <w:jc w:val="both"/>
        <w:rPr>
          <w:rFonts w:ascii="Trebuchet MS" w:hAnsi="Trebuchet MS"/>
          <w:iCs/>
          <w:color w:val="1F4E79" w:themeColor="accent1" w:themeShade="80"/>
        </w:rPr>
      </w:pPr>
    </w:p>
    <w:p w14:paraId="2AB9BE90"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
          <w:color w:val="1F4E79" w:themeColor="accent1" w:themeShade="80"/>
        </w:rPr>
        <w:t>Cheltuielile eligibile indirecte</w:t>
      </w:r>
      <w:r w:rsidRPr="00A94974">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32D06970" w14:textId="77777777" w:rsidR="00896D35" w:rsidRPr="00A94974" w:rsidRDefault="00896D35" w:rsidP="00E27636">
      <w:pPr>
        <w:jc w:val="both"/>
        <w:rPr>
          <w:rFonts w:ascii="Trebuchet MS" w:hAnsi="Trebuchet MS"/>
          <w:iCs/>
          <w:color w:val="1F4E79" w:themeColor="accent1" w:themeShade="80"/>
        </w:rPr>
      </w:pPr>
    </w:p>
    <w:p w14:paraId="0069C056" w14:textId="77777777" w:rsidR="00896D35" w:rsidRPr="00A94974" w:rsidRDefault="00896D35" w:rsidP="00E27636">
      <w:pPr>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externalizat etc). </w:t>
      </w:r>
    </w:p>
    <w:p w14:paraId="74046421" w14:textId="77777777" w:rsidR="00896D35" w:rsidRPr="00A94974" w:rsidRDefault="00896D35" w:rsidP="00E27636">
      <w:pPr>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67328D51" w14:textId="65557DCC" w:rsidR="005758D7" w:rsidRPr="00A94974" w:rsidRDefault="005758D7"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4D2343C7" w14:textId="77777777" w:rsidR="00896D35" w:rsidRPr="00A94974" w:rsidRDefault="00896D35"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lastRenderedPageBreak/>
        <w:t>Regulile aplicabile cheltuielilor cu personalul cât și plafoanele aplicabile sunt stabilite în Ghidul Solicitantului Condiții Generale PEO 2021-2027.</w:t>
      </w:r>
    </w:p>
    <w:p w14:paraId="06CC0C7C" w14:textId="77777777" w:rsidR="005758D7" w:rsidRPr="00A94974" w:rsidRDefault="005758D7" w:rsidP="00E27636">
      <w:pPr>
        <w:rPr>
          <w:rFonts w:ascii="Trebuchet MS" w:hAnsi="Trebuchet MS"/>
          <w:color w:val="1F4E79" w:themeColor="accent1" w:themeShade="80"/>
        </w:rPr>
      </w:pPr>
    </w:p>
    <w:p w14:paraId="42BDCACB" w14:textId="71AFA8E2" w:rsidR="00AB1091" w:rsidRPr="00A94974" w:rsidRDefault="00A01A80" w:rsidP="00CF716B">
      <w:pPr>
        <w:pStyle w:val="Heading3"/>
        <w:rPr>
          <w:color w:val="1F4E79" w:themeColor="accent1" w:themeShade="80"/>
        </w:rPr>
      </w:pPr>
      <w:bookmarkStart w:id="78" w:name="_Toc179368125"/>
      <w:r w:rsidRPr="00A94974">
        <w:rPr>
          <w:color w:val="1F4E79" w:themeColor="accent1" w:themeShade="80"/>
        </w:rPr>
        <w:t xml:space="preserve">5.3.5 </w:t>
      </w:r>
      <w:r w:rsidR="00AB1091" w:rsidRPr="00A94974">
        <w:rPr>
          <w:color w:val="1F4E79" w:themeColor="accent1" w:themeShade="80"/>
        </w:rPr>
        <w:t xml:space="preserve">Opțiuni de costuri simplificate. </w:t>
      </w:r>
      <w:r w:rsidR="00751AA8" w:rsidRPr="00A94974">
        <w:rPr>
          <w:color w:val="1F4E79" w:themeColor="accent1" w:themeShade="80"/>
        </w:rPr>
        <w:t xml:space="preserve"> Costuri unitare</w:t>
      </w:r>
      <w:r w:rsidR="00A7044C" w:rsidRPr="00A94974">
        <w:rPr>
          <w:color w:val="1F4E79" w:themeColor="accent1" w:themeShade="80"/>
        </w:rPr>
        <w:t>/</w:t>
      </w:r>
      <w:r w:rsidR="00751AA8" w:rsidRPr="00A94974">
        <w:rPr>
          <w:color w:val="1F4E79" w:themeColor="accent1" w:themeShade="80"/>
        </w:rPr>
        <w:t>sume forfetare și rate forfetare</w:t>
      </w:r>
      <w:bookmarkEnd w:id="78"/>
    </w:p>
    <w:p w14:paraId="124364B1" w14:textId="7C1CB901" w:rsidR="00C676A9" w:rsidRPr="00A94974" w:rsidRDefault="0090501A" w:rsidP="00E27636">
      <w:pPr>
        <w:jc w:val="both"/>
        <w:rPr>
          <w:rFonts w:ascii="Trebuchet MS" w:hAnsi="Trebuchet MS"/>
          <w:color w:val="1F4E79" w:themeColor="accent1" w:themeShade="80"/>
        </w:rPr>
      </w:pPr>
      <w:r w:rsidRPr="00A94974">
        <w:rPr>
          <w:rFonts w:ascii="Trebuchet MS" w:hAnsi="Trebuchet MS"/>
          <w:color w:val="1F4E79" w:themeColor="accent1" w:themeShade="80"/>
        </w:rPr>
        <w:t>Cheltuielile indirecte vor fi decontate ca rată forfetară fixă de 15% din costurile directe cu personalul, per proiect, prin aplicarea articolului 54 litera (b) din Regulamentul UE 2021/1060.</w:t>
      </w:r>
    </w:p>
    <w:p w14:paraId="44050980" w14:textId="0EF5C28C" w:rsidR="00A7044C" w:rsidRPr="00A94974" w:rsidRDefault="00A01A80" w:rsidP="00CF716B">
      <w:pPr>
        <w:pStyle w:val="Heading3"/>
        <w:rPr>
          <w:color w:val="1F4E79" w:themeColor="accent1" w:themeShade="80"/>
        </w:rPr>
      </w:pPr>
      <w:bookmarkStart w:id="79" w:name="_Toc179368126"/>
      <w:r w:rsidRPr="00A94974">
        <w:rPr>
          <w:color w:val="1F4E79" w:themeColor="accent1" w:themeShade="80"/>
        </w:rPr>
        <w:t xml:space="preserve">5.3.6 </w:t>
      </w:r>
      <w:r w:rsidR="00A7044C" w:rsidRPr="00A94974">
        <w:rPr>
          <w:color w:val="1F4E79" w:themeColor="accent1" w:themeShade="80"/>
        </w:rPr>
        <w:t>Finanțare nelegată de costuri</w:t>
      </w:r>
      <w:bookmarkEnd w:id="79"/>
    </w:p>
    <w:p w14:paraId="20EF8A29" w14:textId="77777777" w:rsidR="005758D7" w:rsidRPr="00A94974" w:rsidRDefault="005758D7" w:rsidP="00E27636">
      <w:pPr>
        <w:pStyle w:val="NoSpacing"/>
        <w:rPr>
          <w:rFonts w:eastAsia="Times New Roman" w:cs="Times New Roman"/>
          <w:color w:val="1F4E79" w:themeColor="accent1" w:themeShade="80"/>
          <w:lang w:eastAsia="ro-RO"/>
        </w:rPr>
      </w:pPr>
      <w:r w:rsidRPr="00A94974">
        <w:rPr>
          <w:rFonts w:eastAsia="Times New Roman" w:cs="Times New Roman"/>
          <w:color w:val="1F4E79" w:themeColor="accent1" w:themeShade="80"/>
          <w:lang w:eastAsia="ro-RO"/>
        </w:rPr>
        <w:t>Nu este cazul.</w:t>
      </w:r>
    </w:p>
    <w:p w14:paraId="764DC79B" w14:textId="77777777" w:rsidR="005758D7" w:rsidRPr="00A94974" w:rsidRDefault="005758D7" w:rsidP="00E27636">
      <w:pPr>
        <w:rPr>
          <w:rFonts w:ascii="Trebuchet MS" w:hAnsi="Trebuchet MS"/>
          <w:color w:val="1F4E79" w:themeColor="accent1" w:themeShade="80"/>
        </w:rPr>
      </w:pPr>
    </w:p>
    <w:p w14:paraId="1F94E27B" w14:textId="25EAF9EF" w:rsidR="00647059" w:rsidRPr="00A94974" w:rsidRDefault="00CF653F" w:rsidP="00E27636">
      <w:pPr>
        <w:pStyle w:val="Heading2"/>
        <w:rPr>
          <w:color w:val="1F4E79" w:themeColor="accent1" w:themeShade="80"/>
        </w:rPr>
      </w:pPr>
      <w:bookmarkStart w:id="80" w:name="_Toc179368127"/>
      <w:r w:rsidRPr="00A94974">
        <w:rPr>
          <w:color w:val="1F4E79" w:themeColor="accent1" w:themeShade="80"/>
        </w:rPr>
        <w:t xml:space="preserve">5.4 </w:t>
      </w:r>
      <w:r w:rsidR="000E0EE7" w:rsidRPr="00A94974">
        <w:rPr>
          <w:color w:val="1F4E79" w:themeColor="accent1" w:themeShade="80"/>
        </w:rPr>
        <w:t>Valoarea minimă și maximă eligibilă/nerambursabilă a unui proiect</w:t>
      </w:r>
      <w:bookmarkEnd w:id="80"/>
      <w:r w:rsidR="000E0EE7" w:rsidRPr="00A94974">
        <w:rPr>
          <w:color w:val="1F4E79" w:themeColor="accent1" w:themeShade="80"/>
        </w:rPr>
        <w:tab/>
      </w:r>
    </w:p>
    <w:p w14:paraId="3DBF2461" w14:textId="77777777" w:rsidR="00C81F1A" w:rsidRPr="00A94974" w:rsidRDefault="00C81F1A" w:rsidP="00E27636">
      <w:pPr>
        <w:rPr>
          <w:rFonts w:ascii="Trebuchet MS" w:hAnsi="Trebuchet MS"/>
          <w:iCs/>
          <w:color w:val="1F4E79" w:themeColor="accent1" w:themeShade="80"/>
        </w:rPr>
      </w:pPr>
    </w:p>
    <w:p w14:paraId="2423A3B3" w14:textId="079F6B0C" w:rsidR="008E7476" w:rsidRPr="00A94974" w:rsidRDefault="008E7476" w:rsidP="002471A1">
      <w:pPr>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Valoarea minimă eligibilă a unui proiect este de </w:t>
      </w:r>
      <w:r w:rsidR="005C774D" w:rsidRPr="00A94974">
        <w:rPr>
          <w:rFonts w:ascii="Trebuchet MS" w:hAnsi="Trebuchet MS"/>
          <w:iCs/>
          <w:color w:val="1F4E79" w:themeColor="accent1" w:themeShade="80"/>
        </w:rPr>
        <w:t>201.000</w:t>
      </w:r>
      <w:r w:rsidRPr="00A94974">
        <w:rPr>
          <w:rFonts w:ascii="Trebuchet MS" w:hAnsi="Trebuchet MS"/>
          <w:iCs/>
          <w:color w:val="1F4E79" w:themeColor="accent1" w:themeShade="80"/>
        </w:rPr>
        <w:t xml:space="preserve"> euro, atât pentru regiunile mai puțin dezvoltate cât și pentru regiunea mai dezvoltată.</w:t>
      </w:r>
    </w:p>
    <w:p w14:paraId="1F50AE57" w14:textId="1002CA8C" w:rsidR="00C81F1A" w:rsidRPr="00A94974" w:rsidRDefault="00C81F1A" w:rsidP="002471A1">
      <w:pPr>
        <w:jc w:val="both"/>
        <w:rPr>
          <w:rFonts w:ascii="Trebuchet MS" w:hAnsi="Trebuchet MS"/>
          <w:iCs/>
          <w:color w:val="1F4E79" w:themeColor="accent1" w:themeShade="80"/>
        </w:rPr>
      </w:pPr>
      <w:r w:rsidRPr="00A94974">
        <w:rPr>
          <w:rFonts w:ascii="Trebuchet MS" w:hAnsi="Trebuchet MS"/>
          <w:iCs/>
          <w:color w:val="1F4E79" w:themeColor="accent1" w:themeShade="80"/>
        </w:rPr>
        <w:t>Valoarea maximă eligibilă a unui proiect nu poate depăși valoarea maximă de 3</w:t>
      </w:r>
      <w:r w:rsidR="001F6FCF" w:rsidRPr="00A94974">
        <w:rPr>
          <w:rFonts w:ascii="Trebuchet MS" w:hAnsi="Trebuchet MS"/>
          <w:iCs/>
          <w:color w:val="1F4E79" w:themeColor="accent1" w:themeShade="80"/>
        </w:rPr>
        <w:t>60</w:t>
      </w:r>
      <w:r w:rsidRPr="00A94974">
        <w:rPr>
          <w:rFonts w:ascii="Trebuchet MS" w:hAnsi="Trebuchet MS"/>
          <w:iCs/>
          <w:color w:val="1F4E79" w:themeColor="accent1" w:themeShade="80"/>
        </w:rPr>
        <w:t>.0</w:t>
      </w:r>
      <w:r w:rsidR="001F6FCF" w:rsidRPr="00A94974">
        <w:rPr>
          <w:rFonts w:ascii="Trebuchet MS" w:hAnsi="Trebuchet MS"/>
          <w:iCs/>
          <w:color w:val="1F4E79" w:themeColor="accent1" w:themeShade="80"/>
        </w:rPr>
        <w:t>00</w:t>
      </w:r>
      <w:r w:rsidRPr="00A94974">
        <w:rPr>
          <w:rFonts w:ascii="Trebuchet MS" w:hAnsi="Trebuchet MS"/>
          <w:iCs/>
          <w:color w:val="1F4E79" w:themeColor="accent1" w:themeShade="80"/>
        </w:rPr>
        <w:t xml:space="preserve"> de euro</w:t>
      </w:r>
      <w:r w:rsidR="008E7476" w:rsidRPr="00A94974">
        <w:rPr>
          <w:rFonts w:ascii="Trebuchet MS" w:hAnsi="Trebuchet MS"/>
          <w:iCs/>
          <w:color w:val="1F4E79" w:themeColor="accent1" w:themeShade="80"/>
        </w:rPr>
        <w:t>, atât pentru regiunile mai puțin dezvoltate</w:t>
      </w:r>
      <w:r w:rsidR="007076E2" w:rsidRPr="00A94974">
        <w:rPr>
          <w:rFonts w:ascii="Trebuchet MS" w:hAnsi="Trebuchet MS"/>
          <w:iCs/>
          <w:color w:val="1F4E79" w:themeColor="accent1" w:themeShade="80"/>
        </w:rPr>
        <w:t>,</w:t>
      </w:r>
      <w:r w:rsidR="008E7476" w:rsidRPr="00A94974">
        <w:rPr>
          <w:rFonts w:ascii="Trebuchet MS" w:hAnsi="Trebuchet MS"/>
          <w:iCs/>
          <w:color w:val="1F4E79" w:themeColor="accent1" w:themeShade="80"/>
        </w:rPr>
        <w:t xml:space="preserve"> cât și pentru regiunea mai dezvoltată</w:t>
      </w:r>
      <w:r w:rsidR="007076E2" w:rsidRPr="00A94974">
        <w:rPr>
          <w:rFonts w:ascii="Trebuchet MS" w:hAnsi="Trebuchet MS"/>
          <w:iCs/>
          <w:color w:val="1F4E79" w:themeColor="accent1" w:themeShade="80"/>
        </w:rPr>
        <w:t xml:space="preserve"> București - Ilfov</w:t>
      </w:r>
      <w:r w:rsidRPr="00A94974">
        <w:rPr>
          <w:rFonts w:ascii="Trebuchet MS" w:hAnsi="Trebuchet MS"/>
          <w:iCs/>
          <w:color w:val="1F4E79" w:themeColor="accent1" w:themeShade="80"/>
        </w:rPr>
        <w:t xml:space="preserve">. </w:t>
      </w:r>
    </w:p>
    <w:p w14:paraId="2DA07C2B" w14:textId="061B7CD0" w:rsidR="00673C67" w:rsidRPr="00A94974" w:rsidRDefault="00132104" w:rsidP="002471A1">
      <w:pPr>
        <w:jc w:val="both"/>
        <w:rPr>
          <w:b/>
          <w:bCs/>
          <w:iCs/>
          <w:color w:val="1F4E79" w:themeColor="accent1" w:themeShade="80"/>
        </w:rPr>
      </w:pPr>
      <w:r w:rsidRPr="00A94974">
        <w:rPr>
          <w:rFonts w:ascii="Trebuchet MS" w:hAnsi="Trebuchet MS"/>
          <w:b/>
          <w:bCs/>
          <w:iCs/>
          <w:color w:val="1F4E79" w:themeColor="accent1" w:themeShade="80"/>
        </w:rPr>
        <w:t xml:space="preserve">Valoarea eligibilă a proiectelor va fi dimensionată în funcție de valoarea grupului țintă </w:t>
      </w:r>
      <w:r w:rsidR="00E46874" w:rsidRPr="00A94974">
        <w:rPr>
          <w:rFonts w:ascii="Trebuchet MS" w:hAnsi="Trebuchet MS"/>
          <w:b/>
          <w:bCs/>
          <w:iCs/>
          <w:color w:val="1F4E79" w:themeColor="accent1" w:themeShade="80"/>
        </w:rPr>
        <w:t xml:space="preserve">și a indicatorului de realizare </w:t>
      </w:r>
      <w:r w:rsidRPr="00A94974">
        <w:rPr>
          <w:rFonts w:ascii="Trebuchet MS" w:hAnsi="Trebuchet MS"/>
          <w:b/>
          <w:bCs/>
          <w:iCs/>
          <w:color w:val="1F4E79" w:themeColor="accent1" w:themeShade="80"/>
        </w:rPr>
        <w:t xml:space="preserve">EECO06+07 </w:t>
      </w:r>
      <w:r w:rsidR="00E46874" w:rsidRPr="00A94974">
        <w:rPr>
          <w:rFonts w:ascii="Trebuchet MS" w:hAnsi="Trebuchet MS"/>
          <w:b/>
          <w:bCs/>
          <w:iCs/>
          <w:color w:val="1F4E79" w:themeColor="accent1" w:themeShade="80"/>
        </w:rPr>
        <w:t>-  Copii și tineri</w:t>
      </w:r>
      <w:r w:rsidR="00673C67" w:rsidRPr="00A94974">
        <w:rPr>
          <w:rFonts w:ascii="Trebuchet MS" w:hAnsi="Trebuchet MS"/>
          <w:b/>
          <w:bCs/>
          <w:iCs/>
          <w:color w:val="1F4E79" w:themeColor="accent1" w:themeShade="80"/>
        </w:rPr>
        <w:t>,</w:t>
      </w:r>
      <w:r w:rsidR="00E46874" w:rsidRPr="00A94974">
        <w:rPr>
          <w:rFonts w:ascii="Trebuchet MS" w:hAnsi="Trebuchet MS"/>
          <w:b/>
          <w:bCs/>
          <w:iCs/>
          <w:color w:val="1F4E79" w:themeColor="accent1" w:themeShade="80"/>
        </w:rPr>
        <w:t xml:space="preserve"> asumate prin cererea de finanțate.</w:t>
      </w:r>
      <w:r w:rsidR="00673C67" w:rsidRPr="00A94974">
        <w:rPr>
          <w:rFonts w:ascii="Trebuchet MS" w:hAnsi="Trebuchet MS"/>
          <w:b/>
          <w:bCs/>
          <w:iCs/>
          <w:color w:val="1F4E79" w:themeColor="accent1" w:themeShade="80"/>
        </w:rPr>
        <w:t xml:space="preserve"> În acest sens, valoarea minimă eligibilă a proiectului va fi asociată v</w:t>
      </w:r>
      <w:r w:rsidR="00673C67" w:rsidRPr="00A94974">
        <w:rPr>
          <w:rFonts w:ascii="Trebuchet MS" w:eastAsia="Calibri" w:hAnsi="Trebuchet MS" w:cs="Times New Roman"/>
          <w:b/>
          <w:bCs/>
          <w:iCs/>
          <w:color w:val="1F4E79" w:themeColor="accent1" w:themeShade="80"/>
        </w:rPr>
        <w:t xml:space="preserve">alorii minime obligatorii a grupului țintă, respectiv țintei minime a indicatorului de realizare </w:t>
      </w:r>
      <w:r w:rsidR="00673C67" w:rsidRPr="00A94974">
        <w:rPr>
          <w:rFonts w:ascii="Trebuchet MS" w:hAnsi="Trebuchet MS"/>
          <w:b/>
          <w:bCs/>
          <w:iCs/>
          <w:color w:val="1F4E79" w:themeColor="accent1" w:themeShade="80"/>
        </w:rPr>
        <w:t>EECO06+07 -  Copii și tineri, asumate la nivelul cererii de finanțare pentru fiecare proiect.</w:t>
      </w:r>
      <w:r w:rsidR="00673C67" w:rsidRPr="00A94974">
        <w:rPr>
          <w:rFonts w:ascii="Trebuchet MS" w:eastAsia="Calibri" w:hAnsi="Trebuchet MS" w:cs="Times New Roman"/>
          <w:b/>
          <w:bCs/>
          <w:iCs/>
          <w:color w:val="1F4E79" w:themeColor="accent1" w:themeShade="80"/>
        </w:rPr>
        <w:t xml:space="preserve"> </w:t>
      </w:r>
    </w:p>
    <w:p w14:paraId="34506C0E" w14:textId="021F1761" w:rsidR="005758D7" w:rsidRPr="00A94974" w:rsidRDefault="00673C67" w:rsidP="002471A1">
      <w:pPr>
        <w:jc w:val="both"/>
        <w:rPr>
          <w:rFonts w:ascii="Trebuchet MS" w:hAnsi="Trebuchet MS"/>
          <w:iCs/>
          <w:color w:val="1F4E79" w:themeColor="accent1" w:themeShade="80"/>
        </w:rPr>
      </w:pPr>
      <w:r w:rsidRPr="00A94974">
        <w:rPr>
          <w:rFonts w:ascii="Trebuchet MS" w:hAnsi="Trebuchet MS"/>
          <w:b/>
          <w:bCs/>
          <w:iCs/>
          <w:color w:val="1F4E79" w:themeColor="accent1" w:themeShade="80"/>
        </w:rPr>
        <w:t>În situația în care se optează pentru suplimentarea valorilor grupului țintă și a indicatorului de realizare EECO06+07 -  Copii și tineri în raport cu valorile minim</w:t>
      </w:r>
      <w:r w:rsidR="007076E2" w:rsidRPr="00A94974">
        <w:rPr>
          <w:rFonts w:ascii="Trebuchet MS" w:hAnsi="Trebuchet MS"/>
          <w:b/>
          <w:bCs/>
          <w:iCs/>
          <w:color w:val="1F4E79" w:themeColor="accent1" w:themeShade="80"/>
        </w:rPr>
        <w:t>e</w:t>
      </w:r>
      <w:r w:rsidRPr="00A94974">
        <w:rPr>
          <w:rFonts w:ascii="Trebuchet MS" w:hAnsi="Trebuchet MS"/>
          <w:b/>
          <w:bCs/>
          <w:iCs/>
          <w:color w:val="1F4E79" w:themeColor="accent1" w:themeShade="80"/>
        </w:rPr>
        <w:t xml:space="preserve"> obligatorii precizat</w:t>
      </w:r>
      <w:r w:rsidR="007076E2" w:rsidRPr="00A94974">
        <w:rPr>
          <w:rFonts w:ascii="Trebuchet MS" w:hAnsi="Trebuchet MS"/>
          <w:b/>
          <w:bCs/>
          <w:iCs/>
          <w:color w:val="1F4E79" w:themeColor="accent1" w:themeShade="80"/>
        </w:rPr>
        <w:t>e</w:t>
      </w:r>
      <w:r w:rsidRPr="00A94974">
        <w:rPr>
          <w:rFonts w:ascii="Trebuchet MS" w:hAnsi="Trebuchet MS"/>
          <w:b/>
          <w:bCs/>
          <w:iCs/>
          <w:color w:val="1F4E79" w:themeColor="accent1" w:themeShade="80"/>
        </w:rPr>
        <w:t xml:space="preserve"> în secțiunea</w:t>
      </w:r>
      <w:r w:rsidR="00CF36BC" w:rsidRPr="00A94974">
        <w:rPr>
          <w:rFonts w:ascii="Trebuchet MS" w:hAnsi="Trebuchet MS"/>
          <w:b/>
          <w:bCs/>
          <w:iCs/>
          <w:color w:val="1F4E79" w:themeColor="accent1" w:themeShade="80"/>
        </w:rPr>
        <w:t xml:space="preserve"> </w:t>
      </w:r>
      <w:r w:rsidR="00CF36BC" w:rsidRPr="00A94974">
        <w:rPr>
          <w:rFonts w:ascii="Trebuchet MS" w:hAnsi="Trebuchet MS"/>
          <w:b/>
          <w:bCs/>
          <w:i/>
          <w:color w:val="1F4E79" w:themeColor="accent1" w:themeShade="80"/>
        </w:rPr>
        <w:t>3.7 Grup țintă vizat de apelurile de proiecte</w:t>
      </w:r>
      <w:r w:rsidRPr="00A94974">
        <w:rPr>
          <w:rFonts w:ascii="Trebuchet MS" w:hAnsi="Trebuchet MS"/>
          <w:b/>
          <w:bCs/>
          <w:iCs/>
          <w:color w:val="1F4E79" w:themeColor="accent1" w:themeShade="80"/>
        </w:rPr>
        <w:t>,</w:t>
      </w:r>
      <w:r w:rsidR="00CF36BC" w:rsidRPr="00A94974">
        <w:rPr>
          <w:rFonts w:ascii="Trebuchet MS" w:hAnsi="Trebuchet MS"/>
          <w:b/>
          <w:bCs/>
          <w:iCs/>
          <w:color w:val="1F4E79" w:themeColor="accent1" w:themeShade="80"/>
        </w:rPr>
        <w:t xml:space="preserve"> respectiv </w:t>
      </w:r>
      <w:r w:rsidR="00CF36BC" w:rsidRPr="00A94974">
        <w:rPr>
          <w:rFonts w:ascii="Trebuchet MS" w:hAnsi="Trebuchet MS"/>
          <w:b/>
          <w:bCs/>
          <w:i/>
          <w:color w:val="1F4E79" w:themeColor="accent1" w:themeShade="80"/>
        </w:rPr>
        <w:t>3.8 Indicatori</w:t>
      </w:r>
      <w:r w:rsidR="00CF36BC" w:rsidRPr="00A94974">
        <w:rPr>
          <w:rFonts w:ascii="Trebuchet MS" w:hAnsi="Trebuchet MS"/>
          <w:b/>
          <w:bCs/>
          <w:iCs/>
          <w:color w:val="1F4E79" w:themeColor="accent1" w:themeShade="80"/>
        </w:rPr>
        <w:t>,</w:t>
      </w:r>
      <w:r w:rsidRPr="00A94974">
        <w:rPr>
          <w:rFonts w:ascii="Trebuchet MS" w:hAnsi="Trebuchet MS"/>
          <w:b/>
          <w:bCs/>
          <w:iCs/>
          <w:color w:val="1F4E79" w:themeColor="accent1" w:themeShade="80"/>
        </w:rPr>
        <w:t xml:space="preserve"> valoarea eligibilă a proiectelor se poate suplimenta cu suma</w:t>
      </w:r>
      <w:r w:rsidR="00BC5050" w:rsidRPr="00A94974">
        <w:rPr>
          <w:rFonts w:ascii="Trebuchet MS" w:hAnsi="Trebuchet MS"/>
          <w:b/>
          <w:bCs/>
          <w:iCs/>
          <w:color w:val="1F4E79" w:themeColor="accent1" w:themeShade="80"/>
        </w:rPr>
        <w:t xml:space="preserve"> maximă</w:t>
      </w:r>
      <w:r w:rsidRPr="00A94974">
        <w:rPr>
          <w:rFonts w:ascii="Trebuchet MS" w:hAnsi="Trebuchet MS"/>
          <w:b/>
          <w:bCs/>
          <w:iCs/>
          <w:color w:val="1F4E79" w:themeColor="accent1" w:themeShade="80"/>
        </w:rPr>
        <w:t xml:space="preserve"> de 5</w:t>
      </w:r>
      <w:r w:rsidR="00BC5050" w:rsidRPr="00A94974">
        <w:rPr>
          <w:rFonts w:ascii="Trebuchet MS" w:hAnsi="Trebuchet MS"/>
          <w:b/>
          <w:bCs/>
          <w:iCs/>
          <w:color w:val="1F4E79" w:themeColor="accent1" w:themeShade="80"/>
        </w:rPr>
        <w:t>.</w:t>
      </w:r>
      <w:r w:rsidRPr="00A94974">
        <w:rPr>
          <w:rFonts w:ascii="Trebuchet MS" w:hAnsi="Trebuchet MS"/>
          <w:b/>
          <w:bCs/>
          <w:iCs/>
          <w:color w:val="1F4E79" w:themeColor="accent1" w:themeShade="80"/>
        </w:rPr>
        <w:t>204 euro / student.</w:t>
      </w:r>
      <w:r w:rsidR="002F2EB2">
        <w:rPr>
          <w:rFonts w:ascii="Trebuchet MS" w:hAnsi="Trebuchet MS"/>
          <w:b/>
          <w:bCs/>
          <w:iCs/>
          <w:color w:val="1F4E79" w:themeColor="accent1" w:themeShade="80"/>
        </w:rPr>
        <w:t xml:space="preserve"> </w:t>
      </w:r>
      <w:r w:rsidR="005758D7" w:rsidRPr="00A94974">
        <w:rPr>
          <w:rFonts w:ascii="Trebuchet MS" w:hAnsi="Trebuchet MS"/>
          <w:iCs/>
          <w:color w:val="1F4E79" w:themeColor="accent1" w:themeShade="80"/>
        </w:rPr>
        <w:t>Cursul de schimb care va fi utilizat pentru stabilirea acestei valori este cursul Inforeuro aferent lunii</w:t>
      </w:r>
      <w:r w:rsidR="00C237FF" w:rsidRPr="00A94974">
        <w:rPr>
          <w:rFonts w:ascii="Trebuchet MS" w:hAnsi="Trebuchet MS"/>
          <w:iCs/>
          <w:color w:val="1F4E79" w:themeColor="accent1" w:themeShade="80"/>
        </w:rPr>
        <w:t xml:space="preserve"> </w:t>
      </w:r>
      <w:r w:rsidR="00FE65A9" w:rsidRPr="00A94974">
        <w:rPr>
          <w:rFonts w:ascii="Trebuchet MS" w:hAnsi="Trebuchet MS"/>
          <w:iCs/>
          <w:color w:val="1F4E79" w:themeColor="accent1" w:themeShade="80"/>
        </w:rPr>
        <w:t xml:space="preserve"> 2024</w:t>
      </w:r>
      <w:r w:rsidR="005758D7" w:rsidRPr="00A94974">
        <w:rPr>
          <w:rFonts w:ascii="Trebuchet MS" w:hAnsi="Trebuchet MS"/>
          <w:iCs/>
          <w:color w:val="1F4E79" w:themeColor="accent1" w:themeShade="80"/>
        </w:rPr>
        <w:t>, respectiv 1 Euro =</w:t>
      </w:r>
      <w:r w:rsidR="00FE65A9" w:rsidRPr="00A94974">
        <w:rPr>
          <w:color w:val="1F4E79" w:themeColor="accent1" w:themeShade="80"/>
        </w:rPr>
        <w:t xml:space="preserve"> </w:t>
      </w:r>
      <w:r w:rsidR="00C77F68" w:rsidRPr="00A94974">
        <w:rPr>
          <w:rFonts w:ascii="Trebuchet MS" w:hAnsi="Trebuchet MS"/>
          <w:iCs/>
          <w:color w:val="1F4E79" w:themeColor="accent1" w:themeShade="80"/>
        </w:rPr>
        <w:t>...................</w:t>
      </w:r>
      <w:r w:rsidR="00FE65A9" w:rsidRPr="00A94974">
        <w:rPr>
          <w:rFonts w:ascii="Trebuchet MS" w:hAnsi="Trebuchet MS"/>
          <w:iCs/>
          <w:color w:val="1F4E79" w:themeColor="accent1" w:themeShade="80"/>
        </w:rPr>
        <w:t xml:space="preserve"> </w:t>
      </w:r>
      <w:r w:rsidR="005758D7" w:rsidRPr="00A94974">
        <w:rPr>
          <w:rFonts w:ascii="Trebuchet MS" w:hAnsi="Trebuchet MS"/>
          <w:iCs/>
          <w:color w:val="1F4E79" w:themeColor="accent1" w:themeShade="80"/>
        </w:rPr>
        <w:t>RON</w:t>
      </w:r>
    </w:p>
    <w:p w14:paraId="13E00886" w14:textId="64F8EC22" w:rsidR="005758D7" w:rsidRPr="00A94974" w:rsidRDefault="005758D7" w:rsidP="002471A1">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Bugetul proiectului va fi exprimat DOAR în lei.</w:t>
      </w:r>
    </w:p>
    <w:p w14:paraId="3F123E5E" w14:textId="77777777" w:rsidR="00CC5289" w:rsidRPr="00A94974" w:rsidRDefault="00CC5289" w:rsidP="00E27636">
      <w:pPr>
        <w:spacing w:before="120" w:after="120" w:line="276" w:lineRule="auto"/>
        <w:jc w:val="both"/>
        <w:rPr>
          <w:rFonts w:ascii="Trebuchet MS" w:hAnsi="Trebuchet MS"/>
          <w:iCs/>
          <w:color w:val="1F4E79" w:themeColor="accent1" w:themeShade="80"/>
        </w:rPr>
      </w:pPr>
    </w:p>
    <w:p w14:paraId="65B691EC" w14:textId="75DBFF5A" w:rsidR="000E0EE7" w:rsidRPr="00A94974" w:rsidRDefault="00CF653F" w:rsidP="00E27636">
      <w:pPr>
        <w:pStyle w:val="Heading2"/>
        <w:rPr>
          <w:color w:val="1F4E79" w:themeColor="accent1" w:themeShade="80"/>
        </w:rPr>
      </w:pPr>
      <w:bookmarkStart w:id="81" w:name="_Toc179368128"/>
      <w:r w:rsidRPr="00A94974">
        <w:rPr>
          <w:color w:val="1F4E79" w:themeColor="accent1" w:themeShade="80"/>
        </w:rPr>
        <w:t xml:space="preserve">5.5 </w:t>
      </w:r>
      <w:r w:rsidR="000E0EE7" w:rsidRPr="00A94974">
        <w:rPr>
          <w:color w:val="1F4E79" w:themeColor="accent1" w:themeShade="80"/>
        </w:rPr>
        <w:t>Cuantumul cofinanțării acordate</w:t>
      </w:r>
      <w:bookmarkEnd w:id="81"/>
      <w:r w:rsidR="000E0EE7" w:rsidRPr="00A94974">
        <w:rPr>
          <w:color w:val="1F4E79" w:themeColor="accent1" w:themeShade="80"/>
        </w:rPr>
        <w:t xml:space="preserve"> </w:t>
      </w:r>
      <w:r w:rsidR="000E0EE7" w:rsidRPr="00A94974">
        <w:rPr>
          <w:color w:val="1F4E79" w:themeColor="accent1" w:themeShade="80"/>
        </w:rPr>
        <w:tab/>
      </w:r>
    </w:p>
    <w:p w14:paraId="4E5035B8" w14:textId="78C684BA" w:rsidR="005758D7" w:rsidRPr="00A94974" w:rsidRDefault="005758D7" w:rsidP="00E27636">
      <w:pPr>
        <w:spacing w:before="120" w:after="12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 în conformitate cu </w:t>
      </w:r>
      <w:r w:rsidR="00896D35" w:rsidRPr="00A94974">
        <w:rPr>
          <w:rFonts w:ascii="Trebuchet MS" w:hAnsi="Trebuchet MS"/>
          <w:iCs/>
          <w:color w:val="1F4E79" w:themeColor="accent1" w:themeShade="80"/>
        </w:rPr>
        <w:t xml:space="preserve">capitolul 2.2 „Cofinanțarea proprie minimă a beneficiarului“ </w:t>
      </w:r>
      <w:r w:rsidRPr="00A94974">
        <w:rPr>
          <w:rFonts w:ascii="Trebuchet MS" w:hAnsi="Trebuchet MS"/>
          <w:iCs/>
          <w:color w:val="1F4E79" w:themeColor="accent1" w:themeShade="80"/>
        </w:rPr>
        <w:t>din Ghidul Solicitantului Condiții Generale PEO.</w:t>
      </w:r>
    </w:p>
    <w:p w14:paraId="544BC5DB" w14:textId="77777777" w:rsidR="00FA306C" w:rsidRPr="00A94974" w:rsidRDefault="00FA306C" w:rsidP="00E27636">
      <w:pPr>
        <w:spacing w:before="120" w:after="120" w:line="276" w:lineRule="auto"/>
        <w:jc w:val="both"/>
        <w:rPr>
          <w:rFonts w:ascii="Trebuchet MS" w:hAnsi="Trebuchet MS"/>
          <w:iCs/>
          <w:color w:val="1F4E79" w:themeColor="accent1" w:themeShade="80"/>
        </w:rPr>
      </w:pPr>
    </w:p>
    <w:p w14:paraId="1828CC5F" w14:textId="0101B2CC" w:rsidR="000E0EE7" w:rsidRPr="00A94974" w:rsidRDefault="00CF653F" w:rsidP="00E27636">
      <w:pPr>
        <w:pStyle w:val="Heading2"/>
        <w:rPr>
          <w:rFonts w:ascii="Trebuchet MS" w:hAnsi="Trebuchet MS"/>
          <w:color w:val="1F4E79" w:themeColor="accent1" w:themeShade="80"/>
          <w:sz w:val="22"/>
          <w:szCs w:val="22"/>
        </w:rPr>
      </w:pPr>
      <w:bookmarkStart w:id="82" w:name="_Toc179368129"/>
      <w:r w:rsidRPr="00A94974">
        <w:rPr>
          <w:color w:val="1F4E79" w:themeColor="accent1" w:themeShade="80"/>
        </w:rPr>
        <w:t xml:space="preserve">5.6 </w:t>
      </w:r>
      <w:r w:rsidR="000E0EE7" w:rsidRPr="00A94974">
        <w:rPr>
          <w:color w:val="1F4E79" w:themeColor="accent1" w:themeShade="80"/>
        </w:rPr>
        <w:t>Durata proiectului</w:t>
      </w:r>
      <w:bookmarkEnd w:id="82"/>
      <w:r w:rsidR="000E0EE7" w:rsidRPr="00A94974">
        <w:rPr>
          <w:rFonts w:ascii="Trebuchet MS" w:hAnsi="Trebuchet MS"/>
          <w:color w:val="1F4E79" w:themeColor="accent1" w:themeShade="80"/>
          <w:sz w:val="22"/>
          <w:szCs w:val="22"/>
        </w:rPr>
        <w:t xml:space="preserve"> </w:t>
      </w:r>
      <w:r w:rsidR="000E0EE7" w:rsidRPr="00A94974">
        <w:rPr>
          <w:rFonts w:ascii="Trebuchet MS" w:hAnsi="Trebuchet MS"/>
          <w:color w:val="1F4E79" w:themeColor="accent1" w:themeShade="80"/>
          <w:sz w:val="22"/>
          <w:szCs w:val="22"/>
        </w:rPr>
        <w:tab/>
      </w:r>
    </w:p>
    <w:p w14:paraId="39A244E8" w14:textId="4C3128C4" w:rsidR="00C73035" w:rsidRPr="00A94974" w:rsidRDefault="005758D7" w:rsidP="00C73035">
      <w:pPr>
        <w:pStyle w:val="ListParagraph"/>
        <w:spacing w:before="120" w:after="12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Perioada de implementare a proiectului este de </w:t>
      </w:r>
      <w:r w:rsidR="00A2394F" w:rsidRPr="00A94974">
        <w:rPr>
          <w:rFonts w:ascii="Trebuchet MS" w:hAnsi="Trebuchet MS"/>
          <w:iCs/>
          <w:color w:val="1F4E79" w:themeColor="accent1" w:themeShade="80"/>
        </w:rPr>
        <w:t>36</w:t>
      </w:r>
      <w:r w:rsidRPr="00A94974">
        <w:rPr>
          <w:rFonts w:ascii="Trebuchet MS" w:hAnsi="Trebuchet MS"/>
          <w:iCs/>
          <w:color w:val="1F4E79" w:themeColor="accent1" w:themeShade="80"/>
        </w:rPr>
        <w:t xml:space="preserve"> de luni. </w:t>
      </w:r>
      <w:r w:rsidR="00C73035" w:rsidRPr="00A94974">
        <w:rPr>
          <w:rFonts w:ascii="Trebuchet MS" w:hAnsi="Trebuchet MS"/>
          <w:iCs/>
          <w:color w:val="1F4E79" w:themeColor="accent1" w:themeShade="80"/>
        </w:rPr>
        <w:t xml:space="preserve">Proiectele care vor prevedea o perioadă de implementare mai mare de </w:t>
      </w:r>
      <w:r w:rsidR="001F6FCF" w:rsidRPr="00A94974">
        <w:rPr>
          <w:rFonts w:ascii="Trebuchet MS" w:hAnsi="Trebuchet MS"/>
          <w:iCs/>
          <w:color w:val="1F4E79" w:themeColor="accent1" w:themeShade="80"/>
        </w:rPr>
        <w:t>36</w:t>
      </w:r>
      <w:r w:rsidR="00C73035" w:rsidRPr="00A94974">
        <w:rPr>
          <w:rFonts w:ascii="Trebuchet MS" w:hAnsi="Trebuchet MS"/>
          <w:iCs/>
          <w:color w:val="1F4E79" w:themeColor="accent1" w:themeShade="80"/>
        </w:rPr>
        <w:t xml:space="preserve"> de luni vor fi respinse. </w:t>
      </w:r>
    </w:p>
    <w:p w14:paraId="2D63BE19" w14:textId="5B07144A" w:rsidR="005758D7" w:rsidRPr="00A94974" w:rsidRDefault="005758D7" w:rsidP="00C73035">
      <w:pPr>
        <w:pStyle w:val="ListParagraph"/>
        <w:spacing w:before="120" w:after="120" w:line="276" w:lineRule="auto"/>
        <w:ind w:left="0"/>
        <w:jc w:val="both"/>
        <w:rPr>
          <w:rFonts w:ascii="Trebuchet MS" w:hAnsi="Trebuchet MS"/>
          <w:iCs/>
          <w:color w:val="1F4E79" w:themeColor="accent1" w:themeShade="80"/>
        </w:rPr>
      </w:pPr>
      <w:r w:rsidRPr="00A94974">
        <w:rPr>
          <w:rFonts w:ascii="Trebuchet MS" w:hAnsi="Trebuchet MS"/>
          <w:iCs/>
          <w:color w:val="1F4E79" w:themeColor="accent1" w:themeShade="80"/>
        </w:rPr>
        <w:t>La completarea cererii de finanțare în sistemul electronic va trebui evidențiată durata fiecărei activități și subactivități incluse în proiect.</w:t>
      </w:r>
    </w:p>
    <w:p w14:paraId="24DEC693" w14:textId="77777777" w:rsidR="00FA12B4" w:rsidRPr="00A94974" w:rsidRDefault="00FA12B4" w:rsidP="00E27636">
      <w:pPr>
        <w:spacing w:before="120" w:after="120" w:line="276" w:lineRule="auto"/>
        <w:jc w:val="both"/>
        <w:rPr>
          <w:rFonts w:ascii="Trebuchet MS" w:hAnsi="Trebuchet MS"/>
          <w:iCs/>
          <w:color w:val="1F4E79" w:themeColor="accent1" w:themeShade="80"/>
        </w:rPr>
      </w:pPr>
    </w:p>
    <w:p w14:paraId="5215539D" w14:textId="7E8B97A4" w:rsidR="00E4049A" w:rsidRPr="00A94974" w:rsidRDefault="00CF653F" w:rsidP="00E27636">
      <w:pPr>
        <w:pStyle w:val="Heading2"/>
        <w:rPr>
          <w:color w:val="1F4E79" w:themeColor="accent1" w:themeShade="80"/>
        </w:rPr>
      </w:pPr>
      <w:bookmarkStart w:id="83" w:name="_Toc179368130"/>
      <w:r w:rsidRPr="00A94974">
        <w:rPr>
          <w:color w:val="1F4E79" w:themeColor="accent1" w:themeShade="80"/>
        </w:rPr>
        <w:t xml:space="preserve">5.7 </w:t>
      </w:r>
      <w:r w:rsidR="00E4049A" w:rsidRPr="00A94974">
        <w:rPr>
          <w:color w:val="1F4E79" w:themeColor="accent1" w:themeShade="80"/>
        </w:rPr>
        <w:t>Alte cerințe de eligibilitate a proiectului</w:t>
      </w:r>
      <w:bookmarkEnd w:id="83"/>
      <w:r w:rsidR="00E4049A" w:rsidRPr="00A94974">
        <w:rPr>
          <w:color w:val="1F4E79" w:themeColor="accent1" w:themeShade="80"/>
        </w:rPr>
        <w:t xml:space="preserve"> </w:t>
      </w:r>
    </w:p>
    <w:p w14:paraId="58D54910" w14:textId="77777777" w:rsidR="005758D7" w:rsidRPr="00A94974" w:rsidRDefault="005758D7" w:rsidP="00E27636">
      <w:pPr>
        <w:pStyle w:val="NoSpacing"/>
        <w:rPr>
          <w:rFonts w:eastAsia="Times New Roman" w:cs="Times New Roman"/>
          <w:color w:val="1F4E79" w:themeColor="accent1" w:themeShade="80"/>
          <w:lang w:eastAsia="ro-RO"/>
        </w:rPr>
      </w:pPr>
      <w:r w:rsidRPr="00A94974">
        <w:rPr>
          <w:rFonts w:eastAsia="Times New Roman" w:cs="Times New Roman"/>
          <w:color w:val="1F4E79" w:themeColor="accent1" w:themeShade="80"/>
          <w:lang w:eastAsia="ro-RO"/>
        </w:rPr>
        <w:t>Nu este cazul.</w:t>
      </w:r>
    </w:p>
    <w:p w14:paraId="2A703A9A" w14:textId="399EEE94" w:rsidR="002D0DE2" w:rsidRPr="00A94974" w:rsidRDefault="00A701C7" w:rsidP="00A701C7">
      <w:pPr>
        <w:pStyle w:val="Heading1"/>
        <w:rPr>
          <w:color w:val="1F4E79" w:themeColor="accent1" w:themeShade="80"/>
        </w:rPr>
      </w:pPr>
      <w:bookmarkStart w:id="84" w:name="_Toc179368131"/>
      <w:r w:rsidRPr="00A94974">
        <w:rPr>
          <w:color w:val="1F4E79" w:themeColor="accent1" w:themeShade="80"/>
        </w:rPr>
        <w:t>6.</w:t>
      </w:r>
      <w:r w:rsidR="002D0DE2" w:rsidRPr="00A94974">
        <w:rPr>
          <w:color w:val="1F4E79" w:themeColor="accent1" w:themeShade="80"/>
        </w:rPr>
        <w:t>INDICATORI DE ETAPĂ</w:t>
      </w:r>
      <w:bookmarkEnd w:id="84"/>
      <w:r w:rsidR="00D56036" w:rsidRPr="00A94974">
        <w:rPr>
          <w:color w:val="1F4E79" w:themeColor="accent1" w:themeShade="80"/>
        </w:rPr>
        <w:t xml:space="preserve"> </w:t>
      </w:r>
      <w:r w:rsidR="002D0DE2" w:rsidRPr="00A94974">
        <w:rPr>
          <w:color w:val="1F4E79" w:themeColor="accent1" w:themeShade="80"/>
        </w:rPr>
        <w:t xml:space="preserve"> </w:t>
      </w:r>
      <w:r w:rsidR="002D0DE2" w:rsidRPr="00A94974">
        <w:rPr>
          <w:color w:val="1F4E79" w:themeColor="accent1" w:themeShade="80"/>
        </w:rPr>
        <w:tab/>
      </w:r>
    </w:p>
    <w:p w14:paraId="25295568" w14:textId="0B5D07C3" w:rsidR="005758D7" w:rsidRPr="00A94974" w:rsidRDefault="00C237FF" w:rsidP="00E27636">
      <w:pPr>
        <w:rPr>
          <w:rFonts w:ascii="Trebuchet MS" w:hAnsi="Trebuchet MS"/>
          <w:color w:val="1F4E79" w:themeColor="accent1" w:themeShade="80"/>
        </w:rPr>
      </w:pPr>
      <w:r w:rsidRPr="00A94974">
        <w:rPr>
          <w:rFonts w:ascii="Trebuchet MS" w:hAnsi="Trebuchet MS"/>
          <w:color w:val="1F4E79" w:themeColor="accent1" w:themeShade="80"/>
        </w:rPr>
        <w:t>Indicatorii de etapă sunt indicatorii de realizare și de rezultat menționați in secțiunea 3.8, respectiv indicatorii obligatorii asumați la nivelul fiecărei cereri de finanțare</w:t>
      </w:r>
      <w:r w:rsidR="005758D7" w:rsidRPr="00A94974">
        <w:rPr>
          <w:rFonts w:ascii="Trebuchet MS" w:hAnsi="Trebuchet MS"/>
          <w:color w:val="1F4E79" w:themeColor="accent1" w:themeShade="80"/>
        </w:rPr>
        <w:t>.</w:t>
      </w:r>
    </w:p>
    <w:p w14:paraId="0884C0B5" w14:textId="097B0096" w:rsidR="00566CCA" w:rsidRPr="00A94974" w:rsidRDefault="00A701C7" w:rsidP="00A701C7">
      <w:pPr>
        <w:pStyle w:val="Heading1"/>
        <w:rPr>
          <w:color w:val="1F4E79" w:themeColor="accent1" w:themeShade="80"/>
        </w:rPr>
      </w:pPr>
      <w:bookmarkStart w:id="85" w:name="_Toc179368132"/>
      <w:r w:rsidRPr="00A94974">
        <w:rPr>
          <w:color w:val="1F4E79" w:themeColor="accent1" w:themeShade="80"/>
        </w:rPr>
        <w:t xml:space="preserve">7. </w:t>
      </w:r>
      <w:r w:rsidR="00566CCA" w:rsidRPr="00A94974">
        <w:rPr>
          <w:color w:val="1F4E79" w:themeColor="accent1" w:themeShade="80"/>
        </w:rPr>
        <w:t xml:space="preserve">COMPLETAREA </w:t>
      </w:r>
      <w:r w:rsidR="00D11A8C" w:rsidRPr="00A94974">
        <w:rPr>
          <w:color w:val="1F4E79" w:themeColor="accent1" w:themeShade="80"/>
        </w:rPr>
        <w:t xml:space="preserve">ȘI DEPUNEREA </w:t>
      </w:r>
      <w:r w:rsidR="00566CCA" w:rsidRPr="00A94974">
        <w:rPr>
          <w:color w:val="1F4E79" w:themeColor="accent1" w:themeShade="80"/>
        </w:rPr>
        <w:t>CERERILOR DE FINANȚARE</w:t>
      </w:r>
      <w:bookmarkEnd w:id="85"/>
      <w:r w:rsidR="00566CCA" w:rsidRPr="00A94974">
        <w:rPr>
          <w:color w:val="1F4E79" w:themeColor="accent1" w:themeShade="80"/>
        </w:rPr>
        <w:t xml:space="preserve"> </w:t>
      </w:r>
      <w:r w:rsidR="00566CCA" w:rsidRPr="00A94974">
        <w:rPr>
          <w:color w:val="1F4E79" w:themeColor="accent1" w:themeShade="80"/>
        </w:rPr>
        <w:tab/>
      </w:r>
    </w:p>
    <w:p w14:paraId="67E1A6A2" w14:textId="75B9E7FB" w:rsidR="00566CCA" w:rsidRPr="00A94974" w:rsidRDefault="007306A9" w:rsidP="00E27636">
      <w:pPr>
        <w:pStyle w:val="Heading2"/>
        <w:rPr>
          <w:color w:val="1F4E79" w:themeColor="accent1" w:themeShade="80"/>
        </w:rPr>
      </w:pPr>
      <w:bookmarkStart w:id="86" w:name="_Toc179368133"/>
      <w:r w:rsidRPr="00A94974">
        <w:rPr>
          <w:color w:val="1F4E79" w:themeColor="accent1" w:themeShade="80"/>
        </w:rPr>
        <w:t xml:space="preserve">7.1 </w:t>
      </w:r>
      <w:r w:rsidR="00566CCA" w:rsidRPr="00A94974">
        <w:rPr>
          <w:color w:val="1F4E79" w:themeColor="accent1" w:themeShade="80"/>
        </w:rPr>
        <w:t>Completarea formularului cererii</w:t>
      </w:r>
      <w:bookmarkEnd w:id="86"/>
      <w:r w:rsidR="00566CCA" w:rsidRPr="00A94974">
        <w:rPr>
          <w:color w:val="1F4E79" w:themeColor="accent1" w:themeShade="80"/>
        </w:rPr>
        <w:tab/>
      </w:r>
    </w:p>
    <w:p w14:paraId="32134F41" w14:textId="77777777" w:rsidR="00896D35" w:rsidRPr="00A94974" w:rsidRDefault="00896D35" w:rsidP="00E27636">
      <w:pPr>
        <w:pStyle w:val="Default"/>
        <w:jc w:val="both"/>
        <w:rPr>
          <w:color w:val="1F4E79" w:themeColor="accent1" w:themeShade="80"/>
          <w:sz w:val="22"/>
          <w:szCs w:val="22"/>
          <w:lang w:val="ro-RO"/>
        </w:rPr>
      </w:pPr>
      <w:r w:rsidRPr="00A94974">
        <w:rPr>
          <w:color w:val="1F4E79" w:themeColor="accent1" w:themeShade="80"/>
          <w:sz w:val="22"/>
          <w:szCs w:val="22"/>
          <w:lang w:val="ro-RO"/>
        </w:rPr>
        <w:t xml:space="preserve">Solicitantul are obligația de a completa cererea de finanțare cu toate informațiile necesare și de a anexa documentele justificative/documentele suport/anexele obligatorii prevăzute în Ghidul Solicitantului – Condiții Generale și în prezentul ghid, solicitantul fiind responsabil pentru lipsa unora din aceste informații/documente/anexe care pot conduce la decizii de respingere a cererii de finanțare, fie în etapa de evaluare tehnico-financiară, fie în etapa de contractare. </w:t>
      </w:r>
    </w:p>
    <w:p w14:paraId="29D451A6" w14:textId="659810E7" w:rsidR="00896D35" w:rsidRPr="00A94974" w:rsidRDefault="00896D35" w:rsidP="00E27636">
      <w:p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Prin depunerea cererii de finanțare, solicitantul înțeleg</w:t>
      </w:r>
      <w:r w:rsidR="0005340E" w:rsidRPr="00A94974">
        <w:rPr>
          <w:rFonts w:ascii="Trebuchet MS" w:hAnsi="Trebuchet MS"/>
          <w:color w:val="1F4E79" w:themeColor="accent1" w:themeShade="80"/>
        </w:rPr>
        <w:t>e</w:t>
      </w:r>
      <w:r w:rsidRPr="00A94974">
        <w:rPr>
          <w:rFonts w:ascii="Trebuchet MS" w:hAnsi="Trebuchet MS"/>
          <w:color w:val="1F4E79" w:themeColor="accent1" w:themeShade="80"/>
        </w:rPr>
        <w:t xml:space="preserve"> și își asumă respectarea regulilor privind completarea cererii de finanțare, a regulilor privind procesul de evaluare și selecție a cererilor de finanțare (inclusiv a procesului de soluționare a contestațiilor) și condițiile de acces la finanțare/ contractare, a termenelor stabilite și/sau durata unor activități, așa după cum sunt prevăzute aceste reguli în prezentul document.</w:t>
      </w:r>
    </w:p>
    <w:p w14:paraId="3923D558" w14:textId="77777777" w:rsidR="00564D4E" w:rsidRPr="00A94974" w:rsidRDefault="00564D4E" w:rsidP="00E27636">
      <w:p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In ceea ce privește completarea secțiunii „Buget – domeniu de intervenție“ se va selecta din aplicația informatica MySMIS2021+:</w:t>
      </w:r>
    </w:p>
    <w:p w14:paraId="2EBC5382" w14:textId="407BB561" w:rsidR="00564D4E" w:rsidRPr="00A94974" w:rsidRDefault="00564D4E" w:rsidP="00BE3FAB">
      <w:pPr>
        <w:pStyle w:val="ListParagraph"/>
        <w:numPr>
          <w:ilvl w:val="0"/>
          <w:numId w:val="12"/>
        </w:num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w:t>
      </w:r>
      <w:r w:rsidR="00F4098A" w:rsidRPr="00A94974">
        <w:rPr>
          <w:rFonts w:ascii="Trebuchet MS" w:hAnsi="Trebuchet MS"/>
          <w:color w:val="1F4E79" w:themeColor="accent1" w:themeShade="80"/>
        </w:rPr>
        <w:t>150. Sprijin pentru învățământul terțiar (cu excepția infrastructurilor)</w:t>
      </w:r>
      <w:r w:rsidRPr="00A94974">
        <w:rPr>
          <w:rFonts w:ascii="Trebuchet MS" w:hAnsi="Trebuchet MS"/>
          <w:color w:val="1F4E79" w:themeColor="accent1" w:themeShade="80"/>
        </w:rPr>
        <w:t xml:space="preserve">“ – reprezentând </w:t>
      </w:r>
      <w:r w:rsidR="007C2757" w:rsidRPr="00A94974">
        <w:rPr>
          <w:rFonts w:ascii="Trebuchet MS" w:hAnsi="Trebuchet MS"/>
          <w:color w:val="1F4E79" w:themeColor="accent1" w:themeShade="80"/>
        </w:rPr>
        <w:t>100</w:t>
      </w:r>
      <w:r w:rsidRPr="00A94974">
        <w:rPr>
          <w:rFonts w:ascii="Trebuchet MS" w:hAnsi="Trebuchet MS"/>
          <w:color w:val="1F4E79" w:themeColor="accent1" w:themeShade="80"/>
        </w:rPr>
        <w:t>% din bugetul total eligibil al proiectului.</w:t>
      </w:r>
    </w:p>
    <w:p w14:paraId="4365F2E3" w14:textId="77777777" w:rsidR="00564D4E" w:rsidRPr="00A94974" w:rsidRDefault="00564D4E" w:rsidP="00E27636">
      <w:pPr>
        <w:spacing w:after="0" w:line="240" w:lineRule="auto"/>
        <w:jc w:val="both"/>
        <w:rPr>
          <w:rFonts w:ascii="Trebuchet MS" w:hAnsi="Trebuchet MS"/>
          <w:color w:val="1F4E79" w:themeColor="accent1" w:themeShade="80"/>
        </w:rPr>
      </w:pPr>
    </w:p>
    <w:p w14:paraId="07043649" w14:textId="77777777" w:rsidR="005758D7" w:rsidRPr="00A94974" w:rsidRDefault="005758D7" w:rsidP="00E27636">
      <w:pPr>
        <w:rPr>
          <w:rFonts w:ascii="Trebuchet MS" w:hAnsi="Trebuchet MS"/>
          <w:color w:val="1F4E79" w:themeColor="accent1" w:themeShade="80"/>
        </w:rPr>
      </w:pPr>
    </w:p>
    <w:p w14:paraId="56C28E9C" w14:textId="5EEB4F85" w:rsidR="00566CCA" w:rsidRPr="00A94974" w:rsidRDefault="007306A9" w:rsidP="00E27636">
      <w:pPr>
        <w:pStyle w:val="Heading2"/>
        <w:rPr>
          <w:color w:val="1F4E79" w:themeColor="accent1" w:themeShade="80"/>
        </w:rPr>
      </w:pPr>
      <w:bookmarkStart w:id="87" w:name="_Toc179368134"/>
      <w:r w:rsidRPr="00A94974">
        <w:rPr>
          <w:color w:val="1F4E79" w:themeColor="accent1" w:themeShade="80"/>
        </w:rPr>
        <w:t xml:space="preserve">7.2 </w:t>
      </w:r>
      <w:r w:rsidR="00566CCA" w:rsidRPr="00A94974">
        <w:rPr>
          <w:color w:val="1F4E79" w:themeColor="accent1" w:themeShade="80"/>
        </w:rPr>
        <w:t>Limba utilizată în completarea cererii de finanțare</w:t>
      </w:r>
      <w:bookmarkEnd w:id="87"/>
    </w:p>
    <w:p w14:paraId="56643B4D" w14:textId="6A71DA58" w:rsidR="005758D7" w:rsidRPr="00A94974" w:rsidRDefault="005758D7" w:rsidP="00E27636">
      <w:pPr>
        <w:jc w:val="both"/>
        <w:rPr>
          <w:rFonts w:ascii="Trebuchet MS" w:hAnsi="Trebuchet MS"/>
          <w:iCs/>
          <w:color w:val="1F4E79" w:themeColor="accent1" w:themeShade="80"/>
        </w:rPr>
      </w:pPr>
      <w:r w:rsidRPr="00A94974">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1C690419" w14:textId="77777777" w:rsidR="005758D7" w:rsidRPr="00A94974" w:rsidRDefault="005758D7" w:rsidP="00E27636">
      <w:pPr>
        <w:rPr>
          <w:rFonts w:ascii="Trebuchet MS" w:hAnsi="Trebuchet MS"/>
          <w:color w:val="1F4E79" w:themeColor="accent1" w:themeShade="80"/>
        </w:rPr>
      </w:pPr>
    </w:p>
    <w:p w14:paraId="314530CA" w14:textId="0373B538" w:rsidR="000E0B05" w:rsidRPr="00A94974" w:rsidRDefault="007306A9" w:rsidP="00E27636">
      <w:pPr>
        <w:pStyle w:val="Heading2"/>
        <w:rPr>
          <w:color w:val="1F4E79" w:themeColor="accent1" w:themeShade="80"/>
        </w:rPr>
      </w:pPr>
      <w:bookmarkStart w:id="88" w:name="_Toc179368135"/>
      <w:r w:rsidRPr="00A94974">
        <w:rPr>
          <w:color w:val="1F4E79" w:themeColor="accent1" w:themeShade="80"/>
        </w:rPr>
        <w:t xml:space="preserve">7.3 </w:t>
      </w:r>
      <w:r w:rsidR="000E0B05" w:rsidRPr="00A94974">
        <w:rPr>
          <w:color w:val="1F4E79" w:themeColor="accent1" w:themeShade="80"/>
        </w:rPr>
        <w:t>Metodol</w:t>
      </w:r>
      <w:r w:rsidR="005758D7" w:rsidRPr="00A94974">
        <w:rPr>
          <w:color w:val="1F4E79" w:themeColor="accent1" w:themeShade="80"/>
        </w:rPr>
        <w:t>o</w:t>
      </w:r>
      <w:r w:rsidR="000E0B05" w:rsidRPr="00A94974">
        <w:rPr>
          <w:color w:val="1F4E79" w:themeColor="accent1" w:themeShade="80"/>
        </w:rPr>
        <w:t>gia de justificare și detaliere a bugetului cererii de finanțare</w:t>
      </w:r>
      <w:bookmarkEnd w:id="88"/>
    </w:p>
    <w:p w14:paraId="367A3C53" w14:textId="77777777" w:rsidR="00896D35" w:rsidRPr="00A94974" w:rsidRDefault="00896D35" w:rsidP="00E27636">
      <w:p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În vederea completării bugetului este obligatorie definirea activităților și sub activităților, detalierea achizițiilor precum și selectarea sursei de cofinanțare proprie de la secțiunea “</w:t>
      </w:r>
      <w:r w:rsidRPr="00A94974">
        <w:rPr>
          <w:rFonts w:ascii="Trebuchet MS" w:hAnsi="Trebuchet MS"/>
          <w:i/>
          <w:iCs/>
          <w:color w:val="1F4E79" w:themeColor="accent1" w:themeShade="80"/>
        </w:rPr>
        <w:t>Capacitate solicitant”</w:t>
      </w:r>
      <w:r w:rsidRPr="00A94974">
        <w:rPr>
          <w:rFonts w:ascii="Trebuchet MS" w:hAnsi="Trebuchet MS"/>
          <w:iCs/>
          <w:color w:val="1F4E79" w:themeColor="accent1" w:themeShade="80"/>
        </w:rPr>
        <w:t xml:space="preserve">. </w:t>
      </w:r>
    </w:p>
    <w:p w14:paraId="0A69031D"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A94974" w:rsidRDefault="00896D35" w:rsidP="00E27636">
      <w:pPr>
        <w:spacing w:before="120" w:after="120"/>
        <w:jc w:val="both"/>
        <w:rPr>
          <w:rFonts w:ascii="Trebuchet MS" w:hAnsi="Trebuchet MS"/>
          <w:i/>
          <w:color w:val="1F4E79" w:themeColor="accent1" w:themeShade="80"/>
        </w:rPr>
      </w:pPr>
      <w:r w:rsidRPr="00A94974">
        <w:rPr>
          <w:rFonts w:ascii="Trebuchet MS" w:hAnsi="Trebuchet MS"/>
          <w:i/>
          <w:color w:val="1F4E79" w:themeColor="accent1" w:themeShade="80"/>
        </w:rPr>
        <w:t xml:space="preserve">Completarea formularului aferent cheltuielii </w:t>
      </w:r>
    </w:p>
    <w:p w14:paraId="68C51ADB" w14:textId="77777777" w:rsidR="00896D35" w:rsidRPr="00A94974" w:rsidRDefault="00896D35" w:rsidP="69BF97CB">
      <w:pPr>
        <w:spacing w:before="120" w:after="120"/>
        <w:jc w:val="both"/>
        <w:rPr>
          <w:rFonts w:ascii="Trebuchet MS" w:hAnsi="Trebuchet MS"/>
          <w:color w:val="1F4E79" w:themeColor="accent1" w:themeShade="80"/>
        </w:rPr>
      </w:pPr>
      <w:r w:rsidRPr="00A94974">
        <w:rPr>
          <w:rFonts w:ascii="Trebuchet MS" w:hAnsi="Trebuchet MS"/>
          <w:color w:val="1F4E79" w:themeColor="accent1" w:themeShade="80"/>
        </w:rPr>
        <w:t xml:space="preserve">Pentru acest pas este necesară completarea următoarelor câmpuri: </w:t>
      </w:r>
    </w:p>
    <w:p w14:paraId="4E8B43C5" w14:textId="77777777" w:rsidR="00756116" w:rsidRPr="00A94974" w:rsidRDefault="00896D35" w:rsidP="5B8D767C">
      <w:pPr>
        <w:pStyle w:val="ListParagraph"/>
        <w:numPr>
          <w:ilvl w:val="0"/>
          <w:numId w:val="12"/>
        </w:numPr>
        <w:spacing w:before="120" w:after="120"/>
        <w:jc w:val="both"/>
        <w:rPr>
          <w:rFonts w:ascii="Trebuchet MS" w:hAnsi="Trebuchet MS"/>
          <w:color w:val="1F4E79" w:themeColor="accent1" w:themeShade="80"/>
        </w:rPr>
      </w:pPr>
      <w:r w:rsidRPr="00A94974">
        <w:rPr>
          <w:rFonts w:ascii="Trebuchet MS" w:hAnsi="Trebuchet MS"/>
          <w:color w:val="1F4E79" w:themeColor="accent1" w:themeShade="80"/>
        </w:rPr>
        <w:lastRenderedPageBreak/>
        <w:t xml:space="preserve">Descrierea cheltuielii – </w:t>
      </w:r>
      <w:r w:rsidR="00367552" w:rsidRPr="00A94974">
        <w:rPr>
          <w:rFonts w:ascii="Trebuchet MS" w:hAnsi="Trebuchet MS"/>
          <w:color w:val="1F4E79" w:themeColor="accent1" w:themeShade="80"/>
        </w:rPr>
        <w:t>î</w:t>
      </w:r>
      <w:r w:rsidRPr="00A94974">
        <w:rPr>
          <w:rFonts w:ascii="Trebuchet MS" w:hAnsi="Trebuchet MS"/>
          <w:color w:val="1F4E79" w:themeColor="accent1" w:themeShade="80"/>
        </w:rPr>
        <w:t xml:space="preserve">n acest câmp se vor introduce informații privind denumirea cheltuielii, precum </w:t>
      </w:r>
      <w:r w:rsidR="00163121" w:rsidRPr="00A94974">
        <w:rPr>
          <w:rFonts w:ascii="Trebuchet MS" w:hAnsi="Trebuchet MS"/>
          <w:color w:val="1F4E79" w:themeColor="accent1" w:themeShade="80"/>
        </w:rPr>
        <w:t>ș</w:t>
      </w:r>
      <w:r w:rsidRPr="00A94974">
        <w:rPr>
          <w:rFonts w:ascii="Trebuchet MS" w:hAnsi="Trebuchet MS"/>
          <w:color w:val="1F4E79" w:themeColor="accent1" w:themeShade="80"/>
        </w:rPr>
        <w:t xml:space="preserve">i descrierea tehnică a acesteia (ex: laptop, procesor </w:t>
      </w:r>
      <w:bookmarkStart w:id="89" w:name="_Hlk138253759"/>
      <w:r w:rsidR="00EF25CB" w:rsidRPr="00A94974">
        <w:rPr>
          <w:rFonts w:ascii="Trebuchet MS" w:hAnsi="Trebuchet MS"/>
          <w:color w:val="1F4E79" w:themeColor="accent1" w:themeShade="80"/>
        </w:rPr>
        <w:t xml:space="preserve">.... GHZ, minim ... </w:t>
      </w:r>
      <w:proofErr w:type="spellStart"/>
      <w:r w:rsidR="00EF25CB" w:rsidRPr="00A94974">
        <w:rPr>
          <w:rFonts w:ascii="Trebuchet MS" w:hAnsi="Trebuchet MS"/>
          <w:color w:val="1F4E79" w:themeColor="accent1" w:themeShade="80"/>
        </w:rPr>
        <w:t>gb</w:t>
      </w:r>
      <w:proofErr w:type="spellEnd"/>
      <w:r w:rsidR="00EF25CB" w:rsidRPr="00A94974">
        <w:rPr>
          <w:rFonts w:ascii="Trebuchet MS" w:hAnsi="Trebuchet MS"/>
          <w:color w:val="1F4E79" w:themeColor="accent1" w:themeShade="80"/>
        </w:rPr>
        <w:t xml:space="preserve"> ram</w:t>
      </w:r>
      <w:bookmarkEnd w:id="89"/>
      <w:r w:rsidRPr="00A94974">
        <w:rPr>
          <w:rFonts w:ascii="Trebuchet MS" w:hAnsi="Trebuchet MS"/>
          <w:color w:val="1F4E79" w:themeColor="accent1" w:themeShade="80"/>
        </w:rPr>
        <w:t>, etc). Pentru costurile salariale se recomand</w:t>
      </w:r>
      <w:r w:rsidR="00163121" w:rsidRPr="00A94974">
        <w:rPr>
          <w:rFonts w:ascii="Trebuchet MS" w:hAnsi="Trebuchet MS"/>
          <w:color w:val="1F4E79" w:themeColor="accent1" w:themeShade="80"/>
        </w:rPr>
        <w:t>ă</w:t>
      </w:r>
      <w:r w:rsidRPr="00A94974">
        <w:rPr>
          <w:rFonts w:ascii="Trebuchet MS" w:hAnsi="Trebuchet MS"/>
          <w:color w:val="1F4E79" w:themeColor="accent1" w:themeShade="80"/>
        </w:rPr>
        <w:t xml:space="preserve"> ca </w:t>
      </w:r>
      <w:r w:rsidR="00163121" w:rsidRPr="00A94974">
        <w:rPr>
          <w:rFonts w:ascii="Trebuchet MS" w:hAnsi="Trebuchet MS"/>
          <w:color w:val="1F4E79" w:themeColor="accent1" w:themeShade="80"/>
        </w:rPr>
        <w:t>î</w:t>
      </w:r>
      <w:r w:rsidRPr="00A94974">
        <w:rPr>
          <w:rFonts w:ascii="Trebuchet MS" w:hAnsi="Trebuchet MS"/>
          <w:color w:val="1F4E79" w:themeColor="accent1" w:themeShade="80"/>
        </w:rPr>
        <w:t>n descrierea cheltuielii s</w:t>
      </w:r>
      <w:r w:rsidR="00163121" w:rsidRPr="00A94974">
        <w:rPr>
          <w:rFonts w:ascii="Trebuchet MS" w:hAnsi="Trebuchet MS"/>
          <w:color w:val="1F4E79" w:themeColor="accent1" w:themeShade="80"/>
        </w:rPr>
        <w:t>ă</w:t>
      </w:r>
      <w:r w:rsidRPr="00A94974">
        <w:rPr>
          <w:rFonts w:ascii="Trebuchet MS" w:hAnsi="Trebuchet MS"/>
          <w:color w:val="1F4E79" w:themeColor="accent1" w:themeShade="80"/>
        </w:rPr>
        <w:t xml:space="preserve"> se precizeze numărul de ore de lucru pe zi, după caz, precum </w:t>
      </w:r>
      <w:r w:rsidR="00163121" w:rsidRPr="00A94974">
        <w:rPr>
          <w:rFonts w:ascii="Trebuchet MS" w:hAnsi="Trebuchet MS"/>
          <w:color w:val="1F4E79" w:themeColor="accent1" w:themeShade="80"/>
        </w:rPr>
        <w:t>ș</w:t>
      </w:r>
      <w:r w:rsidRPr="00A94974">
        <w:rPr>
          <w:rFonts w:ascii="Trebuchet MS" w:hAnsi="Trebuchet MS"/>
          <w:color w:val="1F4E79" w:themeColor="accent1" w:themeShade="80"/>
        </w:rPr>
        <w:t>i numărul de zile sau luni pentru care va fi angajat</w:t>
      </w:r>
      <w:r w:rsidR="00163121" w:rsidRPr="00A94974">
        <w:rPr>
          <w:rFonts w:ascii="Trebuchet MS" w:hAnsi="Trebuchet MS"/>
          <w:color w:val="1F4E79" w:themeColor="accent1" w:themeShade="80"/>
        </w:rPr>
        <w:t>ă</w:t>
      </w:r>
      <w:r w:rsidRPr="00A94974">
        <w:rPr>
          <w:rFonts w:ascii="Trebuchet MS" w:hAnsi="Trebuchet MS"/>
          <w:color w:val="1F4E79" w:themeColor="accent1" w:themeShade="80"/>
        </w:rPr>
        <w:t xml:space="preserve"> fiecare persoan</w:t>
      </w:r>
      <w:r w:rsidR="00163121" w:rsidRPr="00A94974">
        <w:rPr>
          <w:rFonts w:ascii="Trebuchet MS" w:hAnsi="Trebuchet MS"/>
          <w:color w:val="1F4E79" w:themeColor="accent1" w:themeShade="80"/>
        </w:rPr>
        <w:t>ă</w:t>
      </w:r>
      <w:r w:rsidRPr="00A94974">
        <w:rPr>
          <w:rFonts w:ascii="Trebuchet MS" w:hAnsi="Trebuchet MS"/>
          <w:color w:val="1F4E79" w:themeColor="accent1" w:themeShade="80"/>
        </w:rPr>
        <w:t>.</w:t>
      </w:r>
      <w:r w:rsidR="00756116" w:rsidRPr="00A94974">
        <w:rPr>
          <w:rFonts w:ascii="Trebuchet MS" w:hAnsi="Trebuchet MS"/>
          <w:color w:val="1F4E79" w:themeColor="accent1" w:themeShade="80"/>
        </w:rPr>
        <w:t>;</w:t>
      </w:r>
    </w:p>
    <w:p w14:paraId="1B27558A" w14:textId="77777777" w:rsidR="00756116" w:rsidRPr="00A94974" w:rsidRDefault="00896D35" w:rsidP="00BE3FAB">
      <w:pPr>
        <w:pStyle w:val="ListParagraph"/>
        <w:numPr>
          <w:ilvl w:val="0"/>
          <w:numId w:val="12"/>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Categorie – se va selecta din nomenclator categoria </w:t>
      </w:r>
      <w:r w:rsidR="00367552" w:rsidRPr="00A94974">
        <w:rPr>
          <w:rFonts w:ascii="Trebuchet MS" w:hAnsi="Trebuchet MS"/>
          <w:iCs/>
          <w:color w:val="1F4E79" w:themeColor="accent1" w:themeShade="80"/>
        </w:rPr>
        <w:t>î</w:t>
      </w:r>
      <w:r w:rsidRPr="00A94974">
        <w:rPr>
          <w:rFonts w:ascii="Trebuchet MS" w:hAnsi="Trebuchet MS"/>
          <w:iCs/>
          <w:color w:val="1F4E79" w:themeColor="accent1" w:themeShade="80"/>
        </w:rPr>
        <w:t>n care se încadrează cheltuiala</w:t>
      </w:r>
      <w:r w:rsidR="00367552"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w:t>
      </w:r>
    </w:p>
    <w:p w14:paraId="6E857D2F" w14:textId="77777777" w:rsidR="00756116" w:rsidRPr="00A94974" w:rsidRDefault="00896D35" w:rsidP="00BE3FAB">
      <w:pPr>
        <w:pStyle w:val="ListParagraph"/>
        <w:numPr>
          <w:ilvl w:val="0"/>
          <w:numId w:val="12"/>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Subcategorie – se va selecta din nomenclator subcategoria </w:t>
      </w:r>
      <w:r w:rsidR="00367552" w:rsidRPr="00A94974">
        <w:rPr>
          <w:rFonts w:ascii="Trebuchet MS" w:hAnsi="Trebuchet MS"/>
          <w:iCs/>
          <w:color w:val="1F4E79" w:themeColor="accent1" w:themeShade="80"/>
        </w:rPr>
        <w:t>î</w:t>
      </w:r>
      <w:r w:rsidRPr="00A94974">
        <w:rPr>
          <w:rFonts w:ascii="Trebuchet MS" w:hAnsi="Trebuchet MS"/>
          <w:iCs/>
          <w:color w:val="1F4E79" w:themeColor="accent1" w:themeShade="80"/>
        </w:rPr>
        <w:t>n care se încadrează cheltuiala</w:t>
      </w:r>
      <w:r w:rsidR="00367552" w:rsidRPr="00A94974">
        <w:rPr>
          <w:rFonts w:ascii="Trebuchet MS" w:hAnsi="Trebuchet MS"/>
          <w:iCs/>
          <w:color w:val="1F4E79" w:themeColor="accent1" w:themeShade="80"/>
        </w:rPr>
        <w:t>;</w:t>
      </w:r>
    </w:p>
    <w:p w14:paraId="7771BCB5" w14:textId="78CD33E8" w:rsidR="002D2179" w:rsidRPr="00A94974" w:rsidRDefault="00896D35" w:rsidP="00BE3FAB">
      <w:pPr>
        <w:pStyle w:val="ListParagraph"/>
        <w:numPr>
          <w:ilvl w:val="0"/>
          <w:numId w:val="12"/>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Tip – se va selecta dac</w:t>
      </w:r>
      <w:r w:rsidR="00367552"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cheltuiala este direct</w:t>
      </w:r>
      <w:r w:rsidR="002A22C4"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sau indirect</w:t>
      </w:r>
      <w:r w:rsidR="002A22C4"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w:t>
      </w:r>
    </w:p>
    <w:p w14:paraId="3321C54D" w14:textId="58FA17EE" w:rsidR="002D2179" w:rsidRPr="00A94974" w:rsidRDefault="002D2179" w:rsidP="00BE3FAB">
      <w:pPr>
        <w:pStyle w:val="Default"/>
        <w:numPr>
          <w:ilvl w:val="0"/>
          <w:numId w:val="12"/>
        </w:numPr>
        <w:rPr>
          <w:color w:val="1F4E79" w:themeColor="accent1" w:themeShade="80"/>
          <w:sz w:val="22"/>
          <w:szCs w:val="22"/>
          <w:lang w:val="ro-RO"/>
        </w:rPr>
      </w:pPr>
      <w:r w:rsidRPr="00A94974">
        <w:rPr>
          <w:color w:val="1F4E79" w:themeColor="accent1" w:themeShade="80"/>
          <w:sz w:val="22"/>
          <w:szCs w:val="22"/>
          <w:lang w:val="ro-RO"/>
        </w:rPr>
        <w:t>Achiziție – dac</w:t>
      </w:r>
      <w:r w:rsidR="002A22C4" w:rsidRPr="00A94974">
        <w:rPr>
          <w:color w:val="1F4E79" w:themeColor="accent1" w:themeShade="80"/>
          <w:sz w:val="22"/>
          <w:szCs w:val="22"/>
          <w:lang w:val="ro-RO"/>
        </w:rPr>
        <w:t>ă</w:t>
      </w:r>
      <w:r w:rsidRPr="00A94974">
        <w:rPr>
          <w:color w:val="1F4E79" w:themeColor="accent1" w:themeShade="80"/>
          <w:sz w:val="22"/>
          <w:szCs w:val="22"/>
          <w:lang w:val="ro-RO"/>
        </w:rPr>
        <w:t xml:space="preserve"> cheltuiala reprezintă o achiziție </w:t>
      </w:r>
      <w:r w:rsidR="00530BD4" w:rsidRPr="00A94974">
        <w:rPr>
          <w:color w:val="1F4E79" w:themeColor="accent1" w:themeShade="80"/>
          <w:sz w:val="22"/>
          <w:szCs w:val="22"/>
          <w:lang w:val="ro-RO"/>
        </w:rPr>
        <w:t>ș</w:t>
      </w:r>
      <w:r w:rsidRPr="00A94974">
        <w:rPr>
          <w:color w:val="1F4E79" w:themeColor="accent1" w:themeShade="80"/>
          <w:sz w:val="22"/>
          <w:szCs w:val="22"/>
          <w:lang w:val="ro-RO"/>
        </w:rPr>
        <w:t>i aceasta a fost deja introdus</w:t>
      </w:r>
      <w:r w:rsidR="002A22C4" w:rsidRPr="00A94974">
        <w:rPr>
          <w:color w:val="1F4E79" w:themeColor="accent1" w:themeShade="80"/>
          <w:sz w:val="22"/>
          <w:szCs w:val="22"/>
          <w:lang w:val="ro-RO"/>
        </w:rPr>
        <w:t>ă</w:t>
      </w:r>
      <w:r w:rsidRPr="00A94974">
        <w:rPr>
          <w:color w:val="1F4E79" w:themeColor="accent1" w:themeShade="80"/>
          <w:sz w:val="22"/>
          <w:szCs w:val="22"/>
          <w:lang w:val="ro-RO"/>
        </w:rPr>
        <w:t xml:space="preserve"> la secțiunea „Plan de Achiziții” în acest moment poate fi asociată cheltuielii. </w:t>
      </w:r>
    </w:p>
    <w:p w14:paraId="426FCFD4" w14:textId="0D74E898" w:rsidR="00756116" w:rsidRPr="00A94974" w:rsidRDefault="00896D35" w:rsidP="5B8D767C">
      <w:pPr>
        <w:pStyle w:val="ListParagraph"/>
        <w:numPr>
          <w:ilvl w:val="0"/>
          <w:numId w:val="12"/>
        </w:numPr>
        <w:spacing w:before="120" w:after="120"/>
        <w:jc w:val="both"/>
        <w:rPr>
          <w:rFonts w:ascii="Trebuchet MS" w:hAnsi="Trebuchet MS"/>
          <w:color w:val="1F4E79" w:themeColor="accent1" w:themeShade="80"/>
        </w:rPr>
      </w:pPr>
      <w:r w:rsidRPr="00A94974">
        <w:rPr>
          <w:rFonts w:ascii="Trebuchet MS" w:hAnsi="Trebuchet MS"/>
          <w:color w:val="1F4E79" w:themeColor="accent1" w:themeShade="80"/>
        </w:rPr>
        <w:t>U.M. – unitatea de măsura (Pentru costurile salariale se recomand</w:t>
      </w:r>
      <w:r w:rsidR="00367552" w:rsidRPr="00A94974">
        <w:rPr>
          <w:rFonts w:ascii="Trebuchet MS" w:hAnsi="Trebuchet MS"/>
          <w:color w:val="1F4E79" w:themeColor="accent1" w:themeShade="80"/>
        </w:rPr>
        <w:t>ă</w:t>
      </w:r>
      <w:r w:rsidRPr="00A94974">
        <w:rPr>
          <w:rFonts w:ascii="Trebuchet MS" w:hAnsi="Trebuchet MS"/>
          <w:color w:val="1F4E79" w:themeColor="accent1" w:themeShade="80"/>
        </w:rPr>
        <w:t xml:space="preserve"> ca unitatea de măsur</w:t>
      </w:r>
      <w:r w:rsidR="002A22C4" w:rsidRPr="00A94974">
        <w:rPr>
          <w:rFonts w:ascii="Trebuchet MS" w:hAnsi="Trebuchet MS"/>
          <w:color w:val="1F4E79" w:themeColor="accent1" w:themeShade="80"/>
        </w:rPr>
        <w:t>ă</w:t>
      </w:r>
      <w:r w:rsidRPr="00A94974">
        <w:rPr>
          <w:rFonts w:ascii="Trebuchet MS" w:hAnsi="Trebuchet MS"/>
          <w:color w:val="1F4E79" w:themeColor="accent1" w:themeShade="80"/>
        </w:rPr>
        <w:t xml:space="preserve"> s</w:t>
      </w:r>
      <w:r w:rsidR="00367552" w:rsidRPr="00A94974">
        <w:rPr>
          <w:rFonts w:ascii="Trebuchet MS" w:hAnsi="Trebuchet MS"/>
          <w:color w:val="1F4E79" w:themeColor="accent1" w:themeShade="80"/>
        </w:rPr>
        <w:t>ă</w:t>
      </w:r>
      <w:r w:rsidRPr="00A94974">
        <w:rPr>
          <w:rFonts w:ascii="Trebuchet MS" w:hAnsi="Trebuchet MS"/>
          <w:color w:val="1F4E79" w:themeColor="accent1" w:themeShade="80"/>
        </w:rPr>
        <w:t xml:space="preserve"> fie ora)</w:t>
      </w:r>
      <w:r w:rsidR="00367552" w:rsidRPr="00A94974">
        <w:rPr>
          <w:rFonts w:ascii="Trebuchet MS" w:hAnsi="Trebuchet MS"/>
          <w:color w:val="1F4E79" w:themeColor="accent1" w:themeShade="80"/>
        </w:rPr>
        <w:t>;</w:t>
      </w:r>
    </w:p>
    <w:p w14:paraId="70A8B203" w14:textId="350203C6" w:rsidR="00756116" w:rsidRPr="00A94974" w:rsidRDefault="00896D35" w:rsidP="00BE3FAB">
      <w:pPr>
        <w:pStyle w:val="ListParagraph"/>
        <w:numPr>
          <w:ilvl w:val="0"/>
          <w:numId w:val="12"/>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Cantitate – cantitatea necesar</w:t>
      </w:r>
      <w:r w:rsidR="00E26FB7"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a fi folosit</w:t>
      </w:r>
      <w:r w:rsidR="002A22C4"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w:t>
      </w:r>
      <w:r w:rsidR="00367552" w:rsidRPr="00A94974">
        <w:rPr>
          <w:rFonts w:ascii="Trebuchet MS" w:hAnsi="Trebuchet MS"/>
          <w:iCs/>
          <w:color w:val="1F4E79" w:themeColor="accent1" w:themeShade="80"/>
        </w:rPr>
        <w:t>î</w:t>
      </w:r>
      <w:r w:rsidRPr="00A94974">
        <w:rPr>
          <w:rFonts w:ascii="Trebuchet MS" w:hAnsi="Trebuchet MS"/>
          <w:iCs/>
          <w:color w:val="1F4E79" w:themeColor="accent1" w:themeShade="80"/>
        </w:rPr>
        <w:t xml:space="preserve">n cadrul </w:t>
      </w:r>
      <w:proofErr w:type="spellStart"/>
      <w:r w:rsidRPr="00A94974">
        <w:rPr>
          <w:rFonts w:ascii="Trebuchet MS" w:hAnsi="Trebuchet MS"/>
          <w:iCs/>
          <w:color w:val="1F4E79" w:themeColor="accent1" w:themeShade="80"/>
        </w:rPr>
        <w:t>subactivității</w:t>
      </w:r>
      <w:proofErr w:type="spellEnd"/>
      <w:r w:rsidR="00367552"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w:t>
      </w:r>
    </w:p>
    <w:p w14:paraId="720B85E2" w14:textId="77777777" w:rsidR="00756116" w:rsidRPr="00A94974" w:rsidRDefault="00896D35" w:rsidP="00BE3FAB">
      <w:pPr>
        <w:pStyle w:val="ListParagraph"/>
        <w:numPr>
          <w:ilvl w:val="0"/>
          <w:numId w:val="12"/>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Preț unitar fără tva</w:t>
      </w:r>
      <w:r w:rsidR="00367552" w:rsidRPr="00A94974">
        <w:rPr>
          <w:rFonts w:ascii="Trebuchet MS" w:hAnsi="Trebuchet MS"/>
          <w:iCs/>
          <w:color w:val="1F4E79" w:themeColor="accent1" w:themeShade="80"/>
        </w:rPr>
        <w:t>;</w:t>
      </w:r>
    </w:p>
    <w:p w14:paraId="12973ADE" w14:textId="77777777" w:rsidR="00756116" w:rsidRPr="00A94974" w:rsidRDefault="00896D35" w:rsidP="69BF97CB">
      <w:pPr>
        <w:pStyle w:val="ListParagraph"/>
        <w:numPr>
          <w:ilvl w:val="0"/>
          <w:numId w:val="12"/>
        </w:numPr>
        <w:spacing w:before="120" w:after="120"/>
        <w:jc w:val="both"/>
        <w:rPr>
          <w:rFonts w:ascii="Trebuchet MS" w:hAnsi="Trebuchet MS"/>
          <w:color w:val="1F4E79" w:themeColor="accent1" w:themeShade="80"/>
        </w:rPr>
      </w:pPr>
      <w:r w:rsidRPr="00A94974">
        <w:rPr>
          <w:rFonts w:ascii="Trebuchet MS" w:hAnsi="Trebuchet MS"/>
          <w:color w:val="1F4E79" w:themeColor="accent1" w:themeShade="80"/>
        </w:rPr>
        <w:t>Procent TVA – se va introduce procentul TVA aplicabil cheltuielii</w:t>
      </w:r>
      <w:r w:rsidR="00367552" w:rsidRPr="00A94974">
        <w:rPr>
          <w:rFonts w:ascii="Trebuchet MS" w:hAnsi="Trebuchet MS"/>
          <w:color w:val="1F4E79" w:themeColor="accent1" w:themeShade="80"/>
        </w:rPr>
        <w:t>;</w:t>
      </w:r>
    </w:p>
    <w:p w14:paraId="7AD136B1" w14:textId="6EB979EA" w:rsidR="00756116" w:rsidRPr="00A94974" w:rsidRDefault="00896D35" w:rsidP="00BE3FAB">
      <w:pPr>
        <w:pStyle w:val="ListParagraph"/>
        <w:numPr>
          <w:ilvl w:val="0"/>
          <w:numId w:val="12"/>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Nerambursabil – se calculează valoarea nerambursabil</w:t>
      </w:r>
      <w:r w:rsidR="003522F0"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aferent</w:t>
      </w:r>
      <w:r w:rsidR="003522F0"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cheltuielii (</w:t>
      </w:r>
      <w:r w:rsidR="003522F0" w:rsidRPr="00A94974">
        <w:rPr>
          <w:rFonts w:ascii="Trebuchet MS" w:hAnsi="Trebuchet MS"/>
          <w:iCs/>
          <w:color w:val="1F4E79" w:themeColor="accent1" w:themeShade="80"/>
        </w:rPr>
        <w:t>î</w:t>
      </w:r>
      <w:r w:rsidRPr="00A94974">
        <w:rPr>
          <w:rFonts w:ascii="Trebuchet MS" w:hAnsi="Trebuchet MS"/>
          <w:iCs/>
          <w:color w:val="1F4E79" w:themeColor="accent1" w:themeShade="80"/>
        </w:rPr>
        <w:t>n funcție de cofinanțarea stabilit</w:t>
      </w:r>
      <w:r w:rsidR="003522F0"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prin ghidul solicitantului condiții specifice pentru apelul de proiecte)</w:t>
      </w:r>
      <w:r w:rsidR="00756116" w:rsidRPr="00A94974">
        <w:rPr>
          <w:rFonts w:ascii="Trebuchet MS" w:hAnsi="Trebuchet MS"/>
          <w:iCs/>
          <w:color w:val="1F4E79" w:themeColor="accent1" w:themeShade="80"/>
        </w:rPr>
        <w:t>;</w:t>
      </w:r>
    </w:p>
    <w:p w14:paraId="12941AB8" w14:textId="6F20152D" w:rsidR="00896D35" w:rsidRPr="00A94974" w:rsidRDefault="00896D35" w:rsidP="00BE3FAB">
      <w:pPr>
        <w:pStyle w:val="ListParagraph"/>
        <w:numPr>
          <w:ilvl w:val="0"/>
          <w:numId w:val="12"/>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Justificare – v</w:t>
      </w:r>
      <w:r w:rsidR="003522F0"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rug</w:t>
      </w:r>
      <w:r w:rsidR="003522F0" w:rsidRPr="00A94974">
        <w:rPr>
          <w:rFonts w:ascii="Trebuchet MS" w:hAnsi="Trebuchet MS"/>
          <w:iCs/>
          <w:color w:val="1F4E79" w:themeColor="accent1" w:themeShade="80"/>
        </w:rPr>
        <w:t>ă</w:t>
      </w:r>
      <w:r w:rsidRPr="00A94974">
        <w:rPr>
          <w:rFonts w:ascii="Trebuchet MS" w:hAnsi="Trebuchet MS"/>
          <w:iCs/>
          <w:color w:val="1F4E79" w:themeColor="accent1" w:themeShade="80"/>
        </w:rPr>
        <w:t>m s</w:t>
      </w:r>
      <w:r w:rsidR="003522F0"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justificați necesitatea efectuării cheltuielii, cantitatea </w:t>
      </w:r>
      <w:r w:rsidR="003522F0" w:rsidRPr="00A94974">
        <w:rPr>
          <w:rFonts w:ascii="Trebuchet MS" w:hAnsi="Trebuchet MS"/>
          <w:iCs/>
          <w:color w:val="1F4E79" w:themeColor="accent1" w:themeShade="80"/>
        </w:rPr>
        <w:t>ș</w:t>
      </w:r>
      <w:r w:rsidRPr="00A94974">
        <w:rPr>
          <w:rFonts w:ascii="Trebuchet MS" w:hAnsi="Trebuchet MS"/>
          <w:iCs/>
          <w:color w:val="1F4E79" w:themeColor="accent1" w:themeShade="80"/>
        </w:rPr>
        <w:t xml:space="preserve">i costul unitar. </w:t>
      </w:r>
    </w:p>
    <w:p w14:paraId="06B89F95" w14:textId="30EC3F5A" w:rsidR="00896D35" w:rsidRPr="00A94974" w:rsidRDefault="00896D35" w:rsidP="00E27636">
      <w:p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În cazul </w:t>
      </w:r>
      <w:r w:rsidR="003522F0" w:rsidRPr="00A94974">
        <w:rPr>
          <w:rFonts w:ascii="Trebuchet MS" w:hAnsi="Trebuchet MS"/>
          <w:iCs/>
          <w:color w:val="1F4E79" w:themeColor="accent1" w:themeShade="80"/>
        </w:rPr>
        <w:t>î</w:t>
      </w:r>
      <w:r w:rsidRPr="00A94974">
        <w:rPr>
          <w:rFonts w:ascii="Trebuchet MS" w:hAnsi="Trebuchet MS"/>
          <w:iCs/>
          <w:color w:val="1F4E79" w:themeColor="accent1" w:themeShade="80"/>
        </w:rPr>
        <w:t>n care exist</w:t>
      </w:r>
      <w:r w:rsidR="003522F0"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cheltuieli de echipamente care vor fi folosite </w:t>
      </w:r>
      <w:r w:rsidR="003522F0" w:rsidRPr="00A94974">
        <w:rPr>
          <w:rFonts w:ascii="Trebuchet MS" w:hAnsi="Trebuchet MS"/>
          <w:iCs/>
          <w:color w:val="1F4E79" w:themeColor="accent1" w:themeShade="80"/>
        </w:rPr>
        <w:t>î</w:t>
      </w:r>
      <w:r w:rsidRPr="00A94974">
        <w:rPr>
          <w:rFonts w:ascii="Trebuchet MS" w:hAnsi="Trebuchet MS"/>
          <w:iCs/>
          <w:color w:val="1F4E79" w:themeColor="accent1" w:themeShade="80"/>
        </w:rPr>
        <w:t xml:space="preserve">n cadrul mai multor activități/ subactivități, acestea vor fi alocate unei singure subactivități (se va evita spargerea costului echipamentului pe mai multe activități/ subactivități). </w:t>
      </w:r>
    </w:p>
    <w:p w14:paraId="73CEDAA3" w14:textId="77777777" w:rsidR="00896D35" w:rsidRPr="00A94974" w:rsidRDefault="00896D35" w:rsidP="00E27636">
      <w:pPr>
        <w:spacing w:before="120" w:after="120"/>
        <w:jc w:val="both"/>
        <w:rPr>
          <w:rFonts w:ascii="Trebuchet MS" w:hAnsi="Trebuchet MS"/>
          <w:i/>
          <w:color w:val="1F4E79" w:themeColor="accent1" w:themeShade="80"/>
        </w:rPr>
      </w:pPr>
      <w:r w:rsidRPr="00A94974">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A94974">
        <w:rPr>
          <w:rFonts w:ascii="Trebuchet MS" w:hAnsi="Trebuchet MS"/>
          <w:i/>
          <w:color w:val="1F4E79" w:themeColor="accent1" w:themeShade="80"/>
        </w:rPr>
        <w:t>.</w:t>
      </w:r>
    </w:p>
    <w:p w14:paraId="2FADD3BF" w14:textId="77777777" w:rsidR="00DA131F" w:rsidRPr="00A94974" w:rsidRDefault="00DA131F" w:rsidP="00E27636">
      <w:pPr>
        <w:spacing w:before="120" w:after="120"/>
        <w:jc w:val="both"/>
        <w:rPr>
          <w:rFonts w:ascii="Trebuchet MS" w:hAnsi="Trebuchet MS"/>
          <w:i/>
          <w:color w:val="1F4E79" w:themeColor="accent1" w:themeShade="80"/>
        </w:rPr>
      </w:pPr>
    </w:p>
    <w:p w14:paraId="0C715846" w14:textId="32CF6843" w:rsidR="00566CCA" w:rsidRPr="00A94974" w:rsidRDefault="007306A9" w:rsidP="00E27636">
      <w:pPr>
        <w:pStyle w:val="Heading2"/>
        <w:rPr>
          <w:color w:val="1F4E79" w:themeColor="accent1" w:themeShade="80"/>
        </w:rPr>
      </w:pPr>
      <w:bookmarkStart w:id="90" w:name="_Toc179368136"/>
      <w:r w:rsidRPr="00A94974">
        <w:rPr>
          <w:color w:val="1F4E79" w:themeColor="accent1" w:themeShade="80"/>
        </w:rPr>
        <w:t xml:space="preserve">7.4 </w:t>
      </w:r>
      <w:r w:rsidR="00566CCA" w:rsidRPr="00A94974">
        <w:rPr>
          <w:color w:val="1F4E79" w:themeColor="accent1" w:themeShade="80"/>
        </w:rPr>
        <w:t xml:space="preserve">Anexe </w:t>
      </w:r>
      <w:r w:rsidR="002D47EF" w:rsidRPr="00A94974">
        <w:rPr>
          <w:color w:val="1F4E79" w:themeColor="accent1" w:themeShade="80"/>
        </w:rPr>
        <w:t xml:space="preserve">și documente </w:t>
      </w:r>
      <w:r w:rsidR="00566CCA" w:rsidRPr="00A94974">
        <w:rPr>
          <w:color w:val="1F4E79" w:themeColor="accent1" w:themeShade="80"/>
        </w:rPr>
        <w:t>obligatorii la depunerea cererii</w:t>
      </w:r>
      <w:bookmarkEnd w:id="90"/>
      <w:r w:rsidR="00566CCA" w:rsidRPr="00A94974">
        <w:rPr>
          <w:color w:val="1F4E79" w:themeColor="accent1" w:themeShade="80"/>
        </w:rPr>
        <w:t xml:space="preserve"> </w:t>
      </w:r>
      <w:r w:rsidR="00566CCA" w:rsidRPr="00A94974">
        <w:rPr>
          <w:color w:val="1F4E79" w:themeColor="accent1" w:themeShade="80"/>
        </w:rPr>
        <w:tab/>
      </w:r>
    </w:p>
    <w:p w14:paraId="365FE58A" w14:textId="77777777" w:rsidR="005758D7" w:rsidRPr="00A94974" w:rsidRDefault="005758D7"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Odată cu depunerea Cererii de finanțare se va transmite prin sistemul informatic MySMIS2021+:</w:t>
      </w:r>
    </w:p>
    <w:p w14:paraId="78502136" w14:textId="77777777" w:rsidR="00277E45" w:rsidRPr="00A94974" w:rsidRDefault="00277E45" w:rsidP="00277E45">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w:t>
      </w:r>
      <w:r w:rsidRPr="00A94974">
        <w:rPr>
          <w:rFonts w:ascii="Trebuchet MS" w:hAnsi="Trebuchet MS"/>
          <w:iCs/>
          <w:color w:val="1F4E79" w:themeColor="accent1" w:themeShade="80"/>
        </w:rPr>
        <w:tab/>
        <w:t>Acord de parteneriat, încheiat între solicitant și parteneri, dacă este cazul;</w:t>
      </w:r>
    </w:p>
    <w:p w14:paraId="51B48BF7" w14:textId="77777777" w:rsidR="00277E45" w:rsidRPr="00A94974" w:rsidRDefault="00277E45" w:rsidP="5B8D767C">
      <w:pPr>
        <w:tabs>
          <w:tab w:val="left" w:pos="709"/>
        </w:tabs>
        <w:spacing w:after="0" w:line="276" w:lineRule="auto"/>
        <w:jc w:val="both"/>
        <w:rPr>
          <w:rFonts w:ascii="Trebuchet MS" w:hAnsi="Trebuchet MS"/>
          <w:color w:val="1F4E79" w:themeColor="accent1" w:themeShade="80"/>
        </w:rPr>
      </w:pPr>
      <w:r w:rsidRPr="00A94974">
        <w:rPr>
          <w:rFonts w:ascii="Trebuchet MS" w:hAnsi="Trebuchet MS"/>
          <w:color w:val="1F4E79" w:themeColor="accent1" w:themeShade="80"/>
        </w:rPr>
        <w:t></w:t>
      </w:r>
      <w:r w:rsidRPr="00A94974">
        <w:rPr>
          <w:color w:val="1F4E79" w:themeColor="accent1" w:themeShade="80"/>
        </w:rPr>
        <w:tab/>
      </w:r>
      <w:r w:rsidRPr="00A94974">
        <w:rPr>
          <w:rFonts w:ascii="Trebuchet MS" w:hAnsi="Trebuchet MS"/>
          <w:color w:val="1F4E79" w:themeColor="accent1" w:themeShade="80"/>
        </w:rPr>
        <w:t>Procedura de selecție a partenerilor din sectorul privat, în cazul solicitanților entități finanțate din fonduri publice;</w:t>
      </w:r>
    </w:p>
    <w:p w14:paraId="166A6DE1" w14:textId="77777777" w:rsidR="00277E45" w:rsidRPr="00A94974" w:rsidRDefault="00277E45" w:rsidP="00277E45">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w:t>
      </w:r>
      <w:r w:rsidRPr="00A94974">
        <w:rPr>
          <w:rFonts w:ascii="Trebuchet MS" w:hAnsi="Trebuchet MS"/>
          <w:iCs/>
          <w:color w:val="1F4E79" w:themeColor="accent1" w:themeShade="80"/>
        </w:rPr>
        <w:tab/>
        <w:t>CV Manager de proiect și documente suport care atestă educația și experiența profesională specifică;</w:t>
      </w:r>
    </w:p>
    <w:p w14:paraId="0C0620D7" w14:textId="77777777" w:rsidR="00277E45" w:rsidRPr="00A94974" w:rsidRDefault="00277E45" w:rsidP="00277E45">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w:t>
      </w:r>
      <w:r w:rsidRPr="00A94974">
        <w:rPr>
          <w:rFonts w:ascii="Trebuchet MS" w:hAnsi="Trebuchet MS"/>
          <w:iCs/>
          <w:color w:val="1F4E79" w:themeColor="accent1" w:themeShade="80"/>
        </w:rPr>
        <w:tab/>
        <w:t>CV Coordonator proiect partener și documente suport care atestă educația și experiența profesională specifică;</w:t>
      </w:r>
    </w:p>
    <w:p w14:paraId="7532DD87" w14:textId="2476EB1D" w:rsidR="00277E45" w:rsidRPr="00A94974" w:rsidRDefault="00277E45" w:rsidP="00277E45">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w:t>
      </w:r>
      <w:r w:rsidRPr="00A94974">
        <w:rPr>
          <w:rFonts w:ascii="Trebuchet MS" w:hAnsi="Trebuchet MS"/>
          <w:iCs/>
          <w:color w:val="1F4E79" w:themeColor="accent1" w:themeShade="80"/>
        </w:rPr>
        <w:tab/>
        <w:t>Documente care să demonstreze experiența relevantă în domeniul activităților desfășurate în proiect de solicitant/parteneri</w:t>
      </w:r>
      <w:r w:rsidR="00D61D5C" w:rsidRPr="00A94974">
        <w:rPr>
          <w:rFonts w:ascii="Trebuchet MS" w:hAnsi="Trebuchet MS"/>
          <w:iCs/>
          <w:color w:val="1F4E79" w:themeColor="accent1" w:themeShade="80"/>
        </w:rPr>
        <w:t>.</w:t>
      </w:r>
    </w:p>
    <w:p w14:paraId="1F23AAE5" w14:textId="77777777" w:rsidR="005758D7" w:rsidRPr="00A94974" w:rsidRDefault="005758D7" w:rsidP="00E27636">
      <w:pPr>
        <w:rPr>
          <w:rFonts w:ascii="Trebuchet MS" w:hAnsi="Trebuchet MS"/>
          <w:color w:val="1F4E79" w:themeColor="accent1" w:themeShade="80"/>
        </w:rPr>
      </w:pPr>
    </w:p>
    <w:p w14:paraId="0B7F7F16" w14:textId="30F0E864" w:rsidR="00B20313" w:rsidRPr="00A94974" w:rsidRDefault="007306A9" w:rsidP="00E27636">
      <w:pPr>
        <w:pStyle w:val="Heading2"/>
        <w:rPr>
          <w:color w:val="1F4E79" w:themeColor="accent1" w:themeShade="80"/>
        </w:rPr>
      </w:pPr>
      <w:bookmarkStart w:id="91" w:name="_Toc179368137"/>
      <w:r w:rsidRPr="00A94974">
        <w:rPr>
          <w:color w:val="1F4E79" w:themeColor="accent1" w:themeShade="80"/>
        </w:rPr>
        <w:t xml:space="preserve">7.5 </w:t>
      </w:r>
      <w:r w:rsidR="00B20313" w:rsidRPr="00A94974">
        <w:rPr>
          <w:color w:val="1F4E79" w:themeColor="accent1" w:themeShade="80"/>
        </w:rPr>
        <w:t>Aspecte administrative privind depunerea cererii de finanțare</w:t>
      </w:r>
      <w:bookmarkEnd w:id="91"/>
      <w:r w:rsidR="00B20313" w:rsidRPr="00A94974">
        <w:rPr>
          <w:color w:val="1F4E79" w:themeColor="accent1" w:themeShade="80"/>
        </w:rPr>
        <w:t xml:space="preserve"> </w:t>
      </w:r>
      <w:r w:rsidR="00B20313" w:rsidRPr="00A94974">
        <w:rPr>
          <w:color w:val="1F4E79" w:themeColor="accent1" w:themeShade="80"/>
        </w:rPr>
        <w:tab/>
      </w:r>
    </w:p>
    <w:p w14:paraId="2B0C5405" w14:textId="77777777" w:rsidR="00896D35" w:rsidRPr="00A94974" w:rsidRDefault="00896D35" w:rsidP="00E27636">
      <w:pPr>
        <w:pStyle w:val="NoSpacing"/>
        <w:jc w:val="both"/>
        <w:rPr>
          <w:rFonts w:eastAsia="Times New Roman" w:cs="Courier New"/>
          <w:color w:val="1F4E79" w:themeColor="accent1" w:themeShade="80"/>
          <w:lang w:eastAsia="ro-RO"/>
        </w:rPr>
      </w:pPr>
      <w:r w:rsidRPr="00A94974">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Pr="00A94974">
        <w:rPr>
          <w:color w:val="1F4E79" w:themeColor="accent1" w:themeShade="80"/>
        </w:rPr>
        <w:t xml:space="preserve"> </w:t>
      </w:r>
      <w:r w:rsidRPr="00A94974">
        <w:rPr>
          <w:rFonts w:eastAsia="Times New Roman" w:cs="Courier New"/>
          <w:color w:val="1F4E79" w:themeColor="accent1" w:themeShade="80"/>
          <w:lang w:eastAsia="ro-RO"/>
        </w:rPr>
        <w:t xml:space="preserve">La cererea de finanțare, solicitantul </w:t>
      </w:r>
      <w:r w:rsidRPr="00A94974">
        <w:rPr>
          <w:rFonts w:eastAsia="Times New Roman" w:cs="Courier New"/>
          <w:color w:val="1F4E79" w:themeColor="accent1" w:themeShade="80"/>
          <w:lang w:eastAsia="ro-RO"/>
        </w:rPr>
        <w:lastRenderedPageBreak/>
        <w:t>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13001D35" w14:textId="7653180F" w:rsidR="00896D35" w:rsidRPr="00A94974" w:rsidRDefault="00896D35" w:rsidP="00E27636">
      <w:pPr>
        <w:pStyle w:val="NoSpacing"/>
        <w:jc w:val="both"/>
        <w:rPr>
          <w:rFonts w:eastAsia="Times New Roman" w:cs="Courier New"/>
          <w:color w:val="1F4E79" w:themeColor="accent1" w:themeShade="80"/>
          <w:lang w:eastAsia="ro-RO"/>
        </w:rPr>
      </w:pPr>
      <w:r w:rsidRPr="00A94974">
        <w:rPr>
          <w:rFonts w:eastAsia="Times New Roman" w:cs="Courier New"/>
          <w:color w:val="1F4E79" w:themeColor="accent1" w:themeShade="80"/>
          <w:lang w:eastAsia="ro-RO"/>
        </w:rPr>
        <w:t>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tehnico-financiară a proiectului, acesta fiind responsabil pentru lipsa unora din aceste informații, documente sau anexe care pot conduce la decizii de respingere a cererii de finanțare în oricare din etapele de evaluare, de selecție sau de contractare.</w:t>
      </w:r>
    </w:p>
    <w:p w14:paraId="13181CBC" w14:textId="77777777" w:rsidR="005758D7" w:rsidRPr="00A94974" w:rsidRDefault="005758D7" w:rsidP="00E27636">
      <w:pPr>
        <w:rPr>
          <w:rFonts w:ascii="Trebuchet MS" w:hAnsi="Trebuchet MS"/>
          <w:color w:val="1F4E79" w:themeColor="accent1" w:themeShade="80"/>
        </w:rPr>
      </w:pPr>
    </w:p>
    <w:p w14:paraId="503C824E" w14:textId="144BA648" w:rsidR="00E61D9C" w:rsidRPr="00A94974" w:rsidRDefault="007306A9" w:rsidP="00E27636">
      <w:pPr>
        <w:pStyle w:val="Heading2"/>
        <w:rPr>
          <w:color w:val="1F4E79" w:themeColor="accent1" w:themeShade="80"/>
        </w:rPr>
      </w:pPr>
      <w:bookmarkStart w:id="92" w:name="_Toc179368138"/>
      <w:r w:rsidRPr="00A94974">
        <w:rPr>
          <w:color w:val="1F4E79" w:themeColor="accent1" w:themeShade="80"/>
        </w:rPr>
        <w:t xml:space="preserve">7.6 </w:t>
      </w:r>
      <w:r w:rsidR="00E61D9C" w:rsidRPr="00A94974">
        <w:rPr>
          <w:color w:val="1F4E79" w:themeColor="accent1" w:themeShade="80"/>
        </w:rPr>
        <w:t>Anexele și documente obligatorii la momentul contractării</w:t>
      </w:r>
      <w:bookmarkEnd w:id="92"/>
      <w:r w:rsidR="00E61D9C" w:rsidRPr="00A94974">
        <w:rPr>
          <w:color w:val="1F4E79" w:themeColor="accent1" w:themeShade="80"/>
        </w:rPr>
        <w:t xml:space="preserve"> </w:t>
      </w:r>
      <w:r w:rsidR="00E61D9C" w:rsidRPr="00A94974">
        <w:rPr>
          <w:color w:val="1F4E79" w:themeColor="accent1" w:themeShade="80"/>
        </w:rPr>
        <w:tab/>
      </w:r>
    </w:p>
    <w:p w14:paraId="66FE1D90" w14:textId="77777777" w:rsidR="00803BBB" w:rsidRPr="00A94974" w:rsidRDefault="00803BBB"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La momentul contractării se vor transmite prin sistemul informatic MySMIS2021+ următoarele documente:</w:t>
      </w:r>
    </w:p>
    <w:p w14:paraId="77E7E1A5" w14:textId="01268FF4" w:rsidR="00277E45" w:rsidRPr="00A94974" w:rsidRDefault="00277E45" w:rsidP="00277E45">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Documente care să demonstreze existența unui contract de finanțare încheiat </w:t>
      </w:r>
      <w:r w:rsidR="00F679E4" w:rsidRPr="00A94974">
        <w:rPr>
          <w:rFonts w:ascii="Trebuchet MS" w:hAnsi="Trebuchet MS"/>
          <w:iCs/>
          <w:color w:val="1F4E79" w:themeColor="accent1" w:themeShade="80"/>
        </w:rPr>
        <w:t>între solicitan</w:t>
      </w:r>
      <w:r w:rsidR="00FD3A9B" w:rsidRPr="00A94974">
        <w:rPr>
          <w:rFonts w:ascii="Trebuchet MS" w:hAnsi="Trebuchet MS"/>
          <w:iCs/>
          <w:color w:val="1F4E79" w:themeColor="accent1" w:themeShade="80"/>
        </w:rPr>
        <w:t>t</w:t>
      </w:r>
      <w:r w:rsidR="00F679E4" w:rsidRPr="00A94974">
        <w:rPr>
          <w:rFonts w:ascii="Trebuchet MS" w:hAnsi="Trebuchet MS"/>
          <w:iCs/>
          <w:color w:val="1F4E79" w:themeColor="accent1" w:themeShade="80"/>
        </w:rPr>
        <w:t>/</w:t>
      </w:r>
      <w:r w:rsidR="00FD3A9B" w:rsidRPr="00A94974">
        <w:rPr>
          <w:rFonts w:ascii="Trebuchet MS" w:hAnsi="Trebuchet MS"/>
          <w:iCs/>
          <w:color w:val="1F4E79" w:themeColor="accent1" w:themeShade="80"/>
        </w:rPr>
        <w:t xml:space="preserve">fiecare </w:t>
      </w:r>
      <w:r w:rsidR="00F679E4" w:rsidRPr="00A94974">
        <w:rPr>
          <w:rFonts w:ascii="Trebuchet MS" w:hAnsi="Trebuchet MS"/>
          <w:iCs/>
          <w:color w:val="1F4E79" w:themeColor="accent1" w:themeShade="80"/>
        </w:rPr>
        <w:t>partener și</w:t>
      </w:r>
      <w:r w:rsidRPr="00A94974">
        <w:rPr>
          <w:rFonts w:ascii="Trebuchet MS" w:hAnsi="Trebuchet MS"/>
          <w:iCs/>
          <w:color w:val="1F4E79" w:themeColor="accent1" w:themeShade="80"/>
        </w:rPr>
        <w:t xml:space="preserve"> ANPCDEFP pentru proiecte de mobilitate în domeniul universitar prin Programul Erasmus+.</w:t>
      </w:r>
    </w:p>
    <w:p w14:paraId="0D36DC8F" w14:textId="160FD194"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Documente care atestă realitatea și conformitatea elementelor prezentate în cadrul Declarației unice</w:t>
      </w:r>
      <w:r w:rsidR="00411B82"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w:t>
      </w:r>
    </w:p>
    <w:p w14:paraId="1DD8604F" w14:textId="2F91D571"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Actele de înființare și de dobândire a personalității juridice</w:t>
      </w:r>
      <w:r w:rsidR="00411B82" w:rsidRPr="00A94974">
        <w:rPr>
          <w:rFonts w:ascii="Trebuchet MS" w:hAnsi="Trebuchet MS"/>
          <w:iCs/>
          <w:color w:val="1F4E79" w:themeColor="accent1" w:themeShade="80"/>
        </w:rPr>
        <w:t>;</w:t>
      </w:r>
    </w:p>
    <w:p w14:paraId="34D47FD7" w14:textId="3F6D4401"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Documentele statuare actualizate cu ultimele modificări( ex. act constitutiv, statut etc</w:t>
      </w:r>
      <w:r w:rsidR="00A722B4"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actualizate cu ultimele modificări)</w:t>
      </w:r>
      <w:r w:rsidR="00411B82" w:rsidRPr="00A94974">
        <w:rPr>
          <w:rFonts w:ascii="Trebuchet MS" w:hAnsi="Trebuchet MS"/>
          <w:iCs/>
          <w:color w:val="1F4E79" w:themeColor="accent1" w:themeShade="80"/>
        </w:rPr>
        <w:t>;</w:t>
      </w:r>
    </w:p>
    <w:p w14:paraId="459CFF06" w14:textId="10F72A17"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Certificatul de atestare fiscal</w:t>
      </w:r>
      <w:r w:rsidR="00824E1B"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emis </w:t>
      </w:r>
      <w:r w:rsidR="00824E1B" w:rsidRPr="00A94974">
        <w:rPr>
          <w:rFonts w:ascii="Trebuchet MS" w:hAnsi="Trebuchet MS"/>
          <w:iCs/>
          <w:color w:val="1F4E79" w:themeColor="accent1" w:themeShade="80"/>
        </w:rPr>
        <w:t>î</w:t>
      </w:r>
      <w:r w:rsidRPr="00A94974">
        <w:rPr>
          <w:rFonts w:ascii="Trebuchet MS" w:hAnsi="Trebuchet MS"/>
          <w:iCs/>
          <w:color w:val="1F4E79" w:themeColor="accent1" w:themeShade="80"/>
        </w:rPr>
        <w:t>n conformitate cu prevederile Ordinului nr. 3654/2015 privind aprobarea procedurii de eliberare a certificatului de atestare fiscală, a certificatului de obligații bugetare, precum și a modelului și conținutului acestora. Solicitantului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r w:rsidR="00411B82" w:rsidRPr="00A94974">
        <w:rPr>
          <w:rFonts w:ascii="Trebuchet MS" w:hAnsi="Trebuchet MS"/>
          <w:iCs/>
          <w:color w:val="1F4E79" w:themeColor="accent1" w:themeShade="80"/>
        </w:rPr>
        <w:t>;</w:t>
      </w:r>
    </w:p>
    <w:p w14:paraId="3DE394CE" w14:textId="75166E46"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Certificatul de atestare fiscală emis </w:t>
      </w:r>
      <w:r w:rsidR="004536E9" w:rsidRPr="00A94974">
        <w:rPr>
          <w:rFonts w:ascii="Trebuchet MS" w:hAnsi="Trebuchet MS"/>
          <w:iCs/>
          <w:color w:val="1F4E79" w:themeColor="accent1" w:themeShade="80"/>
        </w:rPr>
        <w:t>î</w:t>
      </w:r>
      <w:r w:rsidRPr="00A94974">
        <w:rPr>
          <w:rFonts w:ascii="Trebuchet MS" w:hAnsi="Trebuchet MS"/>
          <w:iCs/>
          <w:color w:val="1F4E79" w:themeColor="accent1" w:themeShade="80"/>
        </w:rPr>
        <w:t>n conformitate cu prevederile Ordinului comun, al ministrului administrației și internelor și ministrului finanțelor publice nr.</w:t>
      </w:r>
      <w:r w:rsidR="004536E9" w:rsidRPr="00A94974">
        <w:rPr>
          <w:rFonts w:ascii="Trebuchet MS" w:hAnsi="Trebuchet MS"/>
          <w:iCs/>
          <w:color w:val="1F4E79" w:themeColor="accent1" w:themeShade="80"/>
        </w:rPr>
        <w:t xml:space="preserve"> </w:t>
      </w:r>
      <w:r w:rsidRPr="00A94974">
        <w:rPr>
          <w:rFonts w:ascii="Trebuchet MS" w:hAnsi="Trebuchet MS"/>
          <w:iCs/>
          <w:color w:val="1F4E79" w:themeColor="accent1" w:themeShade="80"/>
        </w:rPr>
        <w:t>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r w:rsidR="00411B82" w:rsidRPr="00A94974">
        <w:rPr>
          <w:rFonts w:ascii="Trebuchet MS" w:hAnsi="Trebuchet MS"/>
          <w:iCs/>
          <w:color w:val="1F4E79" w:themeColor="accent1" w:themeShade="80"/>
        </w:rPr>
        <w:t>;</w:t>
      </w:r>
    </w:p>
    <w:p w14:paraId="4A982B97" w14:textId="7B02498E"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Împuternicire pentru persoana desemnată să semneze contractul de finanțare/documentele contractului, după caz</w:t>
      </w:r>
      <w:r w:rsidR="00411B82" w:rsidRPr="00A94974">
        <w:rPr>
          <w:rFonts w:ascii="Trebuchet MS" w:hAnsi="Trebuchet MS"/>
          <w:iCs/>
          <w:color w:val="1F4E79" w:themeColor="accent1" w:themeShade="80"/>
        </w:rPr>
        <w:t>;</w:t>
      </w:r>
    </w:p>
    <w:p w14:paraId="1A5FD96C" w14:textId="7BA6E6B5"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lastRenderedPageBreak/>
        <w:t xml:space="preserve">Lista resurselor umane implicate </w:t>
      </w:r>
      <w:r w:rsidR="004D40E4" w:rsidRPr="00A94974">
        <w:rPr>
          <w:rFonts w:ascii="Trebuchet MS" w:hAnsi="Trebuchet MS"/>
          <w:iCs/>
          <w:color w:val="1F4E79" w:themeColor="accent1" w:themeShade="80"/>
        </w:rPr>
        <w:t>î</w:t>
      </w:r>
      <w:r w:rsidRPr="00A94974">
        <w:rPr>
          <w:rFonts w:ascii="Trebuchet MS" w:hAnsi="Trebuchet MS"/>
          <w:iCs/>
          <w:color w:val="1F4E79" w:themeColor="accent1" w:themeShade="80"/>
        </w:rPr>
        <w:t>n proiect, în cadrul căreia să se specifice în mod clar funcția deținută în proiect, nominalizarea persoanelor implicate în proiect (de exemplu</w:t>
      </w:r>
      <w:r w:rsidR="004D40E4"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coordonator formare etc</w:t>
      </w:r>
      <w:r w:rsidR="004D40E4"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după caz), semnat de reprezentantul legal al solicitantului</w:t>
      </w:r>
      <w:r w:rsidR="00411B82" w:rsidRPr="00A94974">
        <w:rPr>
          <w:rFonts w:ascii="Trebuchet MS" w:hAnsi="Trebuchet MS"/>
          <w:iCs/>
          <w:color w:val="1F4E79" w:themeColor="accent1" w:themeShade="80"/>
        </w:rPr>
        <w:t>;</w:t>
      </w:r>
    </w:p>
    <w:p w14:paraId="10916552" w14:textId="4794836C"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CV-urile (</w:t>
      </w:r>
      <w:r w:rsidR="004D40E4" w:rsidRPr="00A94974">
        <w:rPr>
          <w:rFonts w:ascii="Trebuchet MS" w:hAnsi="Trebuchet MS"/>
          <w:iCs/>
          <w:color w:val="1F4E79" w:themeColor="accent1" w:themeShade="80"/>
        </w:rPr>
        <w:t>î</w:t>
      </w:r>
      <w:r w:rsidRPr="00A94974">
        <w:rPr>
          <w:rFonts w:ascii="Trebuchet MS" w:hAnsi="Trebuchet MS"/>
          <w:iCs/>
          <w:color w:val="1F4E79" w:themeColor="accent1" w:themeShade="80"/>
        </w:rPr>
        <w:t xml:space="preserve">n format Europass) membrilor echipei de implementare a proiectului care au fost nominalizați în etapa de contractare, în limba română, indicând funcția/rolul în proiect, datate și semnate de către titulari pe fiecare pagină, </w:t>
      </w:r>
      <w:r w:rsidR="004D40E4" w:rsidRPr="00A94974">
        <w:rPr>
          <w:rFonts w:ascii="Trebuchet MS" w:hAnsi="Trebuchet MS"/>
          <w:iCs/>
          <w:color w:val="1F4E79" w:themeColor="accent1" w:themeShade="80"/>
        </w:rPr>
        <w:t>î</w:t>
      </w:r>
      <w:r w:rsidRPr="00A94974">
        <w:rPr>
          <w:rFonts w:ascii="Trebuchet MS" w:hAnsi="Trebuchet MS"/>
          <w:iCs/>
          <w:color w:val="1F4E79" w:themeColor="accent1" w:themeShade="80"/>
        </w:rPr>
        <w:t xml:space="preserve">n cazul </w:t>
      </w:r>
      <w:r w:rsidR="004D40E4" w:rsidRPr="00A94974">
        <w:rPr>
          <w:rFonts w:ascii="Trebuchet MS" w:hAnsi="Trebuchet MS"/>
          <w:iCs/>
          <w:color w:val="1F4E79" w:themeColor="accent1" w:themeShade="80"/>
        </w:rPr>
        <w:t>î</w:t>
      </w:r>
      <w:r w:rsidRPr="00A94974">
        <w:rPr>
          <w:rFonts w:ascii="Trebuchet MS" w:hAnsi="Trebuchet MS"/>
          <w:iCs/>
          <w:color w:val="1F4E79" w:themeColor="accent1" w:themeShade="80"/>
        </w:rPr>
        <w:t xml:space="preserve">n care acestea nu au fost încărcate </w:t>
      </w:r>
      <w:r w:rsidR="004D40E4" w:rsidRPr="00A94974">
        <w:rPr>
          <w:rFonts w:ascii="Trebuchet MS" w:hAnsi="Trebuchet MS"/>
          <w:iCs/>
          <w:color w:val="1F4E79" w:themeColor="accent1" w:themeShade="80"/>
        </w:rPr>
        <w:t>î</w:t>
      </w:r>
      <w:r w:rsidRPr="00A94974">
        <w:rPr>
          <w:rFonts w:ascii="Trebuchet MS" w:hAnsi="Trebuchet MS"/>
          <w:iCs/>
          <w:color w:val="1F4E79" w:themeColor="accent1" w:themeShade="80"/>
        </w:rPr>
        <w:t>n etapa de depunere a cererii de finanțare</w:t>
      </w:r>
      <w:r w:rsidR="00411B82" w:rsidRPr="00A94974">
        <w:rPr>
          <w:rFonts w:ascii="Trebuchet MS" w:hAnsi="Trebuchet MS"/>
          <w:iCs/>
          <w:color w:val="1F4E79" w:themeColor="accent1" w:themeShade="80"/>
        </w:rPr>
        <w:t>;</w:t>
      </w:r>
    </w:p>
    <w:p w14:paraId="6251FD54" w14:textId="39EE33A0"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Diplome, certificate, adeverințe, contracte de muncă, fișe de post etc. care să ateste informațiile prezentate în CV-uri, referitoare la condițiile de studii și experiența profesională specifică necesare pentru ocuparea funcției în proiect, </w:t>
      </w:r>
      <w:r w:rsidR="004D40E4" w:rsidRPr="00A94974">
        <w:rPr>
          <w:rFonts w:ascii="Trebuchet MS" w:hAnsi="Trebuchet MS"/>
          <w:iCs/>
          <w:color w:val="1F4E79" w:themeColor="accent1" w:themeShade="80"/>
        </w:rPr>
        <w:t>î</w:t>
      </w:r>
      <w:r w:rsidRPr="00A94974">
        <w:rPr>
          <w:rFonts w:ascii="Trebuchet MS" w:hAnsi="Trebuchet MS"/>
          <w:iCs/>
          <w:color w:val="1F4E79" w:themeColor="accent1" w:themeShade="80"/>
        </w:rPr>
        <w:t xml:space="preserve">n cazul </w:t>
      </w:r>
      <w:r w:rsidR="004D40E4" w:rsidRPr="00A94974">
        <w:rPr>
          <w:rFonts w:ascii="Trebuchet MS" w:hAnsi="Trebuchet MS"/>
          <w:iCs/>
          <w:color w:val="1F4E79" w:themeColor="accent1" w:themeShade="80"/>
        </w:rPr>
        <w:t>î</w:t>
      </w:r>
      <w:r w:rsidRPr="00A94974">
        <w:rPr>
          <w:rFonts w:ascii="Trebuchet MS" w:hAnsi="Trebuchet MS"/>
          <w:iCs/>
          <w:color w:val="1F4E79" w:themeColor="accent1" w:themeShade="80"/>
        </w:rPr>
        <w:t xml:space="preserve">n care acestea nu au fost încărcate </w:t>
      </w:r>
      <w:r w:rsidR="004D40E4" w:rsidRPr="00A94974">
        <w:rPr>
          <w:rFonts w:ascii="Trebuchet MS" w:hAnsi="Trebuchet MS"/>
          <w:iCs/>
          <w:color w:val="1F4E79" w:themeColor="accent1" w:themeShade="80"/>
        </w:rPr>
        <w:t>î</w:t>
      </w:r>
      <w:r w:rsidRPr="00A94974">
        <w:rPr>
          <w:rFonts w:ascii="Trebuchet MS" w:hAnsi="Trebuchet MS"/>
          <w:iCs/>
          <w:color w:val="1F4E79" w:themeColor="accent1" w:themeShade="80"/>
        </w:rPr>
        <w:t>n etapa de depunere a cererii de finanțare. Se va avea în vedere încărcarea de documente suport relevante pentru demonstrarea studiilor și experienței specifice solicitate prin “Cerințe fisă post” din cererea de finanțare secțiunea “Resurse umane implicate”</w:t>
      </w:r>
      <w:r w:rsidR="00411B82" w:rsidRPr="00A94974">
        <w:rPr>
          <w:rFonts w:ascii="Trebuchet MS" w:hAnsi="Trebuchet MS"/>
          <w:iCs/>
          <w:color w:val="1F4E79" w:themeColor="accent1" w:themeShade="80"/>
        </w:rPr>
        <w:t>;</w:t>
      </w:r>
    </w:p>
    <w:p w14:paraId="206405BB" w14:textId="06B9DC30"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Declarație din partea solicitantului privind prevederile art.96 (1) din Legea 161/2003</w:t>
      </w:r>
      <w:r w:rsidR="00411B82" w:rsidRPr="00A94974">
        <w:rPr>
          <w:rFonts w:ascii="Trebuchet MS" w:hAnsi="Trebuchet MS"/>
          <w:iCs/>
          <w:color w:val="1F4E79" w:themeColor="accent1" w:themeShade="80"/>
        </w:rPr>
        <w:t>;</w:t>
      </w:r>
    </w:p>
    <w:p w14:paraId="43234D6F" w14:textId="023F63CF"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Declarație din partea solicitantului si a partenerilor privind evitarea dublei finanțări si utilizarea eficient</w:t>
      </w:r>
      <w:r w:rsidR="004D40E4"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a fondurilor</w:t>
      </w:r>
      <w:r w:rsidR="00411B82" w:rsidRPr="00A94974">
        <w:rPr>
          <w:rFonts w:ascii="Trebuchet MS" w:hAnsi="Trebuchet MS"/>
          <w:iCs/>
          <w:color w:val="1F4E79" w:themeColor="accent1" w:themeShade="80"/>
        </w:rPr>
        <w:t>;</w:t>
      </w:r>
    </w:p>
    <w:p w14:paraId="7727A779" w14:textId="07F79A0E" w:rsidR="00411B82"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Declarație pe proprie răspundere conform căreia solicitantul confirmă faptul că nu există modificări intervenite asupra condițiilor inițiale prezentate în cererea de finanțare evaluată și aprobată</w:t>
      </w:r>
      <w:r w:rsidR="00411B82" w:rsidRPr="00A94974">
        <w:rPr>
          <w:rFonts w:ascii="Trebuchet MS" w:hAnsi="Trebuchet MS"/>
          <w:iCs/>
          <w:color w:val="1F4E79" w:themeColor="accent1" w:themeShade="80"/>
        </w:rPr>
        <w:t>;</w:t>
      </w:r>
    </w:p>
    <w:p w14:paraId="6D097791" w14:textId="4750CD4F" w:rsidR="00803BBB" w:rsidRPr="00A94974" w:rsidRDefault="00803BBB" w:rsidP="00BE3FAB">
      <w:pPr>
        <w:pStyle w:val="ListParagraph"/>
        <w:numPr>
          <w:ilvl w:val="0"/>
          <w:numId w:val="13"/>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Fișele de identificare financiară completate cu conturile deschise pe proiect</w:t>
      </w:r>
      <w:r w:rsidR="00411B82" w:rsidRPr="00A94974">
        <w:rPr>
          <w:rFonts w:ascii="Trebuchet MS" w:hAnsi="Trebuchet MS"/>
          <w:iCs/>
          <w:color w:val="1F4E79" w:themeColor="accent1" w:themeShade="80"/>
        </w:rPr>
        <w:t>.</w:t>
      </w:r>
    </w:p>
    <w:p w14:paraId="1F3CD6DC" w14:textId="657922E8" w:rsidR="00803BBB" w:rsidRPr="00A94974" w:rsidRDefault="00803BBB"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w:t>
      </w:r>
      <w:r w:rsidR="00BA0B8A"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a fondurilor, se va transmite lista de achiziții a echipamentelor (mijloace fixe sau platforme, echipamente  IT etc</w:t>
      </w:r>
      <w:r w:rsidR="00BA0B8A" w:rsidRPr="00A94974">
        <w:rPr>
          <w:rFonts w:ascii="Trebuchet MS" w:hAnsi="Trebuchet MS"/>
          <w:iCs/>
          <w:color w:val="1F4E79" w:themeColor="accent1" w:themeShade="80"/>
        </w:rPr>
        <w:t>.</w:t>
      </w:r>
      <w:r w:rsidRPr="00A94974">
        <w:rPr>
          <w:rFonts w:ascii="Trebuchet MS" w:hAnsi="Trebuchet MS"/>
          <w:iCs/>
          <w:color w:val="1F4E79" w:themeColor="accent1" w:themeShade="80"/>
        </w:rPr>
        <w:t>)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CD81ED" w14:textId="77777777" w:rsidR="00803BBB" w:rsidRPr="00A94974" w:rsidRDefault="00803BBB" w:rsidP="00E27636">
      <w:pPr>
        <w:rPr>
          <w:rFonts w:ascii="Trebuchet MS" w:hAnsi="Trebuchet MS"/>
          <w:color w:val="1F4E79" w:themeColor="accent1" w:themeShade="80"/>
        </w:rPr>
      </w:pPr>
    </w:p>
    <w:p w14:paraId="5FB2110B" w14:textId="4D73D115" w:rsidR="003256EB" w:rsidRPr="00A94974" w:rsidRDefault="007306A9" w:rsidP="00E27636">
      <w:pPr>
        <w:pStyle w:val="Heading2"/>
        <w:rPr>
          <w:color w:val="1F4E79" w:themeColor="accent1" w:themeShade="80"/>
        </w:rPr>
      </w:pPr>
      <w:bookmarkStart w:id="93" w:name="_Toc179368139"/>
      <w:r w:rsidRPr="00A94974">
        <w:rPr>
          <w:color w:val="1F4E79" w:themeColor="accent1" w:themeShade="80"/>
        </w:rPr>
        <w:t xml:space="preserve">7.7 </w:t>
      </w:r>
      <w:r w:rsidR="003256EB" w:rsidRPr="00A94974">
        <w:rPr>
          <w:color w:val="1F4E79" w:themeColor="accent1" w:themeShade="80"/>
        </w:rPr>
        <w:t>Renunțarea la cererea de finanțare</w:t>
      </w:r>
      <w:bookmarkEnd w:id="93"/>
      <w:r w:rsidR="003256EB" w:rsidRPr="00A94974">
        <w:rPr>
          <w:color w:val="1F4E79" w:themeColor="accent1" w:themeShade="80"/>
        </w:rPr>
        <w:tab/>
      </w:r>
    </w:p>
    <w:p w14:paraId="70E9781F" w14:textId="77777777" w:rsidR="00803BBB" w:rsidRPr="00A94974" w:rsidRDefault="00803BBB" w:rsidP="00E27636">
      <w:pPr>
        <w:jc w:val="both"/>
        <w:rPr>
          <w:rFonts w:ascii="Trebuchet MS" w:hAnsi="Trebuchet MS"/>
          <w:color w:val="1F4E79" w:themeColor="accent1" w:themeShade="80"/>
        </w:rPr>
      </w:pPr>
      <w:r w:rsidRPr="00A94974">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A94974" w:rsidRDefault="00803BBB" w:rsidP="00E27636">
      <w:pPr>
        <w:jc w:val="both"/>
        <w:rPr>
          <w:rFonts w:ascii="Trebuchet MS" w:hAnsi="Trebuchet MS"/>
          <w:color w:val="1F4E79" w:themeColor="accent1" w:themeShade="80"/>
        </w:rPr>
      </w:pPr>
      <w:r w:rsidRPr="00A94974">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7DE052E4" w14:textId="6040D402" w:rsidR="00566CCA" w:rsidRPr="00A94974" w:rsidRDefault="00A701C7" w:rsidP="00A701C7">
      <w:pPr>
        <w:pStyle w:val="Heading1"/>
        <w:rPr>
          <w:color w:val="1F4E79" w:themeColor="accent1" w:themeShade="80"/>
        </w:rPr>
      </w:pPr>
      <w:bookmarkStart w:id="94" w:name="_Toc179368140"/>
      <w:r w:rsidRPr="00A94974">
        <w:rPr>
          <w:color w:val="1F4E79" w:themeColor="accent1" w:themeShade="80"/>
        </w:rPr>
        <w:t xml:space="preserve">8. </w:t>
      </w:r>
      <w:r w:rsidR="00566CCA" w:rsidRPr="00A94974">
        <w:rPr>
          <w:color w:val="1F4E79" w:themeColor="accent1" w:themeShade="80"/>
        </w:rPr>
        <w:t>PROCESUL DE EVALUARE, SELECȚIE ȘI CONTRACTARE A PROIECTELOR</w:t>
      </w:r>
      <w:bookmarkEnd w:id="94"/>
      <w:r w:rsidR="00566CCA" w:rsidRPr="00A94974">
        <w:rPr>
          <w:color w:val="1F4E79" w:themeColor="accent1" w:themeShade="80"/>
        </w:rPr>
        <w:t xml:space="preserve"> </w:t>
      </w:r>
      <w:r w:rsidR="00566CCA" w:rsidRPr="00A94974">
        <w:rPr>
          <w:color w:val="1F4E79" w:themeColor="accent1" w:themeShade="80"/>
        </w:rPr>
        <w:tab/>
      </w:r>
    </w:p>
    <w:p w14:paraId="7C7D68C1" w14:textId="6CC14DC2" w:rsidR="007022AD" w:rsidRPr="00A94974" w:rsidRDefault="0005355A" w:rsidP="00E27636">
      <w:pPr>
        <w:pStyle w:val="Heading2"/>
        <w:rPr>
          <w:color w:val="1F4E79" w:themeColor="accent1" w:themeShade="80"/>
        </w:rPr>
      </w:pPr>
      <w:bookmarkStart w:id="95" w:name="_Toc179368141"/>
      <w:r w:rsidRPr="00A94974">
        <w:rPr>
          <w:color w:val="1F4E79" w:themeColor="accent1" w:themeShade="80"/>
        </w:rPr>
        <w:t xml:space="preserve">8.1 </w:t>
      </w:r>
      <w:r w:rsidR="007022AD" w:rsidRPr="00A94974">
        <w:rPr>
          <w:color w:val="1F4E79" w:themeColor="accent1" w:themeShade="80"/>
        </w:rPr>
        <w:t>Principalele etape ale procesului de evaluare, selecție și contractare</w:t>
      </w:r>
      <w:bookmarkEnd w:id="95"/>
      <w:r w:rsidR="007022AD" w:rsidRPr="00A94974">
        <w:rPr>
          <w:color w:val="1F4E79" w:themeColor="accent1" w:themeShade="80"/>
        </w:rPr>
        <w:tab/>
      </w:r>
    </w:p>
    <w:p w14:paraId="1B945CB1" w14:textId="77777777" w:rsidR="00ED7E61" w:rsidRPr="00A94974" w:rsidRDefault="00ED7E61" w:rsidP="00E27636">
      <w:pPr>
        <w:jc w:val="both"/>
        <w:rPr>
          <w:rFonts w:ascii="Trebuchet MS" w:hAnsi="Trebuchet MS"/>
          <w:iCs/>
          <w:color w:val="1F4E79" w:themeColor="accent1" w:themeShade="80"/>
        </w:rPr>
      </w:pPr>
    </w:p>
    <w:p w14:paraId="5F955F45" w14:textId="43BCD97A" w:rsidR="004341BF" w:rsidRPr="00A94974" w:rsidRDefault="0005340E" w:rsidP="00E27636">
      <w:pPr>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În cadrul mecanismului competitiv, AM PEO lansează un apel de proiecte (cu termen limită sau cu depunere continuă) prin care stabilește reguli de elaborare și depunere a proiectelor și </w:t>
      </w:r>
      <w:r w:rsidRPr="00A94974">
        <w:rPr>
          <w:rFonts w:ascii="Trebuchet MS" w:hAnsi="Trebuchet MS"/>
          <w:iCs/>
          <w:color w:val="1F4E79" w:themeColor="accent1" w:themeShade="80"/>
        </w:rPr>
        <w:lastRenderedPageBreak/>
        <w:t>prezintă etapele de verificare a conformității administrative și a evaluării tehnice și financiare și de selecție, pe care le vor parcurge după depunere.</w:t>
      </w:r>
    </w:p>
    <w:p w14:paraId="21D8FD46" w14:textId="1512A92A" w:rsidR="00566CCA" w:rsidRPr="00A94974" w:rsidRDefault="0005355A" w:rsidP="00E27636">
      <w:pPr>
        <w:pStyle w:val="Heading2"/>
        <w:rPr>
          <w:color w:val="1F4E79" w:themeColor="accent1" w:themeShade="80"/>
        </w:rPr>
      </w:pPr>
      <w:bookmarkStart w:id="96" w:name="_Toc179368142"/>
      <w:r w:rsidRPr="00A94974">
        <w:rPr>
          <w:color w:val="1F4E79" w:themeColor="accent1" w:themeShade="80"/>
        </w:rPr>
        <w:t xml:space="preserve">8.2 </w:t>
      </w:r>
      <w:r w:rsidR="00566CCA" w:rsidRPr="00A94974">
        <w:rPr>
          <w:color w:val="1F4E79" w:themeColor="accent1" w:themeShade="80"/>
        </w:rPr>
        <w:t>Conformitate administrativă</w:t>
      </w:r>
      <w:r w:rsidR="002D47EF" w:rsidRPr="00A94974">
        <w:rPr>
          <w:color w:val="1F4E79" w:themeColor="accent1" w:themeShade="80"/>
        </w:rPr>
        <w:t xml:space="preserve"> – DECLARAȚIA UNICĂ</w:t>
      </w:r>
      <w:bookmarkEnd w:id="96"/>
      <w:r w:rsidR="00566CCA" w:rsidRPr="00A94974">
        <w:rPr>
          <w:color w:val="1F4E79" w:themeColor="accent1" w:themeShade="80"/>
        </w:rPr>
        <w:tab/>
      </w:r>
    </w:p>
    <w:p w14:paraId="04B9ECBB" w14:textId="4EDD5B65" w:rsidR="00896D35" w:rsidRPr="00A94974" w:rsidRDefault="00896D35" w:rsidP="00E27636">
      <w:pPr>
        <w:pStyle w:val="ListParagraph"/>
        <w:spacing w:before="120" w:after="120"/>
        <w:ind w:left="0"/>
        <w:jc w:val="both"/>
        <w:rPr>
          <w:rFonts w:ascii="Trebuchet MS" w:hAnsi="Trebuchet MS"/>
          <w:iCs/>
          <w:color w:val="1F4E79" w:themeColor="accent1" w:themeShade="80"/>
        </w:rPr>
      </w:pPr>
      <w:r w:rsidRPr="00A94974">
        <w:rPr>
          <w:rFonts w:ascii="Trebuchet MS" w:hAnsi="Trebuchet MS"/>
          <w:iCs/>
          <w:color w:val="1F4E79" w:themeColor="accent1" w:themeShade="80"/>
        </w:rPr>
        <w:t>Evaluarea conformității administrative este complet digitalizată, realizată automat prin sistemul informatic MySMIS2021/SMIS2021+, pe baza declarației unice, a cererii de finanțare, a bugetului și documentelor suport/justificative și a anexelor la cererea de finanțare încărcate de către solicitant în sistemul informatic MySMIS/2021/SMIS2021+.</w:t>
      </w:r>
      <w:r w:rsidRPr="00A94974">
        <w:rPr>
          <w:rFonts w:ascii="Trebuchet MS" w:hAnsi="Trebuchet MS"/>
          <w:color w:val="1F4E79" w:themeColor="accent1" w:themeShade="80"/>
        </w:rPr>
        <w:t xml:space="preserve"> </w:t>
      </w:r>
      <w:r w:rsidRPr="00A94974">
        <w:rPr>
          <w:rFonts w:ascii="Trebuchet MS" w:hAnsi="Trebuchet MS"/>
          <w:iCs/>
          <w:color w:val="1F4E79" w:themeColor="accent1" w:themeShade="80"/>
        </w:rPr>
        <w:t xml:space="preserve">Declarația unică </w:t>
      </w:r>
      <w:r w:rsidR="00BD65CD" w:rsidRPr="00A94974">
        <w:rPr>
          <w:rFonts w:ascii="Trebuchet MS" w:hAnsi="Trebuchet MS"/>
          <w:iCs/>
          <w:color w:val="1F4E79" w:themeColor="accent1" w:themeShade="80"/>
        </w:rPr>
        <w:t xml:space="preserve">este </w:t>
      </w:r>
      <w:r w:rsidRPr="00A94974">
        <w:rPr>
          <w:rFonts w:ascii="Trebuchet MS" w:hAnsi="Trebuchet MS"/>
          <w:iCs/>
          <w:color w:val="1F4E79" w:themeColor="accent1" w:themeShade="80"/>
        </w:rPr>
        <w:t>prevăzut</w:t>
      </w:r>
      <w:r w:rsidR="00BD65CD" w:rsidRPr="00A94974">
        <w:rPr>
          <w:rFonts w:ascii="Trebuchet MS" w:hAnsi="Trebuchet MS"/>
          <w:iCs/>
          <w:color w:val="1F4E79" w:themeColor="accent1" w:themeShade="80"/>
        </w:rPr>
        <w:t>ă</w:t>
      </w:r>
      <w:r w:rsidRPr="00A94974">
        <w:rPr>
          <w:rFonts w:ascii="Trebuchet MS" w:hAnsi="Trebuchet MS"/>
          <w:iCs/>
          <w:color w:val="1F4E79" w:themeColor="accent1" w:themeShade="80"/>
        </w:rPr>
        <w:t xml:space="preserve"> în Anexa</w:t>
      </w:r>
      <w:r w:rsidR="00BD65CD" w:rsidRPr="00A94974">
        <w:rPr>
          <w:rFonts w:ascii="Trebuchet MS" w:hAnsi="Trebuchet MS"/>
          <w:iCs/>
          <w:color w:val="1F4E79" w:themeColor="accent1" w:themeShade="80"/>
        </w:rPr>
        <w:t xml:space="preserve"> nr.</w:t>
      </w:r>
      <w:r w:rsidRPr="00A94974">
        <w:rPr>
          <w:rFonts w:ascii="Trebuchet MS" w:hAnsi="Trebuchet MS"/>
          <w:iCs/>
          <w:color w:val="1F4E79" w:themeColor="accent1" w:themeShade="80"/>
        </w:rPr>
        <w:t xml:space="preserve"> 1 la prezentul Ghid.</w:t>
      </w:r>
    </w:p>
    <w:p w14:paraId="6BBB66A5" w14:textId="6CCEECDC" w:rsidR="00896D35" w:rsidRPr="00A94974" w:rsidRDefault="00896D35" w:rsidP="00E27636">
      <w:pPr>
        <w:pStyle w:val="ListParagraph"/>
        <w:spacing w:before="120" w:after="120"/>
        <w:ind w:left="0"/>
        <w:jc w:val="both"/>
        <w:rPr>
          <w:rFonts w:ascii="Trebuchet MS" w:hAnsi="Trebuchet MS"/>
          <w:iCs/>
          <w:color w:val="1F4E79" w:themeColor="accent1" w:themeShade="80"/>
        </w:rPr>
      </w:pPr>
      <w:r w:rsidRPr="00A94974">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0F5DC84C" w14:textId="77777777" w:rsidR="00896D35" w:rsidRPr="00A94974" w:rsidRDefault="00896D35" w:rsidP="00E27636">
      <w:pPr>
        <w:pStyle w:val="ListParagraph"/>
        <w:spacing w:before="120" w:after="120"/>
        <w:ind w:left="0"/>
        <w:jc w:val="both"/>
        <w:rPr>
          <w:rFonts w:ascii="Trebuchet MS" w:hAnsi="Trebuchet MS"/>
          <w:iCs/>
          <w:color w:val="1F4E79" w:themeColor="accent1" w:themeShade="80"/>
        </w:rPr>
      </w:pPr>
      <w:r w:rsidRPr="00A94974">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1BD9C4EF" w14:textId="77777777" w:rsidR="00896D35" w:rsidRPr="00A94974" w:rsidRDefault="00896D35" w:rsidP="00E27636">
      <w:pPr>
        <w:pStyle w:val="ListParagraph"/>
        <w:spacing w:before="120" w:after="120"/>
        <w:ind w:left="0"/>
        <w:jc w:val="both"/>
        <w:rPr>
          <w:rFonts w:ascii="Trebuchet MS" w:hAnsi="Trebuchet MS"/>
          <w:iCs/>
          <w:color w:val="1F4E79" w:themeColor="accent1" w:themeShade="80"/>
        </w:rPr>
      </w:pPr>
      <w:r w:rsidRPr="00A94974">
        <w:rPr>
          <w:rFonts w:ascii="Trebuchet MS" w:hAnsi="Trebuchet MS"/>
          <w:iCs/>
          <w:color w:val="1F4E79" w:themeColor="accent1" w:themeShade="80"/>
        </w:rPr>
        <w:t>În etapa de evaluare a conformității administrative și a eligibilității nu se pot solicita clarificări.</w:t>
      </w:r>
    </w:p>
    <w:p w14:paraId="17F09D03" w14:textId="77777777" w:rsidR="004341BF" w:rsidRPr="00A94974" w:rsidRDefault="004341BF" w:rsidP="00E27636">
      <w:pPr>
        <w:rPr>
          <w:rFonts w:ascii="Trebuchet MS" w:hAnsi="Trebuchet MS"/>
          <w:color w:val="1F4E79" w:themeColor="accent1" w:themeShade="80"/>
        </w:rPr>
      </w:pPr>
    </w:p>
    <w:p w14:paraId="27969275" w14:textId="0C64B695" w:rsidR="002553BD" w:rsidRPr="00A94974" w:rsidRDefault="0005355A" w:rsidP="00E27636">
      <w:pPr>
        <w:pStyle w:val="Heading2"/>
        <w:rPr>
          <w:color w:val="1F4E79" w:themeColor="accent1" w:themeShade="80"/>
        </w:rPr>
      </w:pPr>
      <w:bookmarkStart w:id="97" w:name="_Toc179368143"/>
      <w:r w:rsidRPr="00A94974">
        <w:rPr>
          <w:color w:val="1F4E79" w:themeColor="accent1" w:themeShade="80"/>
        </w:rPr>
        <w:t xml:space="preserve">8.3 </w:t>
      </w:r>
      <w:r w:rsidR="002553BD" w:rsidRPr="00A94974">
        <w:rPr>
          <w:color w:val="1F4E79" w:themeColor="accent1" w:themeShade="80"/>
        </w:rPr>
        <w:t>Etapa de evaluare preliminară</w:t>
      </w:r>
      <w:bookmarkEnd w:id="97"/>
      <w:r w:rsidR="002553BD" w:rsidRPr="00A94974">
        <w:rPr>
          <w:color w:val="1F4E79" w:themeColor="accent1" w:themeShade="80"/>
        </w:rPr>
        <w:t xml:space="preserve"> </w:t>
      </w:r>
    </w:p>
    <w:p w14:paraId="6291DDC3" w14:textId="4AA909FA" w:rsidR="004341BF" w:rsidRPr="00A94974" w:rsidRDefault="004341BF"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Evaluarea eligibilității Cererii de finanțare se realizează în conformitate cu Metodologia de verificare, evaluare și selecție a proiectelor </w:t>
      </w:r>
      <w:proofErr w:type="spellStart"/>
      <w:r w:rsidRPr="00A94974">
        <w:rPr>
          <w:rFonts w:ascii="Calibri" w:hAnsi="Calibri" w:cs="Calibri"/>
          <w:iCs/>
          <w:color w:val="1F4E79" w:themeColor="accent1" w:themeShade="80"/>
        </w:rPr>
        <w:t>ȋ</w:t>
      </w:r>
      <w:r w:rsidRPr="00A94974">
        <w:rPr>
          <w:rFonts w:ascii="Trebuchet MS" w:hAnsi="Trebuchet MS"/>
          <w:iCs/>
          <w:color w:val="1F4E79" w:themeColor="accent1" w:themeShade="80"/>
        </w:rPr>
        <w:t>n</w:t>
      </w:r>
      <w:proofErr w:type="spellEnd"/>
      <w:r w:rsidRPr="00A94974">
        <w:rPr>
          <w:rFonts w:ascii="Trebuchet MS" w:hAnsi="Trebuchet MS"/>
          <w:iCs/>
          <w:color w:val="1F4E79" w:themeColor="accent1" w:themeShade="80"/>
        </w:rPr>
        <w:t xml:space="preserve"> cadrul programului educa</w:t>
      </w:r>
      <w:r w:rsidRPr="00A94974">
        <w:rPr>
          <w:rFonts w:ascii="Trebuchet MS" w:hAnsi="Trebuchet MS" w:cs="Trebuchet MS"/>
          <w:iCs/>
          <w:color w:val="1F4E79" w:themeColor="accent1" w:themeShade="80"/>
        </w:rPr>
        <w:t>ț</w:t>
      </w:r>
      <w:r w:rsidRPr="00A94974">
        <w:rPr>
          <w:rFonts w:ascii="Trebuchet MS" w:hAnsi="Trebuchet MS"/>
          <w:iCs/>
          <w:color w:val="1F4E79" w:themeColor="accent1" w:themeShade="80"/>
        </w:rPr>
        <w:t xml:space="preserve">ie </w:t>
      </w:r>
      <w:r w:rsidRPr="00A94974">
        <w:rPr>
          <w:rFonts w:ascii="Trebuchet MS" w:hAnsi="Trebuchet MS" w:cs="Trebuchet MS"/>
          <w:iCs/>
          <w:color w:val="1F4E79" w:themeColor="accent1" w:themeShade="80"/>
        </w:rPr>
        <w:t>ș</w:t>
      </w:r>
      <w:r w:rsidRPr="00A94974">
        <w:rPr>
          <w:rFonts w:ascii="Trebuchet MS" w:hAnsi="Trebuchet MS"/>
          <w:iCs/>
          <w:color w:val="1F4E79" w:themeColor="accent1" w:themeShade="80"/>
        </w:rPr>
        <w:t xml:space="preserve">i ocupare 2021 </w:t>
      </w:r>
      <w:r w:rsidRPr="00A94974">
        <w:rPr>
          <w:rFonts w:ascii="Trebuchet MS" w:hAnsi="Trebuchet MS" w:cs="Trebuchet MS"/>
          <w:iCs/>
          <w:color w:val="1F4E79" w:themeColor="accent1" w:themeShade="80"/>
        </w:rPr>
        <w:t>–</w:t>
      </w:r>
      <w:r w:rsidRPr="00A94974">
        <w:rPr>
          <w:rFonts w:ascii="Trebuchet MS" w:hAnsi="Trebuchet MS"/>
          <w:iCs/>
          <w:color w:val="1F4E79" w:themeColor="accent1" w:themeShade="80"/>
        </w:rPr>
        <w:t xml:space="preserve"> 2027 (PEO) </w:t>
      </w:r>
      <w:r w:rsidRPr="00A94974">
        <w:rPr>
          <w:rFonts w:ascii="Trebuchet MS" w:hAnsi="Trebuchet MS" w:cs="Trebuchet MS"/>
          <w:iCs/>
          <w:color w:val="1F4E79" w:themeColor="accent1" w:themeShade="80"/>
        </w:rPr>
        <w:t>ș</w:t>
      </w:r>
      <w:r w:rsidRPr="00A94974">
        <w:rPr>
          <w:rFonts w:ascii="Trebuchet MS" w:hAnsi="Trebuchet MS"/>
          <w:iCs/>
          <w:color w:val="1F4E79" w:themeColor="accent1" w:themeShade="80"/>
        </w:rPr>
        <w:t xml:space="preserve">i </w:t>
      </w:r>
      <w:r w:rsidRPr="00A94974">
        <w:rPr>
          <w:rFonts w:ascii="Trebuchet MS" w:hAnsi="Trebuchet MS" w:cs="Trebuchet MS"/>
          <w:iCs/>
          <w:color w:val="1F4E79" w:themeColor="accent1" w:themeShade="80"/>
        </w:rPr>
        <w:t>î</w:t>
      </w:r>
      <w:r w:rsidRPr="00A94974">
        <w:rPr>
          <w:rFonts w:ascii="Trebuchet MS" w:hAnsi="Trebuchet MS"/>
          <w:iCs/>
          <w:color w:val="1F4E79" w:themeColor="accent1" w:themeShade="80"/>
        </w:rPr>
        <w:t xml:space="preserve">n conformitate cu criteriile </w:t>
      </w:r>
      <w:r w:rsidRPr="00A94974">
        <w:rPr>
          <w:rFonts w:ascii="Trebuchet MS" w:hAnsi="Trebuchet MS" w:cs="Trebuchet MS"/>
          <w:iCs/>
          <w:color w:val="1F4E79" w:themeColor="accent1" w:themeShade="80"/>
        </w:rPr>
        <w:t>ș</w:t>
      </w:r>
      <w:r w:rsidRPr="00A94974">
        <w:rPr>
          <w:rFonts w:ascii="Trebuchet MS" w:hAnsi="Trebuchet MS"/>
          <w:iCs/>
          <w:color w:val="1F4E79" w:themeColor="accent1" w:themeShade="80"/>
        </w:rPr>
        <w:t>i sub-criteriile de evaluare menționate în  Anexa nr.</w:t>
      </w:r>
      <w:r w:rsidR="00BD65CD" w:rsidRPr="00A94974">
        <w:rPr>
          <w:rFonts w:ascii="Trebuchet MS" w:hAnsi="Trebuchet MS"/>
          <w:iCs/>
          <w:color w:val="1F4E79" w:themeColor="accent1" w:themeShade="80"/>
        </w:rPr>
        <w:t>2</w:t>
      </w:r>
      <w:r w:rsidRPr="00A94974">
        <w:rPr>
          <w:rFonts w:ascii="Trebuchet MS" w:hAnsi="Trebuchet MS"/>
          <w:iCs/>
          <w:color w:val="1F4E79" w:themeColor="accent1" w:themeShade="80"/>
        </w:rPr>
        <w:t xml:space="preserve"> Criterii de evaluare tehnică</w:t>
      </w:r>
      <w:r w:rsidR="00BD65CD" w:rsidRPr="00A94974">
        <w:rPr>
          <w:rFonts w:ascii="Trebuchet MS" w:hAnsi="Trebuchet MS"/>
          <w:iCs/>
          <w:color w:val="1F4E79" w:themeColor="accent1" w:themeShade="80"/>
        </w:rPr>
        <w:t xml:space="preserve"> și financiară</w:t>
      </w:r>
      <w:r w:rsidRPr="00A94974">
        <w:rPr>
          <w:rFonts w:ascii="Trebuchet MS" w:hAnsi="Trebuchet MS"/>
          <w:iCs/>
          <w:color w:val="1F4E79" w:themeColor="accent1" w:themeShade="80"/>
        </w:rPr>
        <w:t xml:space="preserve"> preliminară (ETFP) la prezentul Ghid al Solicitantului Condiții Specifice.</w:t>
      </w:r>
    </w:p>
    <w:p w14:paraId="10F56F9D" w14:textId="77777777" w:rsidR="004341BF" w:rsidRPr="00A94974" w:rsidRDefault="004341BF"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Criteriile de evaluare privind eligibilitatea proiectului si a activităților sunt:</w:t>
      </w:r>
    </w:p>
    <w:p w14:paraId="75F66C27" w14:textId="77777777" w:rsidR="00B36ED7" w:rsidRPr="00A94974" w:rsidRDefault="004341BF" w:rsidP="00BE3FAB">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Încadrarea proiectului propus spre finanțare în programul operațional</w:t>
      </w:r>
    </w:p>
    <w:p w14:paraId="379F7C7D" w14:textId="77777777" w:rsidR="00B36ED7" w:rsidRPr="00A94974" w:rsidRDefault="004341BF" w:rsidP="00BE3FAB">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Respectarea criteriilor de eligibilitate a cheltuielilor</w:t>
      </w:r>
    </w:p>
    <w:p w14:paraId="193FF00E" w14:textId="77777777" w:rsidR="00B36ED7" w:rsidRPr="00A94974" w:rsidRDefault="004341BF" w:rsidP="00BE3FAB">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Includerea tuturor activităților obligatorii</w:t>
      </w:r>
    </w:p>
    <w:p w14:paraId="5EA8F916" w14:textId="77777777" w:rsidR="00B36ED7" w:rsidRPr="00A94974" w:rsidRDefault="004341BF" w:rsidP="00BE3FAB">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Respectarea condițiilor de acces stabilite în ghidul Solicitantului – Condiții Specifice.</w:t>
      </w:r>
    </w:p>
    <w:p w14:paraId="35749057" w14:textId="77777777" w:rsidR="004341BF" w:rsidRPr="00A94974" w:rsidRDefault="004341BF" w:rsidP="00E27636">
      <w:pPr>
        <w:rPr>
          <w:rFonts w:ascii="Trebuchet MS" w:hAnsi="Trebuchet MS"/>
          <w:color w:val="1F4E79" w:themeColor="accent1" w:themeShade="80"/>
        </w:rPr>
      </w:pPr>
    </w:p>
    <w:p w14:paraId="1C79376E" w14:textId="2F85E9DD" w:rsidR="00566CCA" w:rsidRPr="00A94974" w:rsidRDefault="0005355A" w:rsidP="00E27636">
      <w:pPr>
        <w:pStyle w:val="Heading2"/>
        <w:rPr>
          <w:color w:val="1F4E79" w:themeColor="accent1" w:themeShade="80"/>
        </w:rPr>
      </w:pPr>
      <w:bookmarkStart w:id="98" w:name="_Toc179368144"/>
      <w:r w:rsidRPr="00A94974">
        <w:rPr>
          <w:color w:val="1F4E79" w:themeColor="accent1" w:themeShade="80"/>
        </w:rPr>
        <w:t xml:space="preserve">8.4 </w:t>
      </w:r>
      <w:r w:rsidR="00552708" w:rsidRPr="00A94974">
        <w:rPr>
          <w:color w:val="1F4E79" w:themeColor="accent1" w:themeShade="80"/>
        </w:rPr>
        <w:t>E</w:t>
      </w:r>
      <w:r w:rsidR="00566CCA" w:rsidRPr="00A94974">
        <w:rPr>
          <w:color w:val="1F4E79" w:themeColor="accent1" w:themeShade="80"/>
        </w:rPr>
        <w:t>valuare</w:t>
      </w:r>
      <w:r w:rsidR="00552708" w:rsidRPr="00A94974">
        <w:rPr>
          <w:color w:val="1F4E79" w:themeColor="accent1" w:themeShade="80"/>
        </w:rPr>
        <w:t>a</w:t>
      </w:r>
      <w:r w:rsidR="00566CCA" w:rsidRPr="00A94974">
        <w:rPr>
          <w:color w:val="1F4E79" w:themeColor="accent1" w:themeShade="80"/>
        </w:rPr>
        <w:t xml:space="preserve"> tehnică și financiară</w:t>
      </w:r>
      <w:r w:rsidR="00552708" w:rsidRPr="00A94974">
        <w:rPr>
          <w:color w:val="1F4E79" w:themeColor="accent1" w:themeShade="80"/>
        </w:rPr>
        <w:t>. Criterii de evaluare tehnică și financiară</w:t>
      </w:r>
      <w:bookmarkEnd w:id="98"/>
    </w:p>
    <w:p w14:paraId="470FB507" w14:textId="04BC4F3C" w:rsidR="00C40896" w:rsidRPr="00A94974" w:rsidRDefault="00C40896"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Evaluarea tehnică și financiară se realizează în conformitate cu Metodologia de verificare, evaluare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selecție a proiectelor </w:t>
      </w:r>
      <w:proofErr w:type="spellStart"/>
      <w:r w:rsidRPr="00A94974">
        <w:rPr>
          <w:rFonts w:ascii="Calibri" w:hAnsi="Calibri" w:cs="Calibri"/>
          <w:iCs/>
          <w:color w:val="1F4E79" w:themeColor="accent1" w:themeShade="80"/>
        </w:rPr>
        <w:t>ȋ</w:t>
      </w:r>
      <w:r w:rsidRPr="00A94974">
        <w:rPr>
          <w:rFonts w:ascii="Trebuchet MS" w:hAnsi="Trebuchet MS"/>
          <w:iCs/>
          <w:color w:val="1F4E79" w:themeColor="accent1" w:themeShade="80"/>
        </w:rPr>
        <w:t>n</w:t>
      </w:r>
      <w:proofErr w:type="spellEnd"/>
      <w:r w:rsidRPr="00A94974">
        <w:rPr>
          <w:rFonts w:ascii="Trebuchet MS" w:hAnsi="Trebuchet MS"/>
          <w:iCs/>
          <w:color w:val="1F4E79" w:themeColor="accent1" w:themeShade="80"/>
        </w:rPr>
        <w:t xml:space="preserve"> cadrul Programului Educa</w:t>
      </w:r>
      <w:r w:rsidRPr="00A94974">
        <w:rPr>
          <w:rFonts w:ascii="Trebuchet MS" w:hAnsi="Trebuchet MS" w:cs="Trebuchet MS"/>
          <w:iCs/>
          <w:color w:val="1F4E79" w:themeColor="accent1" w:themeShade="80"/>
        </w:rPr>
        <w:t>ț</w:t>
      </w:r>
      <w:r w:rsidRPr="00A94974">
        <w:rPr>
          <w:rFonts w:ascii="Trebuchet MS" w:hAnsi="Trebuchet MS"/>
          <w:iCs/>
          <w:color w:val="1F4E79" w:themeColor="accent1" w:themeShade="80"/>
        </w:rPr>
        <w:t xml:space="preserve">ie </w:t>
      </w:r>
      <w:r w:rsidRPr="00A94974">
        <w:rPr>
          <w:rFonts w:ascii="Trebuchet MS" w:hAnsi="Trebuchet MS" w:cs="Trebuchet MS"/>
          <w:iCs/>
          <w:color w:val="1F4E79" w:themeColor="accent1" w:themeShade="80"/>
        </w:rPr>
        <w:t>ș</w:t>
      </w:r>
      <w:r w:rsidRPr="00A94974">
        <w:rPr>
          <w:rFonts w:ascii="Trebuchet MS" w:hAnsi="Trebuchet MS"/>
          <w:iCs/>
          <w:color w:val="1F4E79" w:themeColor="accent1" w:themeShade="80"/>
        </w:rPr>
        <w:t xml:space="preserve">i Ocupare 2021 </w:t>
      </w:r>
      <w:r w:rsidRPr="00A94974">
        <w:rPr>
          <w:rFonts w:ascii="Trebuchet MS" w:hAnsi="Trebuchet MS" w:cs="Trebuchet MS"/>
          <w:iCs/>
          <w:color w:val="1F4E79" w:themeColor="accent1" w:themeShade="80"/>
        </w:rPr>
        <w:t>–</w:t>
      </w:r>
      <w:r w:rsidRPr="00A94974">
        <w:rPr>
          <w:rFonts w:ascii="Trebuchet MS" w:hAnsi="Trebuchet MS"/>
          <w:iCs/>
          <w:color w:val="1F4E79" w:themeColor="accent1" w:themeShade="80"/>
        </w:rPr>
        <w:t xml:space="preserve"> 2027 (PEO) </w:t>
      </w:r>
      <w:r w:rsidRPr="00A94974">
        <w:rPr>
          <w:rFonts w:ascii="Trebuchet MS" w:hAnsi="Trebuchet MS" w:cs="Trebuchet MS"/>
          <w:iCs/>
          <w:color w:val="1F4E79" w:themeColor="accent1" w:themeShade="80"/>
        </w:rPr>
        <w:t>ș</w:t>
      </w:r>
      <w:r w:rsidRPr="00A94974">
        <w:rPr>
          <w:rFonts w:ascii="Trebuchet MS" w:hAnsi="Trebuchet MS"/>
          <w:iCs/>
          <w:color w:val="1F4E79" w:themeColor="accent1" w:themeShade="80"/>
        </w:rPr>
        <w:t xml:space="preserve">i </w:t>
      </w:r>
      <w:r w:rsidRPr="00A94974">
        <w:rPr>
          <w:rFonts w:ascii="Trebuchet MS" w:hAnsi="Trebuchet MS" w:cs="Trebuchet MS"/>
          <w:iCs/>
          <w:color w:val="1F4E79" w:themeColor="accent1" w:themeShade="80"/>
        </w:rPr>
        <w:t>î</w:t>
      </w:r>
      <w:r w:rsidRPr="00A94974">
        <w:rPr>
          <w:rFonts w:ascii="Trebuchet MS" w:hAnsi="Trebuchet MS"/>
          <w:iCs/>
          <w:color w:val="1F4E79" w:themeColor="accent1" w:themeShade="80"/>
        </w:rPr>
        <w:t xml:space="preserve">n conformitate cu criteriile </w:t>
      </w:r>
      <w:r w:rsidRPr="00A94974">
        <w:rPr>
          <w:rFonts w:ascii="Trebuchet MS" w:hAnsi="Trebuchet MS" w:cs="Trebuchet MS"/>
          <w:iCs/>
          <w:color w:val="1F4E79" w:themeColor="accent1" w:themeShade="80"/>
        </w:rPr>
        <w:t>ș</w:t>
      </w:r>
      <w:r w:rsidRPr="00A94974">
        <w:rPr>
          <w:rFonts w:ascii="Trebuchet MS" w:hAnsi="Trebuchet MS"/>
          <w:iCs/>
          <w:color w:val="1F4E79" w:themeColor="accent1" w:themeShade="80"/>
        </w:rPr>
        <w:t>i subcriteriile de evaluare menționate în Anexa</w:t>
      </w:r>
      <w:r w:rsidR="00BD65CD" w:rsidRPr="00A94974">
        <w:rPr>
          <w:rFonts w:ascii="Trebuchet MS" w:hAnsi="Trebuchet MS"/>
          <w:iCs/>
          <w:color w:val="1F4E79" w:themeColor="accent1" w:themeShade="80"/>
        </w:rPr>
        <w:t xml:space="preserve"> nr.</w:t>
      </w:r>
      <w:r w:rsidRPr="00A94974">
        <w:rPr>
          <w:rFonts w:ascii="Trebuchet MS" w:hAnsi="Trebuchet MS"/>
          <w:iCs/>
          <w:color w:val="1F4E79" w:themeColor="accent1" w:themeShade="80"/>
        </w:rPr>
        <w:t xml:space="preserve"> </w:t>
      </w:r>
      <w:r w:rsidR="002D7374" w:rsidRPr="00A94974">
        <w:rPr>
          <w:rFonts w:ascii="Trebuchet MS" w:hAnsi="Trebuchet MS"/>
          <w:iCs/>
          <w:color w:val="1F4E79" w:themeColor="accent1" w:themeShade="80"/>
        </w:rPr>
        <w:t>3</w:t>
      </w:r>
      <w:r w:rsidR="00E34FD8" w:rsidRPr="00A94974">
        <w:rPr>
          <w:rFonts w:ascii="Trebuchet MS" w:hAnsi="Trebuchet MS"/>
          <w:iCs/>
          <w:color w:val="1F4E79" w:themeColor="accent1" w:themeShade="80"/>
        </w:rPr>
        <w:t xml:space="preserve"> - </w:t>
      </w:r>
      <w:r w:rsidRPr="00A94974">
        <w:rPr>
          <w:rFonts w:ascii="Trebuchet MS" w:hAnsi="Trebuchet MS"/>
          <w:iCs/>
          <w:color w:val="1F4E79" w:themeColor="accent1" w:themeShade="80"/>
        </w:rPr>
        <w:t>Criterii de evaluare tehnică și financiară calitativă  la prezentul Ghid al Solicitantului Condiții Specifice.</w:t>
      </w:r>
    </w:p>
    <w:p w14:paraId="40A0A403" w14:textId="77777777" w:rsidR="00C40896" w:rsidRPr="00A94974" w:rsidRDefault="00C40896" w:rsidP="00E27636">
      <w:pPr>
        <w:tabs>
          <w:tab w:val="left" w:pos="709"/>
        </w:tabs>
        <w:spacing w:after="0" w:line="276" w:lineRule="auto"/>
        <w:jc w:val="both"/>
        <w:rPr>
          <w:rFonts w:ascii="Trebuchet MS" w:hAnsi="Trebuchet MS"/>
          <w:iCs/>
          <w:color w:val="1F4E79" w:themeColor="accent1" w:themeShade="80"/>
        </w:rPr>
      </w:pPr>
    </w:p>
    <w:p w14:paraId="6DC0D217" w14:textId="77777777" w:rsidR="00C40896" w:rsidRPr="00A94974" w:rsidRDefault="00C40896"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Criteriile de evaluare tehnică și financiară aplicabile prezentului apel de proiecte sunt:</w:t>
      </w:r>
    </w:p>
    <w:p w14:paraId="5BDB88F9" w14:textId="77777777" w:rsidR="00AF4927" w:rsidRPr="00A94974" w:rsidRDefault="00C40896" w:rsidP="00BE3FAB">
      <w:pPr>
        <w:pStyle w:val="ListParagraph"/>
        <w:numPr>
          <w:ilvl w:val="0"/>
          <w:numId w:val="14"/>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549BFE63" w14:textId="77777777" w:rsidR="00AF4927" w:rsidRPr="00A94974" w:rsidRDefault="00C40896" w:rsidP="00BE3FAB">
      <w:pPr>
        <w:pStyle w:val="ListParagraph"/>
        <w:numPr>
          <w:ilvl w:val="0"/>
          <w:numId w:val="14"/>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Eficacitate – maxim 30 de puncte, minim 21 de </w:t>
      </w:r>
      <w:r w:rsidR="0040470B" w:rsidRPr="00A94974">
        <w:rPr>
          <w:rFonts w:ascii="Trebuchet MS" w:hAnsi="Trebuchet MS"/>
          <w:iCs/>
          <w:color w:val="1F4E79" w:themeColor="accent1" w:themeShade="80"/>
        </w:rPr>
        <w:t>puncte</w:t>
      </w:r>
      <w:r w:rsidRPr="00A94974">
        <w:rPr>
          <w:rFonts w:ascii="Trebuchet MS" w:hAnsi="Trebuchet MS"/>
          <w:iCs/>
          <w:color w:val="1F4E79" w:themeColor="accent1" w:themeShade="80"/>
        </w:rPr>
        <w:t>. Cererile de finanțare care obțin mai puțin de 21 de puncte la criteriul Eficacitate vor fi respinse;</w:t>
      </w:r>
    </w:p>
    <w:p w14:paraId="7F00FD16" w14:textId="77777777" w:rsidR="00AF4927" w:rsidRPr="00A94974" w:rsidRDefault="00C40896" w:rsidP="00BE3FAB">
      <w:pPr>
        <w:pStyle w:val="ListParagraph"/>
        <w:numPr>
          <w:ilvl w:val="0"/>
          <w:numId w:val="14"/>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Eficiență -  maxim 30 de puncte, minim 21 de </w:t>
      </w:r>
      <w:r w:rsidR="0040470B" w:rsidRPr="00A94974">
        <w:rPr>
          <w:rFonts w:ascii="Trebuchet MS" w:hAnsi="Trebuchet MS"/>
          <w:iCs/>
          <w:color w:val="1F4E79" w:themeColor="accent1" w:themeShade="80"/>
        </w:rPr>
        <w:t>puncte</w:t>
      </w:r>
      <w:r w:rsidRPr="00A94974">
        <w:rPr>
          <w:rFonts w:ascii="Trebuchet MS" w:hAnsi="Trebuchet MS"/>
          <w:iCs/>
          <w:color w:val="1F4E79" w:themeColor="accent1" w:themeShade="80"/>
        </w:rPr>
        <w:t>. Cererile de finanțare care obțin mai puțin de 21 de puncte la criteriul Eficiență vor fi respinse;</w:t>
      </w:r>
    </w:p>
    <w:p w14:paraId="19A51FF2" w14:textId="70A181E4" w:rsidR="00C40896" w:rsidRPr="00A94974" w:rsidRDefault="00C40896" w:rsidP="00BE3FAB">
      <w:pPr>
        <w:pStyle w:val="ListParagraph"/>
        <w:numPr>
          <w:ilvl w:val="0"/>
          <w:numId w:val="14"/>
        </w:num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lastRenderedPageBreak/>
        <w:t>Sustenabilitate – maxim 10 puncte, minim 7 puncte. Cererile de finanțare care obțin mai puțin de 21 de puncte la criteriul Sustenabilitate vor fi respinse.</w:t>
      </w:r>
    </w:p>
    <w:p w14:paraId="6EC739DD" w14:textId="77777777" w:rsidR="00C40896" w:rsidRPr="00A94974" w:rsidRDefault="00C40896" w:rsidP="00E27636">
      <w:pPr>
        <w:tabs>
          <w:tab w:val="left" w:pos="709"/>
        </w:tabs>
        <w:spacing w:after="0" w:line="276" w:lineRule="auto"/>
        <w:jc w:val="both"/>
        <w:rPr>
          <w:rFonts w:ascii="Trebuchet MS" w:hAnsi="Trebuchet MS"/>
          <w:iCs/>
          <w:color w:val="1F4E79" w:themeColor="accent1" w:themeShade="80"/>
        </w:rPr>
      </w:pPr>
    </w:p>
    <w:p w14:paraId="1E09E4D4" w14:textId="52677C52" w:rsidR="009E3CD9" w:rsidRPr="00A94974" w:rsidRDefault="0005355A" w:rsidP="00E27636">
      <w:pPr>
        <w:pStyle w:val="Heading2"/>
        <w:rPr>
          <w:color w:val="1F4E79" w:themeColor="accent1" w:themeShade="80"/>
        </w:rPr>
      </w:pPr>
      <w:bookmarkStart w:id="99" w:name="_Toc179368145"/>
      <w:r w:rsidRPr="00A94974">
        <w:rPr>
          <w:color w:val="1F4E79" w:themeColor="accent1" w:themeShade="80"/>
        </w:rPr>
        <w:t xml:space="preserve">8.5 </w:t>
      </w:r>
      <w:r w:rsidR="009E3CD9" w:rsidRPr="00A94974">
        <w:rPr>
          <w:color w:val="1F4E79" w:themeColor="accent1" w:themeShade="80"/>
        </w:rPr>
        <w:t>Aplicarea pragului de calitate</w:t>
      </w:r>
      <w:bookmarkEnd w:id="99"/>
      <w:r w:rsidR="009E3CD9" w:rsidRPr="00A94974">
        <w:rPr>
          <w:color w:val="1F4E79" w:themeColor="accent1" w:themeShade="80"/>
        </w:rPr>
        <w:t xml:space="preserve"> </w:t>
      </w:r>
    </w:p>
    <w:p w14:paraId="1A09AB57" w14:textId="370DFCB3" w:rsidR="00896D35" w:rsidRPr="00A94974" w:rsidRDefault="00896D35" w:rsidP="00E27636">
      <w:pPr>
        <w:jc w:val="both"/>
        <w:rPr>
          <w:rFonts w:ascii="Trebuchet MS" w:hAnsi="Trebuchet MS"/>
          <w:color w:val="1F4E79" w:themeColor="accent1" w:themeShade="80"/>
        </w:rPr>
      </w:pPr>
      <w:r w:rsidRPr="00A94974">
        <w:rPr>
          <w:rFonts w:ascii="Trebuchet MS" w:hAnsi="Trebuchet MS"/>
          <w:iCs/>
          <w:color w:val="1F4E79" w:themeColor="accent1" w:themeShade="80"/>
        </w:rPr>
        <w:t>În cazul programelor cofinanțate din FSE+</w:t>
      </w:r>
      <w:r w:rsidR="00F13750" w:rsidRPr="00A94974">
        <w:rPr>
          <w:rFonts w:ascii="Trebuchet MS" w:hAnsi="Trebuchet MS"/>
          <w:iCs/>
          <w:color w:val="1F4E79" w:themeColor="accent1" w:themeShade="80"/>
        </w:rPr>
        <w:t>,</w:t>
      </w:r>
      <w:r w:rsidRPr="00A94974">
        <w:rPr>
          <w:rFonts w:ascii="Trebuchet MS" w:hAnsi="Trebuchet MS"/>
          <w:iCs/>
          <w:color w:val="1F4E79" w:themeColor="accent1" w:themeShade="80"/>
        </w:rPr>
        <w:t xml:space="preserve"> pragul de calitate, sub care proiectele depuse la finanțare sunt declarate respinse, este de minim 70% din punctajul maxim care poate fi acordat.</w:t>
      </w:r>
    </w:p>
    <w:p w14:paraId="0AB427A7" w14:textId="4D2EC788" w:rsidR="0082543A" w:rsidRPr="00A94974" w:rsidRDefault="0005355A" w:rsidP="00E27636">
      <w:pPr>
        <w:pStyle w:val="Heading2"/>
        <w:rPr>
          <w:color w:val="1F4E79" w:themeColor="accent1" w:themeShade="80"/>
        </w:rPr>
      </w:pPr>
      <w:bookmarkStart w:id="100" w:name="_Toc179368146"/>
      <w:r w:rsidRPr="00A94974">
        <w:rPr>
          <w:color w:val="1F4E79" w:themeColor="accent1" w:themeShade="80"/>
        </w:rPr>
        <w:t xml:space="preserve">8.6 </w:t>
      </w:r>
      <w:r w:rsidR="0082543A" w:rsidRPr="00A94974">
        <w:rPr>
          <w:color w:val="1F4E79" w:themeColor="accent1" w:themeShade="80"/>
        </w:rPr>
        <w:t>Aplicarea pragului de excelență</w:t>
      </w:r>
      <w:bookmarkEnd w:id="100"/>
      <w:r w:rsidR="0082543A" w:rsidRPr="00A94974">
        <w:rPr>
          <w:color w:val="1F4E79" w:themeColor="accent1" w:themeShade="80"/>
        </w:rPr>
        <w:t xml:space="preserve"> </w:t>
      </w:r>
    </w:p>
    <w:p w14:paraId="51D8EEE9" w14:textId="77777777" w:rsidR="00C40896" w:rsidRPr="00A94974" w:rsidRDefault="00C40896"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Nu este cazul.</w:t>
      </w:r>
    </w:p>
    <w:p w14:paraId="2C158D42" w14:textId="77777777" w:rsidR="00C40896" w:rsidRPr="00A94974" w:rsidRDefault="00C40896" w:rsidP="00E27636">
      <w:pPr>
        <w:rPr>
          <w:rFonts w:ascii="Trebuchet MS" w:hAnsi="Trebuchet MS"/>
          <w:color w:val="1F4E79" w:themeColor="accent1" w:themeShade="80"/>
        </w:rPr>
      </w:pPr>
    </w:p>
    <w:p w14:paraId="52EF8112" w14:textId="1A9CCFF7" w:rsidR="00D31D59" w:rsidRPr="00A94974" w:rsidRDefault="0005355A" w:rsidP="00E27636">
      <w:pPr>
        <w:pStyle w:val="Heading2"/>
        <w:rPr>
          <w:rFonts w:ascii="Trebuchet MS" w:hAnsi="Trebuchet MS"/>
          <w:color w:val="1F4E79" w:themeColor="accent1" w:themeShade="80"/>
          <w:sz w:val="22"/>
          <w:szCs w:val="22"/>
        </w:rPr>
      </w:pPr>
      <w:bookmarkStart w:id="101" w:name="_Toc179368147"/>
      <w:r w:rsidRPr="00A94974">
        <w:rPr>
          <w:color w:val="1F4E79" w:themeColor="accent1" w:themeShade="80"/>
        </w:rPr>
        <w:t xml:space="preserve">8.7 </w:t>
      </w:r>
      <w:r w:rsidR="00D31D59" w:rsidRPr="00A94974">
        <w:rPr>
          <w:color w:val="1F4E79" w:themeColor="accent1" w:themeShade="80"/>
        </w:rPr>
        <w:t>Not</w:t>
      </w:r>
      <w:r w:rsidR="00E30483" w:rsidRPr="00A94974">
        <w:rPr>
          <w:color w:val="1F4E79" w:themeColor="accent1" w:themeShade="80"/>
        </w:rPr>
        <w:t>i</w:t>
      </w:r>
      <w:r w:rsidR="00D31D59" w:rsidRPr="00A94974">
        <w:rPr>
          <w:color w:val="1F4E79" w:themeColor="accent1" w:themeShade="80"/>
        </w:rPr>
        <w:t>ficarea rezultatului evaluării tehnice și financiare.</w:t>
      </w:r>
      <w:bookmarkEnd w:id="101"/>
      <w:r w:rsidR="00D31D59" w:rsidRPr="00A94974">
        <w:rPr>
          <w:rFonts w:ascii="Trebuchet MS" w:hAnsi="Trebuchet MS"/>
          <w:color w:val="1F4E79" w:themeColor="accent1" w:themeShade="80"/>
          <w:sz w:val="22"/>
          <w:szCs w:val="22"/>
        </w:rPr>
        <w:tab/>
      </w:r>
    </w:p>
    <w:p w14:paraId="0C8EC250" w14:textId="125E75FE" w:rsidR="00896D35" w:rsidRPr="00A94974" w:rsidRDefault="00896D35" w:rsidP="00E27636">
      <w:pPr>
        <w:pStyle w:val="Default"/>
        <w:jc w:val="both"/>
        <w:rPr>
          <w:color w:val="1F4E79" w:themeColor="accent1" w:themeShade="80"/>
          <w:sz w:val="22"/>
          <w:szCs w:val="22"/>
          <w:lang w:val="ro-RO"/>
        </w:rPr>
      </w:pPr>
      <w:r w:rsidRPr="00A94974">
        <w:rPr>
          <w:color w:val="1F4E79" w:themeColor="accent1" w:themeShade="80"/>
          <w:sz w:val="22"/>
          <w:szCs w:val="22"/>
          <w:lang w:val="ro-RO"/>
        </w:rPr>
        <w:t>Rezultatele evaluării tehnice și financiare se comunică solicitantului, indicându-se punctajul ob</w:t>
      </w:r>
      <w:r w:rsidR="00EB4FA2" w:rsidRPr="00A94974">
        <w:rPr>
          <w:color w:val="1F4E79" w:themeColor="accent1" w:themeShade="80"/>
          <w:sz w:val="22"/>
          <w:szCs w:val="22"/>
          <w:lang w:val="ro-RO"/>
        </w:rPr>
        <w:t>ț</w:t>
      </w:r>
      <w:r w:rsidRPr="00A94974">
        <w:rPr>
          <w:color w:val="1F4E79" w:themeColor="accent1" w:themeShade="80"/>
          <w:sz w:val="22"/>
          <w:szCs w:val="22"/>
          <w:lang w:val="ro-RO"/>
        </w:rPr>
        <w:t xml:space="preserve">inut pentru fiecare criteriu precum și justificarea rezultatului evaluării tehnice și financiare, respectiv a punctajului pentru fiecare criteriu de evaluare în parte pentru apelurile de proiecte pentru care este prevăzută acordarea de punctaje. </w:t>
      </w:r>
    </w:p>
    <w:p w14:paraId="048C11AD" w14:textId="77777777" w:rsidR="00896D35" w:rsidRPr="00A94974" w:rsidRDefault="00896D35" w:rsidP="00E27636">
      <w:pPr>
        <w:pStyle w:val="NoSpacing"/>
        <w:jc w:val="both"/>
        <w:rPr>
          <w:rFonts w:eastAsia="Times New Roman" w:cs="Courier New"/>
          <w:color w:val="1F4E79" w:themeColor="accent1" w:themeShade="80"/>
          <w:lang w:eastAsia="ro-RO"/>
        </w:rPr>
      </w:pPr>
    </w:p>
    <w:p w14:paraId="5FB84BD5" w14:textId="5961A609" w:rsidR="00C40896" w:rsidRPr="00A94974" w:rsidRDefault="00C40896" w:rsidP="00E27636">
      <w:pPr>
        <w:pStyle w:val="NoSpacing"/>
        <w:jc w:val="both"/>
        <w:rPr>
          <w:rFonts w:eastAsia="Times New Roman" w:cs="Courier New"/>
          <w:color w:val="1F4E79" w:themeColor="accent1" w:themeShade="80"/>
          <w:lang w:eastAsia="ro-RO"/>
        </w:rPr>
      </w:pPr>
      <w:r w:rsidRPr="00A94974">
        <w:rPr>
          <w:rFonts w:eastAsia="Times New Roman" w:cs="Courier New"/>
          <w:color w:val="1F4E79" w:themeColor="accent1" w:themeShade="80"/>
          <w:lang w:eastAsia="ro-RO"/>
        </w:rPr>
        <w:t xml:space="preserve">Rezultatul evaluării tehnice </w:t>
      </w:r>
      <w:proofErr w:type="spellStart"/>
      <w:r w:rsidRPr="00A94974">
        <w:rPr>
          <w:rFonts w:eastAsia="Times New Roman" w:cs="Courier New"/>
          <w:color w:val="1F4E79" w:themeColor="accent1" w:themeShade="80"/>
          <w:lang w:eastAsia="ro-RO"/>
        </w:rPr>
        <w:t>şi</w:t>
      </w:r>
      <w:proofErr w:type="spellEnd"/>
      <w:r w:rsidRPr="00A94974">
        <w:rPr>
          <w:rFonts w:eastAsia="Times New Roman" w:cs="Courier New"/>
          <w:color w:val="1F4E79" w:themeColor="accent1" w:themeShade="80"/>
          <w:lang w:eastAsia="ro-RO"/>
        </w:rPr>
        <w:t xml:space="preserve"> financiare va fi comunicat conform prevederilor Metodologiei de verificare, evaluare </w:t>
      </w:r>
      <w:proofErr w:type="spellStart"/>
      <w:r w:rsidRPr="00A94974">
        <w:rPr>
          <w:rFonts w:eastAsia="Times New Roman" w:cs="Courier New"/>
          <w:color w:val="1F4E79" w:themeColor="accent1" w:themeShade="80"/>
          <w:lang w:eastAsia="ro-RO"/>
        </w:rPr>
        <w:t>şi</w:t>
      </w:r>
      <w:proofErr w:type="spellEnd"/>
      <w:r w:rsidRPr="00A94974">
        <w:rPr>
          <w:rFonts w:eastAsia="Times New Roman" w:cs="Courier New"/>
          <w:color w:val="1F4E79" w:themeColor="accent1" w:themeShade="80"/>
          <w:lang w:eastAsia="ro-RO"/>
        </w:rPr>
        <w:t xml:space="preserve"> selecție a proiectelor </w:t>
      </w:r>
      <w:proofErr w:type="spellStart"/>
      <w:r w:rsidRPr="00A94974">
        <w:rPr>
          <w:rFonts w:ascii="Calibri" w:eastAsia="Times New Roman" w:hAnsi="Calibri" w:cs="Calibri"/>
          <w:color w:val="1F4E79" w:themeColor="accent1" w:themeShade="80"/>
          <w:lang w:eastAsia="ro-RO"/>
        </w:rPr>
        <w:t>ȋ</w:t>
      </w:r>
      <w:r w:rsidRPr="00A94974">
        <w:rPr>
          <w:rFonts w:eastAsia="Times New Roman" w:cs="Courier New"/>
          <w:color w:val="1F4E79" w:themeColor="accent1" w:themeShade="80"/>
          <w:lang w:eastAsia="ro-RO"/>
        </w:rPr>
        <w:t>n</w:t>
      </w:r>
      <w:proofErr w:type="spellEnd"/>
      <w:r w:rsidRPr="00A94974">
        <w:rPr>
          <w:rFonts w:eastAsia="Times New Roman" w:cs="Courier New"/>
          <w:color w:val="1F4E79" w:themeColor="accent1" w:themeShade="80"/>
          <w:lang w:eastAsia="ro-RO"/>
        </w:rPr>
        <w:t xml:space="preserve"> cadrul PEO 2021 </w:t>
      </w:r>
      <w:r w:rsidRPr="00A94974">
        <w:rPr>
          <w:rFonts w:eastAsia="Times New Roman" w:cs="Trebuchet MS"/>
          <w:color w:val="1F4E79" w:themeColor="accent1" w:themeShade="80"/>
          <w:lang w:eastAsia="ro-RO"/>
        </w:rPr>
        <w:t>–</w:t>
      </w:r>
      <w:r w:rsidRPr="00A94974">
        <w:rPr>
          <w:rFonts w:eastAsia="Times New Roman" w:cs="Courier New"/>
          <w:color w:val="1F4E79" w:themeColor="accent1" w:themeShade="80"/>
          <w:lang w:eastAsia="ro-RO"/>
        </w:rPr>
        <w:t xml:space="preserve"> 2027.</w:t>
      </w:r>
    </w:p>
    <w:p w14:paraId="04161F38" w14:textId="77777777" w:rsidR="00C40896" w:rsidRPr="00A94974" w:rsidRDefault="00C40896" w:rsidP="00E27636">
      <w:pPr>
        <w:rPr>
          <w:rFonts w:ascii="Trebuchet MS" w:hAnsi="Trebuchet MS"/>
          <w:color w:val="1F4E79" w:themeColor="accent1" w:themeShade="80"/>
        </w:rPr>
      </w:pPr>
    </w:p>
    <w:p w14:paraId="2D8124F4" w14:textId="3AFBD6A1" w:rsidR="00566CCA" w:rsidRPr="00A94974" w:rsidRDefault="0005355A" w:rsidP="00E27636">
      <w:pPr>
        <w:pStyle w:val="Heading2"/>
        <w:rPr>
          <w:rFonts w:ascii="Trebuchet MS" w:hAnsi="Trebuchet MS"/>
          <w:color w:val="1F4E79" w:themeColor="accent1" w:themeShade="80"/>
          <w:sz w:val="22"/>
          <w:szCs w:val="22"/>
        </w:rPr>
      </w:pPr>
      <w:bookmarkStart w:id="102" w:name="_Toc179368148"/>
      <w:r w:rsidRPr="00A94974">
        <w:rPr>
          <w:color w:val="1F4E79" w:themeColor="accent1" w:themeShade="80"/>
        </w:rPr>
        <w:t xml:space="preserve">8.8 </w:t>
      </w:r>
      <w:r w:rsidR="00566CCA" w:rsidRPr="00A94974">
        <w:rPr>
          <w:color w:val="1F4E79" w:themeColor="accent1" w:themeShade="80"/>
        </w:rPr>
        <w:t>Contestații</w:t>
      </w:r>
      <w:bookmarkEnd w:id="102"/>
      <w:r w:rsidR="00566CCA" w:rsidRPr="00A94974">
        <w:rPr>
          <w:rFonts w:ascii="Trebuchet MS" w:hAnsi="Trebuchet MS"/>
          <w:color w:val="1F4E79" w:themeColor="accent1" w:themeShade="80"/>
          <w:sz w:val="22"/>
          <w:szCs w:val="22"/>
        </w:rPr>
        <w:tab/>
      </w:r>
    </w:p>
    <w:p w14:paraId="30CF506F"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1C4D7D1B"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Contestația trebuie să cuprindă cel puțin următoarele elemente: </w:t>
      </w:r>
    </w:p>
    <w:p w14:paraId="63C532EC" w14:textId="77777777" w:rsidR="00896D35" w:rsidRPr="00A94974" w:rsidRDefault="00896D35" w:rsidP="00E27636">
      <w:pPr>
        <w:spacing w:after="0" w:line="240" w:lineRule="auto"/>
        <w:ind w:left="426"/>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F3F77D4" w14:textId="77777777" w:rsidR="00896D35" w:rsidRPr="00A94974" w:rsidRDefault="00896D35" w:rsidP="00E27636">
      <w:pPr>
        <w:spacing w:after="0" w:line="240" w:lineRule="auto"/>
        <w:ind w:left="426"/>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b) datele de identificare ale reprezentantului legal al solicitantului; </w:t>
      </w:r>
    </w:p>
    <w:p w14:paraId="60E4CFAA" w14:textId="77777777" w:rsidR="00896D35" w:rsidRPr="00A94974" w:rsidRDefault="00896D35" w:rsidP="00E27636">
      <w:pPr>
        <w:spacing w:after="0" w:line="240" w:lineRule="auto"/>
        <w:ind w:left="426"/>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c) obiectul contestației; </w:t>
      </w:r>
    </w:p>
    <w:p w14:paraId="44FF89D2" w14:textId="77777777" w:rsidR="00896D35" w:rsidRPr="00A94974" w:rsidRDefault="00896D35" w:rsidP="00E27636">
      <w:pPr>
        <w:spacing w:after="0" w:line="240" w:lineRule="auto"/>
        <w:ind w:left="426"/>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d) criteriul/criteriile contestate; </w:t>
      </w:r>
    </w:p>
    <w:p w14:paraId="1A5707B2" w14:textId="77777777" w:rsidR="00896D35" w:rsidRPr="00A94974" w:rsidRDefault="00896D35" w:rsidP="00E27636">
      <w:pPr>
        <w:spacing w:after="0" w:line="240" w:lineRule="auto"/>
        <w:ind w:left="426"/>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17CEF94E" w14:textId="77777777" w:rsidR="00896D35" w:rsidRPr="00A94974" w:rsidRDefault="00896D35" w:rsidP="00E27636">
      <w:pPr>
        <w:spacing w:after="0" w:line="240" w:lineRule="auto"/>
        <w:ind w:left="426"/>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f) semnătura reprezentantului legal/împuternicit al solicitantului. </w:t>
      </w:r>
    </w:p>
    <w:p w14:paraId="7A3EDD4E"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Comitetul de Soluționare a Contestațiilor respinge automat contestațiile care:</w:t>
      </w:r>
    </w:p>
    <w:p w14:paraId="62EF29C6" w14:textId="77777777" w:rsidR="00896D35" w:rsidRPr="00A94974" w:rsidRDefault="00896D35" w:rsidP="00E27636">
      <w:pPr>
        <w:tabs>
          <w:tab w:val="left" w:pos="851"/>
          <w:tab w:val="left" w:pos="993"/>
        </w:tabs>
        <w:spacing w:after="0" w:line="240" w:lineRule="auto"/>
        <w:ind w:firstLine="426"/>
        <w:jc w:val="both"/>
        <w:rPr>
          <w:rFonts w:ascii="Trebuchet MS" w:hAnsi="Trebuchet MS"/>
          <w:iCs/>
          <w:color w:val="1F4E79" w:themeColor="accent1" w:themeShade="80"/>
        </w:rPr>
      </w:pPr>
      <w:r w:rsidRPr="00A94974">
        <w:rPr>
          <w:rFonts w:ascii="Trebuchet MS" w:hAnsi="Trebuchet MS"/>
          <w:iCs/>
          <w:color w:val="1F4E79" w:themeColor="accent1" w:themeShade="80"/>
        </w:rPr>
        <w:t>-</w:t>
      </w:r>
      <w:r w:rsidRPr="00A94974">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0C228393" w14:textId="77777777" w:rsidR="00896D35" w:rsidRPr="00A94974" w:rsidRDefault="00896D35" w:rsidP="00E27636">
      <w:pPr>
        <w:tabs>
          <w:tab w:val="left" w:pos="851"/>
          <w:tab w:val="left" w:pos="993"/>
        </w:tabs>
        <w:spacing w:after="0" w:line="240" w:lineRule="auto"/>
        <w:ind w:firstLine="426"/>
        <w:jc w:val="both"/>
        <w:rPr>
          <w:rFonts w:ascii="Trebuchet MS" w:hAnsi="Trebuchet MS"/>
          <w:iCs/>
          <w:color w:val="1F4E79" w:themeColor="accent1" w:themeShade="80"/>
        </w:rPr>
      </w:pPr>
      <w:r w:rsidRPr="00A94974">
        <w:rPr>
          <w:rFonts w:ascii="Trebuchet MS" w:hAnsi="Trebuchet MS"/>
          <w:iCs/>
          <w:color w:val="1F4E79" w:themeColor="accent1" w:themeShade="80"/>
        </w:rPr>
        <w:t>-</w:t>
      </w:r>
      <w:r w:rsidRPr="00A94974">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31E4E6F" w14:textId="77777777" w:rsidR="00896D35" w:rsidRPr="00A94974" w:rsidRDefault="00896D35" w:rsidP="00E27636">
      <w:pPr>
        <w:spacing w:before="120" w:after="120"/>
        <w:jc w:val="both"/>
        <w:rPr>
          <w:rFonts w:ascii="Trebuchet MS" w:hAnsi="Trebuchet MS"/>
          <w:i/>
          <w:color w:val="1F4E79" w:themeColor="accent1" w:themeShade="80"/>
        </w:rPr>
      </w:pPr>
      <w:r w:rsidRPr="00A94974">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6E0FB813" w14:textId="7355FFAB" w:rsidR="004C0B72" w:rsidRPr="00A94974" w:rsidRDefault="001E7125" w:rsidP="008B5463">
      <w:pPr>
        <w:pStyle w:val="Heading2"/>
        <w:rPr>
          <w:color w:val="1F4E79" w:themeColor="accent1" w:themeShade="80"/>
        </w:rPr>
      </w:pPr>
      <w:bookmarkStart w:id="103" w:name="_Toc179368149"/>
      <w:r w:rsidRPr="00A94974">
        <w:rPr>
          <w:color w:val="1F4E79" w:themeColor="accent1" w:themeShade="80"/>
        </w:rPr>
        <w:lastRenderedPageBreak/>
        <w:t xml:space="preserve">8.9 </w:t>
      </w:r>
      <w:r w:rsidR="00566CCA" w:rsidRPr="00A94974">
        <w:rPr>
          <w:color w:val="1F4E79" w:themeColor="accent1" w:themeShade="80"/>
        </w:rPr>
        <w:t>Contractarea proiectelor</w:t>
      </w:r>
      <w:bookmarkEnd w:id="103"/>
    </w:p>
    <w:p w14:paraId="107C1D42" w14:textId="7C62F6CE" w:rsidR="007022AD" w:rsidRPr="00A94974" w:rsidRDefault="001E7125" w:rsidP="00AF4927">
      <w:pPr>
        <w:pStyle w:val="Heading3"/>
        <w:rPr>
          <w:color w:val="1F4E79" w:themeColor="accent1" w:themeShade="80"/>
        </w:rPr>
      </w:pPr>
      <w:bookmarkStart w:id="104" w:name="_Toc179368150"/>
      <w:r w:rsidRPr="00A94974">
        <w:rPr>
          <w:color w:val="1F4E79" w:themeColor="accent1" w:themeShade="80"/>
        </w:rPr>
        <w:t xml:space="preserve">8.9.1 </w:t>
      </w:r>
      <w:r w:rsidR="007022AD" w:rsidRPr="00A94974">
        <w:rPr>
          <w:color w:val="1F4E79" w:themeColor="accent1" w:themeShade="80"/>
        </w:rPr>
        <w:t>Verificarea îndeplinirii condițiilor de eligibilitate</w:t>
      </w:r>
      <w:bookmarkEnd w:id="104"/>
    </w:p>
    <w:p w14:paraId="764DEC8F" w14:textId="77777777" w:rsidR="00896D35" w:rsidRPr="00A94974" w:rsidRDefault="00896D35" w:rsidP="00E27636">
      <w:pPr>
        <w:spacing w:after="0" w:line="240" w:lineRule="auto"/>
        <w:jc w:val="both"/>
        <w:rPr>
          <w:rFonts w:ascii="Trebuchet MS" w:hAnsi="Trebuchet MS"/>
          <w:color w:val="1F4E79" w:themeColor="accent1" w:themeShade="80"/>
        </w:rPr>
      </w:pPr>
      <w:r w:rsidRPr="00A94974">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A94974">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0AA59240" w14:textId="77777777" w:rsidR="00C676A9" w:rsidRPr="00A94974" w:rsidRDefault="00C676A9" w:rsidP="00E27636">
      <w:pPr>
        <w:rPr>
          <w:rFonts w:ascii="Trebuchet MS" w:hAnsi="Trebuchet MS"/>
          <w:color w:val="1F4E79" w:themeColor="accent1" w:themeShade="80"/>
        </w:rPr>
      </w:pPr>
    </w:p>
    <w:p w14:paraId="596E0B92" w14:textId="6B3485B3" w:rsidR="000E1081" w:rsidRPr="00A94974" w:rsidRDefault="001E7125" w:rsidP="00AF4927">
      <w:pPr>
        <w:pStyle w:val="Heading3"/>
        <w:rPr>
          <w:color w:val="1F4E79" w:themeColor="accent1" w:themeShade="80"/>
        </w:rPr>
      </w:pPr>
      <w:bookmarkStart w:id="105" w:name="_Toc179368151"/>
      <w:r w:rsidRPr="00A94974">
        <w:rPr>
          <w:color w:val="1F4E79" w:themeColor="accent1" w:themeShade="80"/>
        </w:rPr>
        <w:t xml:space="preserve">8.9.2 </w:t>
      </w:r>
      <w:r w:rsidR="000E1081" w:rsidRPr="00A94974">
        <w:rPr>
          <w:color w:val="1F4E79" w:themeColor="accent1" w:themeShade="80"/>
        </w:rPr>
        <w:t>Decizia de acordare</w:t>
      </w:r>
      <w:r w:rsidR="00D56036" w:rsidRPr="00A94974">
        <w:rPr>
          <w:color w:val="1F4E79" w:themeColor="accent1" w:themeShade="80"/>
        </w:rPr>
        <w:t>/respingere</w:t>
      </w:r>
      <w:r w:rsidR="000E1081" w:rsidRPr="00A94974">
        <w:rPr>
          <w:color w:val="1F4E79" w:themeColor="accent1" w:themeShade="80"/>
        </w:rPr>
        <w:t xml:space="preserve"> a finanțării</w:t>
      </w:r>
      <w:bookmarkEnd w:id="105"/>
    </w:p>
    <w:p w14:paraId="12BFFB92" w14:textId="77777777" w:rsidR="00896D35" w:rsidRPr="00A94974" w:rsidRDefault="00896D35" w:rsidP="00E27636">
      <w:pPr>
        <w:pStyle w:val="Default"/>
        <w:jc w:val="both"/>
        <w:rPr>
          <w:color w:val="1F4E79" w:themeColor="accent1" w:themeShade="80"/>
          <w:sz w:val="22"/>
          <w:szCs w:val="22"/>
          <w:lang w:val="ro-RO"/>
        </w:rPr>
      </w:pPr>
      <w:r w:rsidRPr="00A94974">
        <w:rPr>
          <w:color w:val="1F4E79" w:themeColor="accent1" w:themeShade="80"/>
          <w:sz w:val="22"/>
          <w:szCs w:val="22"/>
          <w:lang w:val="ro-RO"/>
        </w:rPr>
        <w:t>AM/OI PEO va emite decizia de selecție/aprobare a finanțării, respectiv decizia de respingere a cererii de finanțare. Pentru cererile de finanțare selectate, AM/OI va proceda la încheierea contractului de finanțare/emiterea deciziei/ordinului de finanțare.</w:t>
      </w:r>
    </w:p>
    <w:p w14:paraId="5954BC02" w14:textId="77777777" w:rsidR="00C676A9" w:rsidRPr="00A94974" w:rsidRDefault="00C676A9" w:rsidP="00E27636">
      <w:pPr>
        <w:rPr>
          <w:rFonts w:ascii="Trebuchet MS" w:hAnsi="Trebuchet MS"/>
          <w:color w:val="1F4E79" w:themeColor="accent1" w:themeShade="80"/>
        </w:rPr>
      </w:pPr>
    </w:p>
    <w:p w14:paraId="294EC0B4" w14:textId="457BBD7C" w:rsidR="000E1081" w:rsidRPr="00A94974" w:rsidRDefault="001E7125" w:rsidP="00AF4927">
      <w:pPr>
        <w:pStyle w:val="Heading3"/>
        <w:rPr>
          <w:color w:val="1F4E79" w:themeColor="accent1" w:themeShade="80"/>
        </w:rPr>
      </w:pPr>
      <w:bookmarkStart w:id="106" w:name="_Toc179368152"/>
      <w:r w:rsidRPr="00A94974">
        <w:rPr>
          <w:color w:val="1F4E79" w:themeColor="accent1" w:themeShade="80"/>
        </w:rPr>
        <w:t xml:space="preserve">8.9.3 </w:t>
      </w:r>
      <w:r w:rsidR="0094012B" w:rsidRPr="00A94974">
        <w:rPr>
          <w:color w:val="1F4E79" w:themeColor="accent1" w:themeShade="80"/>
        </w:rPr>
        <w:t xml:space="preserve">Definitivarea  </w:t>
      </w:r>
      <w:r w:rsidR="000E1081" w:rsidRPr="00A94974">
        <w:rPr>
          <w:color w:val="1F4E79" w:themeColor="accent1" w:themeShade="80"/>
        </w:rPr>
        <w:t>planului de monitorizare al proiectului</w:t>
      </w:r>
      <w:bookmarkEnd w:id="106"/>
      <w:r w:rsidR="000E1081" w:rsidRPr="00A94974">
        <w:rPr>
          <w:color w:val="1F4E79" w:themeColor="accent1" w:themeShade="80"/>
        </w:rPr>
        <w:t xml:space="preserve"> </w:t>
      </w:r>
    </w:p>
    <w:p w14:paraId="7BFB7EF6"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7A42AF7B"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6B52F54C"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A94974" w:rsidRDefault="00A06EED" w:rsidP="00E27636">
      <w:pPr>
        <w:pStyle w:val="Heading3"/>
        <w:ind w:firstLine="708"/>
        <w:rPr>
          <w:rFonts w:ascii="Trebuchet MS" w:hAnsi="Trebuchet MS"/>
          <w:color w:val="1F4E79" w:themeColor="accent1" w:themeShade="80"/>
          <w:sz w:val="22"/>
          <w:szCs w:val="22"/>
        </w:rPr>
      </w:pPr>
    </w:p>
    <w:p w14:paraId="3D2D245C" w14:textId="69E928A2" w:rsidR="00566CCA" w:rsidRPr="00A94974" w:rsidRDefault="001E7125" w:rsidP="00AF4927">
      <w:pPr>
        <w:pStyle w:val="Heading3"/>
        <w:rPr>
          <w:color w:val="1F4E79" w:themeColor="accent1" w:themeShade="80"/>
        </w:rPr>
      </w:pPr>
      <w:bookmarkStart w:id="107" w:name="_Toc179368153"/>
      <w:r w:rsidRPr="00A94974">
        <w:rPr>
          <w:color w:val="1F4E79" w:themeColor="accent1" w:themeShade="80"/>
        </w:rPr>
        <w:t xml:space="preserve">8.9.4 </w:t>
      </w:r>
      <w:r w:rsidR="00566CCA" w:rsidRPr="00A94974">
        <w:rPr>
          <w:color w:val="1F4E79" w:themeColor="accent1" w:themeShade="80"/>
        </w:rPr>
        <w:t>Semnarea contractului</w:t>
      </w:r>
      <w:r w:rsidR="00D8002D" w:rsidRPr="00A94974">
        <w:rPr>
          <w:color w:val="1F4E79" w:themeColor="accent1" w:themeShade="80"/>
        </w:rPr>
        <w:t xml:space="preserve"> de finanțare </w:t>
      </w:r>
      <w:r w:rsidR="00B45E20" w:rsidRPr="00A94974">
        <w:rPr>
          <w:color w:val="1F4E79" w:themeColor="accent1" w:themeShade="80"/>
        </w:rPr>
        <w:t>/</w:t>
      </w:r>
      <w:r w:rsidR="00D8002D" w:rsidRPr="00A94974">
        <w:rPr>
          <w:color w:val="1F4E79" w:themeColor="accent1" w:themeShade="80"/>
        </w:rPr>
        <w:t xml:space="preserve">emiterea </w:t>
      </w:r>
      <w:r w:rsidR="00B45E20" w:rsidRPr="00A94974">
        <w:rPr>
          <w:color w:val="1F4E79" w:themeColor="accent1" w:themeShade="80"/>
        </w:rPr>
        <w:t>deciziei</w:t>
      </w:r>
      <w:r w:rsidR="00566CCA" w:rsidRPr="00A94974">
        <w:rPr>
          <w:color w:val="1F4E79" w:themeColor="accent1" w:themeShade="80"/>
        </w:rPr>
        <w:t xml:space="preserve"> de finanțare</w:t>
      </w:r>
      <w:bookmarkEnd w:id="107"/>
    </w:p>
    <w:p w14:paraId="5B90016B" w14:textId="77777777" w:rsidR="00896D35" w:rsidRPr="00A94974" w:rsidRDefault="00896D35" w:rsidP="00E27636">
      <w:pPr>
        <w:spacing w:after="0" w:line="240" w:lineRule="auto"/>
        <w:jc w:val="both"/>
        <w:rPr>
          <w:rFonts w:ascii="Trebuchet MS" w:hAnsi="Trebuchet MS"/>
          <w:iCs/>
          <w:color w:val="1F4E79" w:themeColor="accent1" w:themeShade="80"/>
        </w:rPr>
      </w:pPr>
      <w:r w:rsidRPr="00A94974">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A94974">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05390C01" w14:textId="3DA5D398" w:rsidR="004C0B72" w:rsidRPr="00A94974" w:rsidRDefault="00A701C7" w:rsidP="00A701C7">
      <w:pPr>
        <w:pStyle w:val="Heading1"/>
        <w:rPr>
          <w:color w:val="1F4E79" w:themeColor="accent1" w:themeShade="80"/>
        </w:rPr>
      </w:pPr>
      <w:bookmarkStart w:id="108" w:name="_Toc179368154"/>
      <w:r w:rsidRPr="00A94974">
        <w:rPr>
          <w:color w:val="1F4E79" w:themeColor="accent1" w:themeShade="80"/>
        </w:rPr>
        <w:t xml:space="preserve">9. </w:t>
      </w:r>
      <w:r w:rsidR="004C0B72" w:rsidRPr="00A94974">
        <w:rPr>
          <w:color w:val="1F4E79" w:themeColor="accent1" w:themeShade="80"/>
        </w:rPr>
        <w:t>ASPECTE PRIVIND CONFLICTUL DE INTERESE</w:t>
      </w:r>
      <w:bookmarkEnd w:id="108"/>
      <w:r w:rsidR="004C0B72" w:rsidRPr="00A94974">
        <w:rPr>
          <w:color w:val="1F4E79" w:themeColor="accent1" w:themeShade="80"/>
        </w:rPr>
        <w:t xml:space="preserve">  </w:t>
      </w:r>
      <w:r w:rsidR="004C0B72" w:rsidRPr="00A94974">
        <w:rPr>
          <w:color w:val="1F4E79" w:themeColor="accent1" w:themeShade="80"/>
        </w:rPr>
        <w:tab/>
      </w:r>
    </w:p>
    <w:p w14:paraId="2D176903" w14:textId="122B99B0"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xml:space="preserve">La conceperea cererii de finanțare precum </w:t>
      </w:r>
      <w:r w:rsidR="00650B61" w:rsidRPr="00A94974">
        <w:rPr>
          <w:rFonts w:ascii="Trebuchet MS" w:hAnsi="Trebuchet MS"/>
          <w:color w:val="1F4E79" w:themeColor="accent1" w:themeShade="80"/>
        </w:rPr>
        <w:t>ș</w:t>
      </w:r>
      <w:r w:rsidRPr="00A94974">
        <w:rPr>
          <w:rFonts w:ascii="Trebuchet MS" w:hAnsi="Trebuchet MS"/>
          <w:color w:val="1F4E79" w:themeColor="accent1" w:themeShade="80"/>
        </w:rPr>
        <w:t xml:space="preserve">i pe toată perioada implementării proiectului, beneficiarii vor trebui să respecte prevederile legale europene și naționale în vigoare referitoare la conflictul de interese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regimul </w:t>
      </w:r>
      <w:proofErr w:type="spellStart"/>
      <w:r w:rsidRPr="00A94974">
        <w:rPr>
          <w:rFonts w:ascii="Trebuchet MS" w:hAnsi="Trebuchet MS"/>
          <w:color w:val="1F4E79" w:themeColor="accent1" w:themeShade="80"/>
        </w:rPr>
        <w:t>incompatibilităţilor</w:t>
      </w:r>
      <w:proofErr w:type="spellEnd"/>
      <w:r w:rsidRPr="00A94974">
        <w:rPr>
          <w:rFonts w:ascii="Trebuchet MS" w:hAnsi="Trebuchet MS"/>
          <w:color w:val="1F4E79" w:themeColor="accent1" w:themeShade="80"/>
        </w:rPr>
        <w:t>.</w:t>
      </w:r>
    </w:p>
    <w:p w14:paraId="76246929" w14:textId="3FBD37AF"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xml:space="preserve">Beneficiarii de </w:t>
      </w:r>
      <w:proofErr w:type="spellStart"/>
      <w:r w:rsidRPr="00A94974">
        <w:rPr>
          <w:rFonts w:ascii="Trebuchet MS" w:hAnsi="Trebuchet MS"/>
          <w:color w:val="1F4E79" w:themeColor="accent1" w:themeShade="80"/>
        </w:rPr>
        <w:t>finanţare</w:t>
      </w:r>
      <w:proofErr w:type="spellEnd"/>
      <w:r w:rsidRPr="00A94974">
        <w:rPr>
          <w:rFonts w:ascii="Trebuchet MS" w:hAnsi="Trebuchet MS"/>
          <w:color w:val="1F4E79" w:themeColor="accent1" w:themeShade="80"/>
        </w:rPr>
        <w:t xml:space="preserve"> nerambursabilă se obligă să întreprindă toate </w:t>
      </w:r>
      <w:proofErr w:type="spellStart"/>
      <w:r w:rsidRPr="00A94974">
        <w:rPr>
          <w:rFonts w:ascii="Trebuchet MS" w:hAnsi="Trebuchet MS"/>
          <w:color w:val="1F4E79" w:themeColor="accent1" w:themeShade="80"/>
        </w:rPr>
        <w:t>diligenţele</w:t>
      </w:r>
      <w:proofErr w:type="spellEnd"/>
      <w:r w:rsidRPr="00A94974">
        <w:rPr>
          <w:rFonts w:ascii="Trebuchet MS" w:hAnsi="Trebuchet MS"/>
          <w:color w:val="1F4E79" w:themeColor="accent1" w:themeShade="80"/>
        </w:rPr>
        <w:t xml:space="preserve"> necesare pentru a evita orice conflict de interese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să informeze cu celeritate AM PEO în legătură cu </w:t>
      </w:r>
      <w:r w:rsidRPr="00A94974">
        <w:rPr>
          <w:rFonts w:ascii="Trebuchet MS" w:hAnsi="Trebuchet MS"/>
          <w:color w:val="1F4E79" w:themeColor="accent1" w:themeShade="80"/>
        </w:rPr>
        <w:lastRenderedPageBreak/>
        <w:t xml:space="preserve">orice </w:t>
      </w:r>
      <w:proofErr w:type="spellStart"/>
      <w:r w:rsidRPr="00A94974">
        <w:rPr>
          <w:rFonts w:ascii="Trebuchet MS" w:hAnsi="Trebuchet MS"/>
          <w:color w:val="1F4E79" w:themeColor="accent1" w:themeShade="80"/>
        </w:rPr>
        <w:t>situaţie</w:t>
      </w:r>
      <w:proofErr w:type="spellEnd"/>
      <w:r w:rsidRPr="00A94974">
        <w:rPr>
          <w:rFonts w:ascii="Trebuchet MS" w:hAnsi="Trebuchet MS"/>
          <w:color w:val="1F4E79" w:themeColor="accent1" w:themeShade="80"/>
        </w:rPr>
        <w:t xml:space="preserve"> care dă </w:t>
      </w:r>
      <w:proofErr w:type="spellStart"/>
      <w:r w:rsidRPr="00A94974">
        <w:rPr>
          <w:rFonts w:ascii="Trebuchet MS" w:hAnsi="Trebuchet MS"/>
          <w:color w:val="1F4E79" w:themeColor="accent1" w:themeShade="80"/>
        </w:rPr>
        <w:t>naştere</w:t>
      </w:r>
      <w:proofErr w:type="spellEnd"/>
      <w:r w:rsidRPr="00A94974">
        <w:rPr>
          <w:rFonts w:ascii="Trebuchet MS" w:hAnsi="Trebuchet MS"/>
          <w:color w:val="1F4E79" w:themeColor="accent1" w:themeShade="80"/>
        </w:rPr>
        <w:t xml:space="preserve"> sau este posibil să dea </w:t>
      </w:r>
      <w:proofErr w:type="spellStart"/>
      <w:r w:rsidRPr="00A94974">
        <w:rPr>
          <w:rFonts w:ascii="Trebuchet MS" w:hAnsi="Trebuchet MS"/>
          <w:color w:val="1F4E79" w:themeColor="accent1" w:themeShade="80"/>
        </w:rPr>
        <w:t>naştere</w:t>
      </w:r>
      <w:proofErr w:type="spellEnd"/>
      <w:r w:rsidRPr="00A94974">
        <w:rPr>
          <w:rFonts w:ascii="Trebuchet MS" w:hAnsi="Trebuchet MS"/>
          <w:color w:val="1F4E79" w:themeColor="accent1" w:themeShade="80"/>
        </w:rPr>
        <w:t xml:space="preserve"> unui astfel de conflict. În cazul </w:t>
      </w:r>
      <w:proofErr w:type="spellStart"/>
      <w:r w:rsidRPr="00A94974">
        <w:rPr>
          <w:rFonts w:ascii="Trebuchet MS" w:hAnsi="Trebuchet MS"/>
          <w:color w:val="1F4E79" w:themeColor="accent1" w:themeShade="80"/>
        </w:rPr>
        <w:t>apariţiei</w:t>
      </w:r>
      <w:proofErr w:type="spellEnd"/>
      <w:r w:rsidRPr="00A94974">
        <w:rPr>
          <w:rFonts w:ascii="Trebuchet MS" w:hAnsi="Trebuchet MS"/>
          <w:color w:val="1F4E79" w:themeColor="accent1" w:themeShade="80"/>
        </w:rPr>
        <w:t xml:space="preserve"> riscului unei astfel de situații beneficiarul trebuie să ia măsuri care să conducă la evitarea, respectiv stingerea lui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să informeze în scris AM PEO / OI PEO delegat în legătură cu orice situație care dă naștere sau este posibil să dea naștere unui astfel de conflict, în termen de 3 (trei) zile lucrătoare de la apariția unei astfel de situații.</w:t>
      </w:r>
    </w:p>
    <w:p w14:paraId="6DE33843" w14:textId="58589DE9"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xml:space="preserve">Reprezintă conflict de interese orice situație care împiedică beneficiarul de a avea o atitudine obiectivă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w:t>
      </w:r>
      <w:proofErr w:type="spellStart"/>
      <w:r w:rsidRPr="00A94974">
        <w:rPr>
          <w:rFonts w:ascii="Trebuchet MS" w:hAnsi="Trebuchet MS"/>
          <w:color w:val="1F4E79" w:themeColor="accent1" w:themeShade="80"/>
        </w:rPr>
        <w:t>imparţială</w:t>
      </w:r>
      <w:proofErr w:type="spellEnd"/>
      <w:r w:rsidRPr="00A94974">
        <w:rPr>
          <w:rFonts w:ascii="Trebuchet MS" w:hAnsi="Trebuchet MS"/>
          <w:color w:val="1F4E79" w:themeColor="accent1" w:themeShade="80"/>
        </w:rPr>
        <w:t xml:space="preserve">, sau care îi împiedică să execute </w:t>
      </w:r>
      <w:proofErr w:type="spellStart"/>
      <w:r w:rsidRPr="00A94974">
        <w:rPr>
          <w:rFonts w:ascii="Trebuchet MS" w:hAnsi="Trebuchet MS"/>
          <w:color w:val="1F4E79" w:themeColor="accent1" w:themeShade="80"/>
        </w:rPr>
        <w:t>activităţile</w:t>
      </w:r>
      <w:proofErr w:type="spellEnd"/>
      <w:r w:rsidRPr="00A94974">
        <w:rPr>
          <w:rFonts w:ascii="Trebuchet MS" w:hAnsi="Trebuchet MS"/>
          <w:color w:val="1F4E79" w:themeColor="accent1" w:themeShade="80"/>
        </w:rPr>
        <w:t xml:space="preserve"> prevăzute în cererea de </w:t>
      </w:r>
      <w:proofErr w:type="spellStart"/>
      <w:r w:rsidRPr="00A94974">
        <w:rPr>
          <w:rFonts w:ascii="Trebuchet MS" w:hAnsi="Trebuchet MS"/>
          <w:color w:val="1F4E79" w:themeColor="accent1" w:themeShade="80"/>
        </w:rPr>
        <w:t>finanţare</w:t>
      </w:r>
      <w:proofErr w:type="spellEnd"/>
      <w:r w:rsidRPr="00A94974">
        <w:rPr>
          <w:rFonts w:ascii="Trebuchet MS" w:hAnsi="Trebuchet MS"/>
          <w:color w:val="1F4E79" w:themeColor="accent1" w:themeShade="80"/>
        </w:rPr>
        <w:t xml:space="preserve"> într-o manieră obiectivă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w:t>
      </w:r>
      <w:proofErr w:type="spellStart"/>
      <w:r w:rsidRPr="00A94974">
        <w:rPr>
          <w:rFonts w:ascii="Trebuchet MS" w:hAnsi="Trebuchet MS"/>
          <w:color w:val="1F4E79" w:themeColor="accent1" w:themeShade="80"/>
        </w:rPr>
        <w:t>imparţială</w:t>
      </w:r>
      <w:proofErr w:type="spellEnd"/>
      <w:r w:rsidRPr="00A94974">
        <w:rPr>
          <w:rFonts w:ascii="Trebuchet MS" w:hAnsi="Trebuchet MS"/>
          <w:color w:val="1F4E79" w:themeColor="accent1" w:themeShade="80"/>
        </w:rPr>
        <w:t xml:space="preserve">, din motive referitoare la familie, </w:t>
      </w:r>
      <w:proofErr w:type="spellStart"/>
      <w:r w:rsidRPr="00A94974">
        <w:rPr>
          <w:rFonts w:ascii="Trebuchet MS" w:hAnsi="Trebuchet MS"/>
          <w:color w:val="1F4E79" w:themeColor="accent1" w:themeShade="80"/>
        </w:rPr>
        <w:t>viaţă</w:t>
      </w:r>
      <w:proofErr w:type="spellEnd"/>
      <w:r w:rsidRPr="00A94974">
        <w:rPr>
          <w:rFonts w:ascii="Trebuchet MS" w:hAnsi="Trebuchet MS"/>
          <w:color w:val="1F4E79" w:themeColor="accent1" w:themeShade="80"/>
        </w:rPr>
        <w:t xml:space="preserve"> personală, </w:t>
      </w:r>
      <w:proofErr w:type="spellStart"/>
      <w:r w:rsidRPr="00A94974">
        <w:rPr>
          <w:rFonts w:ascii="Trebuchet MS" w:hAnsi="Trebuchet MS"/>
          <w:color w:val="1F4E79" w:themeColor="accent1" w:themeShade="80"/>
        </w:rPr>
        <w:t>afinităţi</w:t>
      </w:r>
      <w:proofErr w:type="spellEnd"/>
      <w:r w:rsidRPr="00A94974">
        <w:rPr>
          <w:rFonts w:ascii="Trebuchet MS" w:hAnsi="Trebuchet MS"/>
          <w:color w:val="1F4E79" w:themeColor="accent1" w:themeShade="80"/>
        </w:rPr>
        <w:t xml:space="preserve"> politice sau </w:t>
      </w:r>
      <w:proofErr w:type="spellStart"/>
      <w:r w:rsidRPr="00A94974">
        <w:rPr>
          <w:rFonts w:ascii="Trebuchet MS" w:hAnsi="Trebuchet MS"/>
          <w:color w:val="1F4E79" w:themeColor="accent1" w:themeShade="80"/>
        </w:rPr>
        <w:t>naţionale</w:t>
      </w:r>
      <w:proofErr w:type="spellEnd"/>
      <w:r w:rsidRPr="00A94974">
        <w:rPr>
          <w:rFonts w:ascii="Trebuchet MS" w:hAnsi="Trebuchet MS"/>
          <w:color w:val="1F4E79" w:themeColor="accent1" w:themeShade="80"/>
        </w:rPr>
        <w:t xml:space="preserve">, interese economice sau orice alte interese. Interesele anterior </w:t>
      </w:r>
      <w:proofErr w:type="spellStart"/>
      <w:r w:rsidRPr="00A94974">
        <w:rPr>
          <w:rFonts w:ascii="Trebuchet MS" w:hAnsi="Trebuchet MS"/>
          <w:color w:val="1F4E79" w:themeColor="accent1" w:themeShade="80"/>
        </w:rPr>
        <w:t>menţionate</w:t>
      </w:r>
      <w:proofErr w:type="spellEnd"/>
      <w:r w:rsidRPr="00A94974">
        <w:rPr>
          <w:rFonts w:ascii="Trebuchet MS" w:hAnsi="Trebuchet MS"/>
          <w:color w:val="1F4E79" w:themeColor="accent1" w:themeShade="80"/>
        </w:rPr>
        <w:t xml:space="preserve"> includ orice avantaj pentru persoana în cauză, </w:t>
      </w:r>
      <w:proofErr w:type="spellStart"/>
      <w:r w:rsidRPr="00A94974">
        <w:rPr>
          <w:rFonts w:ascii="Trebuchet MS" w:hAnsi="Trebuchet MS"/>
          <w:color w:val="1F4E79" w:themeColor="accent1" w:themeShade="80"/>
        </w:rPr>
        <w:t>soţul</w:t>
      </w:r>
      <w:proofErr w:type="spellEnd"/>
      <w:r w:rsidRPr="00A94974">
        <w:rPr>
          <w:rFonts w:ascii="Trebuchet MS" w:hAnsi="Trebuchet MS"/>
          <w:color w:val="1F4E79" w:themeColor="accent1" w:themeShade="80"/>
        </w:rPr>
        <w:t>/</w:t>
      </w:r>
      <w:proofErr w:type="spellStart"/>
      <w:r w:rsidRPr="00A94974">
        <w:rPr>
          <w:rFonts w:ascii="Trebuchet MS" w:hAnsi="Trebuchet MS"/>
          <w:color w:val="1F4E79" w:themeColor="accent1" w:themeShade="80"/>
        </w:rPr>
        <w:t>soţia</w:t>
      </w:r>
      <w:proofErr w:type="spellEnd"/>
      <w:r w:rsidRPr="00A94974">
        <w:rPr>
          <w:rFonts w:ascii="Trebuchet MS" w:hAnsi="Trebuchet MS"/>
          <w:color w:val="1F4E79" w:themeColor="accent1" w:themeShade="80"/>
        </w:rPr>
        <w:t xml:space="preserve"> sau o rudă ori un afin, până la gradul 2 inclusiv.</w:t>
      </w:r>
    </w:p>
    <w:p w14:paraId="40F2519C" w14:textId="77777777"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xml:space="preserve">Această prevedere se aplică Beneficiarului, Partenerilor, subcontractorilor, furnizorilor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angajaților Beneficiarului/Partenerului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altor persoane juridice publice sau private, în cazul în care acestea sunt implicate în </w:t>
      </w:r>
      <w:proofErr w:type="spellStart"/>
      <w:r w:rsidRPr="00A94974">
        <w:rPr>
          <w:rFonts w:ascii="Trebuchet MS" w:hAnsi="Trebuchet MS"/>
          <w:color w:val="1F4E79" w:themeColor="accent1" w:themeShade="80"/>
        </w:rPr>
        <w:t>activităţi</w:t>
      </w:r>
      <w:proofErr w:type="spellEnd"/>
      <w:r w:rsidRPr="00A94974">
        <w:rPr>
          <w:rFonts w:ascii="Trebuchet MS" w:hAnsi="Trebuchet MS"/>
          <w:color w:val="1F4E79" w:themeColor="accent1" w:themeShade="80"/>
        </w:rPr>
        <w:t xml:space="preserve"> care pot fi încadrate în </w:t>
      </w:r>
      <w:proofErr w:type="spellStart"/>
      <w:r w:rsidRPr="00A94974">
        <w:rPr>
          <w:rFonts w:ascii="Trebuchet MS" w:hAnsi="Trebuchet MS"/>
          <w:color w:val="1F4E79" w:themeColor="accent1" w:themeShade="80"/>
        </w:rPr>
        <w:t>execuţia</w:t>
      </w:r>
      <w:proofErr w:type="spellEnd"/>
      <w:r w:rsidRPr="00A94974">
        <w:rPr>
          <w:rFonts w:ascii="Trebuchet MS" w:hAnsi="Trebuchet MS"/>
          <w:color w:val="1F4E79" w:themeColor="accent1" w:themeShade="80"/>
        </w:rPr>
        <w:t xml:space="preserve">, auditarea sau controlul bugetului Uniunii Europene, precum și angajaților AM PEO/OI PEO delegat si persoanelor fizice sau juridice care </w:t>
      </w:r>
      <w:proofErr w:type="spellStart"/>
      <w:r w:rsidRPr="00A94974">
        <w:rPr>
          <w:rFonts w:ascii="Trebuchet MS" w:hAnsi="Trebuchet MS"/>
          <w:color w:val="1F4E79" w:themeColor="accent1" w:themeShade="80"/>
        </w:rPr>
        <w:t>desfăşoară</w:t>
      </w:r>
      <w:proofErr w:type="spellEnd"/>
      <w:r w:rsidRPr="00A94974">
        <w:rPr>
          <w:rFonts w:ascii="Trebuchet MS" w:hAnsi="Trebuchet MS"/>
          <w:color w:val="1F4E79" w:themeColor="accent1" w:themeShade="80"/>
        </w:rPr>
        <w:t xml:space="preserve"> </w:t>
      </w:r>
      <w:proofErr w:type="spellStart"/>
      <w:r w:rsidRPr="00A94974">
        <w:rPr>
          <w:rFonts w:ascii="Trebuchet MS" w:hAnsi="Trebuchet MS"/>
          <w:color w:val="1F4E79" w:themeColor="accent1" w:themeShade="80"/>
        </w:rPr>
        <w:t>activităţi</w:t>
      </w:r>
      <w:proofErr w:type="spellEnd"/>
      <w:r w:rsidRPr="00A94974">
        <w:rPr>
          <w:rFonts w:ascii="Trebuchet MS" w:hAnsi="Trebuchet MS"/>
          <w:color w:val="1F4E79" w:themeColor="accent1" w:themeShade="80"/>
        </w:rPr>
        <w:t xml:space="preserve"> externalizate pentru AM PEO/OI PEO delegate, implicați direct în procesul de evaluare/</w:t>
      </w:r>
      <w:proofErr w:type="spellStart"/>
      <w:r w:rsidRPr="00A94974">
        <w:rPr>
          <w:rFonts w:ascii="Trebuchet MS" w:hAnsi="Trebuchet MS"/>
          <w:color w:val="1F4E79" w:themeColor="accent1" w:themeShade="80"/>
        </w:rPr>
        <w:t>selecţie</w:t>
      </w:r>
      <w:proofErr w:type="spellEnd"/>
      <w:r w:rsidRPr="00A94974">
        <w:rPr>
          <w:rFonts w:ascii="Trebuchet MS" w:hAnsi="Trebuchet MS"/>
          <w:color w:val="1F4E79" w:themeColor="accent1" w:themeShade="80"/>
        </w:rPr>
        <w:t xml:space="preserve">/aprobare/control, după caz, a cererilor de </w:t>
      </w:r>
      <w:proofErr w:type="spellStart"/>
      <w:r w:rsidRPr="00A94974">
        <w:rPr>
          <w:rFonts w:ascii="Trebuchet MS" w:hAnsi="Trebuchet MS"/>
          <w:color w:val="1F4E79" w:themeColor="accent1" w:themeShade="80"/>
        </w:rPr>
        <w:t>finanţare</w:t>
      </w:r>
      <w:proofErr w:type="spellEnd"/>
      <w:r w:rsidRPr="00A94974">
        <w:rPr>
          <w:rFonts w:ascii="Trebuchet MS" w:hAnsi="Trebuchet MS"/>
          <w:color w:val="1F4E79" w:themeColor="accent1" w:themeShade="80"/>
        </w:rPr>
        <w:t>, respectiv în procesul de verificare/autorizare/ plată/control al cererilor de rambursare/plată.</w:t>
      </w:r>
    </w:p>
    <w:p w14:paraId="2B319D79" w14:textId="77777777"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xml:space="preserve">În temeiul articolului 61 alin. (3) din Regulamentul (UE, Euratom) 2018/1046 al Parlamentului European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5867554F"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xml:space="preserve">În sensul aspectelor menționate mai sus, Beneficiarii se obligă să ia toate măsurile pentru respectarea regulilor pentru evitarea conflictului de interese, conform următoarelor prevederi legislative europene </w:t>
      </w:r>
      <w:r w:rsidR="00121160" w:rsidRPr="00A94974">
        <w:rPr>
          <w:rFonts w:ascii="Trebuchet MS" w:hAnsi="Trebuchet MS"/>
          <w:color w:val="1F4E79" w:themeColor="accent1" w:themeShade="80"/>
        </w:rPr>
        <w:t>ș</w:t>
      </w:r>
      <w:r w:rsidRPr="00A94974">
        <w:rPr>
          <w:rFonts w:ascii="Trebuchet MS" w:hAnsi="Trebuchet MS"/>
          <w:color w:val="1F4E79" w:themeColor="accent1" w:themeShade="80"/>
        </w:rPr>
        <w:t>i na</w:t>
      </w:r>
      <w:r w:rsidR="00121160" w:rsidRPr="00A94974">
        <w:rPr>
          <w:rFonts w:ascii="Trebuchet MS" w:hAnsi="Trebuchet MS"/>
          <w:color w:val="1F4E79" w:themeColor="accent1" w:themeShade="80"/>
        </w:rPr>
        <w:t>ț</w:t>
      </w:r>
      <w:r w:rsidRPr="00A94974">
        <w:rPr>
          <w:rFonts w:ascii="Trebuchet MS" w:hAnsi="Trebuchet MS"/>
          <w:color w:val="1F4E79" w:themeColor="accent1" w:themeShade="80"/>
        </w:rPr>
        <w:t>ionale:</w:t>
      </w:r>
    </w:p>
    <w:p w14:paraId="395E5C62" w14:textId="77777777"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0F40AB64"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xml:space="preserve">- Capitolul II, Secțiunea a 2-a Reguli în materia conflictului de interese, din OUG nr.66/2011 privind prevenirea, constatarea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w:t>
      </w:r>
      <w:proofErr w:type="spellStart"/>
      <w:r w:rsidRPr="00A94974">
        <w:rPr>
          <w:rFonts w:ascii="Trebuchet MS" w:hAnsi="Trebuchet MS"/>
          <w:color w:val="1F4E79" w:themeColor="accent1" w:themeShade="80"/>
        </w:rPr>
        <w:t>sancţionarea</w:t>
      </w:r>
      <w:proofErr w:type="spellEnd"/>
      <w:r w:rsidRPr="00A94974">
        <w:rPr>
          <w:rFonts w:ascii="Trebuchet MS" w:hAnsi="Trebuchet MS"/>
          <w:color w:val="1F4E79" w:themeColor="accent1" w:themeShade="80"/>
        </w:rPr>
        <w:t xml:space="preserve"> neregulilor apărute în </w:t>
      </w:r>
      <w:proofErr w:type="spellStart"/>
      <w:r w:rsidRPr="00A94974">
        <w:rPr>
          <w:rFonts w:ascii="Trebuchet MS" w:hAnsi="Trebuchet MS"/>
          <w:color w:val="1F4E79" w:themeColor="accent1" w:themeShade="80"/>
        </w:rPr>
        <w:t>obţinerea</w:t>
      </w:r>
      <w:proofErr w:type="spellEnd"/>
      <w:r w:rsidRPr="00A94974">
        <w:rPr>
          <w:rFonts w:ascii="Trebuchet MS" w:hAnsi="Trebuchet MS"/>
          <w:color w:val="1F4E79" w:themeColor="accent1" w:themeShade="80"/>
        </w:rPr>
        <w:t xml:space="preserve">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 utilizarea fondurilor europene </w:t>
      </w:r>
      <w:proofErr w:type="spellStart"/>
      <w:r w:rsidRPr="00A94974">
        <w:rPr>
          <w:rFonts w:ascii="Trebuchet MS" w:hAnsi="Trebuchet MS"/>
          <w:color w:val="1F4E79" w:themeColor="accent1" w:themeShade="80"/>
        </w:rPr>
        <w:t>şi</w:t>
      </w:r>
      <w:proofErr w:type="spellEnd"/>
      <w:r w:rsidRPr="00A94974">
        <w:rPr>
          <w:rFonts w:ascii="Trebuchet MS" w:hAnsi="Trebuchet MS"/>
          <w:color w:val="1F4E79" w:themeColor="accent1" w:themeShade="80"/>
        </w:rPr>
        <w:t xml:space="preserve">/sau a fondurilor publice </w:t>
      </w:r>
      <w:proofErr w:type="spellStart"/>
      <w:r w:rsidRPr="00A94974">
        <w:rPr>
          <w:rFonts w:ascii="Trebuchet MS" w:hAnsi="Trebuchet MS"/>
          <w:color w:val="1F4E79" w:themeColor="accent1" w:themeShade="80"/>
        </w:rPr>
        <w:t>naţionale</w:t>
      </w:r>
      <w:proofErr w:type="spellEnd"/>
      <w:r w:rsidRPr="00A94974">
        <w:rPr>
          <w:rFonts w:ascii="Trebuchet MS" w:hAnsi="Trebuchet MS"/>
          <w:color w:val="1F4E79" w:themeColor="accent1" w:themeShade="80"/>
        </w:rPr>
        <w:t xml:space="preserve"> aferente acestora, cu modificările și completările ulterioare;</w:t>
      </w:r>
    </w:p>
    <w:p w14:paraId="5FF30A33" w14:textId="77777777"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16F9A611" w14:textId="09DB37E6" w:rsidR="00525D76" w:rsidRPr="00A94974" w:rsidRDefault="00525D76" w:rsidP="00E27636">
      <w:pPr>
        <w:jc w:val="both"/>
        <w:rPr>
          <w:rFonts w:ascii="Trebuchet MS" w:hAnsi="Trebuchet MS"/>
          <w:color w:val="1F4E79" w:themeColor="accent1" w:themeShade="80"/>
        </w:rPr>
      </w:pPr>
      <w:r w:rsidRPr="00A94974">
        <w:rPr>
          <w:rFonts w:ascii="Trebuchet MS" w:hAnsi="Trebuchet MS"/>
          <w:color w:val="1F4E79" w:themeColor="accent1" w:themeShade="80"/>
        </w:rPr>
        <w:t>- capitolul II, secțiunea 4 Reguli de evitare a conflictului de interese, (art. 58-63), din Legea nr. 98/2016 privind achizițiile publice.</w:t>
      </w:r>
    </w:p>
    <w:p w14:paraId="7390F27A" w14:textId="2CB47587" w:rsidR="004C0B72" w:rsidRPr="00A94974" w:rsidRDefault="00A701C7" w:rsidP="00A701C7">
      <w:pPr>
        <w:pStyle w:val="Heading1"/>
        <w:rPr>
          <w:color w:val="1F4E79" w:themeColor="accent1" w:themeShade="80"/>
        </w:rPr>
      </w:pPr>
      <w:bookmarkStart w:id="109" w:name="_Toc179368155"/>
      <w:r w:rsidRPr="00A94974">
        <w:rPr>
          <w:color w:val="1F4E79" w:themeColor="accent1" w:themeShade="80"/>
        </w:rPr>
        <w:lastRenderedPageBreak/>
        <w:t xml:space="preserve">10. </w:t>
      </w:r>
      <w:r w:rsidR="004C0B72" w:rsidRPr="00A94974">
        <w:rPr>
          <w:color w:val="1F4E79" w:themeColor="accent1" w:themeShade="80"/>
        </w:rPr>
        <w:t>ASPECTE PRIVIND PRELUC</w:t>
      </w:r>
      <w:r w:rsidR="0072671F" w:rsidRPr="00A94974">
        <w:rPr>
          <w:color w:val="1F4E79" w:themeColor="accent1" w:themeShade="80"/>
        </w:rPr>
        <w:t>R</w:t>
      </w:r>
      <w:r w:rsidR="004C0B72" w:rsidRPr="00A94974">
        <w:rPr>
          <w:color w:val="1F4E79" w:themeColor="accent1" w:themeShade="80"/>
        </w:rPr>
        <w:t>AREA DATELOR CU CARACTER PERSONAL</w:t>
      </w:r>
      <w:bookmarkEnd w:id="109"/>
      <w:r w:rsidR="004C0B72" w:rsidRPr="00A94974">
        <w:rPr>
          <w:color w:val="1F4E79" w:themeColor="accent1" w:themeShade="80"/>
        </w:rPr>
        <w:t xml:space="preserve">  </w:t>
      </w:r>
      <w:r w:rsidR="004C0B72" w:rsidRPr="00A94974">
        <w:rPr>
          <w:color w:val="1F4E79" w:themeColor="accent1" w:themeShade="80"/>
        </w:rPr>
        <w:tab/>
      </w:r>
    </w:p>
    <w:p w14:paraId="4EDD70B9" w14:textId="77777777" w:rsidR="00525D76" w:rsidRPr="00A94974" w:rsidRDefault="00525D76"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A94974">
        <w:rPr>
          <w:rFonts w:ascii="Trebuchet MS" w:hAnsi="Trebuchet MS"/>
          <w:iCs/>
          <w:color w:val="1F4E79" w:themeColor="accent1" w:themeShade="80"/>
        </w:rPr>
        <w:t>şi</w:t>
      </w:r>
      <w:proofErr w:type="spellEnd"/>
      <w:r w:rsidRPr="00A94974">
        <w:rPr>
          <w:rFonts w:ascii="Trebuchet MS" w:hAnsi="Trebuchet M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03A3915" w14:textId="3169EB44" w:rsidR="00525D76" w:rsidRPr="00A94974" w:rsidRDefault="00525D76" w:rsidP="00E27636">
      <w:pPr>
        <w:tabs>
          <w:tab w:val="left" w:pos="709"/>
        </w:tabs>
        <w:spacing w:after="0" w:line="276" w:lineRule="auto"/>
        <w:jc w:val="both"/>
        <w:rPr>
          <w:rFonts w:ascii="Trebuchet MS" w:hAnsi="Trebuchet MS"/>
          <w:iCs/>
          <w:color w:val="1F4E79" w:themeColor="accent1" w:themeShade="80"/>
        </w:rPr>
      </w:pPr>
      <w:r w:rsidRPr="00A94974">
        <w:rPr>
          <w:rFonts w:ascii="Trebuchet MS" w:hAnsi="Trebuchet MS"/>
          <w:iCs/>
          <w:color w:val="1F4E79" w:themeColor="accent1" w:themeShade="80"/>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A94974" w:rsidRDefault="00525D76" w:rsidP="00E27636">
      <w:pPr>
        <w:pStyle w:val="ListParagraph"/>
        <w:tabs>
          <w:tab w:val="left" w:pos="709"/>
        </w:tabs>
        <w:spacing w:after="0" w:line="276" w:lineRule="auto"/>
        <w:ind w:left="450"/>
        <w:jc w:val="both"/>
        <w:rPr>
          <w:rFonts w:ascii="Trebuchet MS" w:hAnsi="Trebuchet MS"/>
          <w:i/>
          <w:color w:val="1F4E79" w:themeColor="accent1" w:themeShade="80"/>
        </w:rPr>
      </w:pPr>
    </w:p>
    <w:p w14:paraId="69E8ED20" w14:textId="2FBAC7D9" w:rsidR="00A82C81" w:rsidRPr="00A94974" w:rsidRDefault="00A701C7" w:rsidP="00A701C7">
      <w:pPr>
        <w:pStyle w:val="Heading1"/>
        <w:rPr>
          <w:color w:val="1F4E79" w:themeColor="accent1" w:themeShade="80"/>
        </w:rPr>
      </w:pPr>
      <w:bookmarkStart w:id="110" w:name="_Toc179368156"/>
      <w:r w:rsidRPr="00A94974">
        <w:rPr>
          <w:color w:val="1F4E79" w:themeColor="accent1" w:themeShade="80"/>
        </w:rPr>
        <w:t xml:space="preserve">11. </w:t>
      </w:r>
      <w:r w:rsidR="00A82C81" w:rsidRPr="00A94974">
        <w:rPr>
          <w:color w:val="1F4E79" w:themeColor="accent1" w:themeShade="80"/>
        </w:rPr>
        <w:t>ASPECTE PRIVIND MONITORIZAREA TEHNICĂ ȘI RAPOARTELE DE PROGRES</w:t>
      </w:r>
      <w:bookmarkEnd w:id="110"/>
      <w:r w:rsidR="00A82C81" w:rsidRPr="00A94974">
        <w:rPr>
          <w:color w:val="1F4E79" w:themeColor="accent1" w:themeShade="80"/>
        </w:rPr>
        <w:t xml:space="preserve">  </w:t>
      </w:r>
    </w:p>
    <w:p w14:paraId="06F3C6F1" w14:textId="5C2F6C47" w:rsidR="00A82C81" w:rsidRPr="00A94974" w:rsidRDefault="00C171D4" w:rsidP="00E27636">
      <w:pPr>
        <w:pStyle w:val="Heading2"/>
        <w:rPr>
          <w:color w:val="1F4E79" w:themeColor="accent1" w:themeShade="80"/>
        </w:rPr>
      </w:pPr>
      <w:bookmarkStart w:id="111" w:name="_Toc179368157"/>
      <w:r w:rsidRPr="00A94974">
        <w:rPr>
          <w:color w:val="1F4E79" w:themeColor="accent1" w:themeShade="80"/>
        </w:rPr>
        <w:t xml:space="preserve">11.1 </w:t>
      </w:r>
      <w:r w:rsidR="00A82C81" w:rsidRPr="00A94974">
        <w:rPr>
          <w:color w:val="1F4E79" w:themeColor="accent1" w:themeShade="80"/>
        </w:rPr>
        <w:t>Rapoartele de progres</w:t>
      </w:r>
      <w:bookmarkEnd w:id="111"/>
      <w:r w:rsidR="00A82C81" w:rsidRPr="00A94974">
        <w:rPr>
          <w:color w:val="1F4E79" w:themeColor="accent1" w:themeShade="80"/>
        </w:rPr>
        <w:t xml:space="preserve">  </w:t>
      </w:r>
      <w:r w:rsidR="00A82C81" w:rsidRPr="00A94974">
        <w:rPr>
          <w:color w:val="1F4E79" w:themeColor="accent1" w:themeShade="80"/>
        </w:rPr>
        <w:tab/>
      </w:r>
    </w:p>
    <w:p w14:paraId="5B70E61B" w14:textId="77777777" w:rsidR="00C72B02" w:rsidRPr="00A94974" w:rsidRDefault="00C72B02" w:rsidP="00E27636">
      <w:p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5387B38" w14:textId="77777777" w:rsidR="00C72B02" w:rsidRPr="00A94974" w:rsidRDefault="00C72B02" w:rsidP="00E27636">
      <w:p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6E7912DC" w14:textId="77777777" w:rsidR="00525D76" w:rsidRPr="00A94974" w:rsidRDefault="00525D76" w:rsidP="00E27636">
      <w:pPr>
        <w:rPr>
          <w:rFonts w:ascii="Trebuchet MS" w:hAnsi="Trebuchet MS"/>
          <w:color w:val="1F4E79" w:themeColor="accent1" w:themeShade="80"/>
        </w:rPr>
      </w:pPr>
    </w:p>
    <w:p w14:paraId="1845D17B" w14:textId="5AE986BD" w:rsidR="00A82C81" w:rsidRPr="00A94974" w:rsidRDefault="00C171D4" w:rsidP="00E27636">
      <w:pPr>
        <w:pStyle w:val="Heading2"/>
        <w:rPr>
          <w:color w:val="1F4E79" w:themeColor="accent1" w:themeShade="80"/>
        </w:rPr>
      </w:pPr>
      <w:bookmarkStart w:id="112" w:name="_Toc179368158"/>
      <w:r w:rsidRPr="00A94974">
        <w:rPr>
          <w:color w:val="1F4E79" w:themeColor="accent1" w:themeShade="80"/>
        </w:rPr>
        <w:t xml:space="preserve">11.2 </w:t>
      </w:r>
      <w:r w:rsidR="00A82C81" w:rsidRPr="00A94974">
        <w:rPr>
          <w:color w:val="1F4E79" w:themeColor="accent1" w:themeShade="80"/>
        </w:rPr>
        <w:t xml:space="preserve">Vizitele </w:t>
      </w:r>
      <w:r w:rsidR="00B81345" w:rsidRPr="00A94974">
        <w:rPr>
          <w:color w:val="1F4E79" w:themeColor="accent1" w:themeShade="80"/>
        </w:rPr>
        <w:t xml:space="preserve">de </w:t>
      </w:r>
      <w:r w:rsidR="00A82C81" w:rsidRPr="00A94974">
        <w:rPr>
          <w:color w:val="1F4E79" w:themeColor="accent1" w:themeShade="80"/>
        </w:rPr>
        <w:t>monitorizare</w:t>
      </w:r>
      <w:bookmarkEnd w:id="112"/>
      <w:r w:rsidR="00A82C81" w:rsidRPr="00A94974">
        <w:rPr>
          <w:color w:val="1F4E79" w:themeColor="accent1" w:themeShade="80"/>
        </w:rPr>
        <w:t xml:space="preserve"> </w:t>
      </w:r>
    </w:p>
    <w:p w14:paraId="352AAF2B" w14:textId="77777777" w:rsidR="00C72B02" w:rsidRPr="00A94974" w:rsidRDefault="00C72B02" w:rsidP="00E27636">
      <w:p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209F7188" w14:textId="77777777" w:rsidR="00525D76" w:rsidRPr="00A94974" w:rsidRDefault="00525D76" w:rsidP="00E27636">
      <w:pPr>
        <w:rPr>
          <w:rFonts w:ascii="Trebuchet MS" w:hAnsi="Trebuchet MS"/>
          <w:color w:val="1F4E79" w:themeColor="accent1" w:themeShade="80"/>
        </w:rPr>
      </w:pPr>
    </w:p>
    <w:p w14:paraId="7787F590" w14:textId="49C24C01" w:rsidR="00A82C81" w:rsidRPr="00A94974" w:rsidRDefault="00C171D4" w:rsidP="00E27636">
      <w:pPr>
        <w:pStyle w:val="Heading2"/>
        <w:rPr>
          <w:color w:val="1F4E79" w:themeColor="accent1" w:themeShade="80"/>
        </w:rPr>
      </w:pPr>
      <w:bookmarkStart w:id="113" w:name="_Toc179368159"/>
      <w:r w:rsidRPr="00A94974">
        <w:rPr>
          <w:color w:val="1F4E79" w:themeColor="accent1" w:themeShade="80"/>
        </w:rPr>
        <w:lastRenderedPageBreak/>
        <w:t xml:space="preserve">11.3 </w:t>
      </w:r>
      <w:r w:rsidR="00A82C81" w:rsidRPr="00A94974">
        <w:rPr>
          <w:color w:val="1F4E79" w:themeColor="accent1" w:themeShade="80"/>
        </w:rPr>
        <w:t>Mecanismul specific indicatorilor de etapă. Planul de monitorizare</w:t>
      </w:r>
      <w:bookmarkEnd w:id="113"/>
    </w:p>
    <w:p w14:paraId="1F277B7E" w14:textId="77777777" w:rsidR="00C72B02" w:rsidRPr="00A94974" w:rsidRDefault="00C72B02"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0BBEB050" w14:textId="7B251AE6" w:rsidR="00A82C81" w:rsidRPr="00A94974" w:rsidRDefault="00A701C7" w:rsidP="00A701C7">
      <w:pPr>
        <w:pStyle w:val="Heading1"/>
        <w:rPr>
          <w:color w:val="1F4E79" w:themeColor="accent1" w:themeShade="80"/>
        </w:rPr>
      </w:pPr>
      <w:bookmarkStart w:id="114" w:name="_Toc179368160"/>
      <w:r w:rsidRPr="00A94974">
        <w:rPr>
          <w:color w:val="1F4E79" w:themeColor="accent1" w:themeShade="80"/>
        </w:rPr>
        <w:t xml:space="preserve">12. </w:t>
      </w:r>
      <w:r w:rsidR="00A82C81" w:rsidRPr="00A94974">
        <w:rPr>
          <w:color w:val="1F4E79" w:themeColor="accent1" w:themeShade="80"/>
        </w:rPr>
        <w:t>ASPECTE PRIVIND MANAGEMENTUL FINANCIAR</w:t>
      </w:r>
      <w:bookmarkEnd w:id="114"/>
    </w:p>
    <w:p w14:paraId="6D9CA2E8" w14:textId="1965A91C" w:rsidR="00A82C81" w:rsidRPr="00A94974" w:rsidRDefault="00CB3D9A" w:rsidP="00E27636">
      <w:pPr>
        <w:pStyle w:val="Heading2"/>
        <w:rPr>
          <w:color w:val="1F4E79" w:themeColor="accent1" w:themeShade="80"/>
        </w:rPr>
      </w:pPr>
      <w:bookmarkStart w:id="115" w:name="_Toc179368161"/>
      <w:bookmarkStart w:id="116" w:name="_Hlk131881881"/>
      <w:r w:rsidRPr="00A94974">
        <w:rPr>
          <w:color w:val="1F4E79" w:themeColor="accent1" w:themeShade="80"/>
        </w:rPr>
        <w:t xml:space="preserve">12.1 </w:t>
      </w:r>
      <w:r w:rsidR="00A82C81" w:rsidRPr="00A94974">
        <w:rPr>
          <w:color w:val="1F4E79" w:themeColor="accent1" w:themeShade="80"/>
        </w:rPr>
        <w:t>Mecanismul cererilor de prefinanțare</w:t>
      </w:r>
      <w:bookmarkEnd w:id="115"/>
      <w:r w:rsidR="00A82C81" w:rsidRPr="00A94974">
        <w:rPr>
          <w:color w:val="1F4E79" w:themeColor="accent1" w:themeShade="80"/>
        </w:rPr>
        <w:t xml:space="preserve"> </w:t>
      </w:r>
      <w:bookmarkEnd w:id="116"/>
      <w:r w:rsidR="00A82C81" w:rsidRPr="00A94974">
        <w:rPr>
          <w:color w:val="1F4E79" w:themeColor="accent1" w:themeShade="80"/>
        </w:rPr>
        <w:tab/>
      </w:r>
    </w:p>
    <w:p w14:paraId="08BB030F" w14:textId="77777777" w:rsidR="00C72B02" w:rsidRPr="00A94974" w:rsidRDefault="00C72B02" w:rsidP="00E27636">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A94974">
        <w:rPr>
          <w:rFonts w:ascii="Trebuchet MS" w:hAnsi="Trebuchet MS"/>
          <w:color w:val="1F4E79" w:themeColor="accent1" w:themeShade="80"/>
          <w:bdr w:val="none" w:sz="0" w:space="0" w:color="auto" w:frame="1"/>
          <w:shd w:val="clear" w:color="auto" w:fill="FFFFFF"/>
        </w:rPr>
        <w:t xml:space="preserve">Mecanismul cererilor de prefinanțare se derulează cu respectarea prevederilor cap. IV din OUG nr. 133/2021 </w:t>
      </w:r>
      <w:r w:rsidRPr="00A94974">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9E9145E" w14:textId="77777777" w:rsidR="00525D76" w:rsidRPr="00A94974" w:rsidRDefault="00525D76" w:rsidP="00E27636">
      <w:pPr>
        <w:rPr>
          <w:rFonts w:ascii="Trebuchet MS" w:hAnsi="Trebuchet MS"/>
          <w:color w:val="1F4E79" w:themeColor="accent1" w:themeShade="80"/>
        </w:rPr>
      </w:pPr>
    </w:p>
    <w:p w14:paraId="5E7B9460" w14:textId="034AD164" w:rsidR="00A82C81" w:rsidRPr="00A94974" w:rsidRDefault="00CB3D9A" w:rsidP="00E27636">
      <w:pPr>
        <w:pStyle w:val="Heading2"/>
        <w:rPr>
          <w:color w:val="1F4E79" w:themeColor="accent1" w:themeShade="80"/>
        </w:rPr>
      </w:pPr>
      <w:bookmarkStart w:id="117" w:name="_Toc179368162"/>
      <w:r w:rsidRPr="00A94974">
        <w:rPr>
          <w:color w:val="1F4E79" w:themeColor="accent1" w:themeShade="80"/>
        </w:rPr>
        <w:t xml:space="preserve">12.2 </w:t>
      </w:r>
      <w:r w:rsidR="00A82C81" w:rsidRPr="00A94974">
        <w:rPr>
          <w:color w:val="1F4E79" w:themeColor="accent1" w:themeShade="80"/>
        </w:rPr>
        <w:t>Mecanismul cererilor de plată</w:t>
      </w:r>
      <w:bookmarkEnd w:id="117"/>
      <w:r w:rsidR="00A82C81" w:rsidRPr="00A94974">
        <w:rPr>
          <w:color w:val="1F4E79" w:themeColor="accent1" w:themeShade="80"/>
        </w:rPr>
        <w:tab/>
      </w:r>
    </w:p>
    <w:p w14:paraId="69FF1091" w14:textId="77777777" w:rsidR="00C72B02" w:rsidRPr="00A94974" w:rsidRDefault="00C72B02" w:rsidP="00E27636">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A94974">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A94974">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51CBAFC6" w14:textId="77777777" w:rsidR="00525D76" w:rsidRPr="00A94974" w:rsidRDefault="00525D76" w:rsidP="00E27636">
      <w:pPr>
        <w:rPr>
          <w:rFonts w:ascii="Trebuchet MS" w:hAnsi="Trebuchet MS"/>
          <w:color w:val="1F4E79" w:themeColor="accent1" w:themeShade="80"/>
        </w:rPr>
      </w:pPr>
    </w:p>
    <w:p w14:paraId="05068FF2" w14:textId="74EE82D1" w:rsidR="00A82C81" w:rsidRPr="00A94974" w:rsidRDefault="00CB3D9A" w:rsidP="00E27636">
      <w:pPr>
        <w:pStyle w:val="Heading2"/>
        <w:rPr>
          <w:color w:val="1F4E79" w:themeColor="accent1" w:themeShade="80"/>
        </w:rPr>
      </w:pPr>
      <w:bookmarkStart w:id="118" w:name="_Toc179368163"/>
      <w:r w:rsidRPr="00A94974">
        <w:rPr>
          <w:color w:val="1F4E79" w:themeColor="accent1" w:themeShade="80"/>
        </w:rPr>
        <w:t xml:space="preserve">12.3 </w:t>
      </w:r>
      <w:r w:rsidR="00A82C81" w:rsidRPr="00A94974">
        <w:rPr>
          <w:color w:val="1F4E79" w:themeColor="accent1" w:themeShade="80"/>
        </w:rPr>
        <w:t>Mecanismul cererilor de rambursare</w:t>
      </w:r>
      <w:bookmarkEnd w:id="118"/>
      <w:r w:rsidR="00A82C81" w:rsidRPr="00A94974">
        <w:rPr>
          <w:color w:val="1F4E79" w:themeColor="accent1" w:themeShade="80"/>
        </w:rPr>
        <w:t xml:space="preserve"> </w:t>
      </w:r>
      <w:r w:rsidR="00A82C81" w:rsidRPr="00A94974">
        <w:rPr>
          <w:color w:val="1F4E79" w:themeColor="accent1" w:themeShade="80"/>
        </w:rPr>
        <w:tab/>
      </w:r>
    </w:p>
    <w:p w14:paraId="16816B28" w14:textId="77777777" w:rsidR="00C72B02" w:rsidRPr="00A94974" w:rsidRDefault="00C72B02" w:rsidP="00E27636">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A94974">
        <w:rPr>
          <w:rFonts w:ascii="Trebuchet MS" w:hAnsi="Trebuchet MS"/>
          <w:color w:val="1F4E79" w:themeColor="accent1" w:themeShade="80"/>
          <w:bdr w:val="none" w:sz="0" w:space="0" w:color="auto" w:frame="1"/>
          <w:shd w:val="clear" w:color="auto" w:fill="FFFFFF"/>
        </w:rPr>
        <w:t xml:space="preserve">Mecanismul cererilor de rambursare se derulează cu respectarea prevederilor cap. V din OUG nr. 133/2021 </w:t>
      </w:r>
      <w:r w:rsidRPr="00A94974">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4E4EF08" w14:textId="77777777" w:rsidR="00525D76" w:rsidRPr="00A94974" w:rsidRDefault="00525D76" w:rsidP="00E27636">
      <w:pPr>
        <w:rPr>
          <w:rFonts w:ascii="Trebuchet MS" w:hAnsi="Trebuchet MS"/>
          <w:color w:val="1F4E79" w:themeColor="accent1" w:themeShade="80"/>
        </w:rPr>
      </w:pPr>
    </w:p>
    <w:p w14:paraId="4E257637" w14:textId="1B8037D3" w:rsidR="00A82C81" w:rsidRPr="00A94974" w:rsidRDefault="00CB3D9A" w:rsidP="00E27636">
      <w:pPr>
        <w:pStyle w:val="Heading2"/>
        <w:rPr>
          <w:color w:val="1F4E79" w:themeColor="accent1" w:themeShade="80"/>
        </w:rPr>
      </w:pPr>
      <w:bookmarkStart w:id="119" w:name="_Toc179368164"/>
      <w:r w:rsidRPr="00A94974">
        <w:rPr>
          <w:color w:val="1F4E79" w:themeColor="accent1" w:themeShade="80"/>
        </w:rPr>
        <w:t xml:space="preserve">12.4 </w:t>
      </w:r>
      <w:r w:rsidR="00A82C81" w:rsidRPr="00A94974">
        <w:rPr>
          <w:color w:val="1F4E79" w:themeColor="accent1" w:themeShade="80"/>
        </w:rPr>
        <w:t xml:space="preserve">Graficul cererilor de </w:t>
      </w:r>
      <w:r w:rsidR="00B56F23" w:rsidRPr="00A94974">
        <w:rPr>
          <w:color w:val="1F4E79" w:themeColor="accent1" w:themeShade="80"/>
        </w:rPr>
        <w:t>prefinanțare</w:t>
      </w:r>
      <w:r w:rsidR="00A82C81" w:rsidRPr="00A94974">
        <w:rPr>
          <w:color w:val="1F4E79" w:themeColor="accent1" w:themeShade="80"/>
        </w:rPr>
        <w:t>/plată/rambursare</w:t>
      </w:r>
      <w:bookmarkEnd w:id="119"/>
      <w:r w:rsidR="00A82C81" w:rsidRPr="00A94974">
        <w:rPr>
          <w:color w:val="1F4E79" w:themeColor="accent1" w:themeShade="80"/>
        </w:rPr>
        <w:t xml:space="preserve"> </w:t>
      </w:r>
      <w:r w:rsidR="00A82C81" w:rsidRPr="00A94974">
        <w:rPr>
          <w:color w:val="1F4E79" w:themeColor="accent1" w:themeShade="80"/>
        </w:rPr>
        <w:tab/>
      </w:r>
    </w:p>
    <w:p w14:paraId="42925A66" w14:textId="77777777" w:rsidR="00C72B02" w:rsidRPr="00A94974" w:rsidRDefault="00C72B02" w:rsidP="00E27636">
      <w:pPr>
        <w:pStyle w:val="ListParagraph"/>
        <w:spacing w:after="0" w:line="240" w:lineRule="auto"/>
        <w:ind w:left="0"/>
        <w:jc w:val="both"/>
        <w:rPr>
          <w:rFonts w:ascii="Trebuchet MS" w:hAnsi="Trebuchet MS"/>
          <w:color w:val="1F4E79" w:themeColor="accent1" w:themeShade="80"/>
        </w:rPr>
      </w:pPr>
      <w:r w:rsidRPr="00A94974">
        <w:rPr>
          <w:rFonts w:ascii="Trebuchet MS" w:hAnsi="Trebuchet MS"/>
          <w:color w:val="1F4E79" w:themeColor="accent1" w:themeShade="80"/>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3F1789" w14:textId="77777777" w:rsidR="00525D76" w:rsidRPr="00A94974" w:rsidRDefault="00525D76" w:rsidP="00E27636">
      <w:pPr>
        <w:rPr>
          <w:rFonts w:ascii="Trebuchet MS" w:hAnsi="Trebuchet MS"/>
          <w:color w:val="1F4E79" w:themeColor="accent1" w:themeShade="80"/>
        </w:rPr>
      </w:pPr>
    </w:p>
    <w:p w14:paraId="269E83D9" w14:textId="313B554D" w:rsidR="00A82C81" w:rsidRPr="00A94974" w:rsidRDefault="00CB3D9A" w:rsidP="00E27636">
      <w:pPr>
        <w:pStyle w:val="Heading2"/>
        <w:rPr>
          <w:color w:val="1F4E79" w:themeColor="accent1" w:themeShade="80"/>
        </w:rPr>
      </w:pPr>
      <w:bookmarkStart w:id="120" w:name="_Toc179368165"/>
      <w:r w:rsidRPr="00A94974">
        <w:rPr>
          <w:color w:val="1F4E79" w:themeColor="accent1" w:themeShade="80"/>
        </w:rPr>
        <w:t xml:space="preserve">12.5 </w:t>
      </w:r>
      <w:r w:rsidR="00A82C81" w:rsidRPr="00A94974">
        <w:rPr>
          <w:color w:val="1F4E79" w:themeColor="accent1" w:themeShade="80"/>
        </w:rPr>
        <w:t>Vizitele la fața locului</w:t>
      </w:r>
      <w:bookmarkEnd w:id="120"/>
      <w:r w:rsidR="00A82C81" w:rsidRPr="00A94974">
        <w:rPr>
          <w:color w:val="1F4E79" w:themeColor="accent1" w:themeShade="80"/>
        </w:rPr>
        <w:t xml:space="preserve"> </w:t>
      </w:r>
      <w:r w:rsidR="00A82C81" w:rsidRPr="00A94974">
        <w:rPr>
          <w:color w:val="1F4E79" w:themeColor="accent1" w:themeShade="80"/>
        </w:rPr>
        <w:tab/>
      </w:r>
    </w:p>
    <w:p w14:paraId="2785BC4F" w14:textId="77777777" w:rsidR="00C72B02" w:rsidRPr="00A94974" w:rsidRDefault="00C72B02" w:rsidP="00E27636">
      <w:p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5095FB1D" w14:textId="77777777" w:rsidR="00C72B02" w:rsidRPr="00A94974" w:rsidRDefault="00C72B02" w:rsidP="00E27636">
      <w:pPr>
        <w:spacing w:after="0" w:line="240" w:lineRule="auto"/>
        <w:jc w:val="both"/>
        <w:rPr>
          <w:rFonts w:ascii="Trebuchet MS" w:hAnsi="Trebuchet MS"/>
          <w:color w:val="1F4E79" w:themeColor="accent1" w:themeShade="80"/>
        </w:rPr>
      </w:pPr>
      <w:r w:rsidRPr="00A94974">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6D6B6BC8" w:rsidR="00566CCA" w:rsidRPr="00A94974" w:rsidRDefault="00A701C7" w:rsidP="00A701C7">
      <w:pPr>
        <w:pStyle w:val="Heading1"/>
        <w:rPr>
          <w:color w:val="1F4E79" w:themeColor="accent1" w:themeShade="80"/>
        </w:rPr>
      </w:pPr>
      <w:bookmarkStart w:id="121" w:name="_Toc179368166"/>
      <w:r w:rsidRPr="00A94974">
        <w:rPr>
          <w:color w:val="1F4E79" w:themeColor="accent1" w:themeShade="80"/>
        </w:rPr>
        <w:lastRenderedPageBreak/>
        <w:t xml:space="preserve">13. </w:t>
      </w:r>
      <w:r w:rsidR="00566CCA" w:rsidRPr="00A94974">
        <w:rPr>
          <w:color w:val="1F4E79" w:themeColor="accent1" w:themeShade="80"/>
        </w:rPr>
        <w:t>MODIFICAREA GHIDULUI SOLICITANTULUI</w:t>
      </w:r>
      <w:bookmarkEnd w:id="121"/>
      <w:r w:rsidR="00566CCA" w:rsidRPr="00A94974">
        <w:rPr>
          <w:color w:val="1F4E79" w:themeColor="accent1" w:themeShade="80"/>
        </w:rPr>
        <w:tab/>
      </w:r>
    </w:p>
    <w:p w14:paraId="5AF72E6C" w14:textId="0E3C70DE" w:rsidR="00566CCA" w:rsidRPr="00A94974" w:rsidRDefault="00926E2F" w:rsidP="00E27636">
      <w:pPr>
        <w:pStyle w:val="Heading2"/>
        <w:rPr>
          <w:color w:val="1F4E79" w:themeColor="accent1" w:themeShade="80"/>
        </w:rPr>
      </w:pPr>
      <w:bookmarkStart w:id="122" w:name="_Toc179368167"/>
      <w:r w:rsidRPr="00A94974">
        <w:rPr>
          <w:color w:val="1F4E79" w:themeColor="accent1" w:themeShade="80"/>
        </w:rPr>
        <w:t xml:space="preserve">13.1 </w:t>
      </w:r>
      <w:r w:rsidR="00566CCA" w:rsidRPr="00A94974">
        <w:rPr>
          <w:color w:val="1F4E79" w:themeColor="accent1" w:themeShade="80"/>
        </w:rPr>
        <w:t>Aspectele care pot face obiectul modificărilor prevederilor ghidului solicitantului</w:t>
      </w:r>
      <w:bookmarkEnd w:id="122"/>
      <w:r w:rsidR="00566CCA" w:rsidRPr="00A94974">
        <w:rPr>
          <w:color w:val="1F4E79" w:themeColor="accent1" w:themeShade="80"/>
        </w:rPr>
        <w:tab/>
      </w:r>
    </w:p>
    <w:p w14:paraId="79292CF8" w14:textId="77777777" w:rsidR="00C72B02" w:rsidRPr="00A94974" w:rsidRDefault="00C72B02" w:rsidP="00E27636">
      <w:p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0C6E067E" w14:textId="77777777" w:rsidR="00AF4927" w:rsidRPr="00A94974" w:rsidRDefault="00C72B02" w:rsidP="00AF4927">
      <w:p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Aspecte ce pot face obiectul modificărilor prevederilor prezentului Ghid al solicitantului condiții specifice:</w:t>
      </w:r>
    </w:p>
    <w:p w14:paraId="24D0D12F" w14:textId="77777777" w:rsidR="00AF4927" w:rsidRPr="00A94974" w:rsidRDefault="00C72B02" w:rsidP="00BE3FAB">
      <w:pPr>
        <w:pStyle w:val="ListParagraph"/>
        <w:numPr>
          <w:ilvl w:val="0"/>
          <w:numId w:val="15"/>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data limită de depunere a Cererilor de finanțare în aplicația MySMIS2021/SMIS2021+</w:t>
      </w:r>
      <w:r w:rsidR="00AF4927" w:rsidRPr="00A94974">
        <w:rPr>
          <w:rFonts w:ascii="Trebuchet MS" w:hAnsi="Trebuchet MS"/>
          <w:iCs/>
          <w:color w:val="1F4E79" w:themeColor="accent1" w:themeShade="80"/>
        </w:rPr>
        <w:t>;</w:t>
      </w:r>
    </w:p>
    <w:p w14:paraId="463138A5" w14:textId="77777777" w:rsidR="00AF4927" w:rsidRPr="00A94974" w:rsidRDefault="00C72B02" w:rsidP="00BE3FAB">
      <w:pPr>
        <w:pStyle w:val="ListParagraph"/>
        <w:numPr>
          <w:ilvl w:val="0"/>
          <w:numId w:val="15"/>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anexele la Ghidul Solicitantului Condiții Specifice</w:t>
      </w:r>
      <w:r w:rsidR="00AF4927" w:rsidRPr="00A94974">
        <w:rPr>
          <w:rFonts w:ascii="Trebuchet MS" w:hAnsi="Trebuchet MS"/>
          <w:iCs/>
          <w:color w:val="1F4E79" w:themeColor="accent1" w:themeShade="80"/>
        </w:rPr>
        <w:t>;</w:t>
      </w:r>
    </w:p>
    <w:p w14:paraId="785CCC8C" w14:textId="6956DC31" w:rsidR="00525D76" w:rsidRPr="00A94974" w:rsidRDefault="00C72B02" w:rsidP="00BE3FAB">
      <w:pPr>
        <w:pStyle w:val="ListParagraph"/>
        <w:numPr>
          <w:ilvl w:val="0"/>
          <w:numId w:val="15"/>
        </w:numPr>
        <w:spacing w:before="120" w:after="120"/>
        <w:jc w:val="both"/>
        <w:rPr>
          <w:rFonts w:ascii="Trebuchet MS" w:hAnsi="Trebuchet MS"/>
          <w:iCs/>
          <w:color w:val="1F4E79" w:themeColor="accent1" w:themeShade="80"/>
        </w:rPr>
      </w:pPr>
      <w:r w:rsidRPr="00A94974">
        <w:rPr>
          <w:rFonts w:ascii="Trebuchet MS" w:hAnsi="Trebuchet MS"/>
          <w:iCs/>
          <w:color w:val="1F4E79" w:themeColor="accent1" w:themeShade="80"/>
        </w:rPr>
        <w:t>alte elemente, identificate ulterior lansării apelului de proiecte, ca fiind deficitare a căror remedi</w:t>
      </w:r>
      <w:r w:rsidR="000B4CE7" w:rsidRPr="00A94974">
        <w:rPr>
          <w:rFonts w:ascii="Trebuchet MS" w:hAnsi="Trebuchet MS"/>
          <w:iCs/>
          <w:color w:val="1F4E79" w:themeColor="accent1" w:themeShade="80"/>
        </w:rPr>
        <w:t>e</w:t>
      </w:r>
      <w:r w:rsidRPr="00A94974">
        <w:rPr>
          <w:rFonts w:ascii="Trebuchet MS" w:hAnsi="Trebuchet MS"/>
          <w:iCs/>
          <w:color w:val="1F4E79" w:themeColor="accent1" w:themeShade="80"/>
        </w:rPr>
        <w:t>re necesită modificarea Ghidului Solicitantului Condiții Specifice</w:t>
      </w:r>
      <w:r w:rsidR="00AF4927" w:rsidRPr="00A94974">
        <w:rPr>
          <w:rFonts w:ascii="Trebuchet MS" w:hAnsi="Trebuchet MS"/>
          <w:iCs/>
          <w:color w:val="1F4E79" w:themeColor="accent1" w:themeShade="80"/>
        </w:rPr>
        <w:t>.</w:t>
      </w:r>
    </w:p>
    <w:p w14:paraId="57BCCC56" w14:textId="10F2D609" w:rsidR="00566CCA" w:rsidRPr="00A94974" w:rsidRDefault="00926E2F" w:rsidP="00E27636">
      <w:pPr>
        <w:pStyle w:val="Heading2"/>
        <w:rPr>
          <w:color w:val="1F4E79" w:themeColor="accent1" w:themeShade="80"/>
        </w:rPr>
      </w:pPr>
      <w:bookmarkStart w:id="123" w:name="_Toc179368168"/>
      <w:r w:rsidRPr="00A94974">
        <w:rPr>
          <w:color w:val="1F4E79" w:themeColor="accent1" w:themeShade="80"/>
        </w:rPr>
        <w:t xml:space="preserve">13.2 </w:t>
      </w:r>
      <w:r w:rsidR="00566CCA" w:rsidRPr="00A94974">
        <w:rPr>
          <w:color w:val="1F4E79" w:themeColor="accent1" w:themeShade="80"/>
        </w:rPr>
        <w:t>Condiții privind aplicarea modificărilor pentru cererile de finanțare aflate în procesul de selecție (condiții tranzitorii)</w:t>
      </w:r>
      <w:bookmarkEnd w:id="123"/>
      <w:r w:rsidR="00566CCA" w:rsidRPr="00A94974">
        <w:rPr>
          <w:color w:val="1F4E79" w:themeColor="accent1" w:themeShade="80"/>
        </w:rPr>
        <w:tab/>
      </w:r>
    </w:p>
    <w:p w14:paraId="5E1EC374" w14:textId="278FBEB0" w:rsidR="00C72B02" w:rsidRPr="00A94974" w:rsidRDefault="00C72B02" w:rsidP="00E27636">
      <w:pPr>
        <w:spacing w:after="0" w:line="240" w:lineRule="auto"/>
        <w:jc w:val="both"/>
        <w:rPr>
          <w:rFonts w:ascii="Trebuchet MS" w:hAnsi="Trebuchet MS"/>
          <w:iCs/>
          <w:color w:val="1F4E79" w:themeColor="accent1" w:themeShade="80"/>
        </w:rPr>
      </w:pPr>
      <w:r w:rsidRPr="00A94974">
        <w:rPr>
          <w:rFonts w:ascii="Trebuchet MS" w:hAnsi="Trebuchet MS"/>
          <w:iCs/>
          <w:color w:val="1F4E79" w:themeColor="accent1" w:themeShade="80"/>
        </w:rPr>
        <w:t xml:space="preserve">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w:t>
      </w:r>
      <w:r w:rsidR="00CD57D1" w:rsidRPr="00A94974">
        <w:rPr>
          <w:rFonts w:ascii="Trebuchet MS" w:hAnsi="Trebuchet MS"/>
          <w:iCs/>
          <w:color w:val="1F4E79" w:themeColor="accent1" w:themeShade="80"/>
        </w:rPr>
        <w:t>d</w:t>
      </w:r>
      <w:r w:rsidRPr="00A94974">
        <w:rPr>
          <w:rFonts w:ascii="Trebuchet MS" w:hAnsi="Trebuchet MS"/>
          <w:iCs/>
          <w:color w:val="1F4E79" w:themeColor="accent1" w:themeShade="80"/>
        </w:rPr>
        <w:t>epunerii cererii de finanțare.</w:t>
      </w:r>
    </w:p>
    <w:p w14:paraId="00F7D6B0" w14:textId="519F213C" w:rsidR="00566CCA" w:rsidRPr="00A94974" w:rsidRDefault="00A701C7" w:rsidP="00A701C7">
      <w:pPr>
        <w:pStyle w:val="Heading1"/>
        <w:rPr>
          <w:color w:val="1F4E79" w:themeColor="accent1" w:themeShade="80"/>
        </w:rPr>
      </w:pPr>
      <w:bookmarkStart w:id="124" w:name="_Toc179368169"/>
      <w:r w:rsidRPr="00A94974">
        <w:rPr>
          <w:color w:val="1F4E79" w:themeColor="accent1" w:themeShade="80"/>
        </w:rPr>
        <w:t xml:space="preserve">14. </w:t>
      </w:r>
      <w:r w:rsidR="00566CCA" w:rsidRPr="00A94974">
        <w:rPr>
          <w:color w:val="1F4E79" w:themeColor="accent1" w:themeShade="80"/>
        </w:rPr>
        <w:t>ANEXE</w:t>
      </w:r>
      <w:bookmarkEnd w:id="124"/>
      <w:r w:rsidR="00566CCA" w:rsidRPr="00A94974">
        <w:rPr>
          <w:color w:val="1F4E79" w:themeColor="accent1" w:themeShade="80"/>
        </w:rPr>
        <w:tab/>
      </w:r>
    </w:p>
    <w:p w14:paraId="6F8DB729" w14:textId="02607F8B" w:rsidR="00C72B02" w:rsidRPr="00A94974" w:rsidRDefault="00C72B02" w:rsidP="00A7718E">
      <w:pPr>
        <w:pStyle w:val="Heading1"/>
        <w:jc w:val="both"/>
        <w:rPr>
          <w:color w:val="1F4E79" w:themeColor="accent1" w:themeShade="80"/>
        </w:rPr>
      </w:pPr>
      <w:bookmarkStart w:id="125" w:name="_Toc137809787"/>
      <w:bookmarkStart w:id="126" w:name="_Toc179368170"/>
      <w:r w:rsidRPr="00A94974">
        <w:rPr>
          <w:color w:val="1F4E79" w:themeColor="accent1" w:themeShade="80"/>
        </w:rPr>
        <w:t>14.1. Anexa nr. 1. Declarație unică</w:t>
      </w:r>
      <w:bookmarkEnd w:id="125"/>
      <w:bookmarkEnd w:id="126"/>
    </w:p>
    <w:p w14:paraId="2AB89DB3" w14:textId="3958C07A" w:rsidR="00C72B02" w:rsidRPr="00A94974" w:rsidRDefault="00C72B02" w:rsidP="00A7718E">
      <w:pPr>
        <w:pStyle w:val="Heading1"/>
        <w:jc w:val="both"/>
        <w:rPr>
          <w:color w:val="1F4E79" w:themeColor="accent1" w:themeShade="80"/>
        </w:rPr>
      </w:pPr>
      <w:bookmarkStart w:id="127" w:name="_Toc137809788"/>
      <w:bookmarkStart w:id="128" w:name="_Toc179368171"/>
      <w:r w:rsidRPr="00A94974">
        <w:rPr>
          <w:color w:val="1F4E79" w:themeColor="accent1" w:themeShade="80"/>
        </w:rPr>
        <w:t>14.2. Anexa nr. 2. Criterii de evaluare tehnică și financiară preliminară</w:t>
      </w:r>
      <w:bookmarkEnd w:id="127"/>
      <w:bookmarkEnd w:id="128"/>
    </w:p>
    <w:p w14:paraId="0786B4F9" w14:textId="77777777" w:rsidR="00C72B02" w:rsidRPr="00A94974" w:rsidRDefault="00C72B02" w:rsidP="00A7718E">
      <w:pPr>
        <w:pStyle w:val="Heading1"/>
        <w:jc w:val="both"/>
        <w:rPr>
          <w:color w:val="1F4E79" w:themeColor="accent1" w:themeShade="80"/>
        </w:rPr>
      </w:pPr>
      <w:bookmarkStart w:id="129" w:name="_Toc137809789"/>
      <w:bookmarkStart w:id="130" w:name="_Toc179368172"/>
      <w:r w:rsidRPr="00A94974">
        <w:rPr>
          <w:color w:val="1F4E79" w:themeColor="accent1" w:themeShade="80"/>
        </w:rPr>
        <w:t>14.3. Anexa nr. 3. Criterii de evaluare tehnică și financiară calitativă</w:t>
      </w:r>
      <w:bookmarkEnd w:id="129"/>
      <w:bookmarkEnd w:id="130"/>
    </w:p>
    <w:p w14:paraId="55D958DF" w14:textId="37766790" w:rsidR="00C72B02" w:rsidRPr="00A94974" w:rsidRDefault="00C72B02" w:rsidP="00A7718E">
      <w:pPr>
        <w:pStyle w:val="Heading1"/>
        <w:jc w:val="both"/>
        <w:rPr>
          <w:color w:val="1F4E79" w:themeColor="accent1" w:themeShade="80"/>
        </w:rPr>
      </w:pPr>
      <w:bookmarkStart w:id="131" w:name="_Toc179368173"/>
      <w:r w:rsidRPr="00A94974">
        <w:rPr>
          <w:color w:val="1F4E79" w:themeColor="accent1" w:themeShade="80"/>
        </w:rPr>
        <w:t>14.4. Anexa nr. 4. Contractul de finanțare – Condiții Specifice</w:t>
      </w:r>
      <w:bookmarkEnd w:id="131"/>
    </w:p>
    <w:p w14:paraId="6013140C" w14:textId="0ECBB107" w:rsidR="00580DD0" w:rsidRPr="00A94974" w:rsidRDefault="00580DD0" w:rsidP="00603B8F">
      <w:pPr>
        <w:pStyle w:val="Heading1"/>
        <w:jc w:val="both"/>
        <w:rPr>
          <w:color w:val="1F4E79" w:themeColor="accent1" w:themeShade="80"/>
        </w:rPr>
      </w:pPr>
      <w:bookmarkStart w:id="132" w:name="_Toc179368174"/>
      <w:r w:rsidRPr="00A94974">
        <w:rPr>
          <w:color w:val="1F4E79" w:themeColor="accent1" w:themeShade="80"/>
        </w:rPr>
        <w:t xml:space="preserve">14.5. Anexa nr. 5. Model </w:t>
      </w:r>
      <w:r w:rsidR="003967B7" w:rsidRPr="00A94974">
        <w:rPr>
          <w:color w:val="1F4E79" w:themeColor="accent1" w:themeShade="80"/>
        </w:rPr>
        <w:t>Declarație privind conformitatea cu prevederile Cartei drepturilor fundamentale ale Uniunii Europene</w:t>
      </w:r>
      <w:bookmarkEnd w:id="132"/>
    </w:p>
    <w:p w14:paraId="56F5016D" w14:textId="62DE2727" w:rsidR="00580DD0" w:rsidRPr="00A94974" w:rsidRDefault="00580DD0" w:rsidP="00A7718E">
      <w:pPr>
        <w:pStyle w:val="Heading1"/>
        <w:jc w:val="both"/>
        <w:rPr>
          <w:color w:val="1F4E79" w:themeColor="accent1" w:themeShade="80"/>
        </w:rPr>
      </w:pPr>
      <w:bookmarkStart w:id="133" w:name="_Toc179368175"/>
      <w:r w:rsidRPr="00A94974">
        <w:rPr>
          <w:color w:val="1F4E79" w:themeColor="accent1" w:themeShade="80"/>
        </w:rPr>
        <w:t xml:space="preserve">14.6. Anexa nr. 6.  Model </w:t>
      </w:r>
      <w:r w:rsidR="003967B7" w:rsidRPr="00A94974">
        <w:rPr>
          <w:color w:val="1F4E79" w:themeColor="accent1" w:themeShade="80"/>
        </w:rPr>
        <w:t>Declarație privind respectarea Convenției Națiunilor Unite privind drepturile persoanelor cu dizabilități</w:t>
      </w:r>
      <w:bookmarkEnd w:id="133"/>
    </w:p>
    <w:p w14:paraId="028F58EE" w14:textId="65D7F289" w:rsidR="00DA45C5" w:rsidRPr="00A94974" w:rsidRDefault="00A7718E" w:rsidP="00BA7A5E">
      <w:pPr>
        <w:pStyle w:val="Heading1"/>
        <w:jc w:val="both"/>
        <w:rPr>
          <w:color w:val="1F4E79" w:themeColor="accent1" w:themeShade="80"/>
        </w:rPr>
      </w:pPr>
      <w:bookmarkStart w:id="134" w:name="_Toc179368176"/>
      <w:r w:rsidRPr="00A94974">
        <w:rPr>
          <w:color w:val="1F4E79" w:themeColor="accent1" w:themeShade="80"/>
        </w:rPr>
        <w:t xml:space="preserve">14.7. </w:t>
      </w:r>
      <w:bookmarkStart w:id="135" w:name="_Hlk173839094"/>
      <w:r w:rsidRPr="00A94974">
        <w:rPr>
          <w:color w:val="1F4E79" w:themeColor="accent1" w:themeShade="80"/>
        </w:rPr>
        <w:t>Anexa nr. 7  - Lista instituțiilor de învățământ superior din România care posedă Carta Universitară Erasmus (ECHE) 2021-2027</w:t>
      </w:r>
      <w:bookmarkEnd w:id="134"/>
    </w:p>
    <w:bookmarkEnd w:id="135"/>
    <w:p w14:paraId="546FCCDD" w14:textId="77777777" w:rsidR="00580DD0" w:rsidRPr="00A94974" w:rsidRDefault="00580DD0" w:rsidP="00E27636">
      <w:pPr>
        <w:rPr>
          <w:rFonts w:ascii="Trebuchet MS" w:hAnsi="Trebuchet MS" w:cstheme="majorHAnsi"/>
          <w:color w:val="1F4E79" w:themeColor="accent1" w:themeShade="80"/>
          <w:lang w:eastAsia="ro-RO"/>
        </w:rPr>
      </w:pPr>
    </w:p>
    <w:sectPr w:rsidR="00580DD0" w:rsidRPr="00A94974" w:rsidSect="00BF2DC6">
      <w:footerReference w:type="default" r:id="rId15"/>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00E1E" w14:textId="77777777" w:rsidR="000B7AD3" w:rsidRPr="00A8486D" w:rsidRDefault="000B7AD3" w:rsidP="00235396">
      <w:pPr>
        <w:spacing w:after="0" w:line="240" w:lineRule="auto"/>
      </w:pPr>
      <w:r w:rsidRPr="00A8486D">
        <w:separator/>
      </w:r>
    </w:p>
  </w:endnote>
  <w:endnote w:type="continuationSeparator" w:id="0">
    <w:p w14:paraId="46B1C22A" w14:textId="77777777" w:rsidR="000B7AD3" w:rsidRPr="00A8486D" w:rsidRDefault="000B7AD3" w:rsidP="00235396">
      <w:pPr>
        <w:spacing w:after="0" w:line="240" w:lineRule="auto"/>
      </w:pPr>
      <w:r w:rsidRPr="00A8486D">
        <w:continuationSeparator/>
      </w:r>
    </w:p>
  </w:endnote>
  <w:endnote w:type="continuationNotice" w:id="1">
    <w:p w14:paraId="44C14E95" w14:textId="77777777" w:rsidR="000B7AD3" w:rsidRPr="00A8486D" w:rsidRDefault="000B7A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swiss"/>
    <w:notTrueType/>
    <w:pitch w:val="default"/>
    <w:sig w:usb0="00002A87" w:usb1="08080000" w:usb2="00000010" w:usb3="00000000" w:csb0="001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31E6C27F" w:rsidR="0092367D" w:rsidRPr="00A8486D" w:rsidRDefault="0092367D">
        <w:pPr>
          <w:pStyle w:val="Footer"/>
          <w:jc w:val="center"/>
        </w:pPr>
        <w:r w:rsidRPr="00A8486D">
          <w:fldChar w:fldCharType="begin"/>
        </w:r>
        <w:r w:rsidRPr="00A8486D">
          <w:instrText xml:space="preserve"> PAGE   \* MERGEFORMAT </w:instrText>
        </w:r>
        <w:r w:rsidRPr="00A8486D">
          <w:fldChar w:fldCharType="separate"/>
        </w:r>
        <w:r w:rsidRPr="00A8486D">
          <w:rPr>
            <w:noProof/>
          </w:rPr>
          <w:t>9</w:t>
        </w:r>
        <w:r w:rsidRPr="00A8486D">
          <w:rPr>
            <w:noProof/>
          </w:rPr>
          <w:fldChar w:fldCharType="end"/>
        </w:r>
      </w:p>
    </w:sdtContent>
  </w:sdt>
  <w:p w14:paraId="56ABB02C" w14:textId="77777777" w:rsidR="0092367D" w:rsidRPr="00A8486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8BEE9" w14:textId="77777777" w:rsidR="000B7AD3" w:rsidRPr="00A8486D" w:rsidRDefault="000B7AD3" w:rsidP="00235396">
      <w:pPr>
        <w:spacing w:after="0" w:line="240" w:lineRule="auto"/>
      </w:pPr>
      <w:r w:rsidRPr="00A8486D">
        <w:separator/>
      </w:r>
    </w:p>
  </w:footnote>
  <w:footnote w:type="continuationSeparator" w:id="0">
    <w:p w14:paraId="1333327A" w14:textId="77777777" w:rsidR="000B7AD3" w:rsidRPr="00A8486D" w:rsidRDefault="000B7AD3" w:rsidP="00235396">
      <w:pPr>
        <w:spacing w:after="0" w:line="240" w:lineRule="auto"/>
      </w:pPr>
      <w:r w:rsidRPr="00A8486D">
        <w:continuationSeparator/>
      </w:r>
    </w:p>
  </w:footnote>
  <w:footnote w:type="continuationNotice" w:id="1">
    <w:p w14:paraId="3EC1B2A4" w14:textId="77777777" w:rsidR="000B7AD3" w:rsidRPr="00A8486D" w:rsidRDefault="000B7AD3">
      <w:pPr>
        <w:spacing w:after="0" w:line="240" w:lineRule="auto"/>
      </w:pPr>
    </w:p>
  </w:footnote>
  <w:footnote w:id="2">
    <w:p w14:paraId="7E5A8699" w14:textId="7D26B3B2" w:rsidR="00E91F28" w:rsidRDefault="00E91F28" w:rsidP="00FE2075">
      <w:pPr>
        <w:pStyle w:val="FootnoteText"/>
      </w:pPr>
      <w:r>
        <w:rPr>
          <w:rStyle w:val="FootnoteReference"/>
        </w:rPr>
        <w:footnoteRef/>
      </w:r>
      <w:r>
        <w:t xml:space="preserve"> </w:t>
      </w:r>
      <w:r w:rsidR="00FE2075">
        <w:t xml:space="preserve">Criteriile/categoriile </w:t>
      </w:r>
      <w:r w:rsidR="00F45E7B">
        <w:t xml:space="preserve">prevăzute se aplică </w:t>
      </w:r>
      <w:r w:rsidR="00E3215F">
        <w:t xml:space="preserve">în condițiile prezentului ghid </w:t>
      </w:r>
      <w:r w:rsidR="00F45E7B">
        <w:t>de către toate instituțiile de în</w:t>
      </w:r>
      <w:r w:rsidR="00100866">
        <w:t>vățământ superior, indiferent de forma lor de finanțare/organizare (</w:t>
      </w:r>
      <w:r w:rsidR="00E3215F">
        <w:t>de stat/militare/private).</w:t>
      </w:r>
    </w:p>
  </w:footnote>
  <w:footnote w:id="3">
    <w:p w14:paraId="48B976EC" w14:textId="70258E1B" w:rsidR="005A5096" w:rsidRPr="005A5096" w:rsidRDefault="005A5096" w:rsidP="005A5096">
      <w:pPr>
        <w:pStyle w:val="FootnoteText"/>
        <w:jc w:val="both"/>
        <w:rPr>
          <w:rFonts w:ascii="Trebuchet MS" w:hAnsi="Trebuchet MS"/>
        </w:rPr>
      </w:pPr>
      <w:r w:rsidRPr="00A8486D">
        <w:rPr>
          <w:rStyle w:val="FootnoteReference"/>
        </w:rPr>
        <w:footnoteRef/>
      </w:r>
      <w:r w:rsidRPr="00A8486D">
        <w:t xml:space="preserve"> </w:t>
      </w:r>
      <w:r w:rsidRPr="00A8486D">
        <w:rPr>
          <w:rFonts w:ascii="Trebuchet MS" w:hAnsi="Trebuchet MS"/>
          <w:color w:val="001F5F"/>
          <w:sz w:val="16"/>
          <w:szCs w:val="16"/>
        </w:rPr>
        <w:t xml:space="preserve">Conform OUG nr. 23/2023 privind instituirea unor măsuri de simplificare și digitalizare pentru gestionarea fondurilor europene aferente Politicii de coeziune 2021-2027, activitate sau pachet de activități care trebuie să respecte următoarele condiții cumulative:(i)are legătură directă cu obiectul proiectului pentru care se acordă finanțarea și contribuie în mod direct și semnificativ la realizarea obiectivelor și la obținerea rezultatelor acestuia;(ii)se regăsește în cererea de finanțare sub forma activităților eligibile obligatorii;(iii)nu face parte din activitățile conexe;(iv)bugetul estimat alocat activității sau pachetului de activități reprezintă minimum 50% din bugetul eligibil al proiectului. </w:t>
      </w:r>
      <w:r w:rsidRPr="00A8486D">
        <w:rPr>
          <w:rFonts w:ascii="Trebuchet MS" w:hAnsi="Trebuchet M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507FA"/>
    <w:multiLevelType w:val="hybridMultilevel"/>
    <w:tmpl w:val="48625D4C"/>
    <w:styleLink w:val="Stilimportat25"/>
    <w:lvl w:ilvl="0" w:tplc="AA367486">
      <w:start w:val="1"/>
      <w:numFmt w:val="bullet"/>
      <w:lvlText w:val="·"/>
      <w:lvlJc w:val="left"/>
      <w:pPr>
        <w:tabs>
          <w:tab w:val="num" w:pos="320"/>
        </w:tabs>
        <w:ind w:left="4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06044C">
      <w:start w:val="1"/>
      <w:numFmt w:val="bullet"/>
      <w:lvlText w:val="o"/>
      <w:lvlJc w:val="left"/>
      <w:pPr>
        <w:tabs>
          <w:tab w:val="left" w:pos="320"/>
          <w:tab w:val="num" w:pos="1130"/>
        </w:tabs>
        <w:ind w:left="122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1A3C2C">
      <w:start w:val="1"/>
      <w:numFmt w:val="bullet"/>
      <w:lvlText w:val="▪"/>
      <w:lvlJc w:val="left"/>
      <w:pPr>
        <w:tabs>
          <w:tab w:val="left" w:pos="320"/>
          <w:tab w:val="num" w:pos="1850"/>
        </w:tabs>
        <w:ind w:left="19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C086E2">
      <w:start w:val="1"/>
      <w:numFmt w:val="bullet"/>
      <w:lvlText w:val="·"/>
      <w:lvlJc w:val="left"/>
      <w:pPr>
        <w:tabs>
          <w:tab w:val="left" w:pos="320"/>
          <w:tab w:val="num" w:pos="2570"/>
        </w:tabs>
        <w:ind w:left="266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885910">
      <w:start w:val="1"/>
      <w:numFmt w:val="bullet"/>
      <w:lvlText w:val="o"/>
      <w:lvlJc w:val="left"/>
      <w:pPr>
        <w:tabs>
          <w:tab w:val="left" w:pos="320"/>
          <w:tab w:val="num" w:pos="3290"/>
        </w:tabs>
        <w:ind w:left="338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2878EE">
      <w:start w:val="1"/>
      <w:numFmt w:val="bullet"/>
      <w:lvlText w:val="▪"/>
      <w:lvlJc w:val="left"/>
      <w:pPr>
        <w:tabs>
          <w:tab w:val="left" w:pos="320"/>
          <w:tab w:val="num" w:pos="4010"/>
        </w:tabs>
        <w:ind w:left="410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1AD7B8">
      <w:start w:val="1"/>
      <w:numFmt w:val="bullet"/>
      <w:lvlText w:val="·"/>
      <w:lvlJc w:val="left"/>
      <w:pPr>
        <w:tabs>
          <w:tab w:val="left" w:pos="320"/>
          <w:tab w:val="num" w:pos="4730"/>
        </w:tabs>
        <w:ind w:left="482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BA9454">
      <w:start w:val="1"/>
      <w:numFmt w:val="bullet"/>
      <w:lvlText w:val="o"/>
      <w:lvlJc w:val="left"/>
      <w:pPr>
        <w:tabs>
          <w:tab w:val="left" w:pos="320"/>
          <w:tab w:val="num" w:pos="5450"/>
        </w:tabs>
        <w:ind w:left="55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186A60">
      <w:start w:val="1"/>
      <w:numFmt w:val="bullet"/>
      <w:lvlText w:val="▪"/>
      <w:lvlJc w:val="left"/>
      <w:pPr>
        <w:tabs>
          <w:tab w:val="left" w:pos="320"/>
          <w:tab w:val="num" w:pos="6170"/>
        </w:tabs>
        <w:ind w:left="626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FC2C10"/>
    <w:multiLevelType w:val="hybridMultilevel"/>
    <w:tmpl w:val="4BD6A5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1E733C"/>
    <w:multiLevelType w:val="hybridMultilevel"/>
    <w:tmpl w:val="41D040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07264"/>
    <w:multiLevelType w:val="hybridMultilevel"/>
    <w:tmpl w:val="FE5808B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990A73"/>
    <w:multiLevelType w:val="hybridMultilevel"/>
    <w:tmpl w:val="2C6A69D6"/>
    <w:lvl w:ilvl="0" w:tplc="04090009">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22FB224C"/>
    <w:multiLevelType w:val="hybridMultilevel"/>
    <w:tmpl w:val="C8FCDE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7C0EBF"/>
    <w:multiLevelType w:val="hybridMultilevel"/>
    <w:tmpl w:val="B94C37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71374"/>
    <w:multiLevelType w:val="hybridMultilevel"/>
    <w:tmpl w:val="17C43A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A8459F"/>
    <w:multiLevelType w:val="hybridMultilevel"/>
    <w:tmpl w:val="2B64F1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274830"/>
    <w:multiLevelType w:val="multilevel"/>
    <w:tmpl w:val="31C23E98"/>
    <w:lvl w:ilvl="0">
      <w:start w:val="1"/>
      <w:numFmt w:val="decimal"/>
      <w:pStyle w:val="bullet"/>
      <w:lvlText w:val="%1."/>
      <w:lvlJc w:val="left"/>
      <w:pPr>
        <w:ind w:left="10260" w:hanging="360"/>
      </w:pPr>
      <w:rPr>
        <w:vertAlign w:val="baseline"/>
      </w:rPr>
    </w:lvl>
    <w:lvl w:ilvl="1">
      <w:start w:val="1"/>
      <w:numFmt w:val="lowerLetter"/>
      <w:lvlText w:val="%2."/>
      <w:lvlJc w:val="left"/>
      <w:pPr>
        <w:ind w:left="1442" w:hanging="360"/>
      </w:pPr>
      <w:rPr>
        <w:vertAlign w:val="baseline"/>
      </w:rPr>
    </w:lvl>
    <w:lvl w:ilvl="2">
      <w:start w:val="1"/>
      <w:numFmt w:val="lowerRoman"/>
      <w:lvlText w:val="%3."/>
      <w:lvlJc w:val="right"/>
      <w:pPr>
        <w:ind w:left="2162" w:hanging="180"/>
      </w:pPr>
      <w:rPr>
        <w:vertAlign w:val="baseline"/>
      </w:rPr>
    </w:lvl>
    <w:lvl w:ilvl="3">
      <w:start w:val="1"/>
      <w:numFmt w:val="decimal"/>
      <w:lvlText w:val="%4."/>
      <w:lvlJc w:val="left"/>
      <w:pPr>
        <w:ind w:left="2882" w:hanging="360"/>
      </w:pPr>
      <w:rPr>
        <w:vertAlign w:val="baseline"/>
      </w:rPr>
    </w:lvl>
    <w:lvl w:ilvl="4">
      <w:start w:val="1"/>
      <w:numFmt w:val="lowerLetter"/>
      <w:lvlText w:val="%5."/>
      <w:lvlJc w:val="left"/>
      <w:pPr>
        <w:ind w:left="3602" w:hanging="360"/>
      </w:pPr>
      <w:rPr>
        <w:vertAlign w:val="baseline"/>
      </w:rPr>
    </w:lvl>
    <w:lvl w:ilvl="5">
      <w:start w:val="1"/>
      <w:numFmt w:val="lowerRoman"/>
      <w:lvlText w:val="%6."/>
      <w:lvlJc w:val="right"/>
      <w:pPr>
        <w:ind w:left="4322" w:hanging="180"/>
      </w:pPr>
      <w:rPr>
        <w:vertAlign w:val="baseline"/>
      </w:rPr>
    </w:lvl>
    <w:lvl w:ilvl="6">
      <w:start w:val="1"/>
      <w:numFmt w:val="decimal"/>
      <w:lvlText w:val="%7."/>
      <w:lvlJc w:val="left"/>
      <w:pPr>
        <w:ind w:left="5042" w:hanging="360"/>
      </w:pPr>
      <w:rPr>
        <w:vertAlign w:val="baseline"/>
      </w:rPr>
    </w:lvl>
    <w:lvl w:ilvl="7">
      <w:start w:val="1"/>
      <w:numFmt w:val="lowerLetter"/>
      <w:lvlText w:val="%8."/>
      <w:lvlJc w:val="left"/>
      <w:pPr>
        <w:ind w:left="5762" w:hanging="360"/>
      </w:pPr>
      <w:rPr>
        <w:vertAlign w:val="baseline"/>
      </w:rPr>
    </w:lvl>
    <w:lvl w:ilvl="8">
      <w:start w:val="1"/>
      <w:numFmt w:val="lowerRoman"/>
      <w:lvlText w:val="%9."/>
      <w:lvlJc w:val="right"/>
      <w:pPr>
        <w:ind w:left="6482" w:hanging="180"/>
      </w:pPr>
      <w:rPr>
        <w:vertAlign w:val="baseline"/>
      </w:rPr>
    </w:lvl>
  </w:abstractNum>
  <w:abstractNum w:abstractNumId="12" w15:restartNumberingAfterBreak="0">
    <w:nsid w:val="32761D2E"/>
    <w:multiLevelType w:val="hybridMultilevel"/>
    <w:tmpl w:val="6002A8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06FAF"/>
    <w:multiLevelType w:val="hybridMultilevel"/>
    <w:tmpl w:val="DAA2F3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A22D6"/>
    <w:multiLevelType w:val="hybridMultilevel"/>
    <w:tmpl w:val="3A6CC1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7D463A"/>
    <w:multiLevelType w:val="hybridMultilevel"/>
    <w:tmpl w:val="E3163F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850EC1"/>
    <w:multiLevelType w:val="hybridMultilevel"/>
    <w:tmpl w:val="4E240E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5C6176"/>
    <w:multiLevelType w:val="hybridMultilevel"/>
    <w:tmpl w:val="242292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417ABF"/>
    <w:multiLevelType w:val="hybridMultilevel"/>
    <w:tmpl w:val="0AB66D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176A4C"/>
    <w:multiLevelType w:val="hybridMultilevel"/>
    <w:tmpl w:val="6AE0A8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124C2C"/>
    <w:multiLevelType w:val="hybridMultilevel"/>
    <w:tmpl w:val="0EE6E1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651DAA"/>
    <w:multiLevelType w:val="hybridMultilevel"/>
    <w:tmpl w:val="FC5C1D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D4D3C"/>
    <w:multiLevelType w:val="hybridMultilevel"/>
    <w:tmpl w:val="318892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47577A"/>
    <w:multiLevelType w:val="hybridMultilevel"/>
    <w:tmpl w:val="31F61B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6873809">
    <w:abstractNumId w:val="22"/>
  </w:num>
  <w:num w:numId="2" w16cid:durableId="168253031">
    <w:abstractNumId w:val="4"/>
  </w:num>
  <w:num w:numId="3" w16cid:durableId="1142192628">
    <w:abstractNumId w:val="21"/>
  </w:num>
  <w:num w:numId="4" w16cid:durableId="584416768">
    <w:abstractNumId w:val="9"/>
  </w:num>
  <w:num w:numId="5" w16cid:durableId="1993479697">
    <w:abstractNumId w:val="16"/>
  </w:num>
  <w:num w:numId="6" w16cid:durableId="634264596">
    <w:abstractNumId w:val="0"/>
  </w:num>
  <w:num w:numId="7" w16cid:durableId="1695812213">
    <w:abstractNumId w:val="18"/>
  </w:num>
  <w:num w:numId="8" w16cid:durableId="1527059742">
    <w:abstractNumId w:val="20"/>
  </w:num>
  <w:num w:numId="9" w16cid:durableId="567807047">
    <w:abstractNumId w:val="1"/>
  </w:num>
  <w:num w:numId="10" w16cid:durableId="1911571137">
    <w:abstractNumId w:val="10"/>
  </w:num>
  <w:num w:numId="11" w16cid:durableId="436678774">
    <w:abstractNumId w:val="11"/>
  </w:num>
  <w:num w:numId="12" w16cid:durableId="1009451263">
    <w:abstractNumId w:val="26"/>
  </w:num>
  <w:num w:numId="13" w16cid:durableId="1646663562">
    <w:abstractNumId w:val="15"/>
  </w:num>
  <w:num w:numId="14" w16cid:durableId="228197697">
    <w:abstractNumId w:val="17"/>
  </w:num>
  <w:num w:numId="15" w16cid:durableId="2050689944">
    <w:abstractNumId w:val="23"/>
  </w:num>
  <w:num w:numId="16" w16cid:durableId="2106143110">
    <w:abstractNumId w:val="8"/>
  </w:num>
  <w:num w:numId="17" w16cid:durableId="525362787">
    <w:abstractNumId w:val="12"/>
  </w:num>
  <w:num w:numId="18" w16cid:durableId="781611963">
    <w:abstractNumId w:val="6"/>
  </w:num>
  <w:num w:numId="19" w16cid:durableId="1404403041">
    <w:abstractNumId w:val="19"/>
  </w:num>
  <w:num w:numId="20" w16cid:durableId="535586335">
    <w:abstractNumId w:val="25"/>
  </w:num>
  <w:num w:numId="21" w16cid:durableId="2013221580">
    <w:abstractNumId w:val="14"/>
  </w:num>
  <w:num w:numId="22" w16cid:durableId="2002468771">
    <w:abstractNumId w:val="3"/>
  </w:num>
  <w:num w:numId="23" w16cid:durableId="132412030">
    <w:abstractNumId w:val="7"/>
  </w:num>
  <w:num w:numId="24" w16cid:durableId="439379257">
    <w:abstractNumId w:val="2"/>
  </w:num>
  <w:num w:numId="25" w16cid:durableId="982660735">
    <w:abstractNumId w:val="27"/>
  </w:num>
  <w:num w:numId="26" w16cid:durableId="815030535">
    <w:abstractNumId w:val="5"/>
  </w:num>
  <w:num w:numId="27" w16cid:durableId="1322348370">
    <w:abstractNumId w:val="24"/>
  </w:num>
  <w:num w:numId="28" w16cid:durableId="136458761">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83"/>
    <w:rsid w:val="00001D5E"/>
    <w:rsid w:val="00002C68"/>
    <w:rsid w:val="000042BE"/>
    <w:rsid w:val="00004FFE"/>
    <w:rsid w:val="0000667B"/>
    <w:rsid w:val="0000734A"/>
    <w:rsid w:val="00010A05"/>
    <w:rsid w:val="00010A6C"/>
    <w:rsid w:val="00012EFF"/>
    <w:rsid w:val="00013A2C"/>
    <w:rsid w:val="00014D5F"/>
    <w:rsid w:val="000163BB"/>
    <w:rsid w:val="00017446"/>
    <w:rsid w:val="00021018"/>
    <w:rsid w:val="000210B9"/>
    <w:rsid w:val="00021FD6"/>
    <w:rsid w:val="00022196"/>
    <w:rsid w:val="000227CA"/>
    <w:rsid w:val="00022F08"/>
    <w:rsid w:val="000239D7"/>
    <w:rsid w:val="00024C8B"/>
    <w:rsid w:val="00024D45"/>
    <w:rsid w:val="000250E0"/>
    <w:rsid w:val="0002518C"/>
    <w:rsid w:val="00026785"/>
    <w:rsid w:val="00027A9E"/>
    <w:rsid w:val="000309BA"/>
    <w:rsid w:val="000314D1"/>
    <w:rsid w:val="0003329D"/>
    <w:rsid w:val="000336FC"/>
    <w:rsid w:val="00035A39"/>
    <w:rsid w:val="00037F39"/>
    <w:rsid w:val="0004044B"/>
    <w:rsid w:val="00040581"/>
    <w:rsid w:val="00040DDB"/>
    <w:rsid w:val="000421BF"/>
    <w:rsid w:val="00042D0E"/>
    <w:rsid w:val="0004305F"/>
    <w:rsid w:val="00045751"/>
    <w:rsid w:val="00045F10"/>
    <w:rsid w:val="00046331"/>
    <w:rsid w:val="0005123F"/>
    <w:rsid w:val="00051905"/>
    <w:rsid w:val="00051B53"/>
    <w:rsid w:val="00052501"/>
    <w:rsid w:val="00052BE4"/>
    <w:rsid w:val="0005340E"/>
    <w:rsid w:val="0005355A"/>
    <w:rsid w:val="00053732"/>
    <w:rsid w:val="00053A1C"/>
    <w:rsid w:val="00056646"/>
    <w:rsid w:val="0005740C"/>
    <w:rsid w:val="00057DB8"/>
    <w:rsid w:val="00060847"/>
    <w:rsid w:val="000612BB"/>
    <w:rsid w:val="00061886"/>
    <w:rsid w:val="00061F8D"/>
    <w:rsid w:val="0006454B"/>
    <w:rsid w:val="0006547C"/>
    <w:rsid w:val="00065743"/>
    <w:rsid w:val="0007094F"/>
    <w:rsid w:val="00071B81"/>
    <w:rsid w:val="000734D4"/>
    <w:rsid w:val="000736B0"/>
    <w:rsid w:val="0007433F"/>
    <w:rsid w:val="00075D8B"/>
    <w:rsid w:val="00076495"/>
    <w:rsid w:val="00076D85"/>
    <w:rsid w:val="00077CE6"/>
    <w:rsid w:val="0008023C"/>
    <w:rsid w:val="000824FF"/>
    <w:rsid w:val="00082610"/>
    <w:rsid w:val="00082857"/>
    <w:rsid w:val="00082E5B"/>
    <w:rsid w:val="0008474F"/>
    <w:rsid w:val="000848FD"/>
    <w:rsid w:val="00084BDA"/>
    <w:rsid w:val="00085BB7"/>
    <w:rsid w:val="000907F7"/>
    <w:rsid w:val="00091089"/>
    <w:rsid w:val="00091231"/>
    <w:rsid w:val="00091C25"/>
    <w:rsid w:val="00093618"/>
    <w:rsid w:val="000938BD"/>
    <w:rsid w:val="000955ED"/>
    <w:rsid w:val="00095AE4"/>
    <w:rsid w:val="00096E5D"/>
    <w:rsid w:val="000977D2"/>
    <w:rsid w:val="000A0520"/>
    <w:rsid w:val="000A1D18"/>
    <w:rsid w:val="000A37F2"/>
    <w:rsid w:val="000A433C"/>
    <w:rsid w:val="000A57CB"/>
    <w:rsid w:val="000A6F98"/>
    <w:rsid w:val="000B0A02"/>
    <w:rsid w:val="000B1628"/>
    <w:rsid w:val="000B187E"/>
    <w:rsid w:val="000B209E"/>
    <w:rsid w:val="000B2F35"/>
    <w:rsid w:val="000B32B4"/>
    <w:rsid w:val="000B448F"/>
    <w:rsid w:val="000B4CE7"/>
    <w:rsid w:val="000B4E13"/>
    <w:rsid w:val="000B552B"/>
    <w:rsid w:val="000B5555"/>
    <w:rsid w:val="000B5E93"/>
    <w:rsid w:val="000B6464"/>
    <w:rsid w:val="000B6A4B"/>
    <w:rsid w:val="000B7AD3"/>
    <w:rsid w:val="000C0610"/>
    <w:rsid w:val="000C1C4E"/>
    <w:rsid w:val="000C1C73"/>
    <w:rsid w:val="000C1F26"/>
    <w:rsid w:val="000C2355"/>
    <w:rsid w:val="000C2D80"/>
    <w:rsid w:val="000C3F53"/>
    <w:rsid w:val="000C450A"/>
    <w:rsid w:val="000C4E46"/>
    <w:rsid w:val="000C5036"/>
    <w:rsid w:val="000C5732"/>
    <w:rsid w:val="000C5C40"/>
    <w:rsid w:val="000C6D4B"/>
    <w:rsid w:val="000C73F8"/>
    <w:rsid w:val="000C781E"/>
    <w:rsid w:val="000D108E"/>
    <w:rsid w:val="000D13CB"/>
    <w:rsid w:val="000D2BEE"/>
    <w:rsid w:val="000D34E2"/>
    <w:rsid w:val="000D3718"/>
    <w:rsid w:val="000D3E24"/>
    <w:rsid w:val="000D5947"/>
    <w:rsid w:val="000E027D"/>
    <w:rsid w:val="000E05C3"/>
    <w:rsid w:val="000E0B05"/>
    <w:rsid w:val="000E0EE7"/>
    <w:rsid w:val="000E1081"/>
    <w:rsid w:val="000E376B"/>
    <w:rsid w:val="000E5EF2"/>
    <w:rsid w:val="000E62AB"/>
    <w:rsid w:val="000E635A"/>
    <w:rsid w:val="000E69CA"/>
    <w:rsid w:val="000F0078"/>
    <w:rsid w:val="000F0102"/>
    <w:rsid w:val="000F0D2E"/>
    <w:rsid w:val="000F2404"/>
    <w:rsid w:val="000F39AE"/>
    <w:rsid w:val="000F47E1"/>
    <w:rsid w:val="000F6A11"/>
    <w:rsid w:val="000F6D38"/>
    <w:rsid w:val="000F7F9A"/>
    <w:rsid w:val="00100866"/>
    <w:rsid w:val="0010149B"/>
    <w:rsid w:val="0010246F"/>
    <w:rsid w:val="001033DC"/>
    <w:rsid w:val="0010406C"/>
    <w:rsid w:val="0010544E"/>
    <w:rsid w:val="00106419"/>
    <w:rsid w:val="00106984"/>
    <w:rsid w:val="00110B34"/>
    <w:rsid w:val="00111471"/>
    <w:rsid w:val="00112106"/>
    <w:rsid w:val="00112E3A"/>
    <w:rsid w:val="00113794"/>
    <w:rsid w:val="00116837"/>
    <w:rsid w:val="00116D38"/>
    <w:rsid w:val="00116D3F"/>
    <w:rsid w:val="00117426"/>
    <w:rsid w:val="00120CE1"/>
    <w:rsid w:val="00121160"/>
    <w:rsid w:val="00121F07"/>
    <w:rsid w:val="001235DE"/>
    <w:rsid w:val="00123A84"/>
    <w:rsid w:val="00123DE4"/>
    <w:rsid w:val="00124A71"/>
    <w:rsid w:val="00124BE8"/>
    <w:rsid w:val="00125A26"/>
    <w:rsid w:val="001279FE"/>
    <w:rsid w:val="00130C0F"/>
    <w:rsid w:val="00131117"/>
    <w:rsid w:val="00131504"/>
    <w:rsid w:val="00132104"/>
    <w:rsid w:val="001326D0"/>
    <w:rsid w:val="00133483"/>
    <w:rsid w:val="001342E5"/>
    <w:rsid w:val="00136CE0"/>
    <w:rsid w:val="0013796D"/>
    <w:rsid w:val="00137AD3"/>
    <w:rsid w:val="00137E2D"/>
    <w:rsid w:val="00140B75"/>
    <w:rsid w:val="00140F10"/>
    <w:rsid w:val="00141D20"/>
    <w:rsid w:val="00141D4D"/>
    <w:rsid w:val="00142335"/>
    <w:rsid w:val="0014285C"/>
    <w:rsid w:val="00145782"/>
    <w:rsid w:val="001460C9"/>
    <w:rsid w:val="0014669D"/>
    <w:rsid w:val="0014737C"/>
    <w:rsid w:val="00150013"/>
    <w:rsid w:val="00150C92"/>
    <w:rsid w:val="00151A64"/>
    <w:rsid w:val="00152383"/>
    <w:rsid w:val="00152B18"/>
    <w:rsid w:val="00152F02"/>
    <w:rsid w:val="00153C96"/>
    <w:rsid w:val="001548C7"/>
    <w:rsid w:val="001559C7"/>
    <w:rsid w:val="001568EA"/>
    <w:rsid w:val="00160407"/>
    <w:rsid w:val="0016166F"/>
    <w:rsid w:val="001617FB"/>
    <w:rsid w:val="00161CB9"/>
    <w:rsid w:val="00163121"/>
    <w:rsid w:val="0016449B"/>
    <w:rsid w:val="00164D97"/>
    <w:rsid w:val="00166AD0"/>
    <w:rsid w:val="0016737C"/>
    <w:rsid w:val="00167C1C"/>
    <w:rsid w:val="00167D8C"/>
    <w:rsid w:val="0017142B"/>
    <w:rsid w:val="001716B5"/>
    <w:rsid w:val="00171CE6"/>
    <w:rsid w:val="0017572B"/>
    <w:rsid w:val="00180619"/>
    <w:rsid w:val="00180D23"/>
    <w:rsid w:val="00182520"/>
    <w:rsid w:val="0018337F"/>
    <w:rsid w:val="001847AB"/>
    <w:rsid w:val="00190C26"/>
    <w:rsid w:val="00191043"/>
    <w:rsid w:val="00194C25"/>
    <w:rsid w:val="00195EAA"/>
    <w:rsid w:val="00196E05"/>
    <w:rsid w:val="001A0081"/>
    <w:rsid w:val="001A01ED"/>
    <w:rsid w:val="001A030D"/>
    <w:rsid w:val="001A0350"/>
    <w:rsid w:val="001A171D"/>
    <w:rsid w:val="001A2C1A"/>
    <w:rsid w:val="001A3C69"/>
    <w:rsid w:val="001A4179"/>
    <w:rsid w:val="001A49BE"/>
    <w:rsid w:val="001A49CB"/>
    <w:rsid w:val="001A50B1"/>
    <w:rsid w:val="001B109D"/>
    <w:rsid w:val="001B329D"/>
    <w:rsid w:val="001B4AA7"/>
    <w:rsid w:val="001B4D53"/>
    <w:rsid w:val="001B79AC"/>
    <w:rsid w:val="001C22AF"/>
    <w:rsid w:val="001C3D60"/>
    <w:rsid w:val="001C441A"/>
    <w:rsid w:val="001C6290"/>
    <w:rsid w:val="001D0284"/>
    <w:rsid w:val="001D0286"/>
    <w:rsid w:val="001D0EF5"/>
    <w:rsid w:val="001D14A8"/>
    <w:rsid w:val="001D23B8"/>
    <w:rsid w:val="001D30C5"/>
    <w:rsid w:val="001D3260"/>
    <w:rsid w:val="001D34B5"/>
    <w:rsid w:val="001D3873"/>
    <w:rsid w:val="001D3AD6"/>
    <w:rsid w:val="001D4E7A"/>
    <w:rsid w:val="001D64E0"/>
    <w:rsid w:val="001D6554"/>
    <w:rsid w:val="001D7438"/>
    <w:rsid w:val="001E0AC1"/>
    <w:rsid w:val="001E0EA3"/>
    <w:rsid w:val="001E15B3"/>
    <w:rsid w:val="001E3086"/>
    <w:rsid w:val="001E41DA"/>
    <w:rsid w:val="001E6524"/>
    <w:rsid w:val="001E65C4"/>
    <w:rsid w:val="001E67AA"/>
    <w:rsid w:val="001E6F21"/>
    <w:rsid w:val="001E6F69"/>
    <w:rsid w:val="001E700E"/>
    <w:rsid w:val="001E7125"/>
    <w:rsid w:val="001F05AC"/>
    <w:rsid w:val="001F1B51"/>
    <w:rsid w:val="001F1F2D"/>
    <w:rsid w:val="001F2F18"/>
    <w:rsid w:val="001F48A8"/>
    <w:rsid w:val="001F4EB2"/>
    <w:rsid w:val="001F6FCF"/>
    <w:rsid w:val="001F7216"/>
    <w:rsid w:val="001F7719"/>
    <w:rsid w:val="00201CEA"/>
    <w:rsid w:val="00202392"/>
    <w:rsid w:val="0020254E"/>
    <w:rsid w:val="00204462"/>
    <w:rsid w:val="00204D42"/>
    <w:rsid w:val="0020564D"/>
    <w:rsid w:val="00206E29"/>
    <w:rsid w:val="0020790F"/>
    <w:rsid w:val="00207E1E"/>
    <w:rsid w:val="0021014F"/>
    <w:rsid w:val="002108F7"/>
    <w:rsid w:val="00211A87"/>
    <w:rsid w:val="00211AC4"/>
    <w:rsid w:val="00211C5E"/>
    <w:rsid w:val="00211CB1"/>
    <w:rsid w:val="00211F41"/>
    <w:rsid w:val="0021231A"/>
    <w:rsid w:val="00212532"/>
    <w:rsid w:val="002125C8"/>
    <w:rsid w:val="002125E6"/>
    <w:rsid w:val="00212FDF"/>
    <w:rsid w:val="00213D9E"/>
    <w:rsid w:val="002148BA"/>
    <w:rsid w:val="002149C3"/>
    <w:rsid w:val="002154BA"/>
    <w:rsid w:val="0021566D"/>
    <w:rsid w:val="00217CFC"/>
    <w:rsid w:val="0022198A"/>
    <w:rsid w:val="00221C0E"/>
    <w:rsid w:val="002224A4"/>
    <w:rsid w:val="00222895"/>
    <w:rsid w:val="00223B2D"/>
    <w:rsid w:val="002242E5"/>
    <w:rsid w:val="00224BC5"/>
    <w:rsid w:val="0022624E"/>
    <w:rsid w:val="00226C6C"/>
    <w:rsid w:val="00230421"/>
    <w:rsid w:val="00230A50"/>
    <w:rsid w:val="00230A7E"/>
    <w:rsid w:val="002317FD"/>
    <w:rsid w:val="00232545"/>
    <w:rsid w:val="00232E39"/>
    <w:rsid w:val="00232F42"/>
    <w:rsid w:val="002349F5"/>
    <w:rsid w:val="00235396"/>
    <w:rsid w:val="002354D6"/>
    <w:rsid w:val="00235668"/>
    <w:rsid w:val="00236031"/>
    <w:rsid w:val="00236F03"/>
    <w:rsid w:val="00242723"/>
    <w:rsid w:val="00242FBA"/>
    <w:rsid w:val="0024344E"/>
    <w:rsid w:val="0024352B"/>
    <w:rsid w:val="0024422D"/>
    <w:rsid w:val="002448B3"/>
    <w:rsid w:val="00244B82"/>
    <w:rsid w:val="00244C0D"/>
    <w:rsid w:val="0024503C"/>
    <w:rsid w:val="00246330"/>
    <w:rsid w:val="0024681C"/>
    <w:rsid w:val="00246C89"/>
    <w:rsid w:val="002471A1"/>
    <w:rsid w:val="00247573"/>
    <w:rsid w:val="0024786F"/>
    <w:rsid w:val="00247FDA"/>
    <w:rsid w:val="0025127C"/>
    <w:rsid w:val="00251AB3"/>
    <w:rsid w:val="00251E25"/>
    <w:rsid w:val="002527B9"/>
    <w:rsid w:val="002527FE"/>
    <w:rsid w:val="00252BE7"/>
    <w:rsid w:val="002553BD"/>
    <w:rsid w:val="0025724F"/>
    <w:rsid w:val="00257381"/>
    <w:rsid w:val="00257D53"/>
    <w:rsid w:val="00260147"/>
    <w:rsid w:val="00261486"/>
    <w:rsid w:val="00261FB8"/>
    <w:rsid w:val="002622BC"/>
    <w:rsid w:val="00262600"/>
    <w:rsid w:val="00263117"/>
    <w:rsid w:val="00263194"/>
    <w:rsid w:val="002647F8"/>
    <w:rsid w:val="00264B50"/>
    <w:rsid w:val="0026619B"/>
    <w:rsid w:val="00271F67"/>
    <w:rsid w:val="0027307B"/>
    <w:rsid w:val="0027381B"/>
    <w:rsid w:val="00276B06"/>
    <w:rsid w:val="00276C8F"/>
    <w:rsid w:val="00277A0E"/>
    <w:rsid w:val="00277E45"/>
    <w:rsid w:val="00282F96"/>
    <w:rsid w:val="002849C1"/>
    <w:rsid w:val="0028576C"/>
    <w:rsid w:val="00286A71"/>
    <w:rsid w:val="00287112"/>
    <w:rsid w:val="00287865"/>
    <w:rsid w:val="00290A3B"/>
    <w:rsid w:val="00290B3E"/>
    <w:rsid w:val="0029139A"/>
    <w:rsid w:val="00291532"/>
    <w:rsid w:val="00292546"/>
    <w:rsid w:val="00292A97"/>
    <w:rsid w:val="00293C50"/>
    <w:rsid w:val="0029445B"/>
    <w:rsid w:val="00294B1A"/>
    <w:rsid w:val="00297B4D"/>
    <w:rsid w:val="002A08AC"/>
    <w:rsid w:val="002A0A7A"/>
    <w:rsid w:val="002A14FF"/>
    <w:rsid w:val="002A1DE3"/>
    <w:rsid w:val="002A1EA7"/>
    <w:rsid w:val="002A2088"/>
    <w:rsid w:val="002A20BF"/>
    <w:rsid w:val="002A22C4"/>
    <w:rsid w:val="002A313A"/>
    <w:rsid w:val="002A3A4E"/>
    <w:rsid w:val="002A48D8"/>
    <w:rsid w:val="002A6F07"/>
    <w:rsid w:val="002B013E"/>
    <w:rsid w:val="002B1154"/>
    <w:rsid w:val="002B2907"/>
    <w:rsid w:val="002B2B48"/>
    <w:rsid w:val="002B2B76"/>
    <w:rsid w:val="002B44FD"/>
    <w:rsid w:val="002B5DA8"/>
    <w:rsid w:val="002B688F"/>
    <w:rsid w:val="002C1EB9"/>
    <w:rsid w:val="002C254C"/>
    <w:rsid w:val="002C259B"/>
    <w:rsid w:val="002C36F1"/>
    <w:rsid w:val="002C4765"/>
    <w:rsid w:val="002C4E51"/>
    <w:rsid w:val="002C5284"/>
    <w:rsid w:val="002C56F4"/>
    <w:rsid w:val="002C7F96"/>
    <w:rsid w:val="002D0550"/>
    <w:rsid w:val="002D0DE2"/>
    <w:rsid w:val="002D1129"/>
    <w:rsid w:val="002D2179"/>
    <w:rsid w:val="002D267D"/>
    <w:rsid w:val="002D2BB7"/>
    <w:rsid w:val="002D47EF"/>
    <w:rsid w:val="002D5B71"/>
    <w:rsid w:val="002D660D"/>
    <w:rsid w:val="002D7097"/>
    <w:rsid w:val="002D7374"/>
    <w:rsid w:val="002D754A"/>
    <w:rsid w:val="002E175D"/>
    <w:rsid w:val="002E2EFB"/>
    <w:rsid w:val="002E389C"/>
    <w:rsid w:val="002E4E97"/>
    <w:rsid w:val="002E536F"/>
    <w:rsid w:val="002E572A"/>
    <w:rsid w:val="002E59BB"/>
    <w:rsid w:val="002E5D94"/>
    <w:rsid w:val="002E6115"/>
    <w:rsid w:val="002E6F1C"/>
    <w:rsid w:val="002F27DA"/>
    <w:rsid w:val="002F2EB2"/>
    <w:rsid w:val="002F45B9"/>
    <w:rsid w:val="002F4773"/>
    <w:rsid w:val="002F605E"/>
    <w:rsid w:val="002F665E"/>
    <w:rsid w:val="002F748B"/>
    <w:rsid w:val="00300056"/>
    <w:rsid w:val="0030121F"/>
    <w:rsid w:val="00301722"/>
    <w:rsid w:val="00302528"/>
    <w:rsid w:val="0030476B"/>
    <w:rsid w:val="003048E0"/>
    <w:rsid w:val="003049AC"/>
    <w:rsid w:val="00304C30"/>
    <w:rsid w:val="00311E97"/>
    <w:rsid w:val="00312AB8"/>
    <w:rsid w:val="00314220"/>
    <w:rsid w:val="00314407"/>
    <w:rsid w:val="00314FCE"/>
    <w:rsid w:val="00315444"/>
    <w:rsid w:val="0031610B"/>
    <w:rsid w:val="003162EF"/>
    <w:rsid w:val="00316A14"/>
    <w:rsid w:val="00316E36"/>
    <w:rsid w:val="00317899"/>
    <w:rsid w:val="00317D13"/>
    <w:rsid w:val="00322BB2"/>
    <w:rsid w:val="00323790"/>
    <w:rsid w:val="00323F47"/>
    <w:rsid w:val="00324335"/>
    <w:rsid w:val="0032547A"/>
    <w:rsid w:val="003256EB"/>
    <w:rsid w:val="00325D9D"/>
    <w:rsid w:val="00326C2E"/>
    <w:rsid w:val="00326E82"/>
    <w:rsid w:val="003275EE"/>
    <w:rsid w:val="00327CE4"/>
    <w:rsid w:val="00331080"/>
    <w:rsid w:val="003361FE"/>
    <w:rsid w:val="00336650"/>
    <w:rsid w:val="0033730B"/>
    <w:rsid w:val="003375DA"/>
    <w:rsid w:val="00341428"/>
    <w:rsid w:val="00342B4B"/>
    <w:rsid w:val="00342DCD"/>
    <w:rsid w:val="0034376A"/>
    <w:rsid w:val="00343DF8"/>
    <w:rsid w:val="003446E9"/>
    <w:rsid w:val="00345000"/>
    <w:rsid w:val="003451F0"/>
    <w:rsid w:val="00346144"/>
    <w:rsid w:val="00346AB4"/>
    <w:rsid w:val="00346D0D"/>
    <w:rsid w:val="0034721B"/>
    <w:rsid w:val="0034798E"/>
    <w:rsid w:val="00347F63"/>
    <w:rsid w:val="00350F14"/>
    <w:rsid w:val="0035141D"/>
    <w:rsid w:val="003522F0"/>
    <w:rsid w:val="0035528F"/>
    <w:rsid w:val="00355721"/>
    <w:rsid w:val="00355AF5"/>
    <w:rsid w:val="003568BD"/>
    <w:rsid w:val="00356B10"/>
    <w:rsid w:val="00356C28"/>
    <w:rsid w:val="00356FFD"/>
    <w:rsid w:val="00360331"/>
    <w:rsid w:val="00360ED1"/>
    <w:rsid w:val="00362628"/>
    <w:rsid w:val="00364AC5"/>
    <w:rsid w:val="00364C3A"/>
    <w:rsid w:val="0036507E"/>
    <w:rsid w:val="0036515A"/>
    <w:rsid w:val="003663D2"/>
    <w:rsid w:val="0036715F"/>
    <w:rsid w:val="00367552"/>
    <w:rsid w:val="003705E1"/>
    <w:rsid w:val="00370E7F"/>
    <w:rsid w:val="00372900"/>
    <w:rsid w:val="00373477"/>
    <w:rsid w:val="00373712"/>
    <w:rsid w:val="003744C7"/>
    <w:rsid w:val="00376DBD"/>
    <w:rsid w:val="00381961"/>
    <w:rsid w:val="00381EF2"/>
    <w:rsid w:val="0038230E"/>
    <w:rsid w:val="0038269E"/>
    <w:rsid w:val="003826B2"/>
    <w:rsid w:val="0038435E"/>
    <w:rsid w:val="00384AE2"/>
    <w:rsid w:val="003851A3"/>
    <w:rsid w:val="00385369"/>
    <w:rsid w:val="00385EE6"/>
    <w:rsid w:val="0038699C"/>
    <w:rsid w:val="00386F8C"/>
    <w:rsid w:val="00387EF0"/>
    <w:rsid w:val="00390ACD"/>
    <w:rsid w:val="003913E5"/>
    <w:rsid w:val="00391CFB"/>
    <w:rsid w:val="00392BFA"/>
    <w:rsid w:val="00393F88"/>
    <w:rsid w:val="0039437F"/>
    <w:rsid w:val="00394732"/>
    <w:rsid w:val="00394B51"/>
    <w:rsid w:val="00396378"/>
    <w:rsid w:val="003967B7"/>
    <w:rsid w:val="00396A49"/>
    <w:rsid w:val="00397093"/>
    <w:rsid w:val="003A2BD3"/>
    <w:rsid w:val="003A2F25"/>
    <w:rsid w:val="003A30D4"/>
    <w:rsid w:val="003A3568"/>
    <w:rsid w:val="003A5AF8"/>
    <w:rsid w:val="003A6425"/>
    <w:rsid w:val="003B04BD"/>
    <w:rsid w:val="003B1A56"/>
    <w:rsid w:val="003B3437"/>
    <w:rsid w:val="003B3EE2"/>
    <w:rsid w:val="003B460D"/>
    <w:rsid w:val="003B536C"/>
    <w:rsid w:val="003B5FD5"/>
    <w:rsid w:val="003B6D3F"/>
    <w:rsid w:val="003B7902"/>
    <w:rsid w:val="003B7CAA"/>
    <w:rsid w:val="003C061D"/>
    <w:rsid w:val="003C26F2"/>
    <w:rsid w:val="003C28BE"/>
    <w:rsid w:val="003C3177"/>
    <w:rsid w:val="003C4ED2"/>
    <w:rsid w:val="003C5150"/>
    <w:rsid w:val="003C51C9"/>
    <w:rsid w:val="003D0993"/>
    <w:rsid w:val="003D1E7D"/>
    <w:rsid w:val="003D1EA7"/>
    <w:rsid w:val="003D29F9"/>
    <w:rsid w:val="003D2E2F"/>
    <w:rsid w:val="003D32AA"/>
    <w:rsid w:val="003D4056"/>
    <w:rsid w:val="003D5034"/>
    <w:rsid w:val="003D5478"/>
    <w:rsid w:val="003D5B9C"/>
    <w:rsid w:val="003D679A"/>
    <w:rsid w:val="003E0835"/>
    <w:rsid w:val="003E09D2"/>
    <w:rsid w:val="003E1FAC"/>
    <w:rsid w:val="003E22C3"/>
    <w:rsid w:val="003E23AA"/>
    <w:rsid w:val="003E38C3"/>
    <w:rsid w:val="003E3E11"/>
    <w:rsid w:val="003E434A"/>
    <w:rsid w:val="003E4391"/>
    <w:rsid w:val="003E4663"/>
    <w:rsid w:val="003E49CF"/>
    <w:rsid w:val="003E5F24"/>
    <w:rsid w:val="003E6690"/>
    <w:rsid w:val="003E6726"/>
    <w:rsid w:val="003E6DF4"/>
    <w:rsid w:val="003F020C"/>
    <w:rsid w:val="003F0FC3"/>
    <w:rsid w:val="003F14CD"/>
    <w:rsid w:val="003F2856"/>
    <w:rsid w:val="003F4EDF"/>
    <w:rsid w:val="003F5D3A"/>
    <w:rsid w:val="003F6AE6"/>
    <w:rsid w:val="003F7249"/>
    <w:rsid w:val="004005BF"/>
    <w:rsid w:val="00401E81"/>
    <w:rsid w:val="0040299C"/>
    <w:rsid w:val="004044C2"/>
    <w:rsid w:val="0040470B"/>
    <w:rsid w:val="00404BB6"/>
    <w:rsid w:val="00404BD2"/>
    <w:rsid w:val="00405860"/>
    <w:rsid w:val="004068DC"/>
    <w:rsid w:val="00406F2E"/>
    <w:rsid w:val="00411B82"/>
    <w:rsid w:val="004123A8"/>
    <w:rsid w:val="004125E6"/>
    <w:rsid w:val="00412BFA"/>
    <w:rsid w:val="004147FB"/>
    <w:rsid w:val="004160E4"/>
    <w:rsid w:val="004168E3"/>
    <w:rsid w:val="00416EAE"/>
    <w:rsid w:val="00417593"/>
    <w:rsid w:val="0041782E"/>
    <w:rsid w:val="004205E0"/>
    <w:rsid w:val="00420D71"/>
    <w:rsid w:val="00421548"/>
    <w:rsid w:val="0042177C"/>
    <w:rsid w:val="00421999"/>
    <w:rsid w:val="0042232C"/>
    <w:rsid w:val="00422B5B"/>
    <w:rsid w:val="00423649"/>
    <w:rsid w:val="00424104"/>
    <w:rsid w:val="004249B9"/>
    <w:rsid w:val="0042677F"/>
    <w:rsid w:val="00427705"/>
    <w:rsid w:val="004311DD"/>
    <w:rsid w:val="00431C60"/>
    <w:rsid w:val="0043381D"/>
    <w:rsid w:val="00433E3D"/>
    <w:rsid w:val="00433FD8"/>
    <w:rsid w:val="004341BF"/>
    <w:rsid w:val="0043420D"/>
    <w:rsid w:val="0043450B"/>
    <w:rsid w:val="0043481D"/>
    <w:rsid w:val="004370DE"/>
    <w:rsid w:val="0044014A"/>
    <w:rsid w:val="004406AA"/>
    <w:rsid w:val="00440B8A"/>
    <w:rsid w:val="00441DA0"/>
    <w:rsid w:val="0044208D"/>
    <w:rsid w:val="004421AB"/>
    <w:rsid w:val="004428A7"/>
    <w:rsid w:val="00443131"/>
    <w:rsid w:val="00443D71"/>
    <w:rsid w:val="00446B78"/>
    <w:rsid w:val="004478F1"/>
    <w:rsid w:val="00447DEC"/>
    <w:rsid w:val="00450A48"/>
    <w:rsid w:val="004534F4"/>
    <w:rsid w:val="004536E9"/>
    <w:rsid w:val="00454114"/>
    <w:rsid w:val="00455051"/>
    <w:rsid w:val="00457375"/>
    <w:rsid w:val="00461617"/>
    <w:rsid w:val="00466D68"/>
    <w:rsid w:val="004671C6"/>
    <w:rsid w:val="0047097A"/>
    <w:rsid w:val="00470E69"/>
    <w:rsid w:val="004741B7"/>
    <w:rsid w:val="00475437"/>
    <w:rsid w:val="00476A5D"/>
    <w:rsid w:val="00476AE8"/>
    <w:rsid w:val="004811C7"/>
    <w:rsid w:val="00481981"/>
    <w:rsid w:val="00481BA2"/>
    <w:rsid w:val="00482C3B"/>
    <w:rsid w:val="00482C53"/>
    <w:rsid w:val="00484185"/>
    <w:rsid w:val="00484565"/>
    <w:rsid w:val="004847D2"/>
    <w:rsid w:val="0048507C"/>
    <w:rsid w:val="00485768"/>
    <w:rsid w:val="004857F0"/>
    <w:rsid w:val="00485883"/>
    <w:rsid w:val="0048592B"/>
    <w:rsid w:val="00490AE7"/>
    <w:rsid w:val="00490C36"/>
    <w:rsid w:val="004921D3"/>
    <w:rsid w:val="004928EA"/>
    <w:rsid w:val="00493840"/>
    <w:rsid w:val="0049420C"/>
    <w:rsid w:val="00495097"/>
    <w:rsid w:val="00495488"/>
    <w:rsid w:val="00495E79"/>
    <w:rsid w:val="004960E1"/>
    <w:rsid w:val="00496AA4"/>
    <w:rsid w:val="004A12B2"/>
    <w:rsid w:val="004A48CC"/>
    <w:rsid w:val="004A5DF7"/>
    <w:rsid w:val="004A63E4"/>
    <w:rsid w:val="004A6DB6"/>
    <w:rsid w:val="004A7BB7"/>
    <w:rsid w:val="004B0AC0"/>
    <w:rsid w:val="004B0E86"/>
    <w:rsid w:val="004B1348"/>
    <w:rsid w:val="004B2F52"/>
    <w:rsid w:val="004B3C08"/>
    <w:rsid w:val="004B51BF"/>
    <w:rsid w:val="004B6B9F"/>
    <w:rsid w:val="004C05EA"/>
    <w:rsid w:val="004C0B72"/>
    <w:rsid w:val="004C1A8A"/>
    <w:rsid w:val="004C1E1E"/>
    <w:rsid w:val="004C3886"/>
    <w:rsid w:val="004C4F02"/>
    <w:rsid w:val="004C5C3F"/>
    <w:rsid w:val="004C6D03"/>
    <w:rsid w:val="004C70E0"/>
    <w:rsid w:val="004D00BC"/>
    <w:rsid w:val="004D2321"/>
    <w:rsid w:val="004D2978"/>
    <w:rsid w:val="004D364B"/>
    <w:rsid w:val="004D40E4"/>
    <w:rsid w:val="004D4132"/>
    <w:rsid w:val="004D4EDB"/>
    <w:rsid w:val="004D58EE"/>
    <w:rsid w:val="004D61DA"/>
    <w:rsid w:val="004D6C8D"/>
    <w:rsid w:val="004D7AF4"/>
    <w:rsid w:val="004D7E35"/>
    <w:rsid w:val="004E057E"/>
    <w:rsid w:val="004E1B30"/>
    <w:rsid w:val="004E1DA2"/>
    <w:rsid w:val="004E2869"/>
    <w:rsid w:val="004E34AF"/>
    <w:rsid w:val="004E3846"/>
    <w:rsid w:val="004E3B6F"/>
    <w:rsid w:val="004E3F94"/>
    <w:rsid w:val="004E43F4"/>
    <w:rsid w:val="004E4426"/>
    <w:rsid w:val="004E684C"/>
    <w:rsid w:val="004E7A0D"/>
    <w:rsid w:val="004F0537"/>
    <w:rsid w:val="004F1790"/>
    <w:rsid w:val="004F243C"/>
    <w:rsid w:val="004F2DF1"/>
    <w:rsid w:val="004F59F5"/>
    <w:rsid w:val="004F5BE8"/>
    <w:rsid w:val="00501565"/>
    <w:rsid w:val="00501835"/>
    <w:rsid w:val="00501F03"/>
    <w:rsid w:val="0050315A"/>
    <w:rsid w:val="00505D0C"/>
    <w:rsid w:val="005068B1"/>
    <w:rsid w:val="00507C70"/>
    <w:rsid w:val="00510D5F"/>
    <w:rsid w:val="005111FF"/>
    <w:rsid w:val="00511D27"/>
    <w:rsid w:val="00512FFE"/>
    <w:rsid w:val="00513D62"/>
    <w:rsid w:val="005145B2"/>
    <w:rsid w:val="00514EC5"/>
    <w:rsid w:val="0051549F"/>
    <w:rsid w:val="00515ADE"/>
    <w:rsid w:val="0051610E"/>
    <w:rsid w:val="00516267"/>
    <w:rsid w:val="00517349"/>
    <w:rsid w:val="0052048C"/>
    <w:rsid w:val="00520CBD"/>
    <w:rsid w:val="00520DB4"/>
    <w:rsid w:val="00520EE6"/>
    <w:rsid w:val="00523C2F"/>
    <w:rsid w:val="00523D0F"/>
    <w:rsid w:val="005243BA"/>
    <w:rsid w:val="005245A5"/>
    <w:rsid w:val="00524874"/>
    <w:rsid w:val="00525397"/>
    <w:rsid w:val="00525614"/>
    <w:rsid w:val="00525D76"/>
    <w:rsid w:val="00526E7D"/>
    <w:rsid w:val="00526E84"/>
    <w:rsid w:val="00526FD2"/>
    <w:rsid w:val="005276DA"/>
    <w:rsid w:val="00527AB5"/>
    <w:rsid w:val="0053088D"/>
    <w:rsid w:val="00530929"/>
    <w:rsid w:val="00530BD4"/>
    <w:rsid w:val="00530CC8"/>
    <w:rsid w:val="00533BE3"/>
    <w:rsid w:val="00534AD3"/>
    <w:rsid w:val="00534CF9"/>
    <w:rsid w:val="0053669E"/>
    <w:rsid w:val="005379B7"/>
    <w:rsid w:val="00537B5B"/>
    <w:rsid w:val="00540195"/>
    <w:rsid w:val="00540440"/>
    <w:rsid w:val="00540D83"/>
    <w:rsid w:val="0054131A"/>
    <w:rsid w:val="00541901"/>
    <w:rsid w:val="00542EF6"/>
    <w:rsid w:val="005434D5"/>
    <w:rsid w:val="0054427A"/>
    <w:rsid w:val="00544AFF"/>
    <w:rsid w:val="00545665"/>
    <w:rsid w:val="00545FA5"/>
    <w:rsid w:val="0054615E"/>
    <w:rsid w:val="00546BCF"/>
    <w:rsid w:val="005514AD"/>
    <w:rsid w:val="00551D69"/>
    <w:rsid w:val="00552270"/>
    <w:rsid w:val="00552708"/>
    <w:rsid w:val="00552DD2"/>
    <w:rsid w:val="0055323B"/>
    <w:rsid w:val="005536B2"/>
    <w:rsid w:val="00553702"/>
    <w:rsid w:val="00554F30"/>
    <w:rsid w:val="005564D6"/>
    <w:rsid w:val="0055654B"/>
    <w:rsid w:val="00557B57"/>
    <w:rsid w:val="005606DA"/>
    <w:rsid w:val="00560801"/>
    <w:rsid w:val="00560B65"/>
    <w:rsid w:val="005610AD"/>
    <w:rsid w:val="005611CF"/>
    <w:rsid w:val="005611E5"/>
    <w:rsid w:val="00561E68"/>
    <w:rsid w:val="005642E1"/>
    <w:rsid w:val="00564D4E"/>
    <w:rsid w:val="00565586"/>
    <w:rsid w:val="00565DC1"/>
    <w:rsid w:val="005663EC"/>
    <w:rsid w:val="00566A12"/>
    <w:rsid w:val="00566CCA"/>
    <w:rsid w:val="00567413"/>
    <w:rsid w:val="00567EA3"/>
    <w:rsid w:val="0057219D"/>
    <w:rsid w:val="00573389"/>
    <w:rsid w:val="00573A87"/>
    <w:rsid w:val="005747EC"/>
    <w:rsid w:val="00574AFB"/>
    <w:rsid w:val="00574EA8"/>
    <w:rsid w:val="00574FCC"/>
    <w:rsid w:val="005758D7"/>
    <w:rsid w:val="005775F1"/>
    <w:rsid w:val="00580DD0"/>
    <w:rsid w:val="00581DDC"/>
    <w:rsid w:val="005820EF"/>
    <w:rsid w:val="005821BB"/>
    <w:rsid w:val="00582D44"/>
    <w:rsid w:val="00584DCE"/>
    <w:rsid w:val="00585196"/>
    <w:rsid w:val="00585B8E"/>
    <w:rsid w:val="00586064"/>
    <w:rsid w:val="00586AD2"/>
    <w:rsid w:val="005879E7"/>
    <w:rsid w:val="0059014C"/>
    <w:rsid w:val="00591B35"/>
    <w:rsid w:val="00591D92"/>
    <w:rsid w:val="005936F9"/>
    <w:rsid w:val="00594475"/>
    <w:rsid w:val="00594E03"/>
    <w:rsid w:val="005960A6"/>
    <w:rsid w:val="005973D8"/>
    <w:rsid w:val="005976D6"/>
    <w:rsid w:val="00597CBB"/>
    <w:rsid w:val="005A1B77"/>
    <w:rsid w:val="005A22F4"/>
    <w:rsid w:val="005A3261"/>
    <w:rsid w:val="005A502D"/>
    <w:rsid w:val="005A5096"/>
    <w:rsid w:val="005A5636"/>
    <w:rsid w:val="005A62A5"/>
    <w:rsid w:val="005A7247"/>
    <w:rsid w:val="005B019C"/>
    <w:rsid w:val="005B1667"/>
    <w:rsid w:val="005B3EFA"/>
    <w:rsid w:val="005B440D"/>
    <w:rsid w:val="005B494E"/>
    <w:rsid w:val="005B553C"/>
    <w:rsid w:val="005B5A1C"/>
    <w:rsid w:val="005B62AE"/>
    <w:rsid w:val="005B6FE7"/>
    <w:rsid w:val="005B7B7F"/>
    <w:rsid w:val="005C0130"/>
    <w:rsid w:val="005C115D"/>
    <w:rsid w:val="005C3802"/>
    <w:rsid w:val="005C40E1"/>
    <w:rsid w:val="005C43F2"/>
    <w:rsid w:val="005C508D"/>
    <w:rsid w:val="005C5CC2"/>
    <w:rsid w:val="005C6615"/>
    <w:rsid w:val="005C774D"/>
    <w:rsid w:val="005D42BB"/>
    <w:rsid w:val="005D6061"/>
    <w:rsid w:val="005D695A"/>
    <w:rsid w:val="005D6E78"/>
    <w:rsid w:val="005D7062"/>
    <w:rsid w:val="005D71C9"/>
    <w:rsid w:val="005D7D03"/>
    <w:rsid w:val="005E1372"/>
    <w:rsid w:val="005E1931"/>
    <w:rsid w:val="005E250C"/>
    <w:rsid w:val="005E37DA"/>
    <w:rsid w:val="005E5B38"/>
    <w:rsid w:val="005E6AA4"/>
    <w:rsid w:val="005F0C9A"/>
    <w:rsid w:val="005F1B20"/>
    <w:rsid w:val="005F44F9"/>
    <w:rsid w:val="005F5A8C"/>
    <w:rsid w:val="005F74CC"/>
    <w:rsid w:val="00600952"/>
    <w:rsid w:val="006018A1"/>
    <w:rsid w:val="00601F8C"/>
    <w:rsid w:val="0060340D"/>
    <w:rsid w:val="00603B8F"/>
    <w:rsid w:val="00603DAD"/>
    <w:rsid w:val="0060654E"/>
    <w:rsid w:val="00606FE2"/>
    <w:rsid w:val="006076CE"/>
    <w:rsid w:val="006077FB"/>
    <w:rsid w:val="006124F2"/>
    <w:rsid w:val="00613CF8"/>
    <w:rsid w:val="0061516A"/>
    <w:rsid w:val="006153A4"/>
    <w:rsid w:val="00616F93"/>
    <w:rsid w:val="006171C7"/>
    <w:rsid w:val="0061751F"/>
    <w:rsid w:val="006176F2"/>
    <w:rsid w:val="00620DD8"/>
    <w:rsid w:val="006228F8"/>
    <w:rsid w:val="00622F69"/>
    <w:rsid w:val="006234E5"/>
    <w:rsid w:val="00623878"/>
    <w:rsid w:val="006238D4"/>
    <w:rsid w:val="00623DB7"/>
    <w:rsid w:val="00625205"/>
    <w:rsid w:val="00625767"/>
    <w:rsid w:val="00625A8F"/>
    <w:rsid w:val="00625B91"/>
    <w:rsid w:val="0062741C"/>
    <w:rsid w:val="0063128A"/>
    <w:rsid w:val="006326EB"/>
    <w:rsid w:val="00633E86"/>
    <w:rsid w:val="00634024"/>
    <w:rsid w:val="006345DB"/>
    <w:rsid w:val="0063586D"/>
    <w:rsid w:val="00635B18"/>
    <w:rsid w:val="00637E3B"/>
    <w:rsid w:val="0064093C"/>
    <w:rsid w:val="00640B08"/>
    <w:rsid w:val="00641759"/>
    <w:rsid w:val="0064219B"/>
    <w:rsid w:val="00642D33"/>
    <w:rsid w:val="00644880"/>
    <w:rsid w:val="00645193"/>
    <w:rsid w:val="006460E4"/>
    <w:rsid w:val="006461BB"/>
    <w:rsid w:val="006464F5"/>
    <w:rsid w:val="00647059"/>
    <w:rsid w:val="00650B61"/>
    <w:rsid w:val="00651EF3"/>
    <w:rsid w:val="00652E24"/>
    <w:rsid w:val="00652EA7"/>
    <w:rsid w:val="0065526C"/>
    <w:rsid w:val="0065566C"/>
    <w:rsid w:val="006567E0"/>
    <w:rsid w:val="00660064"/>
    <w:rsid w:val="0066018E"/>
    <w:rsid w:val="00661710"/>
    <w:rsid w:val="00662D98"/>
    <w:rsid w:val="00662F0E"/>
    <w:rsid w:val="00663020"/>
    <w:rsid w:val="006646CC"/>
    <w:rsid w:val="00665011"/>
    <w:rsid w:val="00667183"/>
    <w:rsid w:val="00667EA7"/>
    <w:rsid w:val="00667FB7"/>
    <w:rsid w:val="0067001B"/>
    <w:rsid w:val="0067140F"/>
    <w:rsid w:val="00671E27"/>
    <w:rsid w:val="00672970"/>
    <w:rsid w:val="00672FCD"/>
    <w:rsid w:val="00673C67"/>
    <w:rsid w:val="0067467B"/>
    <w:rsid w:val="00674813"/>
    <w:rsid w:val="006758FC"/>
    <w:rsid w:val="00675B18"/>
    <w:rsid w:val="006770EC"/>
    <w:rsid w:val="006777A8"/>
    <w:rsid w:val="006808F9"/>
    <w:rsid w:val="0068097E"/>
    <w:rsid w:val="00681741"/>
    <w:rsid w:val="00681B92"/>
    <w:rsid w:val="006823E4"/>
    <w:rsid w:val="00682D0D"/>
    <w:rsid w:val="006838B4"/>
    <w:rsid w:val="006847C8"/>
    <w:rsid w:val="0068516B"/>
    <w:rsid w:val="006865DC"/>
    <w:rsid w:val="006869DE"/>
    <w:rsid w:val="0069013C"/>
    <w:rsid w:val="006907AC"/>
    <w:rsid w:val="0069202A"/>
    <w:rsid w:val="00692D9A"/>
    <w:rsid w:val="00693F6D"/>
    <w:rsid w:val="00694226"/>
    <w:rsid w:val="00694767"/>
    <w:rsid w:val="00694ECD"/>
    <w:rsid w:val="0069517F"/>
    <w:rsid w:val="00696565"/>
    <w:rsid w:val="00697376"/>
    <w:rsid w:val="00697932"/>
    <w:rsid w:val="00697D9D"/>
    <w:rsid w:val="00697FA9"/>
    <w:rsid w:val="006A0FFE"/>
    <w:rsid w:val="006A12DD"/>
    <w:rsid w:val="006A1456"/>
    <w:rsid w:val="006A18D5"/>
    <w:rsid w:val="006A27AC"/>
    <w:rsid w:val="006A2BD8"/>
    <w:rsid w:val="006A3584"/>
    <w:rsid w:val="006A6787"/>
    <w:rsid w:val="006B0210"/>
    <w:rsid w:val="006B06A1"/>
    <w:rsid w:val="006B140C"/>
    <w:rsid w:val="006B2AE2"/>
    <w:rsid w:val="006B2E41"/>
    <w:rsid w:val="006B50E8"/>
    <w:rsid w:val="006B56C1"/>
    <w:rsid w:val="006B5E38"/>
    <w:rsid w:val="006B7264"/>
    <w:rsid w:val="006B756B"/>
    <w:rsid w:val="006C1B02"/>
    <w:rsid w:val="006C3050"/>
    <w:rsid w:val="006C4114"/>
    <w:rsid w:val="006C5A80"/>
    <w:rsid w:val="006C7C21"/>
    <w:rsid w:val="006D1814"/>
    <w:rsid w:val="006D236A"/>
    <w:rsid w:val="006D3381"/>
    <w:rsid w:val="006D398C"/>
    <w:rsid w:val="006D3FD7"/>
    <w:rsid w:val="006D47A6"/>
    <w:rsid w:val="006D4DF2"/>
    <w:rsid w:val="006D611F"/>
    <w:rsid w:val="006D63C6"/>
    <w:rsid w:val="006D7D62"/>
    <w:rsid w:val="006E0FA0"/>
    <w:rsid w:val="006E14E4"/>
    <w:rsid w:val="006E2054"/>
    <w:rsid w:val="006E2C27"/>
    <w:rsid w:val="006E562B"/>
    <w:rsid w:val="006E57DC"/>
    <w:rsid w:val="006E644C"/>
    <w:rsid w:val="006E7C0C"/>
    <w:rsid w:val="006F00AE"/>
    <w:rsid w:val="006F5532"/>
    <w:rsid w:val="006F5B86"/>
    <w:rsid w:val="006F6A6B"/>
    <w:rsid w:val="006F7107"/>
    <w:rsid w:val="00700760"/>
    <w:rsid w:val="007014EE"/>
    <w:rsid w:val="007022AD"/>
    <w:rsid w:val="007030AD"/>
    <w:rsid w:val="00703F71"/>
    <w:rsid w:val="00704479"/>
    <w:rsid w:val="007076E2"/>
    <w:rsid w:val="0070788C"/>
    <w:rsid w:val="00707EFD"/>
    <w:rsid w:val="00710A48"/>
    <w:rsid w:val="00711133"/>
    <w:rsid w:val="00711AD1"/>
    <w:rsid w:val="00712F23"/>
    <w:rsid w:val="00714746"/>
    <w:rsid w:val="007152AB"/>
    <w:rsid w:val="007153A3"/>
    <w:rsid w:val="00716B16"/>
    <w:rsid w:val="00720DBA"/>
    <w:rsid w:val="0072102F"/>
    <w:rsid w:val="007211C2"/>
    <w:rsid w:val="00722F80"/>
    <w:rsid w:val="0072509A"/>
    <w:rsid w:val="007264EB"/>
    <w:rsid w:val="0072671F"/>
    <w:rsid w:val="007306A9"/>
    <w:rsid w:val="0073079E"/>
    <w:rsid w:val="00730BDA"/>
    <w:rsid w:val="007318BF"/>
    <w:rsid w:val="00732210"/>
    <w:rsid w:val="00732A70"/>
    <w:rsid w:val="007336B0"/>
    <w:rsid w:val="007338C0"/>
    <w:rsid w:val="00734805"/>
    <w:rsid w:val="0073499F"/>
    <w:rsid w:val="00735243"/>
    <w:rsid w:val="007358BF"/>
    <w:rsid w:val="00736931"/>
    <w:rsid w:val="00736D3E"/>
    <w:rsid w:val="00737C24"/>
    <w:rsid w:val="0074031E"/>
    <w:rsid w:val="007405F2"/>
    <w:rsid w:val="007408F3"/>
    <w:rsid w:val="007413EB"/>
    <w:rsid w:val="0074287F"/>
    <w:rsid w:val="007428DD"/>
    <w:rsid w:val="007431D9"/>
    <w:rsid w:val="00743548"/>
    <w:rsid w:val="00744228"/>
    <w:rsid w:val="00744D28"/>
    <w:rsid w:val="00744D6F"/>
    <w:rsid w:val="007458A0"/>
    <w:rsid w:val="007469AA"/>
    <w:rsid w:val="007470C9"/>
    <w:rsid w:val="0075005E"/>
    <w:rsid w:val="00750AB1"/>
    <w:rsid w:val="00750CE2"/>
    <w:rsid w:val="00751AA8"/>
    <w:rsid w:val="007532AA"/>
    <w:rsid w:val="007539DC"/>
    <w:rsid w:val="00754D94"/>
    <w:rsid w:val="00755ED1"/>
    <w:rsid w:val="00756116"/>
    <w:rsid w:val="007567E4"/>
    <w:rsid w:val="00757739"/>
    <w:rsid w:val="00757E80"/>
    <w:rsid w:val="00760774"/>
    <w:rsid w:val="00761DB3"/>
    <w:rsid w:val="0076253B"/>
    <w:rsid w:val="00763313"/>
    <w:rsid w:val="0076490A"/>
    <w:rsid w:val="00764990"/>
    <w:rsid w:val="00765459"/>
    <w:rsid w:val="00765598"/>
    <w:rsid w:val="00765681"/>
    <w:rsid w:val="00765D64"/>
    <w:rsid w:val="007664A7"/>
    <w:rsid w:val="00766B2F"/>
    <w:rsid w:val="007700B6"/>
    <w:rsid w:val="00770609"/>
    <w:rsid w:val="007711BE"/>
    <w:rsid w:val="00773D10"/>
    <w:rsid w:val="00774129"/>
    <w:rsid w:val="00776635"/>
    <w:rsid w:val="00776D7C"/>
    <w:rsid w:val="007778A5"/>
    <w:rsid w:val="00777DCA"/>
    <w:rsid w:val="00781095"/>
    <w:rsid w:val="0078138F"/>
    <w:rsid w:val="00782603"/>
    <w:rsid w:val="00782A86"/>
    <w:rsid w:val="00782F8A"/>
    <w:rsid w:val="0078392B"/>
    <w:rsid w:val="00783B44"/>
    <w:rsid w:val="00783EB3"/>
    <w:rsid w:val="007870F4"/>
    <w:rsid w:val="00790072"/>
    <w:rsid w:val="00790ED9"/>
    <w:rsid w:val="00791188"/>
    <w:rsid w:val="00791CF3"/>
    <w:rsid w:val="00791F8B"/>
    <w:rsid w:val="007939AC"/>
    <w:rsid w:val="00793C53"/>
    <w:rsid w:val="00794270"/>
    <w:rsid w:val="007953BF"/>
    <w:rsid w:val="007954EE"/>
    <w:rsid w:val="007A036C"/>
    <w:rsid w:val="007A0750"/>
    <w:rsid w:val="007A246A"/>
    <w:rsid w:val="007A2F87"/>
    <w:rsid w:val="007A34EF"/>
    <w:rsid w:val="007A3D95"/>
    <w:rsid w:val="007A4DD2"/>
    <w:rsid w:val="007A510E"/>
    <w:rsid w:val="007A5825"/>
    <w:rsid w:val="007A5B49"/>
    <w:rsid w:val="007A5DAD"/>
    <w:rsid w:val="007A67BA"/>
    <w:rsid w:val="007A6D2C"/>
    <w:rsid w:val="007A7859"/>
    <w:rsid w:val="007B0C2B"/>
    <w:rsid w:val="007B1EA3"/>
    <w:rsid w:val="007B3195"/>
    <w:rsid w:val="007B333D"/>
    <w:rsid w:val="007B38F5"/>
    <w:rsid w:val="007B3DF4"/>
    <w:rsid w:val="007B55DF"/>
    <w:rsid w:val="007B5868"/>
    <w:rsid w:val="007B660B"/>
    <w:rsid w:val="007B72D3"/>
    <w:rsid w:val="007B7480"/>
    <w:rsid w:val="007B7BD6"/>
    <w:rsid w:val="007B7E6A"/>
    <w:rsid w:val="007C00F1"/>
    <w:rsid w:val="007C1B05"/>
    <w:rsid w:val="007C2757"/>
    <w:rsid w:val="007C2B91"/>
    <w:rsid w:val="007C3E16"/>
    <w:rsid w:val="007C41EF"/>
    <w:rsid w:val="007C41FE"/>
    <w:rsid w:val="007C5783"/>
    <w:rsid w:val="007C68CE"/>
    <w:rsid w:val="007D0043"/>
    <w:rsid w:val="007D13D0"/>
    <w:rsid w:val="007D262A"/>
    <w:rsid w:val="007D282C"/>
    <w:rsid w:val="007D435F"/>
    <w:rsid w:val="007D4470"/>
    <w:rsid w:val="007D4D57"/>
    <w:rsid w:val="007D7A6C"/>
    <w:rsid w:val="007E0302"/>
    <w:rsid w:val="007E057B"/>
    <w:rsid w:val="007E0891"/>
    <w:rsid w:val="007E2F0F"/>
    <w:rsid w:val="007E30EF"/>
    <w:rsid w:val="007E31D5"/>
    <w:rsid w:val="007E3782"/>
    <w:rsid w:val="007E3B14"/>
    <w:rsid w:val="007E4DDD"/>
    <w:rsid w:val="007E5BF4"/>
    <w:rsid w:val="007E5FFB"/>
    <w:rsid w:val="007E63B4"/>
    <w:rsid w:val="007F039C"/>
    <w:rsid w:val="007F1A7F"/>
    <w:rsid w:val="007F2010"/>
    <w:rsid w:val="007F34D9"/>
    <w:rsid w:val="007F3C11"/>
    <w:rsid w:val="007F3DE4"/>
    <w:rsid w:val="007F4612"/>
    <w:rsid w:val="007F4ABB"/>
    <w:rsid w:val="007F586F"/>
    <w:rsid w:val="007F6289"/>
    <w:rsid w:val="007F6B68"/>
    <w:rsid w:val="007F6CE2"/>
    <w:rsid w:val="007F6EEF"/>
    <w:rsid w:val="008002CE"/>
    <w:rsid w:val="00801B00"/>
    <w:rsid w:val="00801BA1"/>
    <w:rsid w:val="00803BBB"/>
    <w:rsid w:val="00803C88"/>
    <w:rsid w:val="0080454B"/>
    <w:rsid w:val="008074DD"/>
    <w:rsid w:val="008076D5"/>
    <w:rsid w:val="008102CB"/>
    <w:rsid w:val="00812247"/>
    <w:rsid w:val="00813153"/>
    <w:rsid w:val="008134E9"/>
    <w:rsid w:val="00815E8B"/>
    <w:rsid w:val="00816F01"/>
    <w:rsid w:val="008171E0"/>
    <w:rsid w:val="008174A5"/>
    <w:rsid w:val="00817538"/>
    <w:rsid w:val="00820171"/>
    <w:rsid w:val="00821CF8"/>
    <w:rsid w:val="00824E1B"/>
    <w:rsid w:val="00824E66"/>
    <w:rsid w:val="0082543A"/>
    <w:rsid w:val="008255C9"/>
    <w:rsid w:val="00825E42"/>
    <w:rsid w:val="008261AB"/>
    <w:rsid w:val="00826C0F"/>
    <w:rsid w:val="008272BE"/>
    <w:rsid w:val="008308E2"/>
    <w:rsid w:val="00831A6C"/>
    <w:rsid w:val="00831ADA"/>
    <w:rsid w:val="00831FE6"/>
    <w:rsid w:val="0083231B"/>
    <w:rsid w:val="008325B5"/>
    <w:rsid w:val="0083376D"/>
    <w:rsid w:val="0083435A"/>
    <w:rsid w:val="00834BBB"/>
    <w:rsid w:val="00835044"/>
    <w:rsid w:val="00835653"/>
    <w:rsid w:val="008361C4"/>
    <w:rsid w:val="0083687A"/>
    <w:rsid w:val="0083747A"/>
    <w:rsid w:val="0084358C"/>
    <w:rsid w:val="00843D86"/>
    <w:rsid w:val="00844678"/>
    <w:rsid w:val="008449AA"/>
    <w:rsid w:val="00844A85"/>
    <w:rsid w:val="00844D16"/>
    <w:rsid w:val="008456A7"/>
    <w:rsid w:val="00850972"/>
    <w:rsid w:val="00850F9B"/>
    <w:rsid w:val="008515A0"/>
    <w:rsid w:val="00852A62"/>
    <w:rsid w:val="00852C24"/>
    <w:rsid w:val="00853DAE"/>
    <w:rsid w:val="0085562C"/>
    <w:rsid w:val="00855716"/>
    <w:rsid w:val="008565B0"/>
    <w:rsid w:val="00857188"/>
    <w:rsid w:val="00860160"/>
    <w:rsid w:val="00860D64"/>
    <w:rsid w:val="00861876"/>
    <w:rsid w:val="008621DD"/>
    <w:rsid w:val="00865B88"/>
    <w:rsid w:val="00866BD6"/>
    <w:rsid w:val="008670A2"/>
    <w:rsid w:val="00867941"/>
    <w:rsid w:val="00867953"/>
    <w:rsid w:val="008700D4"/>
    <w:rsid w:val="00872451"/>
    <w:rsid w:val="008742D7"/>
    <w:rsid w:val="00874BF5"/>
    <w:rsid w:val="00875BDC"/>
    <w:rsid w:val="00876621"/>
    <w:rsid w:val="00877DC2"/>
    <w:rsid w:val="00880AAD"/>
    <w:rsid w:val="00882411"/>
    <w:rsid w:val="00882528"/>
    <w:rsid w:val="00882F50"/>
    <w:rsid w:val="00884866"/>
    <w:rsid w:val="008849F8"/>
    <w:rsid w:val="008855E5"/>
    <w:rsid w:val="00885FEC"/>
    <w:rsid w:val="00887286"/>
    <w:rsid w:val="0088788A"/>
    <w:rsid w:val="00890888"/>
    <w:rsid w:val="00890CA3"/>
    <w:rsid w:val="0089115C"/>
    <w:rsid w:val="00891DC4"/>
    <w:rsid w:val="00892449"/>
    <w:rsid w:val="00892AA5"/>
    <w:rsid w:val="0089356C"/>
    <w:rsid w:val="00894609"/>
    <w:rsid w:val="00895DF8"/>
    <w:rsid w:val="008961D0"/>
    <w:rsid w:val="00896A85"/>
    <w:rsid w:val="00896D35"/>
    <w:rsid w:val="00897989"/>
    <w:rsid w:val="008A051C"/>
    <w:rsid w:val="008A099A"/>
    <w:rsid w:val="008A0D0F"/>
    <w:rsid w:val="008A1C86"/>
    <w:rsid w:val="008A2423"/>
    <w:rsid w:val="008A2DD5"/>
    <w:rsid w:val="008A2E44"/>
    <w:rsid w:val="008A2E4A"/>
    <w:rsid w:val="008A321B"/>
    <w:rsid w:val="008A3C34"/>
    <w:rsid w:val="008A443C"/>
    <w:rsid w:val="008A5874"/>
    <w:rsid w:val="008A5FE6"/>
    <w:rsid w:val="008A64C3"/>
    <w:rsid w:val="008A7AD0"/>
    <w:rsid w:val="008B0AE8"/>
    <w:rsid w:val="008B0C18"/>
    <w:rsid w:val="008B0FDF"/>
    <w:rsid w:val="008B2C38"/>
    <w:rsid w:val="008B3585"/>
    <w:rsid w:val="008B412C"/>
    <w:rsid w:val="008B4EFD"/>
    <w:rsid w:val="008B5182"/>
    <w:rsid w:val="008B53FD"/>
    <w:rsid w:val="008B5463"/>
    <w:rsid w:val="008B6EA2"/>
    <w:rsid w:val="008C082A"/>
    <w:rsid w:val="008C0C91"/>
    <w:rsid w:val="008C1258"/>
    <w:rsid w:val="008C2F17"/>
    <w:rsid w:val="008C40EE"/>
    <w:rsid w:val="008C57C5"/>
    <w:rsid w:val="008C6789"/>
    <w:rsid w:val="008C7277"/>
    <w:rsid w:val="008C750F"/>
    <w:rsid w:val="008D020F"/>
    <w:rsid w:val="008D0A42"/>
    <w:rsid w:val="008D4A5E"/>
    <w:rsid w:val="008D5280"/>
    <w:rsid w:val="008D68BD"/>
    <w:rsid w:val="008D6EFB"/>
    <w:rsid w:val="008E0105"/>
    <w:rsid w:val="008E054F"/>
    <w:rsid w:val="008E0CF7"/>
    <w:rsid w:val="008E3A3C"/>
    <w:rsid w:val="008E3E97"/>
    <w:rsid w:val="008E42A1"/>
    <w:rsid w:val="008E5722"/>
    <w:rsid w:val="008E5978"/>
    <w:rsid w:val="008E63CF"/>
    <w:rsid w:val="008E7476"/>
    <w:rsid w:val="008E75EC"/>
    <w:rsid w:val="008F06C5"/>
    <w:rsid w:val="008F0746"/>
    <w:rsid w:val="008F07B7"/>
    <w:rsid w:val="008F11A8"/>
    <w:rsid w:val="008F25AD"/>
    <w:rsid w:val="008F4B56"/>
    <w:rsid w:val="008F6131"/>
    <w:rsid w:val="008F6F1F"/>
    <w:rsid w:val="008F6FAB"/>
    <w:rsid w:val="00901C34"/>
    <w:rsid w:val="00901F88"/>
    <w:rsid w:val="00902882"/>
    <w:rsid w:val="00904684"/>
    <w:rsid w:val="00904F1C"/>
    <w:rsid w:val="0090501A"/>
    <w:rsid w:val="00906E20"/>
    <w:rsid w:val="00906FDA"/>
    <w:rsid w:val="00907AE9"/>
    <w:rsid w:val="00910251"/>
    <w:rsid w:val="00911F64"/>
    <w:rsid w:val="00913FF1"/>
    <w:rsid w:val="00915B2A"/>
    <w:rsid w:val="009178D4"/>
    <w:rsid w:val="00917B1A"/>
    <w:rsid w:val="0092059D"/>
    <w:rsid w:val="009214C2"/>
    <w:rsid w:val="00921798"/>
    <w:rsid w:val="009220F2"/>
    <w:rsid w:val="0092367D"/>
    <w:rsid w:val="00923C75"/>
    <w:rsid w:val="00925D55"/>
    <w:rsid w:val="0092633F"/>
    <w:rsid w:val="00926E2F"/>
    <w:rsid w:val="00927483"/>
    <w:rsid w:val="00931D69"/>
    <w:rsid w:val="00931FFF"/>
    <w:rsid w:val="0093235A"/>
    <w:rsid w:val="0093316F"/>
    <w:rsid w:val="00935E13"/>
    <w:rsid w:val="00937009"/>
    <w:rsid w:val="0094012B"/>
    <w:rsid w:val="00941EB5"/>
    <w:rsid w:val="0094231B"/>
    <w:rsid w:val="009425A5"/>
    <w:rsid w:val="0094263A"/>
    <w:rsid w:val="009431C5"/>
    <w:rsid w:val="00943AFB"/>
    <w:rsid w:val="00943B0F"/>
    <w:rsid w:val="00943B27"/>
    <w:rsid w:val="0094402D"/>
    <w:rsid w:val="00945E03"/>
    <w:rsid w:val="00946095"/>
    <w:rsid w:val="00947828"/>
    <w:rsid w:val="009501AE"/>
    <w:rsid w:val="0095067F"/>
    <w:rsid w:val="00950F53"/>
    <w:rsid w:val="009513EC"/>
    <w:rsid w:val="00951B5E"/>
    <w:rsid w:val="00952558"/>
    <w:rsid w:val="00953120"/>
    <w:rsid w:val="00953633"/>
    <w:rsid w:val="00953C7F"/>
    <w:rsid w:val="0095405F"/>
    <w:rsid w:val="00954E0E"/>
    <w:rsid w:val="009559BB"/>
    <w:rsid w:val="00957A6F"/>
    <w:rsid w:val="00960800"/>
    <w:rsid w:val="009615B6"/>
    <w:rsid w:val="0096205F"/>
    <w:rsid w:val="009620A7"/>
    <w:rsid w:val="00963C3B"/>
    <w:rsid w:val="009646A8"/>
    <w:rsid w:val="0096583A"/>
    <w:rsid w:val="00966D34"/>
    <w:rsid w:val="0096771B"/>
    <w:rsid w:val="00967D48"/>
    <w:rsid w:val="00967DAB"/>
    <w:rsid w:val="00970F75"/>
    <w:rsid w:val="00972588"/>
    <w:rsid w:val="00972835"/>
    <w:rsid w:val="00972DB3"/>
    <w:rsid w:val="00972E6B"/>
    <w:rsid w:val="00973CC9"/>
    <w:rsid w:val="00974472"/>
    <w:rsid w:val="00974C84"/>
    <w:rsid w:val="009759D6"/>
    <w:rsid w:val="0097704F"/>
    <w:rsid w:val="009815DB"/>
    <w:rsid w:val="00982586"/>
    <w:rsid w:val="0098350A"/>
    <w:rsid w:val="00983BCC"/>
    <w:rsid w:val="00985A09"/>
    <w:rsid w:val="00985BFA"/>
    <w:rsid w:val="00986B41"/>
    <w:rsid w:val="009878EF"/>
    <w:rsid w:val="00987958"/>
    <w:rsid w:val="009902F9"/>
    <w:rsid w:val="0099199A"/>
    <w:rsid w:val="00992898"/>
    <w:rsid w:val="00993999"/>
    <w:rsid w:val="00994A71"/>
    <w:rsid w:val="0099644A"/>
    <w:rsid w:val="0099712F"/>
    <w:rsid w:val="00997C01"/>
    <w:rsid w:val="00997D3F"/>
    <w:rsid w:val="009A0C59"/>
    <w:rsid w:val="009A10BA"/>
    <w:rsid w:val="009A2BAB"/>
    <w:rsid w:val="009A2FB1"/>
    <w:rsid w:val="009A327F"/>
    <w:rsid w:val="009A3351"/>
    <w:rsid w:val="009A3439"/>
    <w:rsid w:val="009A4EC0"/>
    <w:rsid w:val="009A73F5"/>
    <w:rsid w:val="009A7478"/>
    <w:rsid w:val="009B0A88"/>
    <w:rsid w:val="009B184A"/>
    <w:rsid w:val="009B1EB9"/>
    <w:rsid w:val="009B1F09"/>
    <w:rsid w:val="009B1F53"/>
    <w:rsid w:val="009B2329"/>
    <w:rsid w:val="009B2910"/>
    <w:rsid w:val="009B4854"/>
    <w:rsid w:val="009B4AD1"/>
    <w:rsid w:val="009B5228"/>
    <w:rsid w:val="009B576A"/>
    <w:rsid w:val="009B5CB9"/>
    <w:rsid w:val="009B616A"/>
    <w:rsid w:val="009B70CA"/>
    <w:rsid w:val="009B7791"/>
    <w:rsid w:val="009C0EE3"/>
    <w:rsid w:val="009C2240"/>
    <w:rsid w:val="009C2DBC"/>
    <w:rsid w:val="009C2DBE"/>
    <w:rsid w:val="009C397B"/>
    <w:rsid w:val="009C48FC"/>
    <w:rsid w:val="009C5014"/>
    <w:rsid w:val="009C501C"/>
    <w:rsid w:val="009C57D0"/>
    <w:rsid w:val="009C58ED"/>
    <w:rsid w:val="009C63F6"/>
    <w:rsid w:val="009C729D"/>
    <w:rsid w:val="009C758C"/>
    <w:rsid w:val="009D0B0B"/>
    <w:rsid w:val="009D3204"/>
    <w:rsid w:val="009D324A"/>
    <w:rsid w:val="009D420E"/>
    <w:rsid w:val="009D5679"/>
    <w:rsid w:val="009D610A"/>
    <w:rsid w:val="009D7AF2"/>
    <w:rsid w:val="009D7CF7"/>
    <w:rsid w:val="009D7FAF"/>
    <w:rsid w:val="009E1BB9"/>
    <w:rsid w:val="009E34D3"/>
    <w:rsid w:val="009E3A42"/>
    <w:rsid w:val="009E3CD9"/>
    <w:rsid w:val="009E6E94"/>
    <w:rsid w:val="009F289C"/>
    <w:rsid w:val="009F4654"/>
    <w:rsid w:val="009F4796"/>
    <w:rsid w:val="009F5536"/>
    <w:rsid w:val="009F5557"/>
    <w:rsid w:val="009F6054"/>
    <w:rsid w:val="009F6E43"/>
    <w:rsid w:val="009F75BD"/>
    <w:rsid w:val="009F7A97"/>
    <w:rsid w:val="009F7E8D"/>
    <w:rsid w:val="00A00D10"/>
    <w:rsid w:val="00A01A80"/>
    <w:rsid w:val="00A01CF8"/>
    <w:rsid w:val="00A02BF3"/>
    <w:rsid w:val="00A02FF7"/>
    <w:rsid w:val="00A0589D"/>
    <w:rsid w:val="00A05E2E"/>
    <w:rsid w:val="00A06EED"/>
    <w:rsid w:val="00A06FF3"/>
    <w:rsid w:val="00A07E50"/>
    <w:rsid w:val="00A07EBC"/>
    <w:rsid w:val="00A105A6"/>
    <w:rsid w:val="00A11658"/>
    <w:rsid w:val="00A11A6D"/>
    <w:rsid w:val="00A13C1E"/>
    <w:rsid w:val="00A14726"/>
    <w:rsid w:val="00A1690B"/>
    <w:rsid w:val="00A17086"/>
    <w:rsid w:val="00A174B5"/>
    <w:rsid w:val="00A17B6B"/>
    <w:rsid w:val="00A21D59"/>
    <w:rsid w:val="00A220E1"/>
    <w:rsid w:val="00A2326C"/>
    <w:rsid w:val="00A233AE"/>
    <w:rsid w:val="00A2376D"/>
    <w:rsid w:val="00A23862"/>
    <w:rsid w:val="00A2394F"/>
    <w:rsid w:val="00A24E2E"/>
    <w:rsid w:val="00A25806"/>
    <w:rsid w:val="00A25D92"/>
    <w:rsid w:val="00A2703A"/>
    <w:rsid w:val="00A27FBE"/>
    <w:rsid w:val="00A309D2"/>
    <w:rsid w:val="00A33816"/>
    <w:rsid w:val="00A349A9"/>
    <w:rsid w:val="00A34AAA"/>
    <w:rsid w:val="00A35516"/>
    <w:rsid w:val="00A36648"/>
    <w:rsid w:val="00A37804"/>
    <w:rsid w:val="00A37F9A"/>
    <w:rsid w:val="00A40D4F"/>
    <w:rsid w:val="00A41E95"/>
    <w:rsid w:val="00A42722"/>
    <w:rsid w:val="00A456CF"/>
    <w:rsid w:val="00A47D4D"/>
    <w:rsid w:val="00A50820"/>
    <w:rsid w:val="00A50E17"/>
    <w:rsid w:val="00A529CE"/>
    <w:rsid w:val="00A54230"/>
    <w:rsid w:val="00A54309"/>
    <w:rsid w:val="00A55C13"/>
    <w:rsid w:val="00A55F98"/>
    <w:rsid w:val="00A562B2"/>
    <w:rsid w:val="00A57903"/>
    <w:rsid w:val="00A57DDC"/>
    <w:rsid w:val="00A60388"/>
    <w:rsid w:val="00A604E9"/>
    <w:rsid w:val="00A61F78"/>
    <w:rsid w:val="00A63994"/>
    <w:rsid w:val="00A650CA"/>
    <w:rsid w:val="00A66761"/>
    <w:rsid w:val="00A701C7"/>
    <w:rsid w:val="00A7031F"/>
    <w:rsid w:val="00A7044C"/>
    <w:rsid w:val="00A70880"/>
    <w:rsid w:val="00A72171"/>
    <w:rsid w:val="00A722B4"/>
    <w:rsid w:val="00A74508"/>
    <w:rsid w:val="00A748AA"/>
    <w:rsid w:val="00A76F87"/>
    <w:rsid w:val="00A7718E"/>
    <w:rsid w:val="00A77B6F"/>
    <w:rsid w:val="00A80492"/>
    <w:rsid w:val="00A80E52"/>
    <w:rsid w:val="00A81761"/>
    <w:rsid w:val="00A82C81"/>
    <w:rsid w:val="00A8486D"/>
    <w:rsid w:val="00A85796"/>
    <w:rsid w:val="00A85C89"/>
    <w:rsid w:val="00A87C80"/>
    <w:rsid w:val="00A900A3"/>
    <w:rsid w:val="00A90D8E"/>
    <w:rsid w:val="00A926D9"/>
    <w:rsid w:val="00A93C6B"/>
    <w:rsid w:val="00A94974"/>
    <w:rsid w:val="00A94D49"/>
    <w:rsid w:val="00A94E0E"/>
    <w:rsid w:val="00A95A3A"/>
    <w:rsid w:val="00A971E0"/>
    <w:rsid w:val="00AA0506"/>
    <w:rsid w:val="00AA05C6"/>
    <w:rsid w:val="00AA1979"/>
    <w:rsid w:val="00AA1AED"/>
    <w:rsid w:val="00AA305B"/>
    <w:rsid w:val="00AA3BB7"/>
    <w:rsid w:val="00AA3BE9"/>
    <w:rsid w:val="00AA4795"/>
    <w:rsid w:val="00AA4CA3"/>
    <w:rsid w:val="00AA5DB5"/>
    <w:rsid w:val="00AA5FAE"/>
    <w:rsid w:val="00AA641C"/>
    <w:rsid w:val="00AA6B16"/>
    <w:rsid w:val="00AA6F7C"/>
    <w:rsid w:val="00AB0B61"/>
    <w:rsid w:val="00AB1091"/>
    <w:rsid w:val="00AB2182"/>
    <w:rsid w:val="00AB4169"/>
    <w:rsid w:val="00AB71DB"/>
    <w:rsid w:val="00AC18F3"/>
    <w:rsid w:val="00AC41A4"/>
    <w:rsid w:val="00AC4E5C"/>
    <w:rsid w:val="00AC5797"/>
    <w:rsid w:val="00AD17F7"/>
    <w:rsid w:val="00AD2127"/>
    <w:rsid w:val="00AD230C"/>
    <w:rsid w:val="00AD2D54"/>
    <w:rsid w:val="00AD487E"/>
    <w:rsid w:val="00AD57F3"/>
    <w:rsid w:val="00AD5F62"/>
    <w:rsid w:val="00AD63A1"/>
    <w:rsid w:val="00AE0D47"/>
    <w:rsid w:val="00AE1C26"/>
    <w:rsid w:val="00AE33E2"/>
    <w:rsid w:val="00AE40B7"/>
    <w:rsid w:val="00AE52BC"/>
    <w:rsid w:val="00AE5935"/>
    <w:rsid w:val="00AE64F4"/>
    <w:rsid w:val="00AF075F"/>
    <w:rsid w:val="00AF0D96"/>
    <w:rsid w:val="00AF1327"/>
    <w:rsid w:val="00AF14B2"/>
    <w:rsid w:val="00AF2655"/>
    <w:rsid w:val="00AF28A6"/>
    <w:rsid w:val="00AF4927"/>
    <w:rsid w:val="00AF50BA"/>
    <w:rsid w:val="00AF5870"/>
    <w:rsid w:val="00AF5C78"/>
    <w:rsid w:val="00AF62AC"/>
    <w:rsid w:val="00AF67EF"/>
    <w:rsid w:val="00AF7097"/>
    <w:rsid w:val="00AF7E02"/>
    <w:rsid w:val="00B032FA"/>
    <w:rsid w:val="00B03D56"/>
    <w:rsid w:val="00B04A0A"/>
    <w:rsid w:val="00B04F14"/>
    <w:rsid w:val="00B057C1"/>
    <w:rsid w:val="00B05A69"/>
    <w:rsid w:val="00B05C57"/>
    <w:rsid w:val="00B07CC3"/>
    <w:rsid w:val="00B10852"/>
    <w:rsid w:val="00B123A9"/>
    <w:rsid w:val="00B13AD0"/>
    <w:rsid w:val="00B14D93"/>
    <w:rsid w:val="00B15C0C"/>
    <w:rsid w:val="00B17AF4"/>
    <w:rsid w:val="00B20017"/>
    <w:rsid w:val="00B20313"/>
    <w:rsid w:val="00B25AB4"/>
    <w:rsid w:val="00B25E90"/>
    <w:rsid w:val="00B2658B"/>
    <w:rsid w:val="00B27B32"/>
    <w:rsid w:val="00B30195"/>
    <w:rsid w:val="00B30272"/>
    <w:rsid w:val="00B30DAB"/>
    <w:rsid w:val="00B31449"/>
    <w:rsid w:val="00B31910"/>
    <w:rsid w:val="00B32321"/>
    <w:rsid w:val="00B33207"/>
    <w:rsid w:val="00B334B7"/>
    <w:rsid w:val="00B34AB7"/>
    <w:rsid w:val="00B34D30"/>
    <w:rsid w:val="00B354B3"/>
    <w:rsid w:val="00B36ED7"/>
    <w:rsid w:val="00B37697"/>
    <w:rsid w:val="00B37C7C"/>
    <w:rsid w:val="00B37EA1"/>
    <w:rsid w:val="00B422DA"/>
    <w:rsid w:val="00B4399F"/>
    <w:rsid w:val="00B43DD2"/>
    <w:rsid w:val="00B448A3"/>
    <w:rsid w:val="00B45A21"/>
    <w:rsid w:val="00B45E20"/>
    <w:rsid w:val="00B4617D"/>
    <w:rsid w:val="00B47A5D"/>
    <w:rsid w:val="00B50F8D"/>
    <w:rsid w:val="00B51402"/>
    <w:rsid w:val="00B514D7"/>
    <w:rsid w:val="00B5296C"/>
    <w:rsid w:val="00B531CF"/>
    <w:rsid w:val="00B534B3"/>
    <w:rsid w:val="00B54A27"/>
    <w:rsid w:val="00B558B3"/>
    <w:rsid w:val="00B566CF"/>
    <w:rsid w:val="00B56F23"/>
    <w:rsid w:val="00B57173"/>
    <w:rsid w:val="00B57440"/>
    <w:rsid w:val="00B57FD6"/>
    <w:rsid w:val="00B60E44"/>
    <w:rsid w:val="00B616A7"/>
    <w:rsid w:val="00B62546"/>
    <w:rsid w:val="00B630B1"/>
    <w:rsid w:val="00B631AC"/>
    <w:rsid w:val="00B63863"/>
    <w:rsid w:val="00B63BFA"/>
    <w:rsid w:val="00B647B8"/>
    <w:rsid w:val="00B64D49"/>
    <w:rsid w:val="00B66FE1"/>
    <w:rsid w:val="00B671CA"/>
    <w:rsid w:val="00B67C8F"/>
    <w:rsid w:val="00B706A9"/>
    <w:rsid w:val="00B712CE"/>
    <w:rsid w:val="00B71BD7"/>
    <w:rsid w:val="00B71CBD"/>
    <w:rsid w:val="00B72672"/>
    <w:rsid w:val="00B72EA8"/>
    <w:rsid w:val="00B7301D"/>
    <w:rsid w:val="00B734B4"/>
    <w:rsid w:val="00B74204"/>
    <w:rsid w:val="00B74346"/>
    <w:rsid w:val="00B74F30"/>
    <w:rsid w:val="00B75732"/>
    <w:rsid w:val="00B75E47"/>
    <w:rsid w:val="00B77284"/>
    <w:rsid w:val="00B77468"/>
    <w:rsid w:val="00B80F88"/>
    <w:rsid w:val="00B81345"/>
    <w:rsid w:val="00B831C8"/>
    <w:rsid w:val="00B8473F"/>
    <w:rsid w:val="00B85045"/>
    <w:rsid w:val="00B852B9"/>
    <w:rsid w:val="00B85715"/>
    <w:rsid w:val="00B865E1"/>
    <w:rsid w:val="00B86F1A"/>
    <w:rsid w:val="00B907E9"/>
    <w:rsid w:val="00B908E3"/>
    <w:rsid w:val="00B91860"/>
    <w:rsid w:val="00B946C8"/>
    <w:rsid w:val="00B94B31"/>
    <w:rsid w:val="00B953D5"/>
    <w:rsid w:val="00B96746"/>
    <w:rsid w:val="00B968FE"/>
    <w:rsid w:val="00B96E23"/>
    <w:rsid w:val="00B973E5"/>
    <w:rsid w:val="00B97A15"/>
    <w:rsid w:val="00BA02CA"/>
    <w:rsid w:val="00BA09EE"/>
    <w:rsid w:val="00BA0B8A"/>
    <w:rsid w:val="00BA117B"/>
    <w:rsid w:val="00BA129B"/>
    <w:rsid w:val="00BA17E3"/>
    <w:rsid w:val="00BA1E6D"/>
    <w:rsid w:val="00BA22F7"/>
    <w:rsid w:val="00BA2418"/>
    <w:rsid w:val="00BA256C"/>
    <w:rsid w:val="00BA372C"/>
    <w:rsid w:val="00BA4F7D"/>
    <w:rsid w:val="00BA5267"/>
    <w:rsid w:val="00BA560F"/>
    <w:rsid w:val="00BA6164"/>
    <w:rsid w:val="00BA642E"/>
    <w:rsid w:val="00BA6EB8"/>
    <w:rsid w:val="00BA7309"/>
    <w:rsid w:val="00BA7705"/>
    <w:rsid w:val="00BA78F1"/>
    <w:rsid w:val="00BA7906"/>
    <w:rsid w:val="00BA7A5E"/>
    <w:rsid w:val="00BA7C05"/>
    <w:rsid w:val="00BA7F10"/>
    <w:rsid w:val="00BB129E"/>
    <w:rsid w:val="00BB2EF0"/>
    <w:rsid w:val="00BB5514"/>
    <w:rsid w:val="00BB56C9"/>
    <w:rsid w:val="00BB571F"/>
    <w:rsid w:val="00BB7645"/>
    <w:rsid w:val="00BB7A06"/>
    <w:rsid w:val="00BB7F83"/>
    <w:rsid w:val="00BC0624"/>
    <w:rsid w:val="00BC0CB8"/>
    <w:rsid w:val="00BC1274"/>
    <w:rsid w:val="00BC1DD2"/>
    <w:rsid w:val="00BC5050"/>
    <w:rsid w:val="00BC5D8F"/>
    <w:rsid w:val="00BC658D"/>
    <w:rsid w:val="00BC7BD5"/>
    <w:rsid w:val="00BD0270"/>
    <w:rsid w:val="00BD0BC8"/>
    <w:rsid w:val="00BD0DC7"/>
    <w:rsid w:val="00BD3258"/>
    <w:rsid w:val="00BD3990"/>
    <w:rsid w:val="00BD4018"/>
    <w:rsid w:val="00BD473C"/>
    <w:rsid w:val="00BD626D"/>
    <w:rsid w:val="00BD65CD"/>
    <w:rsid w:val="00BD6C4E"/>
    <w:rsid w:val="00BE10D0"/>
    <w:rsid w:val="00BE1BF3"/>
    <w:rsid w:val="00BE2BC9"/>
    <w:rsid w:val="00BE3962"/>
    <w:rsid w:val="00BE3E9A"/>
    <w:rsid w:val="00BE3FAB"/>
    <w:rsid w:val="00BE4636"/>
    <w:rsid w:val="00BE61AD"/>
    <w:rsid w:val="00BE6BF1"/>
    <w:rsid w:val="00BE6FE0"/>
    <w:rsid w:val="00BE7C7B"/>
    <w:rsid w:val="00BE7D29"/>
    <w:rsid w:val="00BF06DC"/>
    <w:rsid w:val="00BF2DC6"/>
    <w:rsid w:val="00BF3F62"/>
    <w:rsid w:val="00BF457D"/>
    <w:rsid w:val="00BF633B"/>
    <w:rsid w:val="00BF7486"/>
    <w:rsid w:val="00BF764A"/>
    <w:rsid w:val="00BF7ADE"/>
    <w:rsid w:val="00C01014"/>
    <w:rsid w:val="00C0169F"/>
    <w:rsid w:val="00C01CD8"/>
    <w:rsid w:val="00C01E33"/>
    <w:rsid w:val="00C02040"/>
    <w:rsid w:val="00C02500"/>
    <w:rsid w:val="00C03ED8"/>
    <w:rsid w:val="00C0481E"/>
    <w:rsid w:val="00C04ACA"/>
    <w:rsid w:val="00C10242"/>
    <w:rsid w:val="00C125EF"/>
    <w:rsid w:val="00C12A18"/>
    <w:rsid w:val="00C130FE"/>
    <w:rsid w:val="00C15F82"/>
    <w:rsid w:val="00C1642C"/>
    <w:rsid w:val="00C171D4"/>
    <w:rsid w:val="00C20B10"/>
    <w:rsid w:val="00C210D6"/>
    <w:rsid w:val="00C22D24"/>
    <w:rsid w:val="00C23636"/>
    <w:rsid w:val="00C237FF"/>
    <w:rsid w:val="00C26336"/>
    <w:rsid w:val="00C26930"/>
    <w:rsid w:val="00C277D6"/>
    <w:rsid w:val="00C27C22"/>
    <w:rsid w:val="00C27E5A"/>
    <w:rsid w:val="00C3041A"/>
    <w:rsid w:val="00C30CB1"/>
    <w:rsid w:val="00C3143C"/>
    <w:rsid w:val="00C31BF7"/>
    <w:rsid w:val="00C32580"/>
    <w:rsid w:val="00C32B35"/>
    <w:rsid w:val="00C32E64"/>
    <w:rsid w:val="00C33685"/>
    <w:rsid w:val="00C33980"/>
    <w:rsid w:val="00C35C51"/>
    <w:rsid w:val="00C367F4"/>
    <w:rsid w:val="00C3707B"/>
    <w:rsid w:val="00C40896"/>
    <w:rsid w:val="00C423EE"/>
    <w:rsid w:val="00C4262C"/>
    <w:rsid w:val="00C43518"/>
    <w:rsid w:val="00C43D58"/>
    <w:rsid w:val="00C4473B"/>
    <w:rsid w:val="00C510B4"/>
    <w:rsid w:val="00C51811"/>
    <w:rsid w:val="00C51FFE"/>
    <w:rsid w:val="00C52311"/>
    <w:rsid w:val="00C52E51"/>
    <w:rsid w:val="00C53AB4"/>
    <w:rsid w:val="00C55BF5"/>
    <w:rsid w:val="00C56104"/>
    <w:rsid w:val="00C572BC"/>
    <w:rsid w:val="00C60D85"/>
    <w:rsid w:val="00C60E36"/>
    <w:rsid w:val="00C61C22"/>
    <w:rsid w:val="00C61DDA"/>
    <w:rsid w:val="00C62EFE"/>
    <w:rsid w:val="00C634A7"/>
    <w:rsid w:val="00C63865"/>
    <w:rsid w:val="00C63E14"/>
    <w:rsid w:val="00C65B8A"/>
    <w:rsid w:val="00C66967"/>
    <w:rsid w:val="00C66DD0"/>
    <w:rsid w:val="00C66F40"/>
    <w:rsid w:val="00C676A9"/>
    <w:rsid w:val="00C67C16"/>
    <w:rsid w:val="00C716F9"/>
    <w:rsid w:val="00C71B7B"/>
    <w:rsid w:val="00C72B02"/>
    <w:rsid w:val="00C73035"/>
    <w:rsid w:val="00C7630B"/>
    <w:rsid w:val="00C7677F"/>
    <w:rsid w:val="00C7698E"/>
    <w:rsid w:val="00C7731A"/>
    <w:rsid w:val="00C77D76"/>
    <w:rsid w:val="00C77F68"/>
    <w:rsid w:val="00C80057"/>
    <w:rsid w:val="00C80415"/>
    <w:rsid w:val="00C80C40"/>
    <w:rsid w:val="00C8130C"/>
    <w:rsid w:val="00C81F1A"/>
    <w:rsid w:val="00C8207B"/>
    <w:rsid w:val="00C83172"/>
    <w:rsid w:val="00C8550F"/>
    <w:rsid w:val="00C8584C"/>
    <w:rsid w:val="00C863A9"/>
    <w:rsid w:val="00C87FBF"/>
    <w:rsid w:val="00C907A5"/>
    <w:rsid w:val="00C92F9F"/>
    <w:rsid w:val="00C931BB"/>
    <w:rsid w:val="00C9340D"/>
    <w:rsid w:val="00C940A4"/>
    <w:rsid w:val="00C941D3"/>
    <w:rsid w:val="00C94690"/>
    <w:rsid w:val="00C96F9C"/>
    <w:rsid w:val="00C971FD"/>
    <w:rsid w:val="00C977DE"/>
    <w:rsid w:val="00CA11B6"/>
    <w:rsid w:val="00CA1F61"/>
    <w:rsid w:val="00CA2FF7"/>
    <w:rsid w:val="00CA43F7"/>
    <w:rsid w:val="00CA4622"/>
    <w:rsid w:val="00CA6B1D"/>
    <w:rsid w:val="00CA71FD"/>
    <w:rsid w:val="00CB3D9A"/>
    <w:rsid w:val="00CB432A"/>
    <w:rsid w:val="00CB43C5"/>
    <w:rsid w:val="00CB447F"/>
    <w:rsid w:val="00CB5490"/>
    <w:rsid w:val="00CB6A9E"/>
    <w:rsid w:val="00CB6DEC"/>
    <w:rsid w:val="00CB72D0"/>
    <w:rsid w:val="00CC21A8"/>
    <w:rsid w:val="00CC21B6"/>
    <w:rsid w:val="00CC25B8"/>
    <w:rsid w:val="00CC2787"/>
    <w:rsid w:val="00CC4E7F"/>
    <w:rsid w:val="00CC5289"/>
    <w:rsid w:val="00CC563B"/>
    <w:rsid w:val="00CC62C8"/>
    <w:rsid w:val="00CC6B88"/>
    <w:rsid w:val="00CC6C51"/>
    <w:rsid w:val="00CC755A"/>
    <w:rsid w:val="00CD08AF"/>
    <w:rsid w:val="00CD0EF8"/>
    <w:rsid w:val="00CD162A"/>
    <w:rsid w:val="00CD1CF9"/>
    <w:rsid w:val="00CD2DAB"/>
    <w:rsid w:val="00CD3F38"/>
    <w:rsid w:val="00CD4C48"/>
    <w:rsid w:val="00CD4EEB"/>
    <w:rsid w:val="00CD55A6"/>
    <w:rsid w:val="00CD57D1"/>
    <w:rsid w:val="00CD5AF1"/>
    <w:rsid w:val="00CD6837"/>
    <w:rsid w:val="00CD6D0A"/>
    <w:rsid w:val="00CE1480"/>
    <w:rsid w:val="00CE2652"/>
    <w:rsid w:val="00CE343E"/>
    <w:rsid w:val="00CE3BF7"/>
    <w:rsid w:val="00CE4955"/>
    <w:rsid w:val="00CE53D6"/>
    <w:rsid w:val="00CE66FF"/>
    <w:rsid w:val="00CE6ED9"/>
    <w:rsid w:val="00CE7382"/>
    <w:rsid w:val="00CE7F53"/>
    <w:rsid w:val="00CF03D2"/>
    <w:rsid w:val="00CF0975"/>
    <w:rsid w:val="00CF2376"/>
    <w:rsid w:val="00CF24ED"/>
    <w:rsid w:val="00CF2B81"/>
    <w:rsid w:val="00CF36BC"/>
    <w:rsid w:val="00CF40CE"/>
    <w:rsid w:val="00CF57C5"/>
    <w:rsid w:val="00CF5E11"/>
    <w:rsid w:val="00CF653F"/>
    <w:rsid w:val="00CF6881"/>
    <w:rsid w:val="00CF716B"/>
    <w:rsid w:val="00CF72D4"/>
    <w:rsid w:val="00CF760E"/>
    <w:rsid w:val="00D00E84"/>
    <w:rsid w:val="00D0122F"/>
    <w:rsid w:val="00D016CE"/>
    <w:rsid w:val="00D04F0A"/>
    <w:rsid w:val="00D05826"/>
    <w:rsid w:val="00D06763"/>
    <w:rsid w:val="00D07291"/>
    <w:rsid w:val="00D07AB4"/>
    <w:rsid w:val="00D07D76"/>
    <w:rsid w:val="00D10CB3"/>
    <w:rsid w:val="00D11A8C"/>
    <w:rsid w:val="00D11B8B"/>
    <w:rsid w:val="00D12EEC"/>
    <w:rsid w:val="00D13540"/>
    <w:rsid w:val="00D1406F"/>
    <w:rsid w:val="00D15F66"/>
    <w:rsid w:val="00D170F4"/>
    <w:rsid w:val="00D206B4"/>
    <w:rsid w:val="00D22184"/>
    <w:rsid w:val="00D22C38"/>
    <w:rsid w:val="00D2538D"/>
    <w:rsid w:val="00D25F50"/>
    <w:rsid w:val="00D270A9"/>
    <w:rsid w:val="00D271C4"/>
    <w:rsid w:val="00D276CD"/>
    <w:rsid w:val="00D27E14"/>
    <w:rsid w:val="00D30978"/>
    <w:rsid w:val="00D30D0F"/>
    <w:rsid w:val="00D31D59"/>
    <w:rsid w:val="00D32087"/>
    <w:rsid w:val="00D32DBD"/>
    <w:rsid w:val="00D33574"/>
    <w:rsid w:val="00D342FE"/>
    <w:rsid w:val="00D36AF3"/>
    <w:rsid w:val="00D36B83"/>
    <w:rsid w:val="00D36D80"/>
    <w:rsid w:val="00D404AE"/>
    <w:rsid w:val="00D42012"/>
    <w:rsid w:val="00D42E41"/>
    <w:rsid w:val="00D432D3"/>
    <w:rsid w:val="00D4372C"/>
    <w:rsid w:val="00D4550C"/>
    <w:rsid w:val="00D457FD"/>
    <w:rsid w:val="00D45CC9"/>
    <w:rsid w:val="00D465FA"/>
    <w:rsid w:val="00D50C87"/>
    <w:rsid w:val="00D51588"/>
    <w:rsid w:val="00D5198E"/>
    <w:rsid w:val="00D5232B"/>
    <w:rsid w:val="00D52470"/>
    <w:rsid w:val="00D542EC"/>
    <w:rsid w:val="00D54A08"/>
    <w:rsid w:val="00D56036"/>
    <w:rsid w:val="00D577F8"/>
    <w:rsid w:val="00D57AAF"/>
    <w:rsid w:val="00D57EAF"/>
    <w:rsid w:val="00D61D5C"/>
    <w:rsid w:val="00D62BBA"/>
    <w:rsid w:val="00D63143"/>
    <w:rsid w:val="00D645C7"/>
    <w:rsid w:val="00D65E88"/>
    <w:rsid w:val="00D66A0F"/>
    <w:rsid w:val="00D66C1E"/>
    <w:rsid w:val="00D6734B"/>
    <w:rsid w:val="00D70767"/>
    <w:rsid w:val="00D71582"/>
    <w:rsid w:val="00D7169F"/>
    <w:rsid w:val="00D723D5"/>
    <w:rsid w:val="00D73118"/>
    <w:rsid w:val="00D737C8"/>
    <w:rsid w:val="00D74029"/>
    <w:rsid w:val="00D74085"/>
    <w:rsid w:val="00D746B4"/>
    <w:rsid w:val="00D75AFC"/>
    <w:rsid w:val="00D7647C"/>
    <w:rsid w:val="00D7685C"/>
    <w:rsid w:val="00D77258"/>
    <w:rsid w:val="00D772C5"/>
    <w:rsid w:val="00D77424"/>
    <w:rsid w:val="00D7759E"/>
    <w:rsid w:val="00D8002D"/>
    <w:rsid w:val="00D80341"/>
    <w:rsid w:val="00D80508"/>
    <w:rsid w:val="00D80627"/>
    <w:rsid w:val="00D80744"/>
    <w:rsid w:val="00D819CE"/>
    <w:rsid w:val="00D81BD8"/>
    <w:rsid w:val="00D81E24"/>
    <w:rsid w:val="00D82B4E"/>
    <w:rsid w:val="00D82FAE"/>
    <w:rsid w:val="00D84C69"/>
    <w:rsid w:val="00D8503A"/>
    <w:rsid w:val="00D861C0"/>
    <w:rsid w:val="00D87164"/>
    <w:rsid w:val="00D87653"/>
    <w:rsid w:val="00D919B6"/>
    <w:rsid w:val="00D91CD2"/>
    <w:rsid w:val="00D91D75"/>
    <w:rsid w:val="00D92EA5"/>
    <w:rsid w:val="00D92ECC"/>
    <w:rsid w:val="00D930C4"/>
    <w:rsid w:val="00D930D2"/>
    <w:rsid w:val="00D94140"/>
    <w:rsid w:val="00D94516"/>
    <w:rsid w:val="00D9463E"/>
    <w:rsid w:val="00D94DB2"/>
    <w:rsid w:val="00D95017"/>
    <w:rsid w:val="00D955F6"/>
    <w:rsid w:val="00D958B0"/>
    <w:rsid w:val="00D95E55"/>
    <w:rsid w:val="00D96F00"/>
    <w:rsid w:val="00D97B6E"/>
    <w:rsid w:val="00D97FC0"/>
    <w:rsid w:val="00DA05CE"/>
    <w:rsid w:val="00DA0679"/>
    <w:rsid w:val="00DA131F"/>
    <w:rsid w:val="00DA2955"/>
    <w:rsid w:val="00DA2E51"/>
    <w:rsid w:val="00DA45C5"/>
    <w:rsid w:val="00DA4F61"/>
    <w:rsid w:val="00DA6228"/>
    <w:rsid w:val="00DA6579"/>
    <w:rsid w:val="00DA693E"/>
    <w:rsid w:val="00DB0855"/>
    <w:rsid w:val="00DB09D5"/>
    <w:rsid w:val="00DB33B2"/>
    <w:rsid w:val="00DB62F1"/>
    <w:rsid w:val="00DB6481"/>
    <w:rsid w:val="00DB7F0D"/>
    <w:rsid w:val="00DC4008"/>
    <w:rsid w:val="00DC54DB"/>
    <w:rsid w:val="00DC5979"/>
    <w:rsid w:val="00DC66DA"/>
    <w:rsid w:val="00DC6C99"/>
    <w:rsid w:val="00DC74E3"/>
    <w:rsid w:val="00DC7B34"/>
    <w:rsid w:val="00DC7E79"/>
    <w:rsid w:val="00DD1161"/>
    <w:rsid w:val="00DD13B7"/>
    <w:rsid w:val="00DD3305"/>
    <w:rsid w:val="00DD3467"/>
    <w:rsid w:val="00DD48A9"/>
    <w:rsid w:val="00DD4A02"/>
    <w:rsid w:val="00DD4D2B"/>
    <w:rsid w:val="00DD54A0"/>
    <w:rsid w:val="00DD6375"/>
    <w:rsid w:val="00DD69C3"/>
    <w:rsid w:val="00DD75E8"/>
    <w:rsid w:val="00DD77D3"/>
    <w:rsid w:val="00DD7C32"/>
    <w:rsid w:val="00DE0510"/>
    <w:rsid w:val="00DE05B9"/>
    <w:rsid w:val="00DE3CB2"/>
    <w:rsid w:val="00DE4153"/>
    <w:rsid w:val="00DE420F"/>
    <w:rsid w:val="00DE4AE5"/>
    <w:rsid w:val="00DE4C3E"/>
    <w:rsid w:val="00DE4EBD"/>
    <w:rsid w:val="00DE5903"/>
    <w:rsid w:val="00DE595B"/>
    <w:rsid w:val="00DE71EB"/>
    <w:rsid w:val="00DE7C78"/>
    <w:rsid w:val="00DF01A2"/>
    <w:rsid w:val="00DF05B5"/>
    <w:rsid w:val="00DF0929"/>
    <w:rsid w:val="00DF115E"/>
    <w:rsid w:val="00DF23B1"/>
    <w:rsid w:val="00DF2A09"/>
    <w:rsid w:val="00DF36FA"/>
    <w:rsid w:val="00DF3FFF"/>
    <w:rsid w:val="00DF6A74"/>
    <w:rsid w:val="00DF71FC"/>
    <w:rsid w:val="00DF7512"/>
    <w:rsid w:val="00DF7D3F"/>
    <w:rsid w:val="00E00314"/>
    <w:rsid w:val="00E0114F"/>
    <w:rsid w:val="00E01C69"/>
    <w:rsid w:val="00E03256"/>
    <w:rsid w:val="00E0573E"/>
    <w:rsid w:val="00E05A02"/>
    <w:rsid w:val="00E05AAE"/>
    <w:rsid w:val="00E07349"/>
    <w:rsid w:val="00E07CFA"/>
    <w:rsid w:val="00E1022E"/>
    <w:rsid w:val="00E10E17"/>
    <w:rsid w:val="00E11409"/>
    <w:rsid w:val="00E12BB6"/>
    <w:rsid w:val="00E130F7"/>
    <w:rsid w:val="00E13533"/>
    <w:rsid w:val="00E13E99"/>
    <w:rsid w:val="00E14398"/>
    <w:rsid w:val="00E15257"/>
    <w:rsid w:val="00E16B09"/>
    <w:rsid w:val="00E2251B"/>
    <w:rsid w:val="00E2285A"/>
    <w:rsid w:val="00E24008"/>
    <w:rsid w:val="00E2546F"/>
    <w:rsid w:val="00E2653C"/>
    <w:rsid w:val="00E268BF"/>
    <w:rsid w:val="00E26B3D"/>
    <w:rsid w:val="00E26F96"/>
    <w:rsid w:val="00E26FB7"/>
    <w:rsid w:val="00E27636"/>
    <w:rsid w:val="00E276BA"/>
    <w:rsid w:val="00E278D6"/>
    <w:rsid w:val="00E30168"/>
    <w:rsid w:val="00E30483"/>
    <w:rsid w:val="00E30829"/>
    <w:rsid w:val="00E31633"/>
    <w:rsid w:val="00E317DB"/>
    <w:rsid w:val="00E31E5C"/>
    <w:rsid w:val="00E3215F"/>
    <w:rsid w:val="00E33248"/>
    <w:rsid w:val="00E3374B"/>
    <w:rsid w:val="00E33D73"/>
    <w:rsid w:val="00E34FD8"/>
    <w:rsid w:val="00E35353"/>
    <w:rsid w:val="00E353A9"/>
    <w:rsid w:val="00E35E4E"/>
    <w:rsid w:val="00E362E5"/>
    <w:rsid w:val="00E363C8"/>
    <w:rsid w:val="00E36707"/>
    <w:rsid w:val="00E36C6F"/>
    <w:rsid w:val="00E37415"/>
    <w:rsid w:val="00E37D9D"/>
    <w:rsid w:val="00E4049A"/>
    <w:rsid w:val="00E40778"/>
    <w:rsid w:val="00E4182F"/>
    <w:rsid w:val="00E42609"/>
    <w:rsid w:val="00E42D20"/>
    <w:rsid w:val="00E43954"/>
    <w:rsid w:val="00E43BA8"/>
    <w:rsid w:val="00E43CD4"/>
    <w:rsid w:val="00E446E5"/>
    <w:rsid w:val="00E467FC"/>
    <w:rsid w:val="00E46874"/>
    <w:rsid w:val="00E476E7"/>
    <w:rsid w:val="00E50F81"/>
    <w:rsid w:val="00E51B34"/>
    <w:rsid w:val="00E541DB"/>
    <w:rsid w:val="00E54203"/>
    <w:rsid w:val="00E54936"/>
    <w:rsid w:val="00E54D5A"/>
    <w:rsid w:val="00E555F8"/>
    <w:rsid w:val="00E55DB2"/>
    <w:rsid w:val="00E57243"/>
    <w:rsid w:val="00E57F13"/>
    <w:rsid w:val="00E6016B"/>
    <w:rsid w:val="00E6022B"/>
    <w:rsid w:val="00E61D9C"/>
    <w:rsid w:val="00E63EB8"/>
    <w:rsid w:val="00E646BD"/>
    <w:rsid w:val="00E661D0"/>
    <w:rsid w:val="00E6690E"/>
    <w:rsid w:val="00E70ACC"/>
    <w:rsid w:val="00E70C5B"/>
    <w:rsid w:val="00E71C4F"/>
    <w:rsid w:val="00E733F5"/>
    <w:rsid w:val="00E73544"/>
    <w:rsid w:val="00E7377F"/>
    <w:rsid w:val="00E73C27"/>
    <w:rsid w:val="00E73EDB"/>
    <w:rsid w:val="00E7551B"/>
    <w:rsid w:val="00E81B07"/>
    <w:rsid w:val="00E81FE4"/>
    <w:rsid w:val="00E8237B"/>
    <w:rsid w:val="00E82B25"/>
    <w:rsid w:val="00E82B49"/>
    <w:rsid w:val="00E83211"/>
    <w:rsid w:val="00E83B14"/>
    <w:rsid w:val="00E83BF7"/>
    <w:rsid w:val="00E83EA9"/>
    <w:rsid w:val="00E84326"/>
    <w:rsid w:val="00E84533"/>
    <w:rsid w:val="00E84F89"/>
    <w:rsid w:val="00E85CB6"/>
    <w:rsid w:val="00E91F28"/>
    <w:rsid w:val="00E92719"/>
    <w:rsid w:val="00E929F3"/>
    <w:rsid w:val="00E92E67"/>
    <w:rsid w:val="00E939E4"/>
    <w:rsid w:val="00E93DC9"/>
    <w:rsid w:val="00E93E43"/>
    <w:rsid w:val="00E943A3"/>
    <w:rsid w:val="00E9543E"/>
    <w:rsid w:val="00E958B1"/>
    <w:rsid w:val="00E96A74"/>
    <w:rsid w:val="00E97AEA"/>
    <w:rsid w:val="00E97E67"/>
    <w:rsid w:val="00EA1A6A"/>
    <w:rsid w:val="00EA5457"/>
    <w:rsid w:val="00EA61BB"/>
    <w:rsid w:val="00EA6B40"/>
    <w:rsid w:val="00EA740E"/>
    <w:rsid w:val="00EB0001"/>
    <w:rsid w:val="00EB0F34"/>
    <w:rsid w:val="00EB0F68"/>
    <w:rsid w:val="00EB12C0"/>
    <w:rsid w:val="00EB1DE6"/>
    <w:rsid w:val="00EB3022"/>
    <w:rsid w:val="00EB3138"/>
    <w:rsid w:val="00EB3357"/>
    <w:rsid w:val="00EB4766"/>
    <w:rsid w:val="00EB4FA2"/>
    <w:rsid w:val="00EB7A9F"/>
    <w:rsid w:val="00EC057A"/>
    <w:rsid w:val="00EC1045"/>
    <w:rsid w:val="00EC186A"/>
    <w:rsid w:val="00EC2195"/>
    <w:rsid w:val="00EC4185"/>
    <w:rsid w:val="00EC67B5"/>
    <w:rsid w:val="00EC7483"/>
    <w:rsid w:val="00EC79E2"/>
    <w:rsid w:val="00ED0A2A"/>
    <w:rsid w:val="00ED0C1E"/>
    <w:rsid w:val="00ED162A"/>
    <w:rsid w:val="00ED21AA"/>
    <w:rsid w:val="00ED2FA4"/>
    <w:rsid w:val="00ED3A8C"/>
    <w:rsid w:val="00ED3B7F"/>
    <w:rsid w:val="00ED7030"/>
    <w:rsid w:val="00ED72F4"/>
    <w:rsid w:val="00ED7846"/>
    <w:rsid w:val="00ED7E61"/>
    <w:rsid w:val="00ED7EA0"/>
    <w:rsid w:val="00EE0ADE"/>
    <w:rsid w:val="00EE0F16"/>
    <w:rsid w:val="00EE1A76"/>
    <w:rsid w:val="00EE41E9"/>
    <w:rsid w:val="00EE4403"/>
    <w:rsid w:val="00EE4702"/>
    <w:rsid w:val="00EE489C"/>
    <w:rsid w:val="00EE5BE2"/>
    <w:rsid w:val="00EE6196"/>
    <w:rsid w:val="00EE6726"/>
    <w:rsid w:val="00EE6806"/>
    <w:rsid w:val="00EE72E0"/>
    <w:rsid w:val="00EE738A"/>
    <w:rsid w:val="00EE79C8"/>
    <w:rsid w:val="00EF0BE7"/>
    <w:rsid w:val="00EF0FA7"/>
    <w:rsid w:val="00EF1048"/>
    <w:rsid w:val="00EF1345"/>
    <w:rsid w:val="00EF15DA"/>
    <w:rsid w:val="00EF25CB"/>
    <w:rsid w:val="00EF417A"/>
    <w:rsid w:val="00EF54EB"/>
    <w:rsid w:val="00EF5E06"/>
    <w:rsid w:val="00EF7567"/>
    <w:rsid w:val="00EF7C67"/>
    <w:rsid w:val="00F001F9"/>
    <w:rsid w:val="00F01336"/>
    <w:rsid w:val="00F018C6"/>
    <w:rsid w:val="00F01DA5"/>
    <w:rsid w:val="00F02D31"/>
    <w:rsid w:val="00F02EB3"/>
    <w:rsid w:val="00F046B4"/>
    <w:rsid w:val="00F05215"/>
    <w:rsid w:val="00F06C82"/>
    <w:rsid w:val="00F111E6"/>
    <w:rsid w:val="00F11BC5"/>
    <w:rsid w:val="00F12952"/>
    <w:rsid w:val="00F13750"/>
    <w:rsid w:val="00F13B3E"/>
    <w:rsid w:val="00F15243"/>
    <w:rsid w:val="00F15E84"/>
    <w:rsid w:val="00F167E1"/>
    <w:rsid w:val="00F202C1"/>
    <w:rsid w:val="00F2202B"/>
    <w:rsid w:val="00F22640"/>
    <w:rsid w:val="00F2271B"/>
    <w:rsid w:val="00F248BF"/>
    <w:rsid w:val="00F2490D"/>
    <w:rsid w:val="00F25C85"/>
    <w:rsid w:val="00F26488"/>
    <w:rsid w:val="00F2677A"/>
    <w:rsid w:val="00F26C70"/>
    <w:rsid w:val="00F2795F"/>
    <w:rsid w:val="00F3064E"/>
    <w:rsid w:val="00F3070F"/>
    <w:rsid w:val="00F30AE9"/>
    <w:rsid w:val="00F30C47"/>
    <w:rsid w:val="00F32998"/>
    <w:rsid w:val="00F32F3B"/>
    <w:rsid w:val="00F336D3"/>
    <w:rsid w:val="00F33ADF"/>
    <w:rsid w:val="00F368CD"/>
    <w:rsid w:val="00F36FB8"/>
    <w:rsid w:val="00F4072F"/>
    <w:rsid w:val="00F4079C"/>
    <w:rsid w:val="00F4098A"/>
    <w:rsid w:val="00F41047"/>
    <w:rsid w:val="00F410C1"/>
    <w:rsid w:val="00F42006"/>
    <w:rsid w:val="00F44600"/>
    <w:rsid w:val="00F453B4"/>
    <w:rsid w:val="00F4552B"/>
    <w:rsid w:val="00F45E7B"/>
    <w:rsid w:val="00F470C2"/>
    <w:rsid w:val="00F474D0"/>
    <w:rsid w:val="00F47C20"/>
    <w:rsid w:val="00F50786"/>
    <w:rsid w:val="00F50995"/>
    <w:rsid w:val="00F51C65"/>
    <w:rsid w:val="00F53612"/>
    <w:rsid w:val="00F53635"/>
    <w:rsid w:val="00F536E5"/>
    <w:rsid w:val="00F541C8"/>
    <w:rsid w:val="00F5447E"/>
    <w:rsid w:val="00F545C3"/>
    <w:rsid w:val="00F56ED0"/>
    <w:rsid w:val="00F57942"/>
    <w:rsid w:val="00F57B68"/>
    <w:rsid w:val="00F61652"/>
    <w:rsid w:val="00F6308C"/>
    <w:rsid w:val="00F645C9"/>
    <w:rsid w:val="00F65128"/>
    <w:rsid w:val="00F671B8"/>
    <w:rsid w:val="00F679E4"/>
    <w:rsid w:val="00F70D94"/>
    <w:rsid w:val="00F70F8E"/>
    <w:rsid w:val="00F71F62"/>
    <w:rsid w:val="00F721C5"/>
    <w:rsid w:val="00F72DE2"/>
    <w:rsid w:val="00F72E52"/>
    <w:rsid w:val="00F73D67"/>
    <w:rsid w:val="00F74500"/>
    <w:rsid w:val="00F7542F"/>
    <w:rsid w:val="00F75E79"/>
    <w:rsid w:val="00F77B27"/>
    <w:rsid w:val="00F77E28"/>
    <w:rsid w:val="00F8214C"/>
    <w:rsid w:val="00F841A8"/>
    <w:rsid w:val="00F847FF"/>
    <w:rsid w:val="00F8482C"/>
    <w:rsid w:val="00F85146"/>
    <w:rsid w:val="00F857DA"/>
    <w:rsid w:val="00F8599E"/>
    <w:rsid w:val="00F86453"/>
    <w:rsid w:val="00F900E2"/>
    <w:rsid w:val="00F90E8B"/>
    <w:rsid w:val="00F91ECC"/>
    <w:rsid w:val="00F926CF"/>
    <w:rsid w:val="00F92999"/>
    <w:rsid w:val="00F9375D"/>
    <w:rsid w:val="00F93C47"/>
    <w:rsid w:val="00F9594B"/>
    <w:rsid w:val="00F96350"/>
    <w:rsid w:val="00F9799A"/>
    <w:rsid w:val="00F97AA1"/>
    <w:rsid w:val="00FA12B4"/>
    <w:rsid w:val="00FA14BA"/>
    <w:rsid w:val="00FA192A"/>
    <w:rsid w:val="00FA28AC"/>
    <w:rsid w:val="00FA2E81"/>
    <w:rsid w:val="00FA306C"/>
    <w:rsid w:val="00FA334B"/>
    <w:rsid w:val="00FA5736"/>
    <w:rsid w:val="00FA6BCF"/>
    <w:rsid w:val="00FB00B3"/>
    <w:rsid w:val="00FB0E15"/>
    <w:rsid w:val="00FB2CF4"/>
    <w:rsid w:val="00FB4CCB"/>
    <w:rsid w:val="00FB5D29"/>
    <w:rsid w:val="00FB6EF1"/>
    <w:rsid w:val="00FB7747"/>
    <w:rsid w:val="00FC0BDB"/>
    <w:rsid w:val="00FC2555"/>
    <w:rsid w:val="00FC2731"/>
    <w:rsid w:val="00FC2B68"/>
    <w:rsid w:val="00FC6E23"/>
    <w:rsid w:val="00FC75F4"/>
    <w:rsid w:val="00FD0FE9"/>
    <w:rsid w:val="00FD1CB1"/>
    <w:rsid w:val="00FD21D1"/>
    <w:rsid w:val="00FD2421"/>
    <w:rsid w:val="00FD3042"/>
    <w:rsid w:val="00FD3A9B"/>
    <w:rsid w:val="00FD3BFE"/>
    <w:rsid w:val="00FD3C01"/>
    <w:rsid w:val="00FD4025"/>
    <w:rsid w:val="00FD516F"/>
    <w:rsid w:val="00FD5836"/>
    <w:rsid w:val="00FD5D7C"/>
    <w:rsid w:val="00FD7691"/>
    <w:rsid w:val="00FD779D"/>
    <w:rsid w:val="00FE0B28"/>
    <w:rsid w:val="00FE2075"/>
    <w:rsid w:val="00FE29E8"/>
    <w:rsid w:val="00FE2BC8"/>
    <w:rsid w:val="00FE476D"/>
    <w:rsid w:val="00FE5385"/>
    <w:rsid w:val="00FE65A9"/>
    <w:rsid w:val="00FF076F"/>
    <w:rsid w:val="00FF289F"/>
    <w:rsid w:val="00FF39D0"/>
    <w:rsid w:val="00FF4EEE"/>
    <w:rsid w:val="00FF5469"/>
    <w:rsid w:val="00FF5473"/>
    <w:rsid w:val="00FF5C0E"/>
    <w:rsid w:val="00FF6041"/>
    <w:rsid w:val="00FF6E51"/>
    <w:rsid w:val="01169AE5"/>
    <w:rsid w:val="0161B77B"/>
    <w:rsid w:val="01C9E6F1"/>
    <w:rsid w:val="028373EB"/>
    <w:rsid w:val="03041C79"/>
    <w:rsid w:val="03A3A5E9"/>
    <w:rsid w:val="059787D0"/>
    <w:rsid w:val="065E4EA6"/>
    <w:rsid w:val="072B5271"/>
    <w:rsid w:val="07A0E8B6"/>
    <w:rsid w:val="09D397E6"/>
    <w:rsid w:val="0BA1C487"/>
    <w:rsid w:val="0C714831"/>
    <w:rsid w:val="0DC550E7"/>
    <w:rsid w:val="101F54BF"/>
    <w:rsid w:val="1064A99D"/>
    <w:rsid w:val="1212CD74"/>
    <w:rsid w:val="12B16C1F"/>
    <w:rsid w:val="12B4A0EE"/>
    <w:rsid w:val="154991BE"/>
    <w:rsid w:val="174AF3B4"/>
    <w:rsid w:val="174BE5D8"/>
    <w:rsid w:val="1A0BB88C"/>
    <w:rsid w:val="1BD9990E"/>
    <w:rsid w:val="1C512094"/>
    <w:rsid w:val="1DE804ED"/>
    <w:rsid w:val="1F3667FA"/>
    <w:rsid w:val="216BEE16"/>
    <w:rsid w:val="241AC8BB"/>
    <w:rsid w:val="25045AE3"/>
    <w:rsid w:val="258A392A"/>
    <w:rsid w:val="264A1DB6"/>
    <w:rsid w:val="26C1292E"/>
    <w:rsid w:val="27155978"/>
    <w:rsid w:val="2AB23DCD"/>
    <w:rsid w:val="2C275DE3"/>
    <w:rsid w:val="2CBF144A"/>
    <w:rsid w:val="2CF807D3"/>
    <w:rsid w:val="2DCF15D6"/>
    <w:rsid w:val="2E8F697B"/>
    <w:rsid w:val="2F022F69"/>
    <w:rsid w:val="300F5055"/>
    <w:rsid w:val="30BDE753"/>
    <w:rsid w:val="31BA0F11"/>
    <w:rsid w:val="31C40903"/>
    <w:rsid w:val="32C717E5"/>
    <w:rsid w:val="351011F1"/>
    <w:rsid w:val="36F26FD7"/>
    <w:rsid w:val="38665BDB"/>
    <w:rsid w:val="38691D75"/>
    <w:rsid w:val="38E644DD"/>
    <w:rsid w:val="3962065F"/>
    <w:rsid w:val="3B1EEC5C"/>
    <w:rsid w:val="3C7F6F63"/>
    <w:rsid w:val="3DEB1D23"/>
    <w:rsid w:val="410A12E2"/>
    <w:rsid w:val="42B6AFD9"/>
    <w:rsid w:val="42B9A030"/>
    <w:rsid w:val="43F36508"/>
    <w:rsid w:val="44E35FD2"/>
    <w:rsid w:val="44E3F82E"/>
    <w:rsid w:val="45089C1D"/>
    <w:rsid w:val="45A2B3D6"/>
    <w:rsid w:val="45B1A62D"/>
    <w:rsid w:val="467D2C52"/>
    <w:rsid w:val="48373586"/>
    <w:rsid w:val="48503791"/>
    <w:rsid w:val="487A1CE5"/>
    <w:rsid w:val="4B59F611"/>
    <w:rsid w:val="4C595423"/>
    <w:rsid w:val="4CCD2C4F"/>
    <w:rsid w:val="4CE1F95F"/>
    <w:rsid w:val="4EFD65EF"/>
    <w:rsid w:val="537FC64C"/>
    <w:rsid w:val="53C08B1E"/>
    <w:rsid w:val="55A6EF45"/>
    <w:rsid w:val="55D3700F"/>
    <w:rsid w:val="56887C76"/>
    <w:rsid w:val="58DEA76D"/>
    <w:rsid w:val="5A26BA53"/>
    <w:rsid w:val="5AE2914A"/>
    <w:rsid w:val="5AF54233"/>
    <w:rsid w:val="5B8D767C"/>
    <w:rsid w:val="5B914FC3"/>
    <w:rsid w:val="5BD25FBB"/>
    <w:rsid w:val="5C225894"/>
    <w:rsid w:val="5DD20999"/>
    <w:rsid w:val="6133FD7E"/>
    <w:rsid w:val="62596E81"/>
    <w:rsid w:val="62D14250"/>
    <w:rsid w:val="62E6585B"/>
    <w:rsid w:val="634A94A1"/>
    <w:rsid w:val="63CDE45A"/>
    <w:rsid w:val="67C5DDF9"/>
    <w:rsid w:val="69BF97CB"/>
    <w:rsid w:val="6ACC3B47"/>
    <w:rsid w:val="6DEA7E1D"/>
    <w:rsid w:val="6F00BC2B"/>
    <w:rsid w:val="6FDC1DFE"/>
    <w:rsid w:val="7033D39C"/>
    <w:rsid w:val="7147F7FC"/>
    <w:rsid w:val="74B685FE"/>
    <w:rsid w:val="7558E704"/>
    <w:rsid w:val="76B50C6B"/>
    <w:rsid w:val="7811C2AE"/>
    <w:rsid w:val="7825D045"/>
    <w:rsid w:val="7929A89B"/>
    <w:rsid w:val="79BECE6A"/>
    <w:rsid w:val="7BAED984"/>
    <w:rsid w:val="7C5F71B6"/>
    <w:rsid w:val="7CB9CCB4"/>
    <w:rsid w:val="7D4F83E1"/>
    <w:rsid w:val="7F0B04E0"/>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7C5BD37A-37DD-41A9-957C-DE70DEB6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E47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B57FD6"/>
    <w:rPr>
      <w:sz w:val="16"/>
      <w:szCs w:val="16"/>
    </w:rPr>
  </w:style>
  <w:style w:type="paragraph" w:styleId="CommentText">
    <w:name w:val="annotation text"/>
    <w:basedOn w:val="Normal"/>
    <w:link w:val="CommentTextChar"/>
    <w:unhideWhenUsed/>
    <w:rsid w:val="00B57FD6"/>
    <w:pPr>
      <w:spacing w:line="240" w:lineRule="auto"/>
    </w:pPr>
    <w:rPr>
      <w:sz w:val="20"/>
      <w:szCs w:val="20"/>
    </w:rPr>
  </w:style>
  <w:style w:type="character" w:customStyle="1" w:styleId="CommentTextChar">
    <w:name w:val="Comment Text Char"/>
    <w:basedOn w:val="DefaultParagraphFont"/>
    <w:link w:val="CommentTex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Odstavec_muj"/>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55654B"/>
    <w:pPr>
      <w:tabs>
        <w:tab w:val="right" w:leader="dot" w:pos="9396"/>
      </w:tabs>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34"/>
    <w:qFormat/>
    <w:rsid w:val="001326D0"/>
  </w:style>
  <w:style w:type="paragraph" w:customStyle="1" w:styleId="oj-doc-ti">
    <w:name w:val="oj-doc-ti"/>
    <w:basedOn w:val="Normal"/>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rsid w:val="00060847"/>
    <w:rPr>
      <w:rFonts w:ascii="Trebuchet MS" w:eastAsia="Trebuchet MS" w:hAnsi="Trebuchet MS" w:cs="Trebuchet MS"/>
    </w:rPr>
  </w:style>
  <w:style w:type="paragraph" w:customStyle="1" w:styleId="Default">
    <w:name w:val="Defaul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rsid w:val="00475437"/>
    <w:rPr>
      <w:sz w:val="20"/>
      <w:szCs w:val="20"/>
    </w:rPr>
  </w:style>
  <w:style w:type="character" w:styleId="FootnoteReference">
    <w:name w:val="footnote reference"/>
    <w:aliases w:val="Footnote symbol"/>
    <w:basedOn w:val="DefaultParagraphFont"/>
    <w:uiPriority w:val="99"/>
    <w:unhideWhenUsed/>
    <w:rsid w:val="00475437"/>
    <w:rPr>
      <w:vertAlign w:val="superscript"/>
    </w:rPr>
  </w:style>
  <w:style w:type="character" w:customStyle="1" w:styleId="shdr">
    <w:name w:val="s_hdr"/>
    <w:basedOn w:val="DefaultParagraphFont"/>
    <w:rsid w:val="00C72B02"/>
  </w:style>
  <w:style w:type="numbering" w:customStyle="1" w:styleId="Stilimportat25">
    <w:name w:val="Stil importat 25"/>
    <w:rsid w:val="00010A05"/>
    <w:pPr>
      <w:numPr>
        <w:numId w:val="9"/>
      </w:numPr>
    </w:pPr>
  </w:style>
  <w:style w:type="character" w:customStyle="1" w:styleId="Heading4Char">
    <w:name w:val="Heading 4 Char"/>
    <w:basedOn w:val="DefaultParagraphFont"/>
    <w:link w:val="Heading4"/>
    <w:uiPriority w:val="9"/>
    <w:semiHidden/>
    <w:rsid w:val="00EE4702"/>
    <w:rPr>
      <w:rFonts w:asciiTheme="majorHAnsi" w:eastAsiaTheme="majorEastAsia" w:hAnsiTheme="majorHAnsi" w:cstheme="majorBidi"/>
      <w:i/>
      <w:iCs/>
      <w:color w:val="2E74B5" w:themeColor="accent1" w:themeShade="BF"/>
    </w:rPr>
  </w:style>
  <w:style w:type="character" w:customStyle="1" w:styleId="markedcontent">
    <w:name w:val="markedcontent"/>
    <w:rsid w:val="00FC6E23"/>
  </w:style>
  <w:style w:type="paragraph" w:customStyle="1" w:styleId="bullet">
    <w:name w:val="bullet"/>
    <w:basedOn w:val="Normal"/>
    <w:rsid w:val="000B448F"/>
    <w:pPr>
      <w:numPr>
        <w:numId w:val="11"/>
      </w:numPr>
      <w:suppressAutoHyphens/>
      <w:spacing w:before="120" w:after="120" w:line="1" w:lineRule="atLeast"/>
      <w:ind w:leftChars="-1" w:left="-1" w:hangingChars="1" w:hanging="1"/>
      <w:textDirection w:val="btLr"/>
      <w:textAlignment w:val="top"/>
      <w:outlineLvl w:val="0"/>
    </w:pPr>
    <w:rPr>
      <w:rFonts w:ascii="Trebuchet MS" w:eastAsia="Times New Roman" w:hAnsi="Trebuchet MS" w:cs="Times New Roman"/>
      <w:position w:val="-1"/>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 w:id="1891260946">
      <w:bodyDiv w:val="1"/>
      <w:marLeft w:val="0"/>
      <w:marRight w:val="0"/>
      <w:marTop w:val="0"/>
      <w:marBottom w:val="0"/>
      <w:divBdr>
        <w:top w:val="none" w:sz="0" w:space="0" w:color="auto"/>
        <w:left w:val="none" w:sz="0" w:space="0" w:color="auto"/>
        <w:bottom w:val="none" w:sz="0" w:space="0" w:color="auto"/>
        <w:right w:val="none" w:sz="0" w:space="0" w:color="auto"/>
      </w:divBdr>
    </w:div>
    <w:div w:id="193890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fe.gov.ro"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e.ro/sites/default/files/file/anul_2024/pdf_2024/2024.07.05_pnr_2024_ro.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fe.gov.ro/programe/autoritati-de-management/am-poc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romaniaeducata.eu/wp-content/uploads/2018/11/Romania-Educata-Viziune.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B15C806248AE84BBBD58C62618E3920" ma:contentTypeVersion="14" ma:contentTypeDescription="Create a new document." ma:contentTypeScope="" ma:versionID="4dba8e311790b72ca0f8212726490051">
  <xsd:schema xmlns:xsd="http://www.w3.org/2001/XMLSchema" xmlns:xs="http://www.w3.org/2001/XMLSchema" xmlns:p="http://schemas.microsoft.com/office/2006/metadata/properties" xmlns:ns2="9d92f644-f9c0-4502-819e-85c372bb2c00" xmlns:ns3="5bdf3347-d964-460b-88b3-553b5a91c120" targetNamespace="http://schemas.microsoft.com/office/2006/metadata/properties" ma:root="true" ma:fieldsID="79faf1fa5afda3d46c04c1e06cbb6b4b" ns2:_="" ns3:_="">
    <xsd:import namespace="9d92f644-f9c0-4502-819e-85c372bb2c00"/>
    <xsd:import namespace="5bdf3347-d964-460b-88b3-553b5a91c12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92f644-f9c0-4502-819e-85c372bb2c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df7195e4-ef96-4783-ac19-5f5898defcb0}"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customXml/itemProps2.xml><?xml version="1.0" encoding="utf-8"?>
<ds:datastoreItem xmlns:ds="http://schemas.openxmlformats.org/officeDocument/2006/customXml" ds:itemID="{6888A671-E46E-4457-81FA-AD25EA869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92f644-f9c0-4502-819e-85c372bb2c00"/>
    <ds:schemaRef ds:uri="5bdf3347-d964-460b-88b3-553b5a91c1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6ECE46-D2FC-41F1-99AC-EEC8AF05EC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40</Pages>
  <Words>16861</Words>
  <Characters>97794</Characters>
  <Application>Microsoft Office Word</Application>
  <DocSecurity>0</DocSecurity>
  <Lines>814</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114427</CharactersWithSpaces>
  <SharedDoc>false</SharedDoc>
  <HLinks>
    <vt:vector size="660" baseType="variant">
      <vt:variant>
        <vt:i4>7274550</vt:i4>
      </vt:variant>
      <vt:variant>
        <vt:i4>654</vt:i4>
      </vt:variant>
      <vt:variant>
        <vt:i4>0</vt:i4>
      </vt:variant>
      <vt:variant>
        <vt:i4>5</vt:i4>
      </vt:variant>
      <vt:variant>
        <vt:lpwstr>http://www.mfe.gov.ro/</vt:lpwstr>
      </vt:variant>
      <vt:variant>
        <vt:lpwstr/>
      </vt:variant>
      <vt:variant>
        <vt:i4>7274550</vt:i4>
      </vt:variant>
      <vt:variant>
        <vt:i4>651</vt:i4>
      </vt:variant>
      <vt:variant>
        <vt:i4>0</vt:i4>
      </vt:variant>
      <vt:variant>
        <vt:i4>5</vt:i4>
      </vt:variant>
      <vt:variant>
        <vt:lpwstr>http://www.mfe.gov.ro/</vt:lpwstr>
      </vt:variant>
      <vt:variant>
        <vt:lpwstr/>
      </vt:variant>
      <vt:variant>
        <vt:i4>1835071</vt:i4>
      </vt:variant>
      <vt:variant>
        <vt:i4>644</vt:i4>
      </vt:variant>
      <vt:variant>
        <vt:i4>0</vt:i4>
      </vt:variant>
      <vt:variant>
        <vt:i4>5</vt:i4>
      </vt:variant>
      <vt:variant>
        <vt:lpwstr/>
      </vt:variant>
      <vt:variant>
        <vt:lpwstr>_Toc179368176</vt:lpwstr>
      </vt:variant>
      <vt:variant>
        <vt:i4>1835071</vt:i4>
      </vt:variant>
      <vt:variant>
        <vt:i4>638</vt:i4>
      </vt:variant>
      <vt:variant>
        <vt:i4>0</vt:i4>
      </vt:variant>
      <vt:variant>
        <vt:i4>5</vt:i4>
      </vt:variant>
      <vt:variant>
        <vt:lpwstr/>
      </vt:variant>
      <vt:variant>
        <vt:lpwstr>_Toc179368175</vt:lpwstr>
      </vt:variant>
      <vt:variant>
        <vt:i4>1835071</vt:i4>
      </vt:variant>
      <vt:variant>
        <vt:i4>632</vt:i4>
      </vt:variant>
      <vt:variant>
        <vt:i4>0</vt:i4>
      </vt:variant>
      <vt:variant>
        <vt:i4>5</vt:i4>
      </vt:variant>
      <vt:variant>
        <vt:lpwstr/>
      </vt:variant>
      <vt:variant>
        <vt:lpwstr>_Toc179368174</vt:lpwstr>
      </vt:variant>
      <vt:variant>
        <vt:i4>1835071</vt:i4>
      </vt:variant>
      <vt:variant>
        <vt:i4>626</vt:i4>
      </vt:variant>
      <vt:variant>
        <vt:i4>0</vt:i4>
      </vt:variant>
      <vt:variant>
        <vt:i4>5</vt:i4>
      </vt:variant>
      <vt:variant>
        <vt:lpwstr/>
      </vt:variant>
      <vt:variant>
        <vt:lpwstr>_Toc179368173</vt:lpwstr>
      </vt:variant>
      <vt:variant>
        <vt:i4>1835071</vt:i4>
      </vt:variant>
      <vt:variant>
        <vt:i4>620</vt:i4>
      </vt:variant>
      <vt:variant>
        <vt:i4>0</vt:i4>
      </vt:variant>
      <vt:variant>
        <vt:i4>5</vt:i4>
      </vt:variant>
      <vt:variant>
        <vt:lpwstr/>
      </vt:variant>
      <vt:variant>
        <vt:lpwstr>_Toc179368172</vt:lpwstr>
      </vt:variant>
      <vt:variant>
        <vt:i4>1835071</vt:i4>
      </vt:variant>
      <vt:variant>
        <vt:i4>614</vt:i4>
      </vt:variant>
      <vt:variant>
        <vt:i4>0</vt:i4>
      </vt:variant>
      <vt:variant>
        <vt:i4>5</vt:i4>
      </vt:variant>
      <vt:variant>
        <vt:lpwstr/>
      </vt:variant>
      <vt:variant>
        <vt:lpwstr>_Toc179368171</vt:lpwstr>
      </vt:variant>
      <vt:variant>
        <vt:i4>1835071</vt:i4>
      </vt:variant>
      <vt:variant>
        <vt:i4>608</vt:i4>
      </vt:variant>
      <vt:variant>
        <vt:i4>0</vt:i4>
      </vt:variant>
      <vt:variant>
        <vt:i4>5</vt:i4>
      </vt:variant>
      <vt:variant>
        <vt:lpwstr/>
      </vt:variant>
      <vt:variant>
        <vt:lpwstr>_Toc179368170</vt:lpwstr>
      </vt:variant>
      <vt:variant>
        <vt:i4>1900607</vt:i4>
      </vt:variant>
      <vt:variant>
        <vt:i4>602</vt:i4>
      </vt:variant>
      <vt:variant>
        <vt:i4>0</vt:i4>
      </vt:variant>
      <vt:variant>
        <vt:i4>5</vt:i4>
      </vt:variant>
      <vt:variant>
        <vt:lpwstr/>
      </vt:variant>
      <vt:variant>
        <vt:lpwstr>_Toc179368169</vt:lpwstr>
      </vt:variant>
      <vt:variant>
        <vt:i4>1900607</vt:i4>
      </vt:variant>
      <vt:variant>
        <vt:i4>596</vt:i4>
      </vt:variant>
      <vt:variant>
        <vt:i4>0</vt:i4>
      </vt:variant>
      <vt:variant>
        <vt:i4>5</vt:i4>
      </vt:variant>
      <vt:variant>
        <vt:lpwstr/>
      </vt:variant>
      <vt:variant>
        <vt:lpwstr>_Toc179368168</vt:lpwstr>
      </vt:variant>
      <vt:variant>
        <vt:i4>1900607</vt:i4>
      </vt:variant>
      <vt:variant>
        <vt:i4>590</vt:i4>
      </vt:variant>
      <vt:variant>
        <vt:i4>0</vt:i4>
      </vt:variant>
      <vt:variant>
        <vt:i4>5</vt:i4>
      </vt:variant>
      <vt:variant>
        <vt:lpwstr/>
      </vt:variant>
      <vt:variant>
        <vt:lpwstr>_Toc179368167</vt:lpwstr>
      </vt:variant>
      <vt:variant>
        <vt:i4>1900607</vt:i4>
      </vt:variant>
      <vt:variant>
        <vt:i4>584</vt:i4>
      </vt:variant>
      <vt:variant>
        <vt:i4>0</vt:i4>
      </vt:variant>
      <vt:variant>
        <vt:i4>5</vt:i4>
      </vt:variant>
      <vt:variant>
        <vt:lpwstr/>
      </vt:variant>
      <vt:variant>
        <vt:lpwstr>_Toc179368166</vt:lpwstr>
      </vt:variant>
      <vt:variant>
        <vt:i4>1900607</vt:i4>
      </vt:variant>
      <vt:variant>
        <vt:i4>578</vt:i4>
      </vt:variant>
      <vt:variant>
        <vt:i4>0</vt:i4>
      </vt:variant>
      <vt:variant>
        <vt:i4>5</vt:i4>
      </vt:variant>
      <vt:variant>
        <vt:lpwstr/>
      </vt:variant>
      <vt:variant>
        <vt:lpwstr>_Toc179368165</vt:lpwstr>
      </vt:variant>
      <vt:variant>
        <vt:i4>1900607</vt:i4>
      </vt:variant>
      <vt:variant>
        <vt:i4>572</vt:i4>
      </vt:variant>
      <vt:variant>
        <vt:i4>0</vt:i4>
      </vt:variant>
      <vt:variant>
        <vt:i4>5</vt:i4>
      </vt:variant>
      <vt:variant>
        <vt:lpwstr/>
      </vt:variant>
      <vt:variant>
        <vt:lpwstr>_Toc179368164</vt:lpwstr>
      </vt:variant>
      <vt:variant>
        <vt:i4>1900607</vt:i4>
      </vt:variant>
      <vt:variant>
        <vt:i4>566</vt:i4>
      </vt:variant>
      <vt:variant>
        <vt:i4>0</vt:i4>
      </vt:variant>
      <vt:variant>
        <vt:i4>5</vt:i4>
      </vt:variant>
      <vt:variant>
        <vt:lpwstr/>
      </vt:variant>
      <vt:variant>
        <vt:lpwstr>_Toc179368163</vt:lpwstr>
      </vt:variant>
      <vt:variant>
        <vt:i4>1900607</vt:i4>
      </vt:variant>
      <vt:variant>
        <vt:i4>560</vt:i4>
      </vt:variant>
      <vt:variant>
        <vt:i4>0</vt:i4>
      </vt:variant>
      <vt:variant>
        <vt:i4>5</vt:i4>
      </vt:variant>
      <vt:variant>
        <vt:lpwstr/>
      </vt:variant>
      <vt:variant>
        <vt:lpwstr>_Toc179368162</vt:lpwstr>
      </vt:variant>
      <vt:variant>
        <vt:i4>1900607</vt:i4>
      </vt:variant>
      <vt:variant>
        <vt:i4>554</vt:i4>
      </vt:variant>
      <vt:variant>
        <vt:i4>0</vt:i4>
      </vt:variant>
      <vt:variant>
        <vt:i4>5</vt:i4>
      </vt:variant>
      <vt:variant>
        <vt:lpwstr/>
      </vt:variant>
      <vt:variant>
        <vt:lpwstr>_Toc179368161</vt:lpwstr>
      </vt:variant>
      <vt:variant>
        <vt:i4>1900607</vt:i4>
      </vt:variant>
      <vt:variant>
        <vt:i4>548</vt:i4>
      </vt:variant>
      <vt:variant>
        <vt:i4>0</vt:i4>
      </vt:variant>
      <vt:variant>
        <vt:i4>5</vt:i4>
      </vt:variant>
      <vt:variant>
        <vt:lpwstr/>
      </vt:variant>
      <vt:variant>
        <vt:lpwstr>_Toc179368160</vt:lpwstr>
      </vt:variant>
      <vt:variant>
        <vt:i4>1966143</vt:i4>
      </vt:variant>
      <vt:variant>
        <vt:i4>542</vt:i4>
      </vt:variant>
      <vt:variant>
        <vt:i4>0</vt:i4>
      </vt:variant>
      <vt:variant>
        <vt:i4>5</vt:i4>
      </vt:variant>
      <vt:variant>
        <vt:lpwstr/>
      </vt:variant>
      <vt:variant>
        <vt:lpwstr>_Toc179368159</vt:lpwstr>
      </vt:variant>
      <vt:variant>
        <vt:i4>1966143</vt:i4>
      </vt:variant>
      <vt:variant>
        <vt:i4>536</vt:i4>
      </vt:variant>
      <vt:variant>
        <vt:i4>0</vt:i4>
      </vt:variant>
      <vt:variant>
        <vt:i4>5</vt:i4>
      </vt:variant>
      <vt:variant>
        <vt:lpwstr/>
      </vt:variant>
      <vt:variant>
        <vt:lpwstr>_Toc179368158</vt:lpwstr>
      </vt:variant>
      <vt:variant>
        <vt:i4>1966143</vt:i4>
      </vt:variant>
      <vt:variant>
        <vt:i4>530</vt:i4>
      </vt:variant>
      <vt:variant>
        <vt:i4>0</vt:i4>
      </vt:variant>
      <vt:variant>
        <vt:i4>5</vt:i4>
      </vt:variant>
      <vt:variant>
        <vt:lpwstr/>
      </vt:variant>
      <vt:variant>
        <vt:lpwstr>_Toc179368157</vt:lpwstr>
      </vt:variant>
      <vt:variant>
        <vt:i4>1966143</vt:i4>
      </vt:variant>
      <vt:variant>
        <vt:i4>524</vt:i4>
      </vt:variant>
      <vt:variant>
        <vt:i4>0</vt:i4>
      </vt:variant>
      <vt:variant>
        <vt:i4>5</vt:i4>
      </vt:variant>
      <vt:variant>
        <vt:lpwstr/>
      </vt:variant>
      <vt:variant>
        <vt:lpwstr>_Toc179368156</vt:lpwstr>
      </vt:variant>
      <vt:variant>
        <vt:i4>1966143</vt:i4>
      </vt:variant>
      <vt:variant>
        <vt:i4>518</vt:i4>
      </vt:variant>
      <vt:variant>
        <vt:i4>0</vt:i4>
      </vt:variant>
      <vt:variant>
        <vt:i4>5</vt:i4>
      </vt:variant>
      <vt:variant>
        <vt:lpwstr/>
      </vt:variant>
      <vt:variant>
        <vt:lpwstr>_Toc179368155</vt:lpwstr>
      </vt:variant>
      <vt:variant>
        <vt:i4>1966143</vt:i4>
      </vt:variant>
      <vt:variant>
        <vt:i4>512</vt:i4>
      </vt:variant>
      <vt:variant>
        <vt:i4>0</vt:i4>
      </vt:variant>
      <vt:variant>
        <vt:i4>5</vt:i4>
      </vt:variant>
      <vt:variant>
        <vt:lpwstr/>
      </vt:variant>
      <vt:variant>
        <vt:lpwstr>_Toc179368154</vt:lpwstr>
      </vt:variant>
      <vt:variant>
        <vt:i4>1966143</vt:i4>
      </vt:variant>
      <vt:variant>
        <vt:i4>506</vt:i4>
      </vt:variant>
      <vt:variant>
        <vt:i4>0</vt:i4>
      </vt:variant>
      <vt:variant>
        <vt:i4>5</vt:i4>
      </vt:variant>
      <vt:variant>
        <vt:lpwstr/>
      </vt:variant>
      <vt:variant>
        <vt:lpwstr>_Toc179368153</vt:lpwstr>
      </vt:variant>
      <vt:variant>
        <vt:i4>1966143</vt:i4>
      </vt:variant>
      <vt:variant>
        <vt:i4>500</vt:i4>
      </vt:variant>
      <vt:variant>
        <vt:i4>0</vt:i4>
      </vt:variant>
      <vt:variant>
        <vt:i4>5</vt:i4>
      </vt:variant>
      <vt:variant>
        <vt:lpwstr/>
      </vt:variant>
      <vt:variant>
        <vt:lpwstr>_Toc179368152</vt:lpwstr>
      </vt:variant>
      <vt:variant>
        <vt:i4>1966143</vt:i4>
      </vt:variant>
      <vt:variant>
        <vt:i4>494</vt:i4>
      </vt:variant>
      <vt:variant>
        <vt:i4>0</vt:i4>
      </vt:variant>
      <vt:variant>
        <vt:i4>5</vt:i4>
      </vt:variant>
      <vt:variant>
        <vt:lpwstr/>
      </vt:variant>
      <vt:variant>
        <vt:lpwstr>_Toc179368151</vt:lpwstr>
      </vt:variant>
      <vt:variant>
        <vt:i4>1966143</vt:i4>
      </vt:variant>
      <vt:variant>
        <vt:i4>488</vt:i4>
      </vt:variant>
      <vt:variant>
        <vt:i4>0</vt:i4>
      </vt:variant>
      <vt:variant>
        <vt:i4>5</vt:i4>
      </vt:variant>
      <vt:variant>
        <vt:lpwstr/>
      </vt:variant>
      <vt:variant>
        <vt:lpwstr>_Toc179368150</vt:lpwstr>
      </vt:variant>
      <vt:variant>
        <vt:i4>2031679</vt:i4>
      </vt:variant>
      <vt:variant>
        <vt:i4>482</vt:i4>
      </vt:variant>
      <vt:variant>
        <vt:i4>0</vt:i4>
      </vt:variant>
      <vt:variant>
        <vt:i4>5</vt:i4>
      </vt:variant>
      <vt:variant>
        <vt:lpwstr/>
      </vt:variant>
      <vt:variant>
        <vt:lpwstr>_Toc179368149</vt:lpwstr>
      </vt:variant>
      <vt:variant>
        <vt:i4>2031679</vt:i4>
      </vt:variant>
      <vt:variant>
        <vt:i4>476</vt:i4>
      </vt:variant>
      <vt:variant>
        <vt:i4>0</vt:i4>
      </vt:variant>
      <vt:variant>
        <vt:i4>5</vt:i4>
      </vt:variant>
      <vt:variant>
        <vt:lpwstr/>
      </vt:variant>
      <vt:variant>
        <vt:lpwstr>_Toc179368148</vt:lpwstr>
      </vt:variant>
      <vt:variant>
        <vt:i4>2031679</vt:i4>
      </vt:variant>
      <vt:variant>
        <vt:i4>470</vt:i4>
      </vt:variant>
      <vt:variant>
        <vt:i4>0</vt:i4>
      </vt:variant>
      <vt:variant>
        <vt:i4>5</vt:i4>
      </vt:variant>
      <vt:variant>
        <vt:lpwstr/>
      </vt:variant>
      <vt:variant>
        <vt:lpwstr>_Toc179368147</vt:lpwstr>
      </vt:variant>
      <vt:variant>
        <vt:i4>2031679</vt:i4>
      </vt:variant>
      <vt:variant>
        <vt:i4>464</vt:i4>
      </vt:variant>
      <vt:variant>
        <vt:i4>0</vt:i4>
      </vt:variant>
      <vt:variant>
        <vt:i4>5</vt:i4>
      </vt:variant>
      <vt:variant>
        <vt:lpwstr/>
      </vt:variant>
      <vt:variant>
        <vt:lpwstr>_Toc179368146</vt:lpwstr>
      </vt:variant>
      <vt:variant>
        <vt:i4>2031679</vt:i4>
      </vt:variant>
      <vt:variant>
        <vt:i4>458</vt:i4>
      </vt:variant>
      <vt:variant>
        <vt:i4>0</vt:i4>
      </vt:variant>
      <vt:variant>
        <vt:i4>5</vt:i4>
      </vt:variant>
      <vt:variant>
        <vt:lpwstr/>
      </vt:variant>
      <vt:variant>
        <vt:lpwstr>_Toc179368145</vt:lpwstr>
      </vt:variant>
      <vt:variant>
        <vt:i4>2031679</vt:i4>
      </vt:variant>
      <vt:variant>
        <vt:i4>452</vt:i4>
      </vt:variant>
      <vt:variant>
        <vt:i4>0</vt:i4>
      </vt:variant>
      <vt:variant>
        <vt:i4>5</vt:i4>
      </vt:variant>
      <vt:variant>
        <vt:lpwstr/>
      </vt:variant>
      <vt:variant>
        <vt:lpwstr>_Toc179368144</vt:lpwstr>
      </vt:variant>
      <vt:variant>
        <vt:i4>2031679</vt:i4>
      </vt:variant>
      <vt:variant>
        <vt:i4>446</vt:i4>
      </vt:variant>
      <vt:variant>
        <vt:i4>0</vt:i4>
      </vt:variant>
      <vt:variant>
        <vt:i4>5</vt:i4>
      </vt:variant>
      <vt:variant>
        <vt:lpwstr/>
      </vt:variant>
      <vt:variant>
        <vt:lpwstr>_Toc179368143</vt:lpwstr>
      </vt:variant>
      <vt:variant>
        <vt:i4>2031679</vt:i4>
      </vt:variant>
      <vt:variant>
        <vt:i4>440</vt:i4>
      </vt:variant>
      <vt:variant>
        <vt:i4>0</vt:i4>
      </vt:variant>
      <vt:variant>
        <vt:i4>5</vt:i4>
      </vt:variant>
      <vt:variant>
        <vt:lpwstr/>
      </vt:variant>
      <vt:variant>
        <vt:lpwstr>_Toc179368142</vt:lpwstr>
      </vt:variant>
      <vt:variant>
        <vt:i4>2031679</vt:i4>
      </vt:variant>
      <vt:variant>
        <vt:i4>434</vt:i4>
      </vt:variant>
      <vt:variant>
        <vt:i4>0</vt:i4>
      </vt:variant>
      <vt:variant>
        <vt:i4>5</vt:i4>
      </vt:variant>
      <vt:variant>
        <vt:lpwstr/>
      </vt:variant>
      <vt:variant>
        <vt:lpwstr>_Toc179368141</vt:lpwstr>
      </vt:variant>
      <vt:variant>
        <vt:i4>2031679</vt:i4>
      </vt:variant>
      <vt:variant>
        <vt:i4>428</vt:i4>
      </vt:variant>
      <vt:variant>
        <vt:i4>0</vt:i4>
      </vt:variant>
      <vt:variant>
        <vt:i4>5</vt:i4>
      </vt:variant>
      <vt:variant>
        <vt:lpwstr/>
      </vt:variant>
      <vt:variant>
        <vt:lpwstr>_Toc179368140</vt:lpwstr>
      </vt:variant>
      <vt:variant>
        <vt:i4>1572927</vt:i4>
      </vt:variant>
      <vt:variant>
        <vt:i4>422</vt:i4>
      </vt:variant>
      <vt:variant>
        <vt:i4>0</vt:i4>
      </vt:variant>
      <vt:variant>
        <vt:i4>5</vt:i4>
      </vt:variant>
      <vt:variant>
        <vt:lpwstr/>
      </vt:variant>
      <vt:variant>
        <vt:lpwstr>_Toc179368139</vt:lpwstr>
      </vt:variant>
      <vt:variant>
        <vt:i4>1572927</vt:i4>
      </vt:variant>
      <vt:variant>
        <vt:i4>416</vt:i4>
      </vt:variant>
      <vt:variant>
        <vt:i4>0</vt:i4>
      </vt:variant>
      <vt:variant>
        <vt:i4>5</vt:i4>
      </vt:variant>
      <vt:variant>
        <vt:lpwstr/>
      </vt:variant>
      <vt:variant>
        <vt:lpwstr>_Toc179368138</vt:lpwstr>
      </vt:variant>
      <vt:variant>
        <vt:i4>1572927</vt:i4>
      </vt:variant>
      <vt:variant>
        <vt:i4>410</vt:i4>
      </vt:variant>
      <vt:variant>
        <vt:i4>0</vt:i4>
      </vt:variant>
      <vt:variant>
        <vt:i4>5</vt:i4>
      </vt:variant>
      <vt:variant>
        <vt:lpwstr/>
      </vt:variant>
      <vt:variant>
        <vt:lpwstr>_Toc179368137</vt:lpwstr>
      </vt:variant>
      <vt:variant>
        <vt:i4>1572927</vt:i4>
      </vt:variant>
      <vt:variant>
        <vt:i4>404</vt:i4>
      </vt:variant>
      <vt:variant>
        <vt:i4>0</vt:i4>
      </vt:variant>
      <vt:variant>
        <vt:i4>5</vt:i4>
      </vt:variant>
      <vt:variant>
        <vt:lpwstr/>
      </vt:variant>
      <vt:variant>
        <vt:lpwstr>_Toc179368136</vt:lpwstr>
      </vt:variant>
      <vt:variant>
        <vt:i4>1572927</vt:i4>
      </vt:variant>
      <vt:variant>
        <vt:i4>398</vt:i4>
      </vt:variant>
      <vt:variant>
        <vt:i4>0</vt:i4>
      </vt:variant>
      <vt:variant>
        <vt:i4>5</vt:i4>
      </vt:variant>
      <vt:variant>
        <vt:lpwstr/>
      </vt:variant>
      <vt:variant>
        <vt:lpwstr>_Toc179368135</vt:lpwstr>
      </vt:variant>
      <vt:variant>
        <vt:i4>1572927</vt:i4>
      </vt:variant>
      <vt:variant>
        <vt:i4>392</vt:i4>
      </vt:variant>
      <vt:variant>
        <vt:i4>0</vt:i4>
      </vt:variant>
      <vt:variant>
        <vt:i4>5</vt:i4>
      </vt:variant>
      <vt:variant>
        <vt:lpwstr/>
      </vt:variant>
      <vt:variant>
        <vt:lpwstr>_Toc179368134</vt:lpwstr>
      </vt:variant>
      <vt:variant>
        <vt:i4>1572927</vt:i4>
      </vt:variant>
      <vt:variant>
        <vt:i4>386</vt:i4>
      </vt:variant>
      <vt:variant>
        <vt:i4>0</vt:i4>
      </vt:variant>
      <vt:variant>
        <vt:i4>5</vt:i4>
      </vt:variant>
      <vt:variant>
        <vt:lpwstr/>
      </vt:variant>
      <vt:variant>
        <vt:lpwstr>_Toc179368133</vt:lpwstr>
      </vt:variant>
      <vt:variant>
        <vt:i4>1572927</vt:i4>
      </vt:variant>
      <vt:variant>
        <vt:i4>380</vt:i4>
      </vt:variant>
      <vt:variant>
        <vt:i4>0</vt:i4>
      </vt:variant>
      <vt:variant>
        <vt:i4>5</vt:i4>
      </vt:variant>
      <vt:variant>
        <vt:lpwstr/>
      </vt:variant>
      <vt:variant>
        <vt:lpwstr>_Toc179368132</vt:lpwstr>
      </vt:variant>
      <vt:variant>
        <vt:i4>1572927</vt:i4>
      </vt:variant>
      <vt:variant>
        <vt:i4>374</vt:i4>
      </vt:variant>
      <vt:variant>
        <vt:i4>0</vt:i4>
      </vt:variant>
      <vt:variant>
        <vt:i4>5</vt:i4>
      </vt:variant>
      <vt:variant>
        <vt:lpwstr/>
      </vt:variant>
      <vt:variant>
        <vt:lpwstr>_Toc179368131</vt:lpwstr>
      </vt:variant>
      <vt:variant>
        <vt:i4>1572927</vt:i4>
      </vt:variant>
      <vt:variant>
        <vt:i4>368</vt:i4>
      </vt:variant>
      <vt:variant>
        <vt:i4>0</vt:i4>
      </vt:variant>
      <vt:variant>
        <vt:i4>5</vt:i4>
      </vt:variant>
      <vt:variant>
        <vt:lpwstr/>
      </vt:variant>
      <vt:variant>
        <vt:lpwstr>_Toc179368130</vt:lpwstr>
      </vt:variant>
      <vt:variant>
        <vt:i4>1638463</vt:i4>
      </vt:variant>
      <vt:variant>
        <vt:i4>362</vt:i4>
      </vt:variant>
      <vt:variant>
        <vt:i4>0</vt:i4>
      </vt:variant>
      <vt:variant>
        <vt:i4>5</vt:i4>
      </vt:variant>
      <vt:variant>
        <vt:lpwstr/>
      </vt:variant>
      <vt:variant>
        <vt:lpwstr>_Toc179368129</vt:lpwstr>
      </vt:variant>
      <vt:variant>
        <vt:i4>1638463</vt:i4>
      </vt:variant>
      <vt:variant>
        <vt:i4>356</vt:i4>
      </vt:variant>
      <vt:variant>
        <vt:i4>0</vt:i4>
      </vt:variant>
      <vt:variant>
        <vt:i4>5</vt:i4>
      </vt:variant>
      <vt:variant>
        <vt:lpwstr/>
      </vt:variant>
      <vt:variant>
        <vt:lpwstr>_Toc179368128</vt:lpwstr>
      </vt:variant>
      <vt:variant>
        <vt:i4>1638463</vt:i4>
      </vt:variant>
      <vt:variant>
        <vt:i4>350</vt:i4>
      </vt:variant>
      <vt:variant>
        <vt:i4>0</vt:i4>
      </vt:variant>
      <vt:variant>
        <vt:i4>5</vt:i4>
      </vt:variant>
      <vt:variant>
        <vt:lpwstr/>
      </vt:variant>
      <vt:variant>
        <vt:lpwstr>_Toc179368127</vt:lpwstr>
      </vt:variant>
      <vt:variant>
        <vt:i4>1638463</vt:i4>
      </vt:variant>
      <vt:variant>
        <vt:i4>344</vt:i4>
      </vt:variant>
      <vt:variant>
        <vt:i4>0</vt:i4>
      </vt:variant>
      <vt:variant>
        <vt:i4>5</vt:i4>
      </vt:variant>
      <vt:variant>
        <vt:lpwstr/>
      </vt:variant>
      <vt:variant>
        <vt:lpwstr>_Toc179368126</vt:lpwstr>
      </vt:variant>
      <vt:variant>
        <vt:i4>1638463</vt:i4>
      </vt:variant>
      <vt:variant>
        <vt:i4>338</vt:i4>
      </vt:variant>
      <vt:variant>
        <vt:i4>0</vt:i4>
      </vt:variant>
      <vt:variant>
        <vt:i4>5</vt:i4>
      </vt:variant>
      <vt:variant>
        <vt:lpwstr/>
      </vt:variant>
      <vt:variant>
        <vt:lpwstr>_Toc179368125</vt:lpwstr>
      </vt:variant>
      <vt:variant>
        <vt:i4>1638463</vt:i4>
      </vt:variant>
      <vt:variant>
        <vt:i4>332</vt:i4>
      </vt:variant>
      <vt:variant>
        <vt:i4>0</vt:i4>
      </vt:variant>
      <vt:variant>
        <vt:i4>5</vt:i4>
      </vt:variant>
      <vt:variant>
        <vt:lpwstr/>
      </vt:variant>
      <vt:variant>
        <vt:lpwstr>_Toc179368124</vt:lpwstr>
      </vt:variant>
      <vt:variant>
        <vt:i4>1638463</vt:i4>
      </vt:variant>
      <vt:variant>
        <vt:i4>326</vt:i4>
      </vt:variant>
      <vt:variant>
        <vt:i4>0</vt:i4>
      </vt:variant>
      <vt:variant>
        <vt:i4>5</vt:i4>
      </vt:variant>
      <vt:variant>
        <vt:lpwstr/>
      </vt:variant>
      <vt:variant>
        <vt:lpwstr>_Toc179368123</vt:lpwstr>
      </vt:variant>
      <vt:variant>
        <vt:i4>1638463</vt:i4>
      </vt:variant>
      <vt:variant>
        <vt:i4>320</vt:i4>
      </vt:variant>
      <vt:variant>
        <vt:i4>0</vt:i4>
      </vt:variant>
      <vt:variant>
        <vt:i4>5</vt:i4>
      </vt:variant>
      <vt:variant>
        <vt:lpwstr/>
      </vt:variant>
      <vt:variant>
        <vt:lpwstr>_Toc179368122</vt:lpwstr>
      </vt:variant>
      <vt:variant>
        <vt:i4>1638463</vt:i4>
      </vt:variant>
      <vt:variant>
        <vt:i4>314</vt:i4>
      </vt:variant>
      <vt:variant>
        <vt:i4>0</vt:i4>
      </vt:variant>
      <vt:variant>
        <vt:i4>5</vt:i4>
      </vt:variant>
      <vt:variant>
        <vt:lpwstr/>
      </vt:variant>
      <vt:variant>
        <vt:lpwstr>_Toc179368121</vt:lpwstr>
      </vt:variant>
      <vt:variant>
        <vt:i4>1638463</vt:i4>
      </vt:variant>
      <vt:variant>
        <vt:i4>308</vt:i4>
      </vt:variant>
      <vt:variant>
        <vt:i4>0</vt:i4>
      </vt:variant>
      <vt:variant>
        <vt:i4>5</vt:i4>
      </vt:variant>
      <vt:variant>
        <vt:lpwstr/>
      </vt:variant>
      <vt:variant>
        <vt:lpwstr>_Toc179368120</vt:lpwstr>
      </vt:variant>
      <vt:variant>
        <vt:i4>1703999</vt:i4>
      </vt:variant>
      <vt:variant>
        <vt:i4>302</vt:i4>
      </vt:variant>
      <vt:variant>
        <vt:i4>0</vt:i4>
      </vt:variant>
      <vt:variant>
        <vt:i4>5</vt:i4>
      </vt:variant>
      <vt:variant>
        <vt:lpwstr/>
      </vt:variant>
      <vt:variant>
        <vt:lpwstr>_Toc179368119</vt:lpwstr>
      </vt:variant>
      <vt:variant>
        <vt:i4>1703999</vt:i4>
      </vt:variant>
      <vt:variant>
        <vt:i4>296</vt:i4>
      </vt:variant>
      <vt:variant>
        <vt:i4>0</vt:i4>
      </vt:variant>
      <vt:variant>
        <vt:i4>5</vt:i4>
      </vt:variant>
      <vt:variant>
        <vt:lpwstr/>
      </vt:variant>
      <vt:variant>
        <vt:lpwstr>_Toc179368118</vt:lpwstr>
      </vt:variant>
      <vt:variant>
        <vt:i4>1703999</vt:i4>
      </vt:variant>
      <vt:variant>
        <vt:i4>290</vt:i4>
      </vt:variant>
      <vt:variant>
        <vt:i4>0</vt:i4>
      </vt:variant>
      <vt:variant>
        <vt:i4>5</vt:i4>
      </vt:variant>
      <vt:variant>
        <vt:lpwstr/>
      </vt:variant>
      <vt:variant>
        <vt:lpwstr>_Toc179368117</vt:lpwstr>
      </vt:variant>
      <vt:variant>
        <vt:i4>1703999</vt:i4>
      </vt:variant>
      <vt:variant>
        <vt:i4>284</vt:i4>
      </vt:variant>
      <vt:variant>
        <vt:i4>0</vt:i4>
      </vt:variant>
      <vt:variant>
        <vt:i4>5</vt:i4>
      </vt:variant>
      <vt:variant>
        <vt:lpwstr/>
      </vt:variant>
      <vt:variant>
        <vt:lpwstr>_Toc179368116</vt:lpwstr>
      </vt:variant>
      <vt:variant>
        <vt:i4>1703999</vt:i4>
      </vt:variant>
      <vt:variant>
        <vt:i4>278</vt:i4>
      </vt:variant>
      <vt:variant>
        <vt:i4>0</vt:i4>
      </vt:variant>
      <vt:variant>
        <vt:i4>5</vt:i4>
      </vt:variant>
      <vt:variant>
        <vt:lpwstr/>
      </vt:variant>
      <vt:variant>
        <vt:lpwstr>_Toc179368115</vt:lpwstr>
      </vt:variant>
      <vt:variant>
        <vt:i4>1703999</vt:i4>
      </vt:variant>
      <vt:variant>
        <vt:i4>272</vt:i4>
      </vt:variant>
      <vt:variant>
        <vt:i4>0</vt:i4>
      </vt:variant>
      <vt:variant>
        <vt:i4>5</vt:i4>
      </vt:variant>
      <vt:variant>
        <vt:lpwstr/>
      </vt:variant>
      <vt:variant>
        <vt:lpwstr>_Toc179368114</vt:lpwstr>
      </vt:variant>
      <vt:variant>
        <vt:i4>1703999</vt:i4>
      </vt:variant>
      <vt:variant>
        <vt:i4>266</vt:i4>
      </vt:variant>
      <vt:variant>
        <vt:i4>0</vt:i4>
      </vt:variant>
      <vt:variant>
        <vt:i4>5</vt:i4>
      </vt:variant>
      <vt:variant>
        <vt:lpwstr/>
      </vt:variant>
      <vt:variant>
        <vt:lpwstr>_Toc179368113</vt:lpwstr>
      </vt:variant>
      <vt:variant>
        <vt:i4>1703999</vt:i4>
      </vt:variant>
      <vt:variant>
        <vt:i4>260</vt:i4>
      </vt:variant>
      <vt:variant>
        <vt:i4>0</vt:i4>
      </vt:variant>
      <vt:variant>
        <vt:i4>5</vt:i4>
      </vt:variant>
      <vt:variant>
        <vt:lpwstr/>
      </vt:variant>
      <vt:variant>
        <vt:lpwstr>_Toc179368112</vt:lpwstr>
      </vt:variant>
      <vt:variant>
        <vt:i4>1703999</vt:i4>
      </vt:variant>
      <vt:variant>
        <vt:i4>254</vt:i4>
      </vt:variant>
      <vt:variant>
        <vt:i4>0</vt:i4>
      </vt:variant>
      <vt:variant>
        <vt:i4>5</vt:i4>
      </vt:variant>
      <vt:variant>
        <vt:lpwstr/>
      </vt:variant>
      <vt:variant>
        <vt:lpwstr>_Toc179368111</vt:lpwstr>
      </vt:variant>
      <vt:variant>
        <vt:i4>1703999</vt:i4>
      </vt:variant>
      <vt:variant>
        <vt:i4>248</vt:i4>
      </vt:variant>
      <vt:variant>
        <vt:i4>0</vt:i4>
      </vt:variant>
      <vt:variant>
        <vt:i4>5</vt:i4>
      </vt:variant>
      <vt:variant>
        <vt:lpwstr/>
      </vt:variant>
      <vt:variant>
        <vt:lpwstr>_Toc179368110</vt:lpwstr>
      </vt:variant>
      <vt:variant>
        <vt:i4>1769535</vt:i4>
      </vt:variant>
      <vt:variant>
        <vt:i4>242</vt:i4>
      </vt:variant>
      <vt:variant>
        <vt:i4>0</vt:i4>
      </vt:variant>
      <vt:variant>
        <vt:i4>5</vt:i4>
      </vt:variant>
      <vt:variant>
        <vt:lpwstr/>
      </vt:variant>
      <vt:variant>
        <vt:lpwstr>_Toc179368109</vt:lpwstr>
      </vt:variant>
      <vt:variant>
        <vt:i4>1769535</vt:i4>
      </vt:variant>
      <vt:variant>
        <vt:i4>236</vt:i4>
      </vt:variant>
      <vt:variant>
        <vt:i4>0</vt:i4>
      </vt:variant>
      <vt:variant>
        <vt:i4>5</vt:i4>
      </vt:variant>
      <vt:variant>
        <vt:lpwstr/>
      </vt:variant>
      <vt:variant>
        <vt:lpwstr>_Toc179368108</vt:lpwstr>
      </vt:variant>
      <vt:variant>
        <vt:i4>1769535</vt:i4>
      </vt:variant>
      <vt:variant>
        <vt:i4>230</vt:i4>
      </vt:variant>
      <vt:variant>
        <vt:i4>0</vt:i4>
      </vt:variant>
      <vt:variant>
        <vt:i4>5</vt:i4>
      </vt:variant>
      <vt:variant>
        <vt:lpwstr/>
      </vt:variant>
      <vt:variant>
        <vt:lpwstr>_Toc179368107</vt:lpwstr>
      </vt:variant>
      <vt:variant>
        <vt:i4>1769535</vt:i4>
      </vt:variant>
      <vt:variant>
        <vt:i4>224</vt:i4>
      </vt:variant>
      <vt:variant>
        <vt:i4>0</vt:i4>
      </vt:variant>
      <vt:variant>
        <vt:i4>5</vt:i4>
      </vt:variant>
      <vt:variant>
        <vt:lpwstr/>
      </vt:variant>
      <vt:variant>
        <vt:lpwstr>_Toc179368106</vt:lpwstr>
      </vt:variant>
      <vt:variant>
        <vt:i4>1769535</vt:i4>
      </vt:variant>
      <vt:variant>
        <vt:i4>218</vt:i4>
      </vt:variant>
      <vt:variant>
        <vt:i4>0</vt:i4>
      </vt:variant>
      <vt:variant>
        <vt:i4>5</vt:i4>
      </vt:variant>
      <vt:variant>
        <vt:lpwstr/>
      </vt:variant>
      <vt:variant>
        <vt:lpwstr>_Toc179368105</vt:lpwstr>
      </vt:variant>
      <vt:variant>
        <vt:i4>1769535</vt:i4>
      </vt:variant>
      <vt:variant>
        <vt:i4>212</vt:i4>
      </vt:variant>
      <vt:variant>
        <vt:i4>0</vt:i4>
      </vt:variant>
      <vt:variant>
        <vt:i4>5</vt:i4>
      </vt:variant>
      <vt:variant>
        <vt:lpwstr/>
      </vt:variant>
      <vt:variant>
        <vt:lpwstr>_Toc179368104</vt:lpwstr>
      </vt:variant>
      <vt:variant>
        <vt:i4>1769535</vt:i4>
      </vt:variant>
      <vt:variant>
        <vt:i4>206</vt:i4>
      </vt:variant>
      <vt:variant>
        <vt:i4>0</vt:i4>
      </vt:variant>
      <vt:variant>
        <vt:i4>5</vt:i4>
      </vt:variant>
      <vt:variant>
        <vt:lpwstr/>
      </vt:variant>
      <vt:variant>
        <vt:lpwstr>_Toc179368103</vt:lpwstr>
      </vt:variant>
      <vt:variant>
        <vt:i4>1769535</vt:i4>
      </vt:variant>
      <vt:variant>
        <vt:i4>200</vt:i4>
      </vt:variant>
      <vt:variant>
        <vt:i4>0</vt:i4>
      </vt:variant>
      <vt:variant>
        <vt:i4>5</vt:i4>
      </vt:variant>
      <vt:variant>
        <vt:lpwstr/>
      </vt:variant>
      <vt:variant>
        <vt:lpwstr>_Toc179368102</vt:lpwstr>
      </vt:variant>
      <vt:variant>
        <vt:i4>1769535</vt:i4>
      </vt:variant>
      <vt:variant>
        <vt:i4>194</vt:i4>
      </vt:variant>
      <vt:variant>
        <vt:i4>0</vt:i4>
      </vt:variant>
      <vt:variant>
        <vt:i4>5</vt:i4>
      </vt:variant>
      <vt:variant>
        <vt:lpwstr/>
      </vt:variant>
      <vt:variant>
        <vt:lpwstr>_Toc179368101</vt:lpwstr>
      </vt:variant>
      <vt:variant>
        <vt:i4>1769535</vt:i4>
      </vt:variant>
      <vt:variant>
        <vt:i4>188</vt:i4>
      </vt:variant>
      <vt:variant>
        <vt:i4>0</vt:i4>
      </vt:variant>
      <vt:variant>
        <vt:i4>5</vt:i4>
      </vt:variant>
      <vt:variant>
        <vt:lpwstr/>
      </vt:variant>
      <vt:variant>
        <vt:lpwstr>_Toc179368100</vt:lpwstr>
      </vt:variant>
      <vt:variant>
        <vt:i4>1179710</vt:i4>
      </vt:variant>
      <vt:variant>
        <vt:i4>182</vt:i4>
      </vt:variant>
      <vt:variant>
        <vt:i4>0</vt:i4>
      </vt:variant>
      <vt:variant>
        <vt:i4>5</vt:i4>
      </vt:variant>
      <vt:variant>
        <vt:lpwstr/>
      </vt:variant>
      <vt:variant>
        <vt:lpwstr>_Toc179368099</vt:lpwstr>
      </vt:variant>
      <vt:variant>
        <vt:i4>1179710</vt:i4>
      </vt:variant>
      <vt:variant>
        <vt:i4>176</vt:i4>
      </vt:variant>
      <vt:variant>
        <vt:i4>0</vt:i4>
      </vt:variant>
      <vt:variant>
        <vt:i4>5</vt:i4>
      </vt:variant>
      <vt:variant>
        <vt:lpwstr/>
      </vt:variant>
      <vt:variant>
        <vt:lpwstr>_Toc179368098</vt:lpwstr>
      </vt:variant>
      <vt:variant>
        <vt:i4>1179710</vt:i4>
      </vt:variant>
      <vt:variant>
        <vt:i4>170</vt:i4>
      </vt:variant>
      <vt:variant>
        <vt:i4>0</vt:i4>
      </vt:variant>
      <vt:variant>
        <vt:i4>5</vt:i4>
      </vt:variant>
      <vt:variant>
        <vt:lpwstr/>
      </vt:variant>
      <vt:variant>
        <vt:lpwstr>_Toc179368097</vt:lpwstr>
      </vt:variant>
      <vt:variant>
        <vt:i4>1179710</vt:i4>
      </vt:variant>
      <vt:variant>
        <vt:i4>164</vt:i4>
      </vt:variant>
      <vt:variant>
        <vt:i4>0</vt:i4>
      </vt:variant>
      <vt:variant>
        <vt:i4>5</vt:i4>
      </vt:variant>
      <vt:variant>
        <vt:lpwstr/>
      </vt:variant>
      <vt:variant>
        <vt:lpwstr>_Toc179368096</vt:lpwstr>
      </vt:variant>
      <vt:variant>
        <vt:i4>1179710</vt:i4>
      </vt:variant>
      <vt:variant>
        <vt:i4>158</vt:i4>
      </vt:variant>
      <vt:variant>
        <vt:i4>0</vt:i4>
      </vt:variant>
      <vt:variant>
        <vt:i4>5</vt:i4>
      </vt:variant>
      <vt:variant>
        <vt:lpwstr/>
      </vt:variant>
      <vt:variant>
        <vt:lpwstr>_Toc179368095</vt:lpwstr>
      </vt:variant>
      <vt:variant>
        <vt:i4>1179710</vt:i4>
      </vt:variant>
      <vt:variant>
        <vt:i4>152</vt:i4>
      </vt:variant>
      <vt:variant>
        <vt:i4>0</vt:i4>
      </vt:variant>
      <vt:variant>
        <vt:i4>5</vt:i4>
      </vt:variant>
      <vt:variant>
        <vt:lpwstr/>
      </vt:variant>
      <vt:variant>
        <vt:lpwstr>_Toc179368094</vt:lpwstr>
      </vt:variant>
      <vt:variant>
        <vt:i4>1179710</vt:i4>
      </vt:variant>
      <vt:variant>
        <vt:i4>146</vt:i4>
      </vt:variant>
      <vt:variant>
        <vt:i4>0</vt:i4>
      </vt:variant>
      <vt:variant>
        <vt:i4>5</vt:i4>
      </vt:variant>
      <vt:variant>
        <vt:lpwstr/>
      </vt:variant>
      <vt:variant>
        <vt:lpwstr>_Toc179368093</vt:lpwstr>
      </vt:variant>
      <vt:variant>
        <vt:i4>1179710</vt:i4>
      </vt:variant>
      <vt:variant>
        <vt:i4>140</vt:i4>
      </vt:variant>
      <vt:variant>
        <vt:i4>0</vt:i4>
      </vt:variant>
      <vt:variant>
        <vt:i4>5</vt:i4>
      </vt:variant>
      <vt:variant>
        <vt:lpwstr/>
      </vt:variant>
      <vt:variant>
        <vt:lpwstr>_Toc179368092</vt:lpwstr>
      </vt:variant>
      <vt:variant>
        <vt:i4>1179710</vt:i4>
      </vt:variant>
      <vt:variant>
        <vt:i4>134</vt:i4>
      </vt:variant>
      <vt:variant>
        <vt:i4>0</vt:i4>
      </vt:variant>
      <vt:variant>
        <vt:i4>5</vt:i4>
      </vt:variant>
      <vt:variant>
        <vt:lpwstr/>
      </vt:variant>
      <vt:variant>
        <vt:lpwstr>_Toc179368091</vt:lpwstr>
      </vt:variant>
      <vt:variant>
        <vt:i4>1179710</vt:i4>
      </vt:variant>
      <vt:variant>
        <vt:i4>128</vt:i4>
      </vt:variant>
      <vt:variant>
        <vt:i4>0</vt:i4>
      </vt:variant>
      <vt:variant>
        <vt:i4>5</vt:i4>
      </vt:variant>
      <vt:variant>
        <vt:lpwstr/>
      </vt:variant>
      <vt:variant>
        <vt:lpwstr>_Toc179368090</vt:lpwstr>
      </vt:variant>
      <vt:variant>
        <vt:i4>1245246</vt:i4>
      </vt:variant>
      <vt:variant>
        <vt:i4>122</vt:i4>
      </vt:variant>
      <vt:variant>
        <vt:i4>0</vt:i4>
      </vt:variant>
      <vt:variant>
        <vt:i4>5</vt:i4>
      </vt:variant>
      <vt:variant>
        <vt:lpwstr/>
      </vt:variant>
      <vt:variant>
        <vt:lpwstr>_Toc179368089</vt:lpwstr>
      </vt:variant>
      <vt:variant>
        <vt:i4>1245246</vt:i4>
      </vt:variant>
      <vt:variant>
        <vt:i4>116</vt:i4>
      </vt:variant>
      <vt:variant>
        <vt:i4>0</vt:i4>
      </vt:variant>
      <vt:variant>
        <vt:i4>5</vt:i4>
      </vt:variant>
      <vt:variant>
        <vt:lpwstr/>
      </vt:variant>
      <vt:variant>
        <vt:lpwstr>_Toc179368088</vt:lpwstr>
      </vt:variant>
      <vt:variant>
        <vt:i4>1245246</vt:i4>
      </vt:variant>
      <vt:variant>
        <vt:i4>110</vt:i4>
      </vt:variant>
      <vt:variant>
        <vt:i4>0</vt:i4>
      </vt:variant>
      <vt:variant>
        <vt:i4>5</vt:i4>
      </vt:variant>
      <vt:variant>
        <vt:lpwstr/>
      </vt:variant>
      <vt:variant>
        <vt:lpwstr>_Toc179368087</vt:lpwstr>
      </vt:variant>
      <vt:variant>
        <vt:i4>1245246</vt:i4>
      </vt:variant>
      <vt:variant>
        <vt:i4>104</vt:i4>
      </vt:variant>
      <vt:variant>
        <vt:i4>0</vt:i4>
      </vt:variant>
      <vt:variant>
        <vt:i4>5</vt:i4>
      </vt:variant>
      <vt:variant>
        <vt:lpwstr/>
      </vt:variant>
      <vt:variant>
        <vt:lpwstr>_Toc179368086</vt:lpwstr>
      </vt:variant>
      <vt:variant>
        <vt:i4>1245246</vt:i4>
      </vt:variant>
      <vt:variant>
        <vt:i4>98</vt:i4>
      </vt:variant>
      <vt:variant>
        <vt:i4>0</vt:i4>
      </vt:variant>
      <vt:variant>
        <vt:i4>5</vt:i4>
      </vt:variant>
      <vt:variant>
        <vt:lpwstr/>
      </vt:variant>
      <vt:variant>
        <vt:lpwstr>_Toc179368085</vt:lpwstr>
      </vt:variant>
      <vt:variant>
        <vt:i4>1245246</vt:i4>
      </vt:variant>
      <vt:variant>
        <vt:i4>92</vt:i4>
      </vt:variant>
      <vt:variant>
        <vt:i4>0</vt:i4>
      </vt:variant>
      <vt:variant>
        <vt:i4>5</vt:i4>
      </vt:variant>
      <vt:variant>
        <vt:lpwstr/>
      </vt:variant>
      <vt:variant>
        <vt:lpwstr>_Toc179368084</vt:lpwstr>
      </vt:variant>
      <vt:variant>
        <vt:i4>1245246</vt:i4>
      </vt:variant>
      <vt:variant>
        <vt:i4>86</vt:i4>
      </vt:variant>
      <vt:variant>
        <vt:i4>0</vt:i4>
      </vt:variant>
      <vt:variant>
        <vt:i4>5</vt:i4>
      </vt:variant>
      <vt:variant>
        <vt:lpwstr/>
      </vt:variant>
      <vt:variant>
        <vt:lpwstr>_Toc179368083</vt:lpwstr>
      </vt:variant>
      <vt:variant>
        <vt:i4>1245246</vt:i4>
      </vt:variant>
      <vt:variant>
        <vt:i4>80</vt:i4>
      </vt:variant>
      <vt:variant>
        <vt:i4>0</vt:i4>
      </vt:variant>
      <vt:variant>
        <vt:i4>5</vt:i4>
      </vt:variant>
      <vt:variant>
        <vt:lpwstr/>
      </vt:variant>
      <vt:variant>
        <vt:lpwstr>_Toc179368082</vt:lpwstr>
      </vt:variant>
      <vt:variant>
        <vt:i4>1245246</vt:i4>
      </vt:variant>
      <vt:variant>
        <vt:i4>74</vt:i4>
      </vt:variant>
      <vt:variant>
        <vt:i4>0</vt:i4>
      </vt:variant>
      <vt:variant>
        <vt:i4>5</vt:i4>
      </vt:variant>
      <vt:variant>
        <vt:lpwstr/>
      </vt:variant>
      <vt:variant>
        <vt:lpwstr>_Toc179368081</vt:lpwstr>
      </vt:variant>
      <vt:variant>
        <vt:i4>1245246</vt:i4>
      </vt:variant>
      <vt:variant>
        <vt:i4>68</vt:i4>
      </vt:variant>
      <vt:variant>
        <vt:i4>0</vt:i4>
      </vt:variant>
      <vt:variant>
        <vt:i4>5</vt:i4>
      </vt:variant>
      <vt:variant>
        <vt:lpwstr/>
      </vt:variant>
      <vt:variant>
        <vt:lpwstr>_Toc179368080</vt:lpwstr>
      </vt:variant>
      <vt:variant>
        <vt:i4>1835070</vt:i4>
      </vt:variant>
      <vt:variant>
        <vt:i4>62</vt:i4>
      </vt:variant>
      <vt:variant>
        <vt:i4>0</vt:i4>
      </vt:variant>
      <vt:variant>
        <vt:i4>5</vt:i4>
      </vt:variant>
      <vt:variant>
        <vt:lpwstr/>
      </vt:variant>
      <vt:variant>
        <vt:lpwstr>_Toc179368079</vt:lpwstr>
      </vt:variant>
      <vt:variant>
        <vt:i4>1835070</vt:i4>
      </vt:variant>
      <vt:variant>
        <vt:i4>56</vt:i4>
      </vt:variant>
      <vt:variant>
        <vt:i4>0</vt:i4>
      </vt:variant>
      <vt:variant>
        <vt:i4>5</vt:i4>
      </vt:variant>
      <vt:variant>
        <vt:lpwstr/>
      </vt:variant>
      <vt:variant>
        <vt:lpwstr>_Toc179368078</vt:lpwstr>
      </vt:variant>
      <vt:variant>
        <vt:i4>1835070</vt:i4>
      </vt:variant>
      <vt:variant>
        <vt:i4>50</vt:i4>
      </vt:variant>
      <vt:variant>
        <vt:i4>0</vt:i4>
      </vt:variant>
      <vt:variant>
        <vt:i4>5</vt:i4>
      </vt:variant>
      <vt:variant>
        <vt:lpwstr/>
      </vt:variant>
      <vt:variant>
        <vt:lpwstr>_Toc179368077</vt:lpwstr>
      </vt:variant>
      <vt:variant>
        <vt:i4>1835070</vt:i4>
      </vt:variant>
      <vt:variant>
        <vt:i4>44</vt:i4>
      </vt:variant>
      <vt:variant>
        <vt:i4>0</vt:i4>
      </vt:variant>
      <vt:variant>
        <vt:i4>5</vt:i4>
      </vt:variant>
      <vt:variant>
        <vt:lpwstr/>
      </vt:variant>
      <vt:variant>
        <vt:lpwstr>_Toc179368076</vt:lpwstr>
      </vt:variant>
      <vt:variant>
        <vt:i4>1835070</vt:i4>
      </vt:variant>
      <vt:variant>
        <vt:i4>38</vt:i4>
      </vt:variant>
      <vt:variant>
        <vt:i4>0</vt:i4>
      </vt:variant>
      <vt:variant>
        <vt:i4>5</vt:i4>
      </vt:variant>
      <vt:variant>
        <vt:lpwstr/>
      </vt:variant>
      <vt:variant>
        <vt:lpwstr>_Toc179368075</vt:lpwstr>
      </vt:variant>
      <vt:variant>
        <vt:i4>1835070</vt:i4>
      </vt:variant>
      <vt:variant>
        <vt:i4>32</vt:i4>
      </vt:variant>
      <vt:variant>
        <vt:i4>0</vt:i4>
      </vt:variant>
      <vt:variant>
        <vt:i4>5</vt:i4>
      </vt:variant>
      <vt:variant>
        <vt:lpwstr/>
      </vt:variant>
      <vt:variant>
        <vt:lpwstr>_Toc179368074</vt:lpwstr>
      </vt:variant>
      <vt:variant>
        <vt:i4>1835070</vt:i4>
      </vt:variant>
      <vt:variant>
        <vt:i4>26</vt:i4>
      </vt:variant>
      <vt:variant>
        <vt:i4>0</vt:i4>
      </vt:variant>
      <vt:variant>
        <vt:i4>5</vt:i4>
      </vt:variant>
      <vt:variant>
        <vt:lpwstr/>
      </vt:variant>
      <vt:variant>
        <vt:lpwstr>_Toc179368073</vt:lpwstr>
      </vt:variant>
      <vt:variant>
        <vt:i4>1835070</vt:i4>
      </vt:variant>
      <vt:variant>
        <vt:i4>20</vt:i4>
      </vt:variant>
      <vt:variant>
        <vt:i4>0</vt:i4>
      </vt:variant>
      <vt:variant>
        <vt:i4>5</vt:i4>
      </vt:variant>
      <vt:variant>
        <vt:lpwstr/>
      </vt:variant>
      <vt:variant>
        <vt:lpwstr>_Toc179368072</vt:lpwstr>
      </vt:variant>
      <vt:variant>
        <vt:i4>1835070</vt:i4>
      </vt:variant>
      <vt:variant>
        <vt:i4>14</vt:i4>
      </vt:variant>
      <vt:variant>
        <vt:i4>0</vt:i4>
      </vt:variant>
      <vt:variant>
        <vt:i4>5</vt:i4>
      </vt:variant>
      <vt:variant>
        <vt:lpwstr/>
      </vt:variant>
      <vt:variant>
        <vt:lpwstr>_Toc179368071</vt:lpwstr>
      </vt:variant>
      <vt:variant>
        <vt:i4>1835070</vt:i4>
      </vt:variant>
      <vt:variant>
        <vt:i4>8</vt:i4>
      </vt:variant>
      <vt:variant>
        <vt:i4>0</vt:i4>
      </vt:variant>
      <vt:variant>
        <vt:i4>5</vt:i4>
      </vt:variant>
      <vt:variant>
        <vt:lpwstr/>
      </vt:variant>
      <vt:variant>
        <vt:lpwstr>_Toc179368070</vt:lpwstr>
      </vt:variant>
      <vt:variant>
        <vt:i4>1900606</vt:i4>
      </vt:variant>
      <vt:variant>
        <vt:i4>2</vt:i4>
      </vt:variant>
      <vt:variant>
        <vt:i4>0</vt:i4>
      </vt:variant>
      <vt:variant>
        <vt:i4>5</vt:i4>
      </vt:variant>
      <vt:variant>
        <vt:lpwstr/>
      </vt:variant>
      <vt:variant>
        <vt:lpwstr>_Toc179368069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19</cp:revision>
  <cp:lastPrinted>2024-10-29T08:22:00Z</cp:lastPrinted>
  <dcterms:created xsi:type="dcterms:W3CDTF">2024-10-28T09:18:00Z</dcterms:created>
  <dcterms:modified xsi:type="dcterms:W3CDTF">2024-10-29T10:19:00Z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2024-09-02T14:07:31Z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a7d58dc6-0996-4877-9d86-e34251ec95ce</vt:lpwstr>
  </property>
  <property fmtid="{D5CDD505-2E9C-101B-9397-08002B2CF9AE}" pid="8" name="MSIP_Label_defa4170-0d19-0005-0004-bc88714345d2_ContentBits">
    <vt:lpwstr>0</vt:lpwstr>
  </property>
</Properties>
</file>