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1A110" w14:textId="52F778A0" w:rsidR="009570D9" w:rsidRPr="001951D1" w:rsidRDefault="008F2264" w:rsidP="009570D9">
      <w:pPr>
        <w:spacing w:before="60" w:after="0" w:line="240" w:lineRule="auto"/>
        <w:jc w:val="both"/>
        <w:rPr>
          <w:rFonts w:ascii="Trebuchet MS" w:hAnsi="Trebuchet MS" w:cstheme="minorHAnsi"/>
          <w:noProof/>
          <w:sz w:val="24"/>
          <w:szCs w:val="24"/>
        </w:rPr>
      </w:pPr>
      <w:bookmarkStart w:id="0" w:name="_Toc92896661"/>
      <w:r w:rsidRPr="001951D1">
        <w:rPr>
          <w:rFonts w:ascii="Trebuchet MS" w:hAnsi="Trebuchet MS" w:cstheme="minorHAnsi"/>
          <w:b/>
          <w:bCs/>
          <w:noProof/>
          <w:sz w:val="24"/>
          <w:szCs w:val="24"/>
        </w:rPr>
        <w:t xml:space="preserve">Anexa 3 </w:t>
      </w:r>
      <w:r w:rsidR="00125142" w:rsidRPr="001951D1">
        <w:rPr>
          <w:rFonts w:ascii="Trebuchet MS" w:hAnsi="Trebuchet MS" w:cstheme="minorHAnsi"/>
          <w:b/>
          <w:bCs/>
          <w:noProof/>
          <w:sz w:val="24"/>
          <w:szCs w:val="24"/>
        </w:rPr>
        <w:t xml:space="preserve">la Ghid </w:t>
      </w:r>
      <w:r w:rsidRPr="001951D1">
        <w:rPr>
          <w:rFonts w:ascii="Trebuchet MS" w:hAnsi="Trebuchet MS" w:cstheme="minorHAnsi"/>
          <w:b/>
          <w:bCs/>
          <w:noProof/>
          <w:sz w:val="24"/>
          <w:szCs w:val="24"/>
        </w:rPr>
        <w:t>– Metodologie verificare principiu DNSH</w:t>
      </w:r>
      <w:r w:rsidR="00A06867" w:rsidRPr="001951D1">
        <w:rPr>
          <w:rFonts w:ascii="Trebuchet MS" w:hAnsi="Trebuchet MS" w:cstheme="minorHAnsi"/>
          <w:b/>
          <w:bCs/>
          <w:noProof/>
          <w:sz w:val="24"/>
          <w:szCs w:val="24"/>
        </w:rPr>
        <w:t xml:space="preserve"> pentru proiectele prioritare din cadrul Acțiunii 1.</w:t>
      </w:r>
      <w:r w:rsidR="00D23179" w:rsidRPr="001951D1">
        <w:rPr>
          <w:rFonts w:ascii="Trebuchet MS" w:hAnsi="Trebuchet MS" w:cstheme="minorHAnsi"/>
          <w:b/>
          <w:bCs/>
          <w:noProof/>
          <w:sz w:val="24"/>
          <w:szCs w:val="24"/>
        </w:rPr>
        <w:t>3.1</w:t>
      </w:r>
      <w:r w:rsidR="00A06867" w:rsidRPr="001951D1">
        <w:rPr>
          <w:rFonts w:ascii="Trebuchet MS" w:hAnsi="Trebuchet MS" w:cstheme="minorHAnsi"/>
          <w:b/>
          <w:bCs/>
          <w:noProof/>
          <w:sz w:val="24"/>
          <w:szCs w:val="24"/>
        </w:rPr>
        <w:t xml:space="preserve"> - POCIDIF</w:t>
      </w:r>
    </w:p>
    <w:p w14:paraId="44DCC1E6" w14:textId="77777777" w:rsidR="009570D9" w:rsidRPr="00903FCA" w:rsidRDefault="009570D9" w:rsidP="009570D9">
      <w:pPr>
        <w:spacing w:before="60" w:after="0" w:line="240" w:lineRule="auto"/>
        <w:jc w:val="both"/>
        <w:rPr>
          <w:rFonts w:cstheme="minorHAnsi"/>
          <w:noProof/>
          <w:sz w:val="24"/>
          <w:szCs w:val="24"/>
        </w:rPr>
      </w:pPr>
    </w:p>
    <w:p w14:paraId="64075B49" w14:textId="77777777" w:rsidR="00F64F86" w:rsidRPr="00903FCA" w:rsidRDefault="00F64F86" w:rsidP="009570D9">
      <w:pPr>
        <w:spacing w:before="60" w:after="0" w:line="240" w:lineRule="auto"/>
        <w:jc w:val="both"/>
        <w:rPr>
          <w:rFonts w:cstheme="minorHAnsi"/>
          <w:noProof/>
          <w:sz w:val="24"/>
          <w:szCs w:val="24"/>
        </w:rPr>
      </w:pPr>
    </w:p>
    <w:p w14:paraId="0945EB58" w14:textId="77777777" w:rsidR="00F64F86" w:rsidRPr="00903FCA" w:rsidRDefault="00F64F86" w:rsidP="009570D9">
      <w:pPr>
        <w:spacing w:before="60" w:after="0" w:line="240" w:lineRule="auto"/>
        <w:jc w:val="both"/>
        <w:rPr>
          <w:rFonts w:cstheme="minorHAnsi"/>
          <w:noProof/>
          <w:sz w:val="24"/>
          <w:szCs w:val="24"/>
        </w:rPr>
      </w:pPr>
    </w:p>
    <w:p w14:paraId="5A62510E" w14:textId="77777777" w:rsidR="00F64F86" w:rsidRPr="00903FCA" w:rsidRDefault="00F64F86" w:rsidP="009570D9">
      <w:pPr>
        <w:spacing w:before="60" w:after="0" w:line="240" w:lineRule="auto"/>
        <w:jc w:val="both"/>
        <w:rPr>
          <w:rFonts w:cstheme="minorHAnsi"/>
          <w:noProof/>
          <w:sz w:val="24"/>
          <w:szCs w:val="24"/>
        </w:rPr>
      </w:pPr>
    </w:p>
    <w:p w14:paraId="370C78B9" w14:textId="77777777" w:rsidR="00F64F86" w:rsidRPr="00903FCA" w:rsidRDefault="00F64F86" w:rsidP="009570D9">
      <w:pPr>
        <w:spacing w:before="60" w:after="0" w:line="240" w:lineRule="auto"/>
        <w:jc w:val="both"/>
        <w:rPr>
          <w:rFonts w:cstheme="minorHAnsi"/>
          <w:noProof/>
          <w:sz w:val="24"/>
          <w:szCs w:val="24"/>
        </w:rPr>
      </w:pPr>
    </w:p>
    <w:p w14:paraId="74802772" w14:textId="77777777" w:rsidR="00F64F86" w:rsidRPr="00903FCA" w:rsidRDefault="00F64F86" w:rsidP="009570D9">
      <w:pPr>
        <w:spacing w:before="60" w:after="0" w:line="240" w:lineRule="auto"/>
        <w:jc w:val="both"/>
        <w:rPr>
          <w:rFonts w:cstheme="minorHAnsi"/>
          <w:noProof/>
          <w:sz w:val="24"/>
          <w:szCs w:val="24"/>
        </w:rPr>
      </w:pPr>
    </w:p>
    <w:p w14:paraId="7376433C" w14:textId="77777777" w:rsidR="009570D9" w:rsidRPr="00903FCA" w:rsidRDefault="009570D9" w:rsidP="009570D9">
      <w:pPr>
        <w:spacing w:before="60" w:after="0" w:line="240" w:lineRule="auto"/>
        <w:jc w:val="both"/>
        <w:rPr>
          <w:rFonts w:cstheme="minorHAnsi"/>
          <w:noProof/>
          <w:sz w:val="24"/>
          <w:szCs w:val="24"/>
        </w:rPr>
      </w:pPr>
    </w:p>
    <w:p w14:paraId="1AFE5AB2" w14:textId="77777777" w:rsidR="009570D9" w:rsidRPr="00903FCA" w:rsidRDefault="009570D9" w:rsidP="009570D9">
      <w:pPr>
        <w:spacing w:before="60" w:after="0" w:line="240" w:lineRule="auto"/>
        <w:jc w:val="both"/>
        <w:rPr>
          <w:rFonts w:cstheme="minorHAnsi"/>
          <w:noProof/>
          <w:sz w:val="24"/>
          <w:szCs w:val="24"/>
        </w:rPr>
      </w:pPr>
    </w:p>
    <w:p w14:paraId="2AEA28EB" w14:textId="77777777" w:rsidR="009570D9" w:rsidRPr="00903FCA" w:rsidRDefault="009570D9" w:rsidP="009570D9">
      <w:pPr>
        <w:spacing w:before="60" w:after="0" w:line="240" w:lineRule="auto"/>
        <w:jc w:val="both"/>
        <w:rPr>
          <w:rFonts w:cstheme="minorHAnsi"/>
          <w:sz w:val="24"/>
          <w:szCs w:val="24"/>
        </w:rPr>
      </w:pPr>
      <w:r w:rsidRPr="00903FCA">
        <w:rPr>
          <w:rFonts w:cstheme="minorHAnsi"/>
          <w:noProof/>
          <w:sz w:val="24"/>
          <w:szCs w:val="24"/>
          <w:lang w:eastAsia="ro-RO"/>
        </w:rPr>
        <w:drawing>
          <wp:inline distT="0" distB="0" distL="0" distR="0" wp14:anchorId="5C0321FD" wp14:editId="7F3BDD85">
            <wp:extent cx="3419118" cy="2959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BEBA8EAE-BF5A-486C-A8C5-ECC9F3942E4B}">
                          <a14:imgProps xmlns:a14="http://schemas.microsoft.com/office/drawing/2010/main">
                            <a14:imgLayer r:embed="rId9">
                              <a14:imgEffect>
                                <a14:saturation sat="33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3442299" cy="2979162"/>
                    </a:xfrm>
                    <a:prstGeom prst="rect">
                      <a:avLst/>
                    </a:prstGeom>
                  </pic:spPr>
                </pic:pic>
              </a:graphicData>
            </a:graphic>
          </wp:inline>
        </w:drawing>
      </w:r>
      <w:r w:rsidRPr="00903FCA">
        <w:rPr>
          <w:rFonts w:cstheme="minorHAnsi"/>
          <w:sz w:val="24"/>
          <w:szCs w:val="24"/>
        </w:rPr>
        <w:br w:type="page"/>
      </w:r>
    </w:p>
    <w:bookmarkEnd w:id="0"/>
    <w:p w14:paraId="3E1AA86C" w14:textId="77777777" w:rsidR="00D23179" w:rsidRPr="001951D1" w:rsidRDefault="00D23179" w:rsidP="00D23179">
      <w:pPr>
        <w:spacing w:after="0" w:line="240" w:lineRule="auto"/>
        <w:jc w:val="both"/>
        <w:rPr>
          <w:rFonts w:ascii="Trebuchet MS" w:eastAsia="Times New Roman" w:hAnsi="Trebuchet MS" w:cs="Times New Roman"/>
          <w:b/>
          <w:bCs/>
          <w:i/>
          <w:iCs/>
          <w:color w:val="000000"/>
          <w:sz w:val="24"/>
          <w:szCs w:val="24"/>
        </w:rPr>
      </w:pPr>
      <w:r w:rsidRPr="001951D1">
        <w:rPr>
          <w:rFonts w:ascii="Trebuchet MS" w:eastAsia="Times New Roman" w:hAnsi="Trebuchet MS" w:cs="Times New Roman"/>
          <w:b/>
          <w:bCs/>
          <w:i/>
          <w:iCs/>
          <w:color w:val="000000"/>
          <w:sz w:val="24"/>
          <w:szCs w:val="24"/>
        </w:rPr>
        <w:lastRenderedPageBreak/>
        <w:t>Acțiunea 1.3 Integrarea ecosistemului național CDI în Spațiul de Cercetare European și internațional</w:t>
      </w:r>
    </w:p>
    <w:p w14:paraId="1FBC0C94" w14:textId="77777777" w:rsidR="00D23179" w:rsidRPr="001951D1" w:rsidRDefault="00D23179" w:rsidP="00D23179">
      <w:pPr>
        <w:spacing w:after="0" w:line="240" w:lineRule="auto"/>
        <w:jc w:val="both"/>
        <w:rPr>
          <w:rFonts w:ascii="Trebuchet MS" w:eastAsia="Times New Roman" w:hAnsi="Trebuchet MS" w:cs="Times New Roman"/>
          <w:color w:val="000000"/>
          <w:sz w:val="24"/>
          <w:szCs w:val="24"/>
        </w:rPr>
      </w:pPr>
    </w:p>
    <w:p w14:paraId="0C3B5F56" w14:textId="77777777" w:rsidR="00D23179" w:rsidRPr="001951D1" w:rsidRDefault="00D23179" w:rsidP="00D23179">
      <w:pPr>
        <w:spacing w:after="0" w:line="240" w:lineRule="auto"/>
        <w:jc w:val="both"/>
        <w:rPr>
          <w:rFonts w:ascii="Trebuchet MS" w:eastAsia="Times New Roman" w:hAnsi="Trebuchet MS" w:cs="Times New Roman"/>
          <w:color w:val="000000"/>
          <w:sz w:val="24"/>
          <w:szCs w:val="24"/>
        </w:rPr>
      </w:pPr>
      <w:r w:rsidRPr="001951D1">
        <w:rPr>
          <w:rFonts w:ascii="Trebuchet MS" w:eastAsia="Times New Roman" w:hAnsi="Trebuchet MS" w:cs="Times New Roman"/>
          <w:color w:val="000000"/>
          <w:sz w:val="24"/>
          <w:szCs w:val="24"/>
        </w:rPr>
        <w:t xml:space="preserve">Măsura 1.3.1 Finanțarea proiectelor care vizează sinergii cu acțiunile </w:t>
      </w:r>
      <w:proofErr w:type="spellStart"/>
      <w:r w:rsidRPr="001951D1">
        <w:rPr>
          <w:rFonts w:ascii="Trebuchet MS" w:eastAsia="Times New Roman" w:hAnsi="Trebuchet MS" w:cs="Times New Roman"/>
          <w:color w:val="000000"/>
          <w:sz w:val="24"/>
          <w:szCs w:val="24"/>
        </w:rPr>
        <w:t>Horizon</w:t>
      </w:r>
      <w:proofErr w:type="spellEnd"/>
      <w:r w:rsidRPr="001951D1">
        <w:rPr>
          <w:rFonts w:ascii="Trebuchet MS" w:eastAsia="Times New Roman" w:hAnsi="Trebuchet MS" w:cs="Times New Roman"/>
          <w:color w:val="000000"/>
          <w:sz w:val="24"/>
          <w:szCs w:val="24"/>
        </w:rPr>
        <w:t xml:space="preserve"> Europe și alte programe europene</w:t>
      </w:r>
    </w:p>
    <w:p w14:paraId="5CC52A5A" w14:textId="77777777" w:rsidR="00D23179" w:rsidRPr="001951D1" w:rsidRDefault="00D23179" w:rsidP="00D23179">
      <w:pPr>
        <w:spacing w:after="0" w:line="240" w:lineRule="auto"/>
        <w:jc w:val="both"/>
        <w:rPr>
          <w:rFonts w:ascii="Trebuchet MS" w:eastAsia="Times New Roman" w:hAnsi="Trebuchet MS" w:cs="Times New Roman"/>
          <w:color w:val="000000"/>
          <w:sz w:val="24"/>
          <w:szCs w:val="24"/>
        </w:rPr>
      </w:pPr>
    </w:p>
    <w:p w14:paraId="12F69CCF" w14:textId="77777777" w:rsidR="00D23179" w:rsidRPr="001951D1" w:rsidRDefault="00D23179" w:rsidP="00D23179">
      <w:pPr>
        <w:spacing w:after="0" w:line="240" w:lineRule="auto"/>
        <w:jc w:val="both"/>
        <w:rPr>
          <w:rFonts w:ascii="Trebuchet MS" w:eastAsia="Times New Roman" w:hAnsi="Trebuchet MS" w:cs="Times New Roman"/>
          <w:color w:val="000000"/>
          <w:sz w:val="24"/>
          <w:szCs w:val="24"/>
        </w:rPr>
      </w:pPr>
      <w:r w:rsidRPr="001951D1">
        <w:rPr>
          <w:rFonts w:ascii="Trebuchet MS" w:eastAsia="Times New Roman" w:hAnsi="Trebuchet MS" w:cs="Times New Roman"/>
          <w:color w:val="000000"/>
          <w:sz w:val="24"/>
          <w:szCs w:val="24"/>
        </w:rPr>
        <w:t>Principalele tipuri de proiecte: TEAMING[12], EIC[13], CATEDRE-ERA[14], RO-EIT[15], RO-ESFRI-ERIC[16], Parteneriatele Europene.</w:t>
      </w:r>
    </w:p>
    <w:p w14:paraId="19EA6A13" w14:textId="7201B1BB" w:rsidR="00D23179" w:rsidRPr="001951D1" w:rsidRDefault="00D23179" w:rsidP="00D23179">
      <w:pPr>
        <w:spacing w:after="0" w:line="240" w:lineRule="auto"/>
        <w:jc w:val="both"/>
        <w:rPr>
          <w:rFonts w:ascii="Trebuchet MS" w:eastAsia="Times New Roman" w:hAnsi="Trebuchet MS" w:cs="Times New Roman"/>
          <w:color w:val="000000"/>
          <w:sz w:val="24"/>
          <w:szCs w:val="24"/>
        </w:rPr>
      </w:pPr>
      <w:r w:rsidRPr="001951D1">
        <w:rPr>
          <w:rFonts w:ascii="Trebuchet MS" w:eastAsia="Times New Roman" w:hAnsi="Trebuchet MS" w:cs="Times New Roman"/>
          <w:color w:val="000000"/>
          <w:sz w:val="24"/>
          <w:szCs w:val="24"/>
        </w:rPr>
        <w:t xml:space="preserve">Proiectele selectate în </w:t>
      </w:r>
      <w:r w:rsidR="00422C21" w:rsidRPr="001951D1">
        <w:rPr>
          <w:rFonts w:ascii="Trebuchet MS" w:eastAsia="Times New Roman" w:hAnsi="Trebuchet MS" w:cs="Times New Roman"/>
          <w:color w:val="000000"/>
          <w:sz w:val="24"/>
          <w:szCs w:val="24"/>
        </w:rPr>
        <w:t xml:space="preserve">cadrul </w:t>
      </w:r>
      <w:r w:rsidRPr="001951D1">
        <w:rPr>
          <w:rFonts w:ascii="Trebuchet MS" w:eastAsia="Times New Roman" w:hAnsi="Trebuchet MS" w:cs="Times New Roman"/>
          <w:color w:val="000000"/>
          <w:sz w:val="24"/>
          <w:szCs w:val="24"/>
        </w:rPr>
        <w:t>apeluril</w:t>
      </w:r>
      <w:r w:rsidR="00422C21" w:rsidRPr="001951D1">
        <w:rPr>
          <w:rFonts w:ascii="Trebuchet MS" w:eastAsia="Times New Roman" w:hAnsi="Trebuchet MS" w:cs="Times New Roman"/>
          <w:color w:val="000000"/>
          <w:sz w:val="24"/>
          <w:szCs w:val="24"/>
        </w:rPr>
        <w:t>or</w:t>
      </w:r>
      <w:r w:rsidRPr="001951D1">
        <w:rPr>
          <w:rFonts w:ascii="Trebuchet MS" w:eastAsia="Times New Roman" w:hAnsi="Trebuchet MS" w:cs="Times New Roman"/>
          <w:color w:val="000000"/>
          <w:sz w:val="24"/>
          <w:szCs w:val="24"/>
        </w:rPr>
        <w:t xml:space="preserve"> HE sunt sprijinite complementar, iar cele care au primit </w:t>
      </w:r>
      <w:proofErr w:type="spellStart"/>
      <w:r w:rsidRPr="001951D1">
        <w:rPr>
          <w:rFonts w:ascii="Trebuchet MS" w:eastAsia="Times New Roman" w:hAnsi="Trebuchet MS" w:cs="Times New Roman"/>
          <w:color w:val="000000"/>
          <w:sz w:val="24"/>
          <w:szCs w:val="24"/>
        </w:rPr>
        <w:t>Seal</w:t>
      </w:r>
      <w:proofErr w:type="spellEnd"/>
      <w:r w:rsidRPr="001951D1">
        <w:rPr>
          <w:rFonts w:ascii="Trebuchet MS" w:eastAsia="Times New Roman" w:hAnsi="Trebuchet MS" w:cs="Times New Roman"/>
          <w:color w:val="000000"/>
          <w:sz w:val="24"/>
          <w:szCs w:val="24"/>
        </w:rPr>
        <w:t xml:space="preserve"> of excellence (</w:t>
      </w:r>
      <w:proofErr w:type="spellStart"/>
      <w:r w:rsidRPr="001951D1">
        <w:rPr>
          <w:rFonts w:ascii="Trebuchet MS" w:eastAsia="Times New Roman" w:hAnsi="Trebuchet MS" w:cs="Times New Roman"/>
          <w:color w:val="000000"/>
          <w:sz w:val="24"/>
          <w:szCs w:val="24"/>
        </w:rPr>
        <w:t>SoE</w:t>
      </w:r>
      <w:proofErr w:type="spellEnd"/>
      <w:r w:rsidRPr="001951D1">
        <w:rPr>
          <w:rFonts w:ascii="Trebuchet MS" w:eastAsia="Times New Roman" w:hAnsi="Trebuchet MS" w:cs="Times New Roman"/>
          <w:color w:val="000000"/>
          <w:sz w:val="24"/>
          <w:szCs w:val="24"/>
        </w:rPr>
        <w:t>) în cadrul HE nu vor mai fi evaluate științific, ci vor fi verificate cu privire la contribuția și concordanța acestora cu obiectivele OP1, precum și încadrarea în domeniile S3 și în cheltuielile de tip FEDR..</w:t>
      </w:r>
    </w:p>
    <w:p w14:paraId="50F40935" w14:textId="77777777" w:rsidR="00D23179" w:rsidRPr="001951D1" w:rsidRDefault="00D23179" w:rsidP="00D23179">
      <w:pPr>
        <w:spacing w:after="0" w:line="240" w:lineRule="auto"/>
        <w:jc w:val="both"/>
        <w:rPr>
          <w:rFonts w:ascii="Trebuchet MS" w:eastAsia="Times New Roman" w:hAnsi="Trebuchet MS" w:cs="Times New Roman"/>
          <w:color w:val="000000"/>
          <w:sz w:val="24"/>
          <w:szCs w:val="24"/>
        </w:rPr>
      </w:pPr>
    </w:p>
    <w:p w14:paraId="188EAD82" w14:textId="77777777" w:rsidR="00D23179" w:rsidRPr="001951D1" w:rsidRDefault="00D23179" w:rsidP="00D23179">
      <w:pPr>
        <w:ind w:left="360"/>
        <w:jc w:val="both"/>
        <w:rPr>
          <w:rFonts w:ascii="Trebuchet MS" w:hAnsi="Trebuchet MS" w:cs="Times New Roman"/>
          <w:b/>
          <w:sz w:val="24"/>
          <w:szCs w:val="24"/>
        </w:rPr>
      </w:pPr>
      <w:r w:rsidRPr="001951D1">
        <w:rPr>
          <w:rFonts w:ascii="Trebuchet MS" w:hAnsi="Trebuchet MS" w:cs="Times New Roman"/>
          <w:b/>
          <w:sz w:val="24"/>
          <w:szCs w:val="24"/>
        </w:rPr>
        <w:t>Respectarea principiului „de a nu prejudicia semnificativ”</w:t>
      </w:r>
    </w:p>
    <w:p w14:paraId="34A30681"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xml:space="preserve">Activitățile propuse spre finanțare în cadrul acestor acțiuni, prin tipologia lor, se califică drept activități care contribuie în mod substanțial la 5 din cele 6 obiective de mediu, conform articolelor 10 – 15 din Regulamentul (UE) 2020/852 al Parlamentului European și al Consiliului privind instituirea unui cadru care să faciliteze investițiile durabile și de modificare a Regulamentului (UE) 2019/2088. </w:t>
      </w:r>
    </w:p>
    <w:p w14:paraId="6D3D5821"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xml:space="preserve">Pentru activitățile care sprijină investiții în infrastructură cu o durată de viața de cel puțin 5 ani, sunt necesare măsuri din partea beneficiarului pentru </w:t>
      </w:r>
      <w:r w:rsidRPr="001951D1">
        <w:rPr>
          <w:rFonts w:ascii="Trebuchet MS" w:hAnsi="Trebuchet MS" w:cs="Times New Roman"/>
          <w:b/>
          <w:sz w:val="24"/>
          <w:szCs w:val="24"/>
        </w:rPr>
        <w:t>a asigura imunizarea la schimbările climatice, în conformitate cu Comunicarea Comisiei Europene privind Orientările tehnice referitoare la imunizarea infrastructurii la schimbările climatice în perioada 2021-2027</w:t>
      </w:r>
      <w:r w:rsidRPr="001951D1">
        <w:rPr>
          <w:rFonts w:ascii="Trebuchet MS" w:hAnsi="Trebuchet MS" w:cs="Times New Roman"/>
          <w:sz w:val="24"/>
          <w:szCs w:val="24"/>
        </w:rPr>
        <w:t xml:space="preserve"> precum și </w:t>
      </w:r>
      <w:r w:rsidRPr="001951D1">
        <w:rPr>
          <w:rFonts w:ascii="Trebuchet MS" w:hAnsi="Trebuchet MS" w:cs="Times New Roman"/>
          <w:b/>
          <w:sz w:val="24"/>
          <w:szCs w:val="24"/>
        </w:rPr>
        <w:t>îndeplinirea obligatorie a măsurilor de atenuare și adaptare așa cum sunt descrise și enumerate mai jos la secțiunea A. Atenuarea schimbărilor climatice și la secțiunea B. Adaptarea la schimbările climatice</w:t>
      </w:r>
      <w:r w:rsidRPr="001951D1">
        <w:rPr>
          <w:rFonts w:ascii="Trebuchet MS" w:hAnsi="Trebuchet MS" w:cs="Times New Roman"/>
          <w:sz w:val="24"/>
          <w:szCs w:val="24"/>
        </w:rPr>
        <w:t>.</w:t>
      </w:r>
    </w:p>
    <w:p w14:paraId="656ADEF3" w14:textId="5F6B93A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xml:space="preserve">Un element comun al acestor acțiuni constă în faptul că permit </w:t>
      </w:r>
      <w:r w:rsidRPr="001951D1">
        <w:rPr>
          <w:rFonts w:ascii="Trebuchet MS" w:hAnsi="Trebuchet MS" w:cs="Times New Roman"/>
          <w:b/>
          <w:bCs/>
          <w:sz w:val="24"/>
          <w:szCs w:val="24"/>
        </w:rPr>
        <w:t xml:space="preserve">dezvoltarea de infrastructură, </w:t>
      </w:r>
      <w:r w:rsidRPr="001951D1">
        <w:rPr>
          <w:rFonts w:ascii="Trebuchet MS" w:hAnsi="Trebuchet MS" w:cs="Times New Roman"/>
          <w:sz w:val="24"/>
          <w:szCs w:val="24"/>
        </w:rPr>
        <w:t xml:space="preserve">ca activitate/cheltuială eligibilă. Pentru o abordare adecvată a acestui tip de activități din perspectiva respectării principiului DNSH, se impune definirea clară a conceptului: ce înseamnă infrastructură? În acest scop, AMPOCIDIF ia în considerare definiția cuprinsă în </w:t>
      </w:r>
      <w:r w:rsidRPr="001951D1">
        <w:rPr>
          <w:rFonts w:ascii="Trebuchet MS" w:hAnsi="Trebuchet MS" w:cs="Times New Roman"/>
          <w:i/>
          <w:iCs/>
          <w:sz w:val="24"/>
          <w:szCs w:val="24"/>
        </w:rPr>
        <w:t>AVIZUL COMISIEI - Orientări tehnice privind rezistența la schimbările climatice a infrastructurii în perioada 2021-2027 (2021/C 373/01)</w:t>
      </w:r>
      <w:r w:rsidRPr="001951D1">
        <w:rPr>
          <w:rFonts w:ascii="Trebuchet MS" w:hAnsi="Trebuchet MS" w:cs="Times New Roman"/>
          <w:sz w:val="24"/>
          <w:szCs w:val="24"/>
        </w:rPr>
        <w:t>, respectiv:</w:t>
      </w:r>
    </w:p>
    <w:p w14:paraId="4FF7FEF2"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„Infrastructura este un concept larg, care include:</w:t>
      </w:r>
    </w:p>
    <w:p w14:paraId="77FC6E9D"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clădiri, de la locuințe private până la școli sau instalații industriale, care reprezintă cel mai frecvent tip de infrastructură și baza așezării umane;</w:t>
      </w:r>
    </w:p>
    <w:p w14:paraId="2A2C8209"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infrastructurile bazate pe natură, cum ar fi acoperișurile verzi, pereții, spațiile și sistemele de drenaj.</w:t>
      </w:r>
    </w:p>
    <w:p w14:paraId="1EAC4065" w14:textId="620C2D08"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infrastructura de rețea crucială pentru funcționarea economiei și societății actuale, în special infrastructura energetică (de ex.</w:t>
      </w:r>
      <w:r w:rsidR="007C1F56" w:rsidRPr="001951D1">
        <w:rPr>
          <w:rFonts w:ascii="Trebuchet MS" w:hAnsi="Trebuchet MS" w:cs="Times New Roman"/>
          <w:sz w:val="24"/>
          <w:szCs w:val="24"/>
        </w:rPr>
        <w:t xml:space="preserve"> </w:t>
      </w:r>
      <w:r w:rsidRPr="001951D1">
        <w:rPr>
          <w:rFonts w:ascii="Trebuchet MS" w:hAnsi="Trebuchet MS" w:cs="Times New Roman"/>
          <w:sz w:val="24"/>
          <w:szCs w:val="24"/>
        </w:rPr>
        <w:t>rețele, centrale electrice, conducte), transport (9) (active fixe precum drumurile, căile ferate, porturile, aeroporturile sau căile navigabile interioare</w:t>
      </w:r>
      <w:r w:rsidR="007C1F56" w:rsidRPr="001951D1">
        <w:rPr>
          <w:rFonts w:ascii="Trebuchet MS" w:hAnsi="Trebuchet MS" w:cs="Times New Roman"/>
          <w:sz w:val="24"/>
          <w:szCs w:val="24"/>
        </w:rPr>
        <w:t xml:space="preserve"> </w:t>
      </w:r>
      <w:r w:rsidRPr="001951D1">
        <w:rPr>
          <w:rFonts w:ascii="Trebuchet MS" w:hAnsi="Trebuchet MS" w:cs="Times New Roman"/>
          <w:sz w:val="24"/>
          <w:szCs w:val="24"/>
        </w:rPr>
        <w:t xml:space="preserve">infrastructura de transport), tehnologiile informației și comunicațiilor (de exemplu, rețelele de </w:t>
      </w:r>
      <w:r w:rsidRPr="001951D1">
        <w:rPr>
          <w:rFonts w:ascii="Trebuchet MS" w:hAnsi="Trebuchet MS" w:cs="Times New Roman"/>
          <w:sz w:val="24"/>
          <w:szCs w:val="24"/>
        </w:rPr>
        <w:lastRenderedPageBreak/>
        <w:t>telefonie mobilă, cablurile de date,</w:t>
      </w:r>
      <w:r w:rsidR="007C1F56" w:rsidRPr="001951D1">
        <w:rPr>
          <w:rFonts w:ascii="Trebuchet MS" w:hAnsi="Trebuchet MS" w:cs="Times New Roman"/>
          <w:sz w:val="24"/>
          <w:szCs w:val="24"/>
        </w:rPr>
        <w:t xml:space="preserve"> </w:t>
      </w:r>
      <w:r w:rsidRPr="001951D1">
        <w:rPr>
          <w:rFonts w:ascii="Trebuchet MS" w:hAnsi="Trebuchet MS" w:cs="Times New Roman"/>
          <w:sz w:val="24"/>
          <w:szCs w:val="24"/>
        </w:rPr>
        <w:t>centre de date) și apă (de exemplu, conducte de alimentare cu apă, rezervoare, instalații de tratare a apelor uzate);</w:t>
      </w:r>
    </w:p>
    <w:p w14:paraId="187A89E3" w14:textId="08287E2D"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sisteme de gestionare a deșeurilor generate de întreprinderi și gospodării (puncte de colectare, sortare și reciclare</w:t>
      </w:r>
      <w:r w:rsidR="007C1F56" w:rsidRPr="001951D1">
        <w:rPr>
          <w:rFonts w:ascii="Trebuchet MS" w:hAnsi="Trebuchet MS" w:cs="Times New Roman"/>
          <w:sz w:val="24"/>
          <w:szCs w:val="24"/>
        </w:rPr>
        <w:t xml:space="preserve"> </w:t>
      </w:r>
      <w:r w:rsidRPr="001951D1">
        <w:rPr>
          <w:rFonts w:ascii="Trebuchet MS" w:hAnsi="Trebuchet MS" w:cs="Times New Roman"/>
          <w:sz w:val="24"/>
          <w:szCs w:val="24"/>
        </w:rPr>
        <w:t>de reciclare, incineratoare și depozite de deșeuri);</w:t>
      </w:r>
    </w:p>
    <w:p w14:paraId="53CFF724" w14:textId="147D37E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alte active fizice într-o gamă mai largă de domenii de politică, inclusiv comunicații, servicii de urgență, energie, finanțe,</w:t>
      </w:r>
      <w:r w:rsidR="007C1F56" w:rsidRPr="001951D1">
        <w:rPr>
          <w:rFonts w:ascii="Trebuchet MS" w:hAnsi="Trebuchet MS" w:cs="Times New Roman"/>
          <w:sz w:val="24"/>
          <w:szCs w:val="24"/>
        </w:rPr>
        <w:t xml:space="preserve"> </w:t>
      </w:r>
      <w:r w:rsidRPr="001951D1">
        <w:rPr>
          <w:rFonts w:ascii="Trebuchet MS" w:hAnsi="Trebuchet MS" w:cs="Times New Roman"/>
          <w:sz w:val="24"/>
          <w:szCs w:val="24"/>
        </w:rPr>
        <w:t>alimentație, administrație publică, sănătate, educație și formare, cercetare, protecție civilă, transport și deșeuri sau apă;</w:t>
      </w:r>
    </w:p>
    <w:p w14:paraId="46C25CE1" w14:textId="22D64B32"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xml:space="preserve">- alte tipuri de infrastructuri eligibile pot fi, de asemenea, stabilite în legislația specifică fondului, de exemplu, în cadrul </w:t>
      </w:r>
      <w:proofErr w:type="spellStart"/>
      <w:r w:rsidRPr="001951D1">
        <w:rPr>
          <w:rFonts w:ascii="Trebuchet MS" w:hAnsi="Trebuchet MS" w:cs="Times New Roman"/>
          <w:sz w:val="24"/>
          <w:szCs w:val="24"/>
        </w:rPr>
        <w:t>InvestEU</w:t>
      </w:r>
      <w:proofErr w:type="spellEnd"/>
      <w:r w:rsidR="007C1F56" w:rsidRPr="001951D1">
        <w:rPr>
          <w:rFonts w:ascii="Trebuchet MS" w:hAnsi="Trebuchet MS" w:cs="Times New Roman"/>
          <w:sz w:val="24"/>
          <w:szCs w:val="24"/>
        </w:rPr>
        <w:t xml:space="preserve"> </w:t>
      </w:r>
      <w:r w:rsidRPr="001951D1">
        <w:rPr>
          <w:rFonts w:ascii="Trebuchet MS" w:hAnsi="Trebuchet MS" w:cs="Times New Roman"/>
          <w:sz w:val="24"/>
          <w:szCs w:val="24"/>
        </w:rPr>
        <w:t>include o listă cuprinzătoare de investiții eligibile în cadrul ferestrei de politică privind infrastructura durabilă.”</w:t>
      </w:r>
    </w:p>
    <w:p w14:paraId="2971FE7A" w14:textId="77777777" w:rsidR="00D23179" w:rsidRPr="001951D1" w:rsidRDefault="00D23179" w:rsidP="00D23179">
      <w:pPr>
        <w:spacing w:after="0" w:line="240" w:lineRule="auto"/>
        <w:ind w:firstLine="720"/>
        <w:jc w:val="both"/>
        <w:rPr>
          <w:rFonts w:ascii="Trebuchet MS" w:hAnsi="Trebuchet MS" w:cs="Times New Roman"/>
          <w:sz w:val="24"/>
          <w:szCs w:val="24"/>
        </w:rPr>
      </w:pPr>
    </w:p>
    <w:p w14:paraId="153C66E3" w14:textId="7A717AEC" w:rsidR="00D23179" w:rsidRPr="001951D1" w:rsidRDefault="00D23179" w:rsidP="00D23179">
      <w:pPr>
        <w:spacing w:after="0" w:line="240" w:lineRule="auto"/>
        <w:jc w:val="both"/>
        <w:rPr>
          <w:rFonts w:ascii="Trebuchet MS" w:hAnsi="Trebuchet MS" w:cs="Times New Roman"/>
          <w:sz w:val="24"/>
          <w:szCs w:val="24"/>
        </w:rPr>
      </w:pPr>
      <w:r w:rsidRPr="001951D1">
        <w:rPr>
          <w:rFonts w:ascii="Trebuchet MS" w:hAnsi="Trebuchet MS" w:cs="Times New Roman"/>
          <w:sz w:val="24"/>
          <w:szCs w:val="24"/>
        </w:rPr>
        <w:t xml:space="preserve">În funcție de tipologia proiectelor finanțate în apel, </w:t>
      </w:r>
      <w:r w:rsidR="007C1F56" w:rsidRPr="001951D1">
        <w:rPr>
          <w:rFonts w:ascii="Trebuchet MS" w:hAnsi="Trebuchet MS" w:cs="Times New Roman"/>
          <w:sz w:val="24"/>
          <w:szCs w:val="24"/>
        </w:rPr>
        <w:t>se vor respecta următoarele condiții</w:t>
      </w:r>
      <w:r w:rsidRPr="001951D1">
        <w:rPr>
          <w:rFonts w:ascii="Trebuchet MS" w:hAnsi="Trebuchet MS" w:cs="Times New Roman"/>
          <w:sz w:val="24"/>
          <w:szCs w:val="24"/>
        </w:rPr>
        <w:t>:</w:t>
      </w:r>
    </w:p>
    <w:p w14:paraId="4943E0C4" w14:textId="77777777" w:rsidR="00D23179" w:rsidRPr="001951D1" w:rsidRDefault="00D23179" w:rsidP="00D23179">
      <w:pPr>
        <w:pStyle w:val="ListParagraph"/>
        <w:widowControl/>
        <w:numPr>
          <w:ilvl w:val="0"/>
          <w:numId w:val="37"/>
        </w:numPr>
        <w:autoSpaceDE/>
        <w:autoSpaceDN/>
        <w:contextualSpacing/>
        <w:jc w:val="both"/>
        <w:rPr>
          <w:rFonts w:ascii="Trebuchet MS" w:hAnsi="Trebuchet MS"/>
          <w:sz w:val="24"/>
          <w:szCs w:val="24"/>
          <w:lang w:val="it-IT"/>
        </w:rPr>
      </w:pPr>
      <w:r w:rsidRPr="001951D1">
        <w:rPr>
          <w:rFonts w:ascii="Trebuchet MS" w:hAnsi="Trebuchet MS"/>
          <w:sz w:val="24"/>
          <w:szCs w:val="24"/>
          <w:lang w:val="it-IT"/>
        </w:rPr>
        <w:t xml:space="preserve">Investiția în infrastructură se va realiza </w:t>
      </w:r>
      <w:r w:rsidRPr="001951D1">
        <w:rPr>
          <w:rFonts w:ascii="Trebuchet MS" w:hAnsi="Trebuchet MS"/>
          <w:b/>
          <w:bCs/>
          <w:sz w:val="24"/>
          <w:szCs w:val="24"/>
          <w:lang w:val="it-IT"/>
        </w:rPr>
        <w:t>exclusiv într-un spațiu deja antropizat</w:t>
      </w:r>
      <w:r w:rsidRPr="001951D1">
        <w:rPr>
          <w:rFonts w:ascii="Trebuchet MS" w:hAnsi="Trebuchet MS"/>
          <w:sz w:val="24"/>
          <w:szCs w:val="24"/>
          <w:lang w:val="it-IT"/>
        </w:rPr>
        <w:t xml:space="preserve">. Prin spațiu antropizat se înțelege fie un teren intravilan, fie un teren situat în afara unei localități, dar în proximitatea imediată a căruia există deja infrastructură construită (Exemple orientative: Modernizarea unor infrastructuri de cercetare mai vechi, amplasate extravilan sau construcția unei facilități de cercetare în domeniul agricol lângă depozite/silozuri etc).  Atunci când proiectul prevede o investiția absolut necesară, care nu se încadrează în niciuna dintre situațiile descrise la prezentul criteriu (de exemplu stațiile de observație amplasate în Delta Dunării), atunci se va prioritiza infrastructura care are un </w:t>
      </w:r>
      <w:r w:rsidRPr="001951D1">
        <w:rPr>
          <w:rFonts w:ascii="Trebuchet MS" w:hAnsi="Trebuchet MS"/>
          <w:b/>
          <w:bCs/>
          <w:sz w:val="24"/>
          <w:szCs w:val="24"/>
          <w:lang w:val="it-IT"/>
        </w:rPr>
        <w:t>caracter</w:t>
      </w:r>
      <w:r w:rsidRPr="001951D1">
        <w:rPr>
          <w:rFonts w:ascii="Trebuchet MS" w:hAnsi="Trebuchet MS"/>
          <w:sz w:val="24"/>
          <w:szCs w:val="24"/>
          <w:lang w:val="it-IT"/>
        </w:rPr>
        <w:t xml:space="preserve"> </w:t>
      </w:r>
      <w:r w:rsidRPr="001951D1">
        <w:rPr>
          <w:rFonts w:ascii="Trebuchet MS" w:hAnsi="Trebuchet MS"/>
          <w:b/>
          <w:bCs/>
          <w:sz w:val="24"/>
          <w:szCs w:val="24"/>
          <w:lang w:val="it-IT"/>
        </w:rPr>
        <w:t>mobil</w:t>
      </w:r>
      <w:r w:rsidRPr="001951D1">
        <w:rPr>
          <w:rFonts w:ascii="Trebuchet MS" w:hAnsi="Trebuchet MS"/>
          <w:sz w:val="24"/>
          <w:szCs w:val="24"/>
          <w:lang w:val="it-IT"/>
        </w:rPr>
        <w:t>, în sensul în care instalațiile construite pot fi dezasamblate și relocate fără ca acest proces să lase urme semnificative asupra vechii locații din zona protejată.</w:t>
      </w:r>
    </w:p>
    <w:p w14:paraId="4C1291EC" w14:textId="77777777" w:rsidR="00D23179" w:rsidRPr="001951D1" w:rsidRDefault="00D23179" w:rsidP="00D23179">
      <w:pPr>
        <w:pStyle w:val="ListParagraph"/>
        <w:ind w:left="408"/>
        <w:jc w:val="both"/>
        <w:rPr>
          <w:rFonts w:ascii="Trebuchet MS" w:hAnsi="Trebuchet MS"/>
          <w:sz w:val="24"/>
          <w:szCs w:val="24"/>
          <w:lang w:val="it-IT"/>
        </w:rPr>
      </w:pPr>
    </w:p>
    <w:p w14:paraId="7F74F8F3" w14:textId="77777777" w:rsidR="00D23179" w:rsidRPr="001951D1" w:rsidRDefault="00D23179" w:rsidP="00D23179">
      <w:pPr>
        <w:pStyle w:val="ListParagraph"/>
        <w:ind w:left="408"/>
        <w:jc w:val="both"/>
        <w:rPr>
          <w:rFonts w:ascii="Trebuchet MS" w:hAnsi="Trebuchet MS"/>
          <w:sz w:val="24"/>
          <w:szCs w:val="24"/>
          <w:lang w:val="it-IT"/>
        </w:rPr>
      </w:pPr>
      <w:r w:rsidRPr="001951D1">
        <w:rPr>
          <w:rFonts w:ascii="Trebuchet MS" w:hAnsi="Trebuchet MS"/>
          <w:sz w:val="24"/>
          <w:szCs w:val="24"/>
          <w:lang w:val="it-IT"/>
        </w:rPr>
        <w:t xml:space="preserve">Prin acest criteriu, autoritatea finanțatoare se asigură că investițiile sprijinite prin program nu extind amprenta habitatului/prezenței umane dincolo de limitele preexistente demarării proiectului. </w:t>
      </w:r>
    </w:p>
    <w:p w14:paraId="457F89E6" w14:textId="77777777" w:rsidR="00D23179" w:rsidRPr="001951D1" w:rsidRDefault="00D23179" w:rsidP="00D23179">
      <w:pPr>
        <w:pStyle w:val="ListParagraph"/>
        <w:ind w:left="408"/>
        <w:jc w:val="both"/>
        <w:rPr>
          <w:rFonts w:ascii="Trebuchet MS" w:hAnsi="Trebuchet MS"/>
          <w:sz w:val="24"/>
          <w:szCs w:val="24"/>
          <w:lang w:val="it-IT"/>
        </w:rPr>
      </w:pPr>
    </w:p>
    <w:p w14:paraId="48DA0DB4" w14:textId="77777777" w:rsidR="00D23179" w:rsidRPr="001951D1" w:rsidRDefault="00D23179" w:rsidP="00D23179">
      <w:pPr>
        <w:pStyle w:val="ListParagraph"/>
        <w:widowControl/>
        <w:numPr>
          <w:ilvl w:val="0"/>
          <w:numId w:val="37"/>
        </w:numPr>
        <w:autoSpaceDE/>
        <w:autoSpaceDN/>
        <w:contextualSpacing/>
        <w:jc w:val="both"/>
        <w:rPr>
          <w:rFonts w:ascii="Trebuchet MS" w:hAnsi="Trebuchet MS"/>
          <w:sz w:val="24"/>
          <w:szCs w:val="24"/>
          <w:lang w:val="it-IT"/>
        </w:rPr>
      </w:pPr>
      <w:r w:rsidRPr="001951D1">
        <w:rPr>
          <w:rFonts w:ascii="Trebuchet MS" w:hAnsi="Trebuchet MS"/>
          <w:b/>
          <w:bCs/>
          <w:sz w:val="24"/>
          <w:szCs w:val="24"/>
          <w:lang w:val="it-IT"/>
        </w:rPr>
        <w:t xml:space="preserve">Echipamentele și </w:t>
      </w:r>
      <w:bookmarkStart w:id="1" w:name="_Hlk143681838"/>
      <w:r w:rsidRPr="001951D1">
        <w:rPr>
          <w:rFonts w:ascii="Trebuchet MS" w:hAnsi="Trebuchet MS"/>
          <w:b/>
          <w:bCs/>
          <w:sz w:val="24"/>
          <w:szCs w:val="24"/>
          <w:lang w:val="it-IT"/>
        </w:rPr>
        <w:t xml:space="preserve">mijloacele </w:t>
      </w:r>
      <w:bookmarkEnd w:id="1"/>
      <w:r w:rsidRPr="001951D1">
        <w:rPr>
          <w:rFonts w:ascii="Trebuchet MS" w:hAnsi="Trebuchet MS"/>
          <w:b/>
          <w:bCs/>
          <w:sz w:val="24"/>
          <w:szCs w:val="24"/>
          <w:lang w:val="it-IT"/>
        </w:rPr>
        <w:t>achiziționate în proiect vor urmări simultan cel mai redus nivel de GES posibil și cel mai redus consum de resurse.</w:t>
      </w:r>
      <w:r w:rsidRPr="001951D1">
        <w:rPr>
          <w:rFonts w:ascii="Trebuchet MS" w:hAnsi="Trebuchet MS"/>
          <w:sz w:val="24"/>
          <w:szCs w:val="24"/>
          <w:lang w:val="it-IT"/>
        </w:rPr>
        <w:t xml:space="preserve"> Mai precis, pentru</w:t>
      </w:r>
      <w:r w:rsidRPr="001951D1">
        <w:rPr>
          <w:rFonts w:ascii="Trebuchet MS" w:hAnsi="Trebuchet MS"/>
          <w:b/>
          <w:bCs/>
          <w:sz w:val="24"/>
          <w:szCs w:val="24"/>
          <w:lang w:val="it-IT"/>
        </w:rPr>
        <w:t xml:space="preserve"> </w:t>
      </w:r>
      <w:r w:rsidRPr="001951D1">
        <w:rPr>
          <w:rFonts w:ascii="Trebuchet MS" w:hAnsi="Trebuchet MS"/>
          <w:sz w:val="24"/>
          <w:szCs w:val="24"/>
          <w:lang w:val="it-IT"/>
        </w:rPr>
        <w:t xml:space="preserve">mijloacele de transport destinate implementării proiectului (autoturisme, ambarcațiuni etc), ghidul solicitantului va impune achiziția de mijloace electrice și va prevede ca excepție achiziția mijloacelor alimentate cu combustibil non-regenerabil numai în cazurile justificate în care nu există mijloace electrice de acel tip disponibile pe piață sau locația de desfășurare a activității acestora nu este prevăzută cu infrastructura necesară funcționării/alimentării acestora. Pentru echipamentele destinate efectiv activităților de CDI, acestea vor avea obligatoriu cel mai avansat nivel tehnologic disponibil pe piață (State of the Art) și solicitantul va demonstra, prin specificațiile tehnice ale echipamentului propus pentru finanțare, consumul redus de resurse necesare funcționării acestuia. </w:t>
      </w:r>
    </w:p>
    <w:p w14:paraId="704C815D" w14:textId="77777777" w:rsidR="00D23179" w:rsidRPr="001951D1" w:rsidRDefault="00D23179" w:rsidP="00D23179">
      <w:pPr>
        <w:pStyle w:val="ListParagraph"/>
        <w:ind w:left="408"/>
        <w:jc w:val="both"/>
        <w:rPr>
          <w:rFonts w:ascii="Trebuchet MS" w:hAnsi="Trebuchet MS"/>
          <w:sz w:val="24"/>
          <w:szCs w:val="24"/>
          <w:lang w:val="it-IT"/>
        </w:rPr>
      </w:pPr>
    </w:p>
    <w:p w14:paraId="420BB7DC" w14:textId="77777777" w:rsidR="00D23179" w:rsidRPr="001951D1" w:rsidRDefault="00D23179" w:rsidP="00D23179">
      <w:pPr>
        <w:pStyle w:val="ListParagraph"/>
        <w:widowControl/>
        <w:numPr>
          <w:ilvl w:val="0"/>
          <w:numId w:val="37"/>
        </w:numPr>
        <w:autoSpaceDE/>
        <w:autoSpaceDN/>
        <w:contextualSpacing/>
        <w:jc w:val="both"/>
        <w:rPr>
          <w:rFonts w:ascii="Trebuchet MS" w:hAnsi="Trebuchet MS"/>
          <w:sz w:val="24"/>
          <w:szCs w:val="24"/>
          <w:lang w:val="it-IT"/>
        </w:rPr>
      </w:pPr>
      <w:r w:rsidRPr="001951D1">
        <w:rPr>
          <w:rFonts w:ascii="Trebuchet MS" w:hAnsi="Trebuchet MS"/>
          <w:b/>
          <w:bCs/>
          <w:sz w:val="24"/>
          <w:szCs w:val="24"/>
          <w:lang w:val="it-IT"/>
        </w:rPr>
        <w:lastRenderedPageBreak/>
        <w:t>Orice cerere de finanțare va fi însoțită de o</w:t>
      </w:r>
      <w:r w:rsidRPr="001951D1">
        <w:rPr>
          <w:rFonts w:ascii="Trebuchet MS" w:hAnsi="Trebuchet MS"/>
          <w:sz w:val="24"/>
          <w:szCs w:val="24"/>
          <w:lang w:val="it-IT"/>
        </w:rPr>
        <w:t xml:space="preserve"> </w:t>
      </w:r>
      <w:r w:rsidRPr="001951D1">
        <w:rPr>
          <w:rFonts w:ascii="Trebuchet MS" w:hAnsi="Trebuchet MS"/>
          <w:b/>
          <w:bCs/>
          <w:sz w:val="24"/>
          <w:szCs w:val="24"/>
          <w:lang w:val="it-IT"/>
        </w:rPr>
        <w:t>evaluare ex-ante a emisiilor de GES rezultate din proiect</w:t>
      </w:r>
      <w:r w:rsidRPr="001951D1">
        <w:rPr>
          <w:rFonts w:ascii="Trebuchet MS" w:hAnsi="Trebuchet MS"/>
          <w:sz w:val="24"/>
          <w:szCs w:val="24"/>
          <w:lang w:val="it-IT"/>
        </w:rPr>
        <w:t>, pentru ca Autoritatea de management să aibă o vedere de ansamblu asupra a ceea ce se propune pentru finanțare. Analiza va fi simplă și va consta în clasificarea tipurilor de activități din proiect după modelul cuprins în AVIZUL COMISIEI – Orientări tehnice privind rezistența la schimbările climatice a infrastructurii în perioada 2021-2027 (2021/C 373/01), respectiv:</w:t>
      </w:r>
    </w:p>
    <w:p w14:paraId="56993C20" w14:textId="77777777" w:rsidR="00D23179" w:rsidRPr="001951D1" w:rsidRDefault="00D23179" w:rsidP="00D23179">
      <w:pPr>
        <w:pStyle w:val="ListParagraph"/>
        <w:widowControl/>
        <w:numPr>
          <w:ilvl w:val="0"/>
          <w:numId w:val="38"/>
        </w:numPr>
        <w:autoSpaceDE/>
        <w:autoSpaceDN/>
        <w:spacing w:after="160" w:line="259" w:lineRule="auto"/>
        <w:contextualSpacing/>
        <w:rPr>
          <w:rFonts w:ascii="Trebuchet MS" w:hAnsi="Trebuchet MS"/>
          <w:sz w:val="24"/>
          <w:szCs w:val="24"/>
          <w:lang w:val="it-IT"/>
        </w:rPr>
      </w:pPr>
      <w:proofErr w:type="spellStart"/>
      <w:r w:rsidRPr="001951D1">
        <w:rPr>
          <w:rFonts w:ascii="Trebuchet MS" w:hAnsi="Trebuchet MS"/>
          <w:sz w:val="24"/>
          <w:szCs w:val="24"/>
        </w:rPr>
        <w:t>Activități</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în</w:t>
      </w:r>
      <w:proofErr w:type="spellEnd"/>
      <w:r w:rsidRPr="001951D1">
        <w:rPr>
          <w:rFonts w:ascii="Trebuchet MS" w:hAnsi="Trebuchet MS"/>
          <w:sz w:val="24"/>
          <w:szCs w:val="24"/>
        </w:rPr>
        <w:t xml:space="preserve"> care </w:t>
      </w:r>
      <w:proofErr w:type="spellStart"/>
      <w:r w:rsidRPr="001951D1">
        <w:rPr>
          <w:rFonts w:ascii="Trebuchet MS" w:hAnsi="Trebuchet MS"/>
          <w:sz w:val="24"/>
          <w:szCs w:val="24"/>
        </w:rPr>
        <w:t>emisii</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directe</w:t>
      </w:r>
      <w:proofErr w:type="spellEnd"/>
      <w:r w:rsidRPr="001951D1">
        <w:rPr>
          <w:rFonts w:ascii="Trebuchet MS" w:hAnsi="Trebuchet MS"/>
          <w:sz w:val="24"/>
          <w:szCs w:val="24"/>
        </w:rPr>
        <w:t xml:space="preserve"> de gaze cu </w:t>
      </w:r>
      <w:proofErr w:type="spellStart"/>
      <w:r w:rsidRPr="001951D1">
        <w:rPr>
          <w:rFonts w:ascii="Trebuchet MS" w:hAnsi="Trebuchet MS"/>
          <w:sz w:val="24"/>
          <w:szCs w:val="24"/>
        </w:rPr>
        <w:t>efect</w:t>
      </w:r>
      <w:proofErr w:type="spellEnd"/>
      <w:r w:rsidRPr="001951D1">
        <w:rPr>
          <w:rFonts w:ascii="Trebuchet MS" w:hAnsi="Trebuchet MS"/>
          <w:sz w:val="24"/>
          <w:szCs w:val="24"/>
        </w:rPr>
        <w:t xml:space="preserve"> de </w:t>
      </w:r>
      <w:proofErr w:type="spellStart"/>
      <w:r w:rsidRPr="001951D1">
        <w:rPr>
          <w:rFonts w:ascii="Trebuchet MS" w:hAnsi="Trebuchet MS"/>
          <w:sz w:val="24"/>
          <w:szCs w:val="24"/>
        </w:rPr>
        <w:t>seră</w:t>
      </w:r>
      <w:proofErr w:type="spellEnd"/>
      <w:r w:rsidRPr="001951D1">
        <w:rPr>
          <w:rFonts w:ascii="Trebuchet MS" w:hAnsi="Trebuchet MS"/>
          <w:sz w:val="24"/>
          <w:szCs w:val="24"/>
        </w:rPr>
        <w:t xml:space="preserve"> se </w:t>
      </w:r>
      <w:proofErr w:type="spellStart"/>
      <w:r w:rsidRPr="001951D1">
        <w:rPr>
          <w:rFonts w:ascii="Trebuchet MS" w:hAnsi="Trebuchet MS"/>
          <w:sz w:val="24"/>
          <w:szCs w:val="24"/>
        </w:rPr>
        <w:t>produc</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fizic</w:t>
      </w:r>
      <w:proofErr w:type="spellEnd"/>
      <w:r w:rsidRPr="001951D1">
        <w:rPr>
          <w:rFonts w:ascii="Trebuchet MS" w:hAnsi="Trebuchet MS"/>
          <w:sz w:val="24"/>
          <w:szCs w:val="24"/>
        </w:rPr>
        <w:t xml:space="preserve"> din </w:t>
      </w:r>
      <w:proofErr w:type="spellStart"/>
      <w:r w:rsidRPr="001951D1">
        <w:rPr>
          <w:rFonts w:ascii="Trebuchet MS" w:hAnsi="Trebuchet MS"/>
          <w:sz w:val="24"/>
          <w:szCs w:val="24"/>
        </w:rPr>
        <w:t>surse</w:t>
      </w:r>
      <w:proofErr w:type="spellEnd"/>
      <w:r w:rsidRPr="001951D1">
        <w:rPr>
          <w:rFonts w:ascii="Trebuchet MS" w:hAnsi="Trebuchet MS"/>
          <w:sz w:val="24"/>
          <w:szCs w:val="24"/>
        </w:rPr>
        <w:t xml:space="preserve"> care sunt </w:t>
      </w:r>
      <w:proofErr w:type="spellStart"/>
      <w:r w:rsidRPr="001951D1">
        <w:rPr>
          <w:rFonts w:ascii="Trebuchet MS" w:hAnsi="Trebuchet MS"/>
          <w:sz w:val="24"/>
          <w:szCs w:val="24"/>
        </w:rPr>
        <w:t>exploatate</w:t>
      </w:r>
      <w:proofErr w:type="spellEnd"/>
      <w:r w:rsidRPr="001951D1">
        <w:rPr>
          <w:rFonts w:ascii="Trebuchet MS" w:hAnsi="Trebuchet MS"/>
          <w:sz w:val="24"/>
          <w:szCs w:val="24"/>
        </w:rPr>
        <w:t xml:space="preserve"> de </w:t>
      </w:r>
      <w:proofErr w:type="spellStart"/>
      <w:proofErr w:type="gramStart"/>
      <w:r w:rsidRPr="001951D1">
        <w:rPr>
          <w:rFonts w:ascii="Trebuchet MS" w:hAnsi="Trebuchet MS"/>
          <w:sz w:val="24"/>
          <w:szCs w:val="24"/>
        </w:rPr>
        <w:t>către</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proiect</w:t>
      </w:r>
      <w:proofErr w:type="spellEnd"/>
      <w:proofErr w:type="gramEnd"/>
      <w:r w:rsidRPr="001951D1">
        <w:rPr>
          <w:rFonts w:ascii="Trebuchet MS" w:hAnsi="Trebuchet MS"/>
          <w:sz w:val="24"/>
          <w:szCs w:val="24"/>
        </w:rPr>
        <w:t xml:space="preserve">. </w:t>
      </w:r>
      <w:r w:rsidRPr="001951D1">
        <w:rPr>
          <w:rFonts w:ascii="Trebuchet MS" w:hAnsi="Trebuchet MS"/>
          <w:sz w:val="24"/>
          <w:szCs w:val="24"/>
          <w:lang w:val="it-IT"/>
        </w:rPr>
        <w:t>De exemplu, emisiile produse de arderea combustibililor fosili, de către procesele industriale și/sau de emisiile fugitive, cum ar fi scurgerile de agenți frigorifici sau de metan.</w:t>
      </w:r>
    </w:p>
    <w:p w14:paraId="4FA48339" w14:textId="77777777" w:rsidR="00D23179" w:rsidRPr="001951D1" w:rsidRDefault="00D23179" w:rsidP="00D23179">
      <w:pPr>
        <w:pStyle w:val="ListParagraph"/>
        <w:widowControl/>
        <w:numPr>
          <w:ilvl w:val="0"/>
          <w:numId w:val="38"/>
        </w:numPr>
        <w:autoSpaceDE/>
        <w:autoSpaceDN/>
        <w:spacing w:after="160" w:line="259" w:lineRule="auto"/>
        <w:contextualSpacing/>
        <w:rPr>
          <w:rFonts w:ascii="Trebuchet MS" w:hAnsi="Trebuchet MS"/>
          <w:sz w:val="24"/>
          <w:szCs w:val="24"/>
          <w:lang w:val="it-IT"/>
        </w:rPr>
      </w:pPr>
      <w:r w:rsidRPr="001951D1">
        <w:rPr>
          <w:rFonts w:ascii="Trebuchet MS" w:hAnsi="Trebuchet MS"/>
          <w:sz w:val="24"/>
          <w:szCs w:val="24"/>
          <w:lang w:val="it-IT"/>
        </w:rPr>
        <w:t>Activități cu emisii indirecte de gaze cu efect de seră asociate consumului de energie (electricitate, încălzire, răcire și abur) consumate, dar nu produse de proiect. Acestea sunt incluse deoarece proiectul are un control direct asupra energiei consumul de energie, de exemplu, prin îmbunătățirea acestuia cu măsuri de eficiență energetică sau prin trecerea la consumul energie electrică din surse regenerabile.</w:t>
      </w:r>
    </w:p>
    <w:p w14:paraId="754AF540" w14:textId="77777777" w:rsidR="00D23179" w:rsidRPr="001951D1" w:rsidRDefault="00D23179" w:rsidP="00D23179">
      <w:pPr>
        <w:pStyle w:val="ListParagraph"/>
        <w:widowControl/>
        <w:numPr>
          <w:ilvl w:val="0"/>
          <w:numId w:val="38"/>
        </w:numPr>
        <w:autoSpaceDE/>
        <w:autoSpaceDN/>
        <w:spacing w:after="160" w:line="259" w:lineRule="auto"/>
        <w:contextualSpacing/>
        <w:rPr>
          <w:rFonts w:ascii="Trebuchet MS" w:hAnsi="Trebuchet MS"/>
          <w:sz w:val="24"/>
          <w:szCs w:val="24"/>
        </w:rPr>
      </w:pPr>
      <w:r w:rsidRPr="001951D1">
        <w:rPr>
          <w:rFonts w:ascii="Trebuchet MS" w:hAnsi="Trebuchet MS"/>
          <w:sz w:val="24"/>
          <w:szCs w:val="24"/>
        </w:rPr>
        <w:t xml:space="preserve">Alte </w:t>
      </w:r>
      <w:proofErr w:type="spellStart"/>
      <w:r w:rsidRPr="001951D1">
        <w:rPr>
          <w:rFonts w:ascii="Trebuchet MS" w:hAnsi="Trebuchet MS"/>
          <w:sz w:val="24"/>
          <w:szCs w:val="24"/>
        </w:rPr>
        <w:t>emisii</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indirecte</w:t>
      </w:r>
      <w:proofErr w:type="spellEnd"/>
      <w:r w:rsidRPr="001951D1">
        <w:rPr>
          <w:rFonts w:ascii="Trebuchet MS" w:hAnsi="Trebuchet MS"/>
          <w:sz w:val="24"/>
          <w:szCs w:val="24"/>
        </w:rPr>
        <w:t xml:space="preserve"> de gaze cu </w:t>
      </w:r>
      <w:proofErr w:type="spellStart"/>
      <w:r w:rsidRPr="001951D1">
        <w:rPr>
          <w:rFonts w:ascii="Trebuchet MS" w:hAnsi="Trebuchet MS"/>
          <w:sz w:val="24"/>
          <w:szCs w:val="24"/>
        </w:rPr>
        <w:t>efect</w:t>
      </w:r>
      <w:proofErr w:type="spellEnd"/>
      <w:r w:rsidRPr="001951D1">
        <w:rPr>
          <w:rFonts w:ascii="Trebuchet MS" w:hAnsi="Trebuchet MS"/>
          <w:sz w:val="24"/>
          <w:szCs w:val="24"/>
        </w:rPr>
        <w:t xml:space="preserve"> de </w:t>
      </w:r>
      <w:proofErr w:type="spellStart"/>
      <w:r w:rsidRPr="001951D1">
        <w:rPr>
          <w:rFonts w:ascii="Trebuchet MS" w:hAnsi="Trebuchet MS"/>
          <w:sz w:val="24"/>
          <w:szCs w:val="24"/>
        </w:rPr>
        <w:t>seră</w:t>
      </w:r>
      <w:proofErr w:type="spellEnd"/>
      <w:r w:rsidRPr="001951D1">
        <w:rPr>
          <w:rFonts w:ascii="Trebuchet MS" w:hAnsi="Trebuchet MS"/>
          <w:sz w:val="24"/>
          <w:szCs w:val="24"/>
        </w:rPr>
        <w:t xml:space="preserve"> care pot fi considerate o </w:t>
      </w:r>
      <w:proofErr w:type="spellStart"/>
      <w:r w:rsidRPr="001951D1">
        <w:rPr>
          <w:rFonts w:ascii="Trebuchet MS" w:hAnsi="Trebuchet MS"/>
          <w:sz w:val="24"/>
          <w:szCs w:val="24"/>
        </w:rPr>
        <w:t>consecință</w:t>
      </w:r>
      <w:proofErr w:type="spellEnd"/>
      <w:r w:rsidRPr="001951D1">
        <w:rPr>
          <w:rFonts w:ascii="Trebuchet MS" w:hAnsi="Trebuchet MS"/>
          <w:sz w:val="24"/>
          <w:szCs w:val="24"/>
        </w:rPr>
        <w:t xml:space="preserve"> </w:t>
      </w:r>
      <w:proofErr w:type="gramStart"/>
      <w:r w:rsidRPr="001951D1">
        <w:rPr>
          <w:rFonts w:ascii="Trebuchet MS" w:hAnsi="Trebuchet MS"/>
          <w:sz w:val="24"/>
          <w:szCs w:val="24"/>
        </w:rPr>
        <w:t>a</w:t>
      </w:r>
      <w:proofErr w:type="gramEnd"/>
      <w:r w:rsidRPr="001951D1">
        <w:rPr>
          <w:rFonts w:ascii="Trebuchet MS" w:hAnsi="Trebuchet MS"/>
          <w:sz w:val="24"/>
          <w:szCs w:val="24"/>
        </w:rPr>
        <w:t xml:space="preserve"> </w:t>
      </w:r>
      <w:proofErr w:type="spellStart"/>
      <w:r w:rsidRPr="001951D1">
        <w:rPr>
          <w:rFonts w:ascii="Trebuchet MS" w:hAnsi="Trebuchet MS"/>
          <w:sz w:val="24"/>
          <w:szCs w:val="24"/>
        </w:rPr>
        <w:t>activităților</w:t>
      </w:r>
      <w:proofErr w:type="spellEnd"/>
      <w:r w:rsidRPr="001951D1">
        <w:rPr>
          <w:rFonts w:ascii="Trebuchet MS" w:hAnsi="Trebuchet MS"/>
          <w:sz w:val="24"/>
          <w:szCs w:val="24"/>
        </w:rPr>
        <w:t xml:space="preserve"> ale </w:t>
      </w:r>
      <w:proofErr w:type="spellStart"/>
      <w:r w:rsidRPr="001951D1">
        <w:rPr>
          <w:rFonts w:ascii="Trebuchet MS" w:hAnsi="Trebuchet MS"/>
          <w:sz w:val="24"/>
          <w:szCs w:val="24"/>
        </w:rPr>
        <w:t>proiectului</w:t>
      </w:r>
      <w:proofErr w:type="spellEnd"/>
      <w:r w:rsidRPr="001951D1">
        <w:rPr>
          <w:rFonts w:ascii="Trebuchet MS" w:hAnsi="Trebuchet MS"/>
          <w:sz w:val="24"/>
          <w:szCs w:val="24"/>
        </w:rPr>
        <w:t xml:space="preserve"> (de </w:t>
      </w:r>
      <w:proofErr w:type="spellStart"/>
      <w:r w:rsidRPr="001951D1">
        <w:rPr>
          <w:rFonts w:ascii="Trebuchet MS" w:hAnsi="Trebuchet MS"/>
          <w:sz w:val="24"/>
          <w:szCs w:val="24"/>
        </w:rPr>
        <w:t>exemplu</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emisiile</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provenite</w:t>
      </w:r>
      <w:proofErr w:type="spellEnd"/>
      <w:r w:rsidRPr="001951D1">
        <w:rPr>
          <w:rFonts w:ascii="Trebuchet MS" w:hAnsi="Trebuchet MS"/>
          <w:sz w:val="24"/>
          <w:szCs w:val="24"/>
        </w:rPr>
        <w:t xml:space="preserve"> din </w:t>
      </w:r>
      <w:proofErr w:type="spellStart"/>
      <w:r w:rsidRPr="001951D1">
        <w:rPr>
          <w:rFonts w:ascii="Trebuchet MS" w:hAnsi="Trebuchet MS"/>
          <w:sz w:val="24"/>
          <w:szCs w:val="24"/>
        </w:rPr>
        <w:t>producția</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sau</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extracției</w:t>
      </w:r>
      <w:proofErr w:type="spellEnd"/>
      <w:r w:rsidRPr="001951D1">
        <w:rPr>
          <w:rFonts w:ascii="Trebuchet MS" w:hAnsi="Trebuchet MS"/>
          <w:sz w:val="24"/>
          <w:szCs w:val="24"/>
        </w:rPr>
        <w:t xml:space="preserve"> de </w:t>
      </w:r>
      <w:proofErr w:type="spellStart"/>
      <w:r w:rsidRPr="001951D1">
        <w:rPr>
          <w:rFonts w:ascii="Trebuchet MS" w:hAnsi="Trebuchet MS"/>
          <w:sz w:val="24"/>
          <w:szCs w:val="24"/>
        </w:rPr>
        <w:t>materii</w:t>
      </w:r>
      <w:proofErr w:type="spellEnd"/>
      <w:r w:rsidRPr="001951D1">
        <w:rPr>
          <w:rFonts w:ascii="Trebuchet MS" w:hAnsi="Trebuchet MS"/>
          <w:sz w:val="24"/>
          <w:szCs w:val="24"/>
        </w:rPr>
        <w:t xml:space="preserve"> prime </w:t>
      </w:r>
      <w:proofErr w:type="spellStart"/>
      <w:r w:rsidRPr="001951D1">
        <w:rPr>
          <w:rFonts w:ascii="Trebuchet MS" w:hAnsi="Trebuchet MS"/>
          <w:sz w:val="24"/>
          <w:szCs w:val="24"/>
        </w:rPr>
        <w:t>sau</w:t>
      </w:r>
      <w:proofErr w:type="spellEnd"/>
      <w:r w:rsidRPr="001951D1">
        <w:rPr>
          <w:rFonts w:ascii="Trebuchet MS" w:hAnsi="Trebuchet MS"/>
          <w:sz w:val="24"/>
          <w:szCs w:val="24"/>
        </w:rPr>
        <w:t xml:space="preserve"> de </w:t>
      </w:r>
      <w:proofErr w:type="spellStart"/>
      <w:r w:rsidRPr="001951D1">
        <w:rPr>
          <w:rFonts w:ascii="Trebuchet MS" w:hAnsi="Trebuchet MS"/>
          <w:sz w:val="24"/>
          <w:szCs w:val="24"/>
        </w:rPr>
        <w:t>materii</w:t>
      </w:r>
      <w:proofErr w:type="spellEnd"/>
      <w:r w:rsidRPr="001951D1">
        <w:rPr>
          <w:rFonts w:ascii="Trebuchet MS" w:hAnsi="Trebuchet MS"/>
          <w:sz w:val="24"/>
          <w:szCs w:val="24"/>
        </w:rPr>
        <w:t xml:space="preserve"> prime </w:t>
      </w:r>
      <w:proofErr w:type="spellStart"/>
      <w:r w:rsidRPr="001951D1">
        <w:rPr>
          <w:rFonts w:ascii="Trebuchet MS" w:hAnsi="Trebuchet MS"/>
          <w:sz w:val="24"/>
          <w:szCs w:val="24"/>
        </w:rPr>
        <w:t>și</w:t>
      </w:r>
      <w:proofErr w:type="spellEnd"/>
      <w:r w:rsidRPr="001951D1">
        <w:rPr>
          <w:rFonts w:ascii="Trebuchet MS" w:hAnsi="Trebuchet MS"/>
          <w:sz w:val="24"/>
          <w:szCs w:val="24"/>
        </w:rPr>
        <w:t xml:space="preserve"> a </w:t>
      </w:r>
      <w:proofErr w:type="spellStart"/>
      <w:r w:rsidRPr="001951D1">
        <w:rPr>
          <w:rFonts w:ascii="Trebuchet MS" w:hAnsi="Trebuchet MS"/>
          <w:sz w:val="24"/>
          <w:szCs w:val="24"/>
        </w:rPr>
        <w:t>vehiculelor</w:t>
      </w:r>
      <w:proofErr w:type="spellEnd"/>
      <w:r w:rsidRPr="001951D1">
        <w:rPr>
          <w:rFonts w:ascii="Trebuchet MS" w:hAnsi="Trebuchet MS"/>
          <w:sz w:val="24"/>
          <w:szCs w:val="24"/>
        </w:rPr>
        <w:t xml:space="preserve"> de la </w:t>
      </w:r>
      <w:proofErr w:type="spellStart"/>
      <w:r w:rsidRPr="001951D1">
        <w:rPr>
          <w:rFonts w:ascii="Trebuchet MS" w:hAnsi="Trebuchet MS"/>
          <w:sz w:val="24"/>
          <w:szCs w:val="24"/>
        </w:rPr>
        <w:t>utilizarea</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infrastructurii</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rutiere</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inclusiv</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emisiile</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provenite</w:t>
      </w:r>
      <w:proofErr w:type="spellEnd"/>
      <w:r w:rsidRPr="001951D1">
        <w:rPr>
          <w:rFonts w:ascii="Trebuchet MS" w:hAnsi="Trebuchet MS"/>
          <w:sz w:val="24"/>
          <w:szCs w:val="24"/>
        </w:rPr>
        <w:t xml:space="preserve"> din </w:t>
      </w:r>
      <w:proofErr w:type="spellStart"/>
      <w:r w:rsidRPr="001951D1">
        <w:rPr>
          <w:rFonts w:ascii="Trebuchet MS" w:hAnsi="Trebuchet MS"/>
          <w:sz w:val="24"/>
          <w:szCs w:val="24"/>
        </w:rPr>
        <w:t>consumul</w:t>
      </w:r>
      <w:proofErr w:type="spellEnd"/>
      <w:r w:rsidRPr="001951D1">
        <w:rPr>
          <w:rFonts w:ascii="Trebuchet MS" w:hAnsi="Trebuchet MS"/>
          <w:sz w:val="24"/>
          <w:szCs w:val="24"/>
        </w:rPr>
        <w:t xml:space="preserve"> de </w:t>
      </w:r>
      <w:proofErr w:type="spellStart"/>
      <w:r w:rsidRPr="001951D1">
        <w:rPr>
          <w:rFonts w:ascii="Trebuchet MS" w:hAnsi="Trebuchet MS"/>
          <w:sz w:val="24"/>
          <w:szCs w:val="24"/>
        </w:rPr>
        <w:t>energie</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electrică</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trenurilor</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și</w:t>
      </w:r>
      <w:proofErr w:type="spellEnd"/>
      <w:r w:rsidRPr="001951D1">
        <w:rPr>
          <w:rFonts w:ascii="Trebuchet MS" w:hAnsi="Trebuchet MS"/>
          <w:sz w:val="24"/>
          <w:szCs w:val="24"/>
        </w:rPr>
        <w:t xml:space="preserve"> a </w:t>
      </w:r>
      <w:proofErr w:type="spellStart"/>
      <w:r w:rsidRPr="001951D1">
        <w:rPr>
          <w:rFonts w:ascii="Trebuchet MS" w:hAnsi="Trebuchet MS"/>
          <w:sz w:val="24"/>
          <w:szCs w:val="24"/>
        </w:rPr>
        <w:t>vehiculelor</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electrice</w:t>
      </w:r>
      <w:proofErr w:type="spellEnd"/>
      <w:r w:rsidRPr="001951D1">
        <w:rPr>
          <w:rFonts w:ascii="Trebuchet MS" w:hAnsi="Trebuchet MS"/>
          <w:sz w:val="24"/>
          <w:szCs w:val="24"/>
        </w:rPr>
        <w:t>).</w:t>
      </w:r>
    </w:p>
    <w:p w14:paraId="57AF8665" w14:textId="2C026B82" w:rsidR="00D23179" w:rsidRPr="001951D1" w:rsidRDefault="00D23179" w:rsidP="00D23179">
      <w:pPr>
        <w:rPr>
          <w:rFonts w:ascii="Trebuchet MS" w:hAnsi="Trebuchet MS" w:cs="Times New Roman"/>
          <w:sz w:val="24"/>
          <w:szCs w:val="24"/>
        </w:rPr>
      </w:pPr>
      <w:r w:rsidRPr="001951D1">
        <w:rPr>
          <w:rFonts w:ascii="Trebuchet MS" w:hAnsi="Trebuchet MS" w:cs="Times New Roman"/>
          <w:sz w:val="24"/>
          <w:szCs w:val="24"/>
        </w:rPr>
        <w:t xml:space="preserve">Obligatorie pentru toate apelurile de proiecte aferente </w:t>
      </w:r>
      <w:r w:rsidR="007C1F56" w:rsidRPr="001951D1">
        <w:rPr>
          <w:rFonts w:ascii="Trebuchet MS" w:hAnsi="Trebuchet MS" w:cs="Times New Roman"/>
          <w:sz w:val="24"/>
          <w:szCs w:val="24"/>
        </w:rPr>
        <w:t xml:space="preserve">acestei </w:t>
      </w:r>
      <w:r w:rsidRPr="001951D1">
        <w:rPr>
          <w:rFonts w:ascii="Trebuchet MS" w:hAnsi="Trebuchet MS" w:cs="Times New Roman"/>
          <w:sz w:val="24"/>
          <w:szCs w:val="24"/>
        </w:rPr>
        <w:t xml:space="preserve">acțiuni, evaluarea GES poate fi folosită </w:t>
      </w:r>
      <w:r w:rsidR="007C1F56" w:rsidRPr="001951D1">
        <w:rPr>
          <w:rFonts w:ascii="Trebuchet MS" w:hAnsi="Trebuchet MS" w:cs="Times New Roman"/>
          <w:sz w:val="24"/>
          <w:szCs w:val="24"/>
        </w:rPr>
        <w:t>în punctarea suplimentară</w:t>
      </w:r>
      <w:r w:rsidRPr="001951D1">
        <w:rPr>
          <w:rFonts w:ascii="Trebuchet MS" w:hAnsi="Trebuchet MS" w:cs="Times New Roman"/>
          <w:sz w:val="24"/>
          <w:szCs w:val="24"/>
        </w:rPr>
        <w:t xml:space="preserve"> a </w:t>
      </w:r>
      <w:r w:rsidR="007C1F56" w:rsidRPr="001951D1">
        <w:rPr>
          <w:rFonts w:ascii="Trebuchet MS" w:hAnsi="Trebuchet MS" w:cs="Times New Roman"/>
          <w:sz w:val="24"/>
          <w:szCs w:val="24"/>
        </w:rPr>
        <w:t xml:space="preserve">proiectelor </w:t>
      </w:r>
      <w:r w:rsidRPr="001951D1">
        <w:rPr>
          <w:rFonts w:ascii="Trebuchet MS" w:hAnsi="Trebuchet MS" w:cs="Times New Roman"/>
          <w:sz w:val="24"/>
          <w:szCs w:val="24"/>
        </w:rPr>
        <w:t>care propun activități cu emisii reduse de GES sau măsuri de atenuare în cadrul proiectelor (înlocuirea de echipamente energofage cu dispozitive de generație mai nouă și economice sau cu echipamente care nu mai consumă combustibil fosil și nu mai emit GES</w:t>
      </w:r>
      <w:r w:rsidR="007C1F56" w:rsidRPr="001951D1">
        <w:rPr>
          <w:rFonts w:ascii="Trebuchet MS" w:hAnsi="Trebuchet MS" w:cs="Times New Roman"/>
          <w:sz w:val="24"/>
          <w:szCs w:val="24"/>
        </w:rPr>
        <w:t>)</w:t>
      </w:r>
      <w:r w:rsidRPr="001951D1">
        <w:rPr>
          <w:rFonts w:ascii="Trebuchet MS" w:hAnsi="Trebuchet MS" w:cs="Times New Roman"/>
          <w:sz w:val="24"/>
          <w:szCs w:val="24"/>
        </w:rPr>
        <w:t xml:space="preserve">. </w:t>
      </w:r>
    </w:p>
    <w:p w14:paraId="03C3AB22" w14:textId="77777777" w:rsidR="00D23179" w:rsidRPr="001951D1" w:rsidRDefault="00D23179" w:rsidP="00D23179">
      <w:pPr>
        <w:spacing w:after="0" w:line="240" w:lineRule="auto"/>
        <w:jc w:val="both"/>
        <w:rPr>
          <w:rFonts w:ascii="Trebuchet MS" w:hAnsi="Trebuchet MS" w:cs="Times New Roman"/>
          <w:sz w:val="24"/>
          <w:szCs w:val="24"/>
        </w:rPr>
      </w:pPr>
    </w:p>
    <w:p w14:paraId="0488F40C" w14:textId="77777777" w:rsidR="00D23179" w:rsidRPr="001951D1" w:rsidRDefault="00D23179" w:rsidP="00D23179">
      <w:pPr>
        <w:spacing w:after="0" w:line="240" w:lineRule="auto"/>
        <w:ind w:firstLine="720"/>
        <w:jc w:val="both"/>
        <w:rPr>
          <w:rFonts w:ascii="Trebuchet MS" w:hAnsi="Trebuchet MS" w:cs="Times New Roman"/>
          <w:b/>
          <w:sz w:val="24"/>
          <w:szCs w:val="24"/>
        </w:rPr>
      </w:pPr>
      <w:bookmarkStart w:id="2" w:name="_Hlk141431425"/>
      <w:r w:rsidRPr="001951D1">
        <w:rPr>
          <w:rFonts w:ascii="Trebuchet MS" w:hAnsi="Trebuchet MS" w:cs="Times New Roman"/>
          <w:b/>
          <w:sz w:val="24"/>
          <w:szCs w:val="24"/>
        </w:rPr>
        <w:t>A. Atenuarea schimbărilor climatice;</w:t>
      </w:r>
    </w:p>
    <w:bookmarkEnd w:id="2"/>
    <w:p w14:paraId="150728C9"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Criterii de eligibilitate:</w:t>
      </w:r>
    </w:p>
    <w:p w14:paraId="4EB451E1"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În cadrul proiectelor ce presupun construcția de infrastructuri se va avea în vedere îmbunătățirea performanței energetice a clădirilor prin respectarea Directivei (EU) 2018/844  a Parlamentului European și a Consiliului din 30 mai 2018 de modificare a Directivei (EU) 2010/31 privind performanța energetică a clădirilor și a Directivei (EU) 2012/27 privind eficiența energetică.</w:t>
      </w:r>
    </w:p>
    <w:p w14:paraId="76B5FAAE" w14:textId="6EE0FB61"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xml:space="preserve">Pentru a asigura compatibilitatea proiectelor selectate cu activitățile evaluate ca fiind conforme cu principiul DNSH, vor fi incluse ca măsuri obligatorii următoarele măsuri de atenuare prin care solicitantul își va asuma că: </w:t>
      </w:r>
    </w:p>
    <w:p w14:paraId="3E5ECC2A" w14:textId="77777777" w:rsidR="00D23179" w:rsidRPr="001951D1" w:rsidRDefault="00D23179" w:rsidP="00D23179">
      <w:pPr>
        <w:spacing w:after="0" w:line="240" w:lineRule="auto"/>
        <w:ind w:firstLine="720"/>
        <w:jc w:val="both"/>
        <w:rPr>
          <w:rFonts w:ascii="Trebuchet MS" w:hAnsi="Trebuchet MS" w:cs="Times New Roman"/>
          <w:color w:val="FF0000"/>
          <w:sz w:val="24"/>
          <w:szCs w:val="24"/>
        </w:rPr>
      </w:pPr>
      <w:r w:rsidRPr="001951D1">
        <w:rPr>
          <w:rFonts w:ascii="Trebuchet MS" w:hAnsi="Trebuchet MS" w:cs="Times New Roman"/>
          <w:sz w:val="24"/>
          <w:szCs w:val="24"/>
        </w:rPr>
        <w:t>Se vor utiliza materiale de construcții și tehnologii eficiente din punct de vedere ecologic și se va asigura implementarea principiilor de dezvoltare durabilă cu privire la reducerea poluării aerului și reducerea emisiilor suplimentare de GES (</w:t>
      </w:r>
      <w:hyperlink r:id="rId10" w:history="1">
        <w:r w:rsidRPr="001951D1">
          <w:rPr>
            <w:rFonts w:ascii="Trebuchet MS" w:hAnsi="Trebuchet MS" w:cs="Times New Roman"/>
            <w:color w:val="0563C1" w:themeColor="hyperlink"/>
            <w:sz w:val="24"/>
            <w:szCs w:val="24"/>
            <w:u w:val="single"/>
          </w:rPr>
          <w:t>https://eur-lex.europa.eu/legal-content/RO/TXT/PDF/?uri=CELEX:32018R2066&amp;from=EN</w:t>
        </w:r>
      </w:hyperlink>
      <w:r w:rsidRPr="001951D1">
        <w:rPr>
          <w:rFonts w:ascii="Trebuchet MS" w:hAnsi="Trebuchet MS" w:cs="Times New Roman"/>
          <w:sz w:val="24"/>
          <w:szCs w:val="24"/>
        </w:rPr>
        <w:t xml:space="preserve"> ).</w:t>
      </w:r>
      <w:r w:rsidRPr="001951D1">
        <w:rPr>
          <w:rFonts w:ascii="Trebuchet MS" w:hAnsi="Trebuchet MS" w:cs="Times New Roman"/>
          <w:color w:val="4472C4" w:themeColor="accent5"/>
          <w:sz w:val="24"/>
          <w:szCs w:val="24"/>
        </w:rPr>
        <w:t xml:space="preserve"> </w:t>
      </w:r>
    </w:p>
    <w:p w14:paraId="55CB30E9"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lastRenderedPageBreak/>
        <w:t>Activitățile de dotare a centrelor CDI și TT vor include echipamente conforme cu cerințele privind energia așa cum sunt acestea prevăzute de Directiva (EC) 2009/125 de instituire a unui cadru pentru stabilirea cerințelor în materie de proiectare ecologică aplicabile produselor cu impact energetic. În ceea ce privește echipamentele și serviciile IT furnizate, vor fi respectate cele mai bune practici prevăzute de Codul European de Conduită pentru Eficiența Energetică a Centrelor de Date sau de documentul CLC TR50600-99-1 Facilități și infrastructuri pentru centrele de date.</w:t>
      </w:r>
    </w:p>
    <w:p w14:paraId="6F2049B0"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Activele corporale nu sunt folosite pentru extracția, depozitarea, transportul sau producția de combustibili fosili.</w:t>
      </w:r>
    </w:p>
    <w:p w14:paraId="44B7C61F"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Vehiculele achiziționate în cadrul proiectelor vor fi echipate cu cea mai bună tehnologie disponibilă din punct de vedere al mediului. Prin Ghidul solicitantului, se va încuraja achiziția de vehicule cu 0 emisii GES.</w:t>
      </w:r>
    </w:p>
    <w:p w14:paraId="59385D5D"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Clădirile nou construite/ modernizate vor fi prevăzute cu sisteme de încălzire/ sisteme de furnizare a apei calde de consum, cu randament ridicat și un nivel redus al emisiilor echivalent CO2, inclusiv instalații de micro-cogenerare, dacă sunt fezabile tehnic și economic.</w:t>
      </w:r>
      <w:r w:rsidRPr="001951D1">
        <w:rPr>
          <w:rFonts w:ascii="Trebuchet MS" w:hAnsi="Trebuchet MS"/>
          <w:sz w:val="24"/>
          <w:szCs w:val="24"/>
        </w:rPr>
        <w:t xml:space="preserve"> </w:t>
      </w:r>
      <w:r w:rsidRPr="001951D1">
        <w:rPr>
          <w:rFonts w:ascii="Trebuchet MS" w:hAnsi="Trebuchet MS" w:cs="Times New Roman"/>
          <w:sz w:val="24"/>
          <w:szCs w:val="24"/>
        </w:rPr>
        <w:t>Performanța energetică va fi certificată cu ajutorul unui certificat de performanță energetică. În cazul clădirilor cu o suprafață mai mare de 5 000 m2 la finalizarea construcției, clădirea rezultată va fi supusă unor teste de etanșeitate și integritate termică, și orice deviere de la nivelurile de performanță stabilite în etapa de proiectare sau orice defect în anvelopa clădirii vor fi comunicate investitorilor și clienților iar în timpul construcției vor fi aplicate procese robuste și trasabile de control al calității. Toate facilitățile nou-construite vor fi clădiri cu consum de energie aproape zero (</w:t>
      </w:r>
      <w:proofErr w:type="spellStart"/>
      <w:r w:rsidRPr="001951D1">
        <w:rPr>
          <w:rFonts w:ascii="Trebuchet MS" w:hAnsi="Trebuchet MS" w:cs="Times New Roman"/>
          <w:sz w:val="24"/>
          <w:szCs w:val="24"/>
        </w:rPr>
        <w:t>nearly</w:t>
      </w:r>
      <w:proofErr w:type="spellEnd"/>
      <w:r w:rsidRPr="001951D1">
        <w:rPr>
          <w:rFonts w:ascii="Trebuchet MS" w:hAnsi="Trebuchet MS" w:cs="Times New Roman"/>
          <w:sz w:val="24"/>
          <w:szCs w:val="24"/>
        </w:rPr>
        <w:t xml:space="preserve"> zero-</w:t>
      </w:r>
      <w:proofErr w:type="spellStart"/>
      <w:r w:rsidRPr="001951D1">
        <w:rPr>
          <w:rFonts w:ascii="Trebuchet MS" w:hAnsi="Trebuchet MS" w:cs="Times New Roman"/>
          <w:sz w:val="24"/>
          <w:szCs w:val="24"/>
        </w:rPr>
        <w:t>energy</w:t>
      </w:r>
      <w:proofErr w:type="spellEnd"/>
      <w:r w:rsidRPr="001951D1">
        <w:rPr>
          <w:rFonts w:ascii="Trebuchet MS" w:hAnsi="Trebuchet MS" w:cs="Times New Roman"/>
          <w:sz w:val="24"/>
          <w:szCs w:val="24"/>
        </w:rPr>
        <w:t xml:space="preserve"> </w:t>
      </w:r>
      <w:proofErr w:type="spellStart"/>
      <w:r w:rsidRPr="001951D1">
        <w:rPr>
          <w:rFonts w:ascii="Trebuchet MS" w:hAnsi="Trebuchet MS" w:cs="Times New Roman"/>
          <w:sz w:val="24"/>
          <w:szCs w:val="24"/>
        </w:rPr>
        <w:t>buildings</w:t>
      </w:r>
      <w:proofErr w:type="spellEnd"/>
      <w:r w:rsidRPr="001951D1">
        <w:rPr>
          <w:rFonts w:ascii="Trebuchet MS" w:hAnsi="Trebuchet MS" w:cs="Times New Roman"/>
          <w:sz w:val="24"/>
          <w:szCs w:val="24"/>
        </w:rPr>
        <w:t xml:space="preserve"> - NZEB), în concordanță cu Directiva privind performanța energetică a clădirilor (EPBD), în forma actualizată la momentul depunerii cererii de finanțare.</w:t>
      </w:r>
    </w:p>
    <w:p w14:paraId="6262AB46"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Echipamentele și substanțele folosite în activitățile de cercetare nu vor fi dintre cele restricționate enumerate în Anexa II la Directiva 2011/65 / UE, cu excepția cazului în care valorile concentrației în greutate în materiale omogene nu le depășesc pe cele enumerate în anexa respectivă.</w:t>
      </w:r>
      <w:r w:rsidRPr="001951D1">
        <w:rPr>
          <w:rFonts w:ascii="Trebuchet MS" w:hAnsi="Trebuchet MS"/>
          <w:sz w:val="24"/>
          <w:szCs w:val="24"/>
        </w:rPr>
        <w:t xml:space="preserve"> </w:t>
      </w:r>
      <w:r w:rsidRPr="001951D1">
        <w:rPr>
          <w:rFonts w:ascii="Trebuchet MS" w:hAnsi="Trebuchet MS" w:cs="Times New Roman"/>
          <w:sz w:val="24"/>
          <w:szCs w:val="24"/>
        </w:rPr>
        <w:t>Se vor avea în vedere cele mai bune tehnici disponibile (BAT) pentru instalațiile propuse a fi realizate, cu integrarea pe cât posibil a energiei din surse regenerabile și / sau promovarea principiului de eficiență energetică</w:t>
      </w:r>
    </w:p>
    <w:p w14:paraId="7E518B3F" w14:textId="77777777" w:rsidR="00D23179" w:rsidRPr="001951D1" w:rsidRDefault="00D23179" w:rsidP="00D23179">
      <w:pPr>
        <w:spacing w:after="0" w:line="240" w:lineRule="auto"/>
        <w:ind w:firstLine="720"/>
        <w:jc w:val="both"/>
        <w:rPr>
          <w:rFonts w:ascii="Trebuchet MS" w:hAnsi="Trebuchet MS" w:cs="Times New Roman"/>
          <w:sz w:val="24"/>
          <w:szCs w:val="24"/>
        </w:rPr>
      </w:pPr>
    </w:p>
    <w:p w14:paraId="1957E288"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Orice alte măsuri suplimentare asumate de beneficiar față de criteriile minime menționate mai sus se vor puncta suplimentar în etapa de selecție.</w:t>
      </w:r>
    </w:p>
    <w:p w14:paraId="5B9A2B95" w14:textId="77777777" w:rsidR="00D23179" w:rsidRPr="001951D1" w:rsidRDefault="00D23179" w:rsidP="00D23179">
      <w:pPr>
        <w:spacing w:after="0" w:line="240" w:lineRule="auto"/>
        <w:ind w:firstLine="720"/>
        <w:jc w:val="both"/>
        <w:rPr>
          <w:rFonts w:ascii="Trebuchet MS" w:hAnsi="Trebuchet MS" w:cs="Times New Roman"/>
          <w:sz w:val="24"/>
          <w:szCs w:val="24"/>
        </w:rPr>
      </w:pPr>
    </w:p>
    <w:p w14:paraId="4486EB77" w14:textId="77777777" w:rsidR="00D23179" w:rsidRPr="001951D1" w:rsidRDefault="00D23179" w:rsidP="00D23179">
      <w:pPr>
        <w:spacing w:after="0" w:line="240" w:lineRule="auto"/>
        <w:ind w:firstLine="720"/>
        <w:jc w:val="both"/>
        <w:rPr>
          <w:rFonts w:ascii="Trebuchet MS" w:hAnsi="Trebuchet MS" w:cs="Times New Roman"/>
          <w:b/>
          <w:sz w:val="24"/>
          <w:szCs w:val="24"/>
        </w:rPr>
      </w:pPr>
      <w:r w:rsidRPr="001951D1">
        <w:rPr>
          <w:rFonts w:ascii="Trebuchet MS" w:hAnsi="Trebuchet MS" w:cs="Times New Roman"/>
          <w:b/>
          <w:sz w:val="24"/>
          <w:szCs w:val="24"/>
        </w:rPr>
        <w:t>B. Adaptarea la schimbările climatice;</w:t>
      </w:r>
    </w:p>
    <w:p w14:paraId="07040322"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Criterii de eligibilitate:</w:t>
      </w:r>
    </w:p>
    <w:p w14:paraId="3FF8ED18" w14:textId="75353224"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Pentru a asigura compatibilitatea proiectelor selectate cu activitățile evaluate ca fiind conforme cu principiul DNSH, vor fi incluse ca măsuri obligatorii următoarele măsuri de adaptare prin care solicitantul își va asuma că:</w:t>
      </w:r>
    </w:p>
    <w:p w14:paraId="4BAC7EF8"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În funcție de specificul fiecărui proiect vor fi implementate diferite măsuri de adaptare la schimbările climatice, luând în considerare folosirea eficientă a resurselor:</w:t>
      </w:r>
    </w:p>
    <w:p w14:paraId="338FD459"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utilizarea unor soluții tehnice care să permită adaptarea la temperaturile maxime actuale;</w:t>
      </w:r>
    </w:p>
    <w:p w14:paraId="2FD23585"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lastRenderedPageBreak/>
        <w:t>- proiectarea infrastructurii pentru colectarea apelor pluviale;</w:t>
      </w:r>
    </w:p>
    <w:p w14:paraId="2E5C0B54"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măsuri de adaptare în conformitate cu specificul climatic al zonei;</w:t>
      </w:r>
    </w:p>
    <w:p w14:paraId="1C2B7175"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monitorizarea constantă a comportamentului infrastructurii în contextul utilizării acesteia;</w:t>
      </w:r>
    </w:p>
    <w:p w14:paraId="49AC441C"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xml:space="preserve">Fenomenele climatice care vor fi luate în calcul pe parcursul tuturor etapelor activităților prevăzute în cadrul acestei acțiuni sunt: inundațiile, eroziunile pluviale, alunecările de teren, ploile torențiale, valurile de călduri. Vor fi luate în considerare atât efectele schimbărilor climatice din prezent, cât și cele din viitor. Soluții specifice vor fi puse în aplicare în cazul în care sunt identificate probleme în ceea ce privește adaptarea investițiilor la schimbările climatice.   </w:t>
      </w:r>
    </w:p>
    <w:p w14:paraId="70BDBF42"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xml:space="preserve">În afara măsurilor de atenuare care vor fi aplicate acolo unde este cazul pentru fiecare proiect în sine, vor fi luate în calcul și efectele negative ale climatului actual și al climatului exterior asupra persoanelor, asupra naturii și asupra activelor. </w:t>
      </w:r>
    </w:p>
    <w:p w14:paraId="3A5F460E" w14:textId="77777777" w:rsidR="00D23179" w:rsidRPr="001951D1" w:rsidRDefault="00D23179" w:rsidP="00D23179">
      <w:pPr>
        <w:spacing w:after="0" w:line="240" w:lineRule="auto"/>
        <w:ind w:firstLine="720"/>
        <w:jc w:val="both"/>
        <w:rPr>
          <w:rFonts w:ascii="Trebuchet MS" w:hAnsi="Trebuchet MS" w:cs="Times New Roman"/>
          <w:sz w:val="24"/>
          <w:szCs w:val="24"/>
          <w:lang w:val="it-IT"/>
        </w:rPr>
      </w:pPr>
      <w:r w:rsidRPr="001951D1">
        <w:rPr>
          <w:rFonts w:ascii="Trebuchet MS" w:hAnsi="Trebuchet MS" w:cs="Times New Roman"/>
          <w:sz w:val="24"/>
          <w:szCs w:val="24"/>
          <w:lang w:val="it-IT"/>
        </w:rPr>
        <w:t xml:space="preserve">Activitatea integrează măsuri fizice și non-fizice menite să reducă - în măsura posibilului și cu cel mai bun efort - toate riscurile materiale (riscuri legate de temperatură, vânt, apă, riscuri legate de masa solidă) care au fost identificate printr-o evaluare a riscurilor si vulnerabilitatilor climatice. </w:t>
      </w:r>
    </w:p>
    <w:p w14:paraId="740F6352" w14:textId="77777777" w:rsidR="00D23179" w:rsidRPr="001951D1" w:rsidRDefault="00D23179" w:rsidP="00D23179">
      <w:pPr>
        <w:spacing w:after="0" w:line="240" w:lineRule="auto"/>
        <w:jc w:val="both"/>
        <w:rPr>
          <w:rFonts w:ascii="Trebuchet MS" w:hAnsi="Trebuchet MS" w:cs="Times New Roman"/>
          <w:sz w:val="24"/>
          <w:szCs w:val="24"/>
          <w:highlight w:val="yellow"/>
        </w:rPr>
      </w:pPr>
    </w:p>
    <w:p w14:paraId="0D6231A2" w14:textId="77777777" w:rsidR="00D23179" w:rsidRPr="001951D1" w:rsidRDefault="00D23179" w:rsidP="00D23179">
      <w:pPr>
        <w:spacing w:after="0" w:line="240" w:lineRule="auto"/>
        <w:ind w:firstLine="720"/>
        <w:jc w:val="both"/>
        <w:rPr>
          <w:rFonts w:ascii="Trebuchet MS" w:hAnsi="Trebuchet MS" w:cs="Times New Roman"/>
          <w:b/>
          <w:sz w:val="24"/>
          <w:szCs w:val="24"/>
        </w:rPr>
      </w:pPr>
      <w:r w:rsidRPr="001951D1">
        <w:rPr>
          <w:rFonts w:ascii="Trebuchet MS" w:hAnsi="Trebuchet MS" w:cs="Times New Roman"/>
          <w:b/>
          <w:sz w:val="24"/>
          <w:szCs w:val="24"/>
        </w:rPr>
        <w:t>C. Utilizarea durabilă și protejarea resurselor de apă și a celor marine;</w:t>
      </w:r>
    </w:p>
    <w:p w14:paraId="0B16DC9C"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Criterii de eligibilitate:</w:t>
      </w:r>
    </w:p>
    <w:p w14:paraId="071A0E76" w14:textId="77777777" w:rsidR="00D23179" w:rsidRPr="001951D1" w:rsidRDefault="00D23179" w:rsidP="00D23179">
      <w:pPr>
        <w:ind w:firstLine="708"/>
        <w:jc w:val="both"/>
        <w:rPr>
          <w:rFonts w:ascii="Trebuchet MS" w:hAnsi="Trebuchet MS" w:cs="Times New Roman"/>
          <w:sz w:val="24"/>
          <w:szCs w:val="24"/>
        </w:rPr>
      </w:pPr>
      <w:r w:rsidRPr="001951D1">
        <w:rPr>
          <w:rFonts w:ascii="Trebuchet MS" w:hAnsi="Trebuchet MS" w:cs="Times New Roman"/>
          <w:sz w:val="24"/>
          <w:szCs w:val="24"/>
        </w:rPr>
        <w:t xml:space="preserve">Procedura de evaluare a impactului asupra mediului care va fi derulată pentru proiect, va integra, după caz, și procedura de emitere a avizului de gospodărire a apelor care include evaluarea impactului asupra corpurilor de apă conform prevederilor Legii apelor nr. 107/1996, care transpune în legislația națională Directiva Cadru Apă. </w:t>
      </w:r>
    </w:p>
    <w:p w14:paraId="0DA98AC7" w14:textId="77777777" w:rsidR="00D23179" w:rsidRPr="001951D1" w:rsidRDefault="00D23179" w:rsidP="00D23179">
      <w:pPr>
        <w:ind w:firstLine="708"/>
        <w:jc w:val="both"/>
        <w:rPr>
          <w:rFonts w:ascii="Trebuchet MS" w:hAnsi="Trebuchet MS" w:cs="Times New Roman"/>
          <w:sz w:val="24"/>
          <w:szCs w:val="24"/>
        </w:rPr>
      </w:pPr>
      <w:r w:rsidRPr="001951D1">
        <w:rPr>
          <w:rFonts w:ascii="Trebuchet MS" w:hAnsi="Trebuchet MS" w:cs="Times New Roman"/>
          <w:sz w:val="24"/>
          <w:szCs w:val="24"/>
        </w:rPr>
        <w:t xml:space="preserve">În etapa de execuție a lucrărilor de construire / montaj, constructorilor le vor fi impuse condiții astfel încât să se excludă apariția unor efecte negative asupra factorilor de mediu și, în special, asupra  apei prin riguroasa gestionare a lucrărilor, respectarea unor măsuri clare de gestionare pentru toate materialele, echipamentele și instalațiile  utilizate, și depozitare corectă a acestora, în conformitate cu normele specifice, precum și acțiuni de conștientizare periodică a lucrătorilor cu privire la toate măsurile necesare pentru evitarea oricărei afectări a stării corpurilor de apă. </w:t>
      </w:r>
    </w:p>
    <w:p w14:paraId="3C3DB9D4" w14:textId="77777777" w:rsidR="00D23179" w:rsidRPr="001951D1" w:rsidRDefault="00D23179" w:rsidP="00D23179">
      <w:pPr>
        <w:ind w:firstLine="708"/>
        <w:jc w:val="both"/>
        <w:rPr>
          <w:rFonts w:ascii="Trebuchet MS" w:hAnsi="Trebuchet MS" w:cs="Times New Roman"/>
          <w:sz w:val="24"/>
          <w:szCs w:val="24"/>
        </w:rPr>
      </w:pPr>
      <w:r w:rsidRPr="001951D1">
        <w:rPr>
          <w:rFonts w:ascii="Trebuchet MS" w:hAnsi="Trebuchet MS" w:cs="Times New Roman"/>
          <w:sz w:val="24"/>
          <w:szCs w:val="24"/>
        </w:rPr>
        <w:t>Proiectul de investiții va integra toate condițiile și măsurile din actul de mediu pentru obținerea autorizației de construire, iar verificarea implementării măsurilor de prevenire și reducere atât în timpul lucrărilor de execuție, cât și în perioada de funcționare va fi realizată de către Garda Națională de Mediu.</w:t>
      </w:r>
    </w:p>
    <w:p w14:paraId="270EC313"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Orice alte măsuri suplimentare asumate de beneficiar față de criteriile minime menționate mai sus se vor puncta suplimentar în etapa de selecție.</w:t>
      </w:r>
    </w:p>
    <w:p w14:paraId="7C5E6732" w14:textId="77777777" w:rsidR="00D23179" w:rsidRPr="001951D1" w:rsidRDefault="00D23179" w:rsidP="00D23179">
      <w:pPr>
        <w:spacing w:after="0" w:line="240" w:lineRule="auto"/>
        <w:ind w:firstLine="720"/>
        <w:jc w:val="both"/>
        <w:rPr>
          <w:rFonts w:ascii="Trebuchet MS" w:hAnsi="Trebuchet MS" w:cs="Times New Roman"/>
          <w:b/>
          <w:sz w:val="24"/>
          <w:szCs w:val="24"/>
        </w:rPr>
      </w:pPr>
    </w:p>
    <w:p w14:paraId="4CA9EB50" w14:textId="77777777" w:rsidR="00D23179" w:rsidRPr="001951D1" w:rsidRDefault="00D23179" w:rsidP="00D23179">
      <w:pPr>
        <w:spacing w:after="0" w:line="240" w:lineRule="auto"/>
        <w:ind w:firstLine="720"/>
        <w:jc w:val="both"/>
        <w:rPr>
          <w:rFonts w:ascii="Trebuchet MS" w:hAnsi="Trebuchet MS" w:cs="Times New Roman"/>
          <w:b/>
          <w:sz w:val="24"/>
          <w:szCs w:val="24"/>
        </w:rPr>
      </w:pPr>
      <w:r w:rsidRPr="001951D1">
        <w:rPr>
          <w:rFonts w:ascii="Trebuchet MS" w:hAnsi="Trebuchet MS" w:cs="Times New Roman"/>
          <w:b/>
          <w:sz w:val="24"/>
          <w:szCs w:val="24"/>
        </w:rPr>
        <w:lastRenderedPageBreak/>
        <w:t>D.  Economia circulară, inclusiv prevenirea generării de deșeuri și reciclarea acestora;</w:t>
      </w:r>
    </w:p>
    <w:p w14:paraId="2DB54989"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Criterii de eligibilitate:</w:t>
      </w:r>
    </w:p>
    <w:p w14:paraId="1ED2CEB5"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Pe perioada executării lucrărilor de construcție, constructorii se vor asigura că deșeurile nepericuloase rezultate din construcții și demolări vor fi sortate pentru a facilita reutilizarea și valorificarea materială,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mai adaptabile, mai flexibile și demontabile pentru a permite reutilizarea și reciclarea. Proiectul asigură colectarea eficientă și eficientă a deșeurilor la sursă și că fracțiile separate la sursă sunt trimise spre pregătire pentru reutilizare sau reciclare.</w:t>
      </w:r>
    </w:p>
    <w:p w14:paraId="1850C99A"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Investiții în infrastructură: cel puțin 30 % (în greutate) din deșeurile nepericuloase de construcții și demolări generate pe șantier vor fi pregătite pentru reutilizare, reciclare și recuperare a altor materiale, inclusiv operațiunile de rambleu folosind deșeuri pentru a înlocui alte materiale; în conformitate cu ierarhia deșeurilor și cu Protocolul UE de gestionare a deșeurilor din construcții și demolări.</w:t>
      </w:r>
    </w:p>
    <w:p w14:paraId="6E52D63C"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În ceea ce privește echipamentele nou achiziționate, acestea vor respecta prevederile legale în vigoare, inclusiv standardele europene, cu privire la producerea acestora conform Directivei (EC) 2009/125  din 21 octombrie 2009 de instituire a unui cadru pentru stabilirea cerințelor în materie de proiectare ecologică aplicabile produselor cu impact energetic. Echipamentele utilizate nu vor conține substanțele restricționate enumerate în Directiva (EU) 2011/65 din 8 iunie 2011 privind restricțiile de utilizare a anumitor substanțe periculoase în echipamentele electrice și electronice, iar la sfârșitul duratei de viață a echipamentelor se va avea în vedere respectarea prevederilor Directivei (EU) 2012/19 din 4 iulie 2012 privind deșeurile de echipamente electrice și electronice.</w:t>
      </w:r>
    </w:p>
    <w:p w14:paraId="7AF1ABF6" w14:textId="77777777" w:rsidR="00D23179" w:rsidRPr="001951D1" w:rsidRDefault="00D23179" w:rsidP="00D23179">
      <w:pPr>
        <w:spacing w:after="0" w:line="240" w:lineRule="auto"/>
        <w:ind w:firstLine="720"/>
        <w:jc w:val="both"/>
        <w:rPr>
          <w:rFonts w:ascii="Trebuchet MS" w:hAnsi="Trebuchet MS" w:cs="Times New Roman"/>
          <w:sz w:val="24"/>
          <w:szCs w:val="24"/>
        </w:rPr>
      </w:pPr>
    </w:p>
    <w:p w14:paraId="245EF96D" w14:textId="77777777" w:rsidR="00D23179" w:rsidRPr="001951D1" w:rsidRDefault="00D23179" w:rsidP="00D23179">
      <w:pPr>
        <w:spacing w:after="0" w:line="240" w:lineRule="auto"/>
        <w:ind w:firstLine="720"/>
        <w:jc w:val="both"/>
        <w:rPr>
          <w:rFonts w:ascii="Trebuchet MS" w:hAnsi="Trebuchet MS" w:cs="Times New Roman"/>
          <w:sz w:val="24"/>
          <w:szCs w:val="24"/>
        </w:rPr>
      </w:pPr>
      <w:bookmarkStart w:id="3" w:name="_Hlk143702642"/>
      <w:r w:rsidRPr="001951D1">
        <w:rPr>
          <w:rFonts w:ascii="Trebuchet MS" w:hAnsi="Trebuchet MS" w:cs="Times New Roman"/>
          <w:sz w:val="24"/>
          <w:szCs w:val="24"/>
        </w:rPr>
        <w:t>Orice alte măsuri suplimentare asumate de beneficiar față de criteriile minime menționate mai sus se vor puncta suplimentar în etapa de selecție.</w:t>
      </w:r>
    </w:p>
    <w:bookmarkEnd w:id="3"/>
    <w:p w14:paraId="6A938437" w14:textId="77777777" w:rsidR="00D23179" w:rsidRPr="001951D1" w:rsidRDefault="00D23179" w:rsidP="00D23179">
      <w:pPr>
        <w:spacing w:after="0" w:line="240" w:lineRule="auto"/>
        <w:ind w:firstLine="720"/>
        <w:jc w:val="both"/>
        <w:rPr>
          <w:rFonts w:ascii="Trebuchet MS" w:hAnsi="Trebuchet MS" w:cs="Times New Roman"/>
          <w:b/>
          <w:sz w:val="24"/>
          <w:szCs w:val="24"/>
        </w:rPr>
      </w:pPr>
    </w:p>
    <w:p w14:paraId="384425F8" w14:textId="77777777" w:rsidR="00D23179" w:rsidRPr="001951D1" w:rsidRDefault="00D23179" w:rsidP="00D23179">
      <w:pPr>
        <w:spacing w:after="0" w:line="240" w:lineRule="auto"/>
        <w:ind w:firstLine="720"/>
        <w:jc w:val="both"/>
        <w:rPr>
          <w:rFonts w:ascii="Trebuchet MS" w:hAnsi="Trebuchet MS" w:cs="Times New Roman"/>
          <w:b/>
          <w:sz w:val="24"/>
          <w:szCs w:val="24"/>
        </w:rPr>
      </w:pPr>
      <w:r w:rsidRPr="001951D1">
        <w:rPr>
          <w:rFonts w:ascii="Trebuchet MS" w:hAnsi="Trebuchet MS" w:cs="Times New Roman"/>
          <w:b/>
          <w:sz w:val="24"/>
          <w:szCs w:val="24"/>
        </w:rPr>
        <w:t>E.  Prevenirea și controlul poluării aerului, apei sau solului;</w:t>
      </w:r>
    </w:p>
    <w:p w14:paraId="29717BD4" w14:textId="77777777" w:rsidR="00D23179" w:rsidRPr="001951D1" w:rsidRDefault="00D23179" w:rsidP="00D23179">
      <w:pPr>
        <w:spacing w:after="0" w:line="240" w:lineRule="auto"/>
        <w:ind w:firstLine="720"/>
        <w:jc w:val="both"/>
        <w:rPr>
          <w:rFonts w:ascii="Trebuchet MS" w:eastAsia="Arial" w:hAnsi="Trebuchet MS" w:cs="Times New Roman"/>
          <w:bCs/>
          <w:color w:val="FF0000"/>
          <w:sz w:val="24"/>
          <w:szCs w:val="24"/>
          <w:u w:val="single"/>
        </w:rPr>
      </w:pPr>
      <w:r w:rsidRPr="001951D1">
        <w:rPr>
          <w:rFonts w:ascii="Trebuchet MS" w:hAnsi="Trebuchet MS" w:cs="Times New Roman"/>
          <w:sz w:val="24"/>
          <w:szCs w:val="24"/>
        </w:rPr>
        <w:t>N/A</w:t>
      </w:r>
    </w:p>
    <w:p w14:paraId="01A83A9A" w14:textId="77777777" w:rsidR="00D23179" w:rsidRPr="001951D1" w:rsidRDefault="00D23179" w:rsidP="00D23179">
      <w:pPr>
        <w:spacing w:after="0" w:line="240" w:lineRule="auto"/>
        <w:ind w:firstLine="720"/>
        <w:jc w:val="both"/>
        <w:rPr>
          <w:rFonts w:ascii="Trebuchet MS" w:hAnsi="Trebuchet MS" w:cs="Times New Roman"/>
          <w:sz w:val="24"/>
          <w:szCs w:val="24"/>
        </w:rPr>
      </w:pPr>
    </w:p>
    <w:p w14:paraId="2DDCDD78" w14:textId="77777777" w:rsidR="00D23179" w:rsidRPr="001951D1" w:rsidRDefault="00D23179" w:rsidP="00D23179">
      <w:pPr>
        <w:spacing w:after="0" w:line="240" w:lineRule="auto"/>
        <w:ind w:firstLine="720"/>
        <w:jc w:val="both"/>
        <w:rPr>
          <w:rFonts w:ascii="Trebuchet MS" w:hAnsi="Trebuchet MS" w:cs="Times New Roman"/>
          <w:b/>
          <w:sz w:val="24"/>
          <w:szCs w:val="24"/>
        </w:rPr>
      </w:pPr>
      <w:r w:rsidRPr="001951D1">
        <w:rPr>
          <w:rFonts w:ascii="Trebuchet MS" w:hAnsi="Trebuchet MS" w:cs="Times New Roman"/>
          <w:b/>
          <w:sz w:val="24"/>
          <w:szCs w:val="24"/>
        </w:rPr>
        <w:t>F. Protecția și refacerea biodiversității și a ecosistemelor.</w:t>
      </w:r>
    </w:p>
    <w:p w14:paraId="0D290EED"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Criterii de eligibilitate:</w:t>
      </w:r>
    </w:p>
    <w:p w14:paraId="7B2E6044" w14:textId="77777777" w:rsidR="00D23179" w:rsidRPr="001951D1" w:rsidRDefault="00D23179" w:rsidP="00D23179">
      <w:pPr>
        <w:spacing w:line="240" w:lineRule="auto"/>
        <w:ind w:firstLine="708"/>
        <w:rPr>
          <w:rFonts w:ascii="Trebuchet MS" w:eastAsia="Arial" w:hAnsi="Trebuchet MS" w:cs="Times New Roman"/>
          <w:bCs/>
          <w:sz w:val="24"/>
          <w:szCs w:val="24"/>
        </w:rPr>
      </w:pPr>
      <w:r w:rsidRPr="001951D1">
        <w:rPr>
          <w:rFonts w:ascii="Trebuchet MS" w:eastAsia="Arial" w:hAnsi="Trebuchet MS" w:cs="Times New Roman"/>
          <w:bCs/>
          <w:sz w:val="24"/>
          <w:szCs w:val="24"/>
        </w:rPr>
        <w:t xml:space="preserve">Infrastructura de cercetare – dezvoltare – demonstrare este propusă a fi construită / reabilitată este localizată în zone deja </w:t>
      </w:r>
      <w:proofErr w:type="spellStart"/>
      <w:r w:rsidRPr="001951D1">
        <w:rPr>
          <w:rFonts w:ascii="Trebuchet MS" w:eastAsia="Arial" w:hAnsi="Trebuchet MS" w:cs="Times New Roman"/>
          <w:bCs/>
          <w:sz w:val="24"/>
          <w:szCs w:val="24"/>
        </w:rPr>
        <w:t>antropizate</w:t>
      </w:r>
      <w:proofErr w:type="spellEnd"/>
      <w:r w:rsidRPr="001951D1">
        <w:rPr>
          <w:rFonts w:ascii="Trebuchet MS" w:eastAsia="Arial" w:hAnsi="Trebuchet MS" w:cs="Times New Roman"/>
          <w:bCs/>
          <w:sz w:val="24"/>
          <w:szCs w:val="24"/>
        </w:rPr>
        <w:t xml:space="preserve">. </w:t>
      </w:r>
    </w:p>
    <w:p w14:paraId="3D3001CF" w14:textId="77777777" w:rsidR="00D23179" w:rsidRPr="001951D1" w:rsidRDefault="00D23179" w:rsidP="00D23179">
      <w:pPr>
        <w:spacing w:line="240" w:lineRule="auto"/>
        <w:ind w:firstLine="708"/>
        <w:rPr>
          <w:rFonts w:ascii="Trebuchet MS" w:eastAsia="Arial" w:hAnsi="Trebuchet MS" w:cs="Times New Roman"/>
          <w:bCs/>
          <w:sz w:val="24"/>
          <w:szCs w:val="24"/>
        </w:rPr>
      </w:pPr>
      <w:r w:rsidRPr="001951D1">
        <w:rPr>
          <w:rFonts w:ascii="Trebuchet MS" w:eastAsia="Arial" w:hAnsi="Trebuchet MS" w:cs="Times New Roman"/>
          <w:bCs/>
          <w:sz w:val="24"/>
          <w:szCs w:val="24"/>
        </w:rPr>
        <w:lastRenderedPageBreak/>
        <w:t xml:space="preserve">Impactul potențial al proiectului asupra mediului va fi evaluat în conformitate cu prevederile Directivelor EIA, Directivei Habitate și Directivei Păsări. </w:t>
      </w:r>
    </w:p>
    <w:p w14:paraId="75C2300C" w14:textId="77777777" w:rsidR="00D23179" w:rsidRPr="001951D1" w:rsidRDefault="00D23179" w:rsidP="00D23179">
      <w:pPr>
        <w:spacing w:line="240" w:lineRule="auto"/>
        <w:ind w:firstLine="708"/>
        <w:rPr>
          <w:rFonts w:ascii="Trebuchet MS" w:eastAsia="Arial" w:hAnsi="Trebuchet MS" w:cs="Times New Roman"/>
          <w:bCs/>
          <w:sz w:val="24"/>
          <w:szCs w:val="24"/>
        </w:rPr>
      </w:pPr>
      <w:r w:rsidRPr="001951D1">
        <w:rPr>
          <w:rFonts w:ascii="Trebuchet MS" w:eastAsia="Arial" w:hAnsi="Trebuchet MS" w:cs="Times New Roman"/>
          <w:bCs/>
          <w:sz w:val="24"/>
          <w:szCs w:val="24"/>
        </w:rPr>
        <w:t xml:space="preserve">Proiectul va pune obligatoriu în aplicare toate condițiile și măsurile de atenuare a unui potențial impact negativ asupra biodiversității și ecosistemelor care vor rezulta, după caz, din procedura de mediu. </w:t>
      </w:r>
    </w:p>
    <w:p w14:paraId="35BA31FF" w14:textId="77777777" w:rsidR="00D23179" w:rsidRPr="001951D1" w:rsidRDefault="00D23179" w:rsidP="00D23179">
      <w:pPr>
        <w:spacing w:line="240" w:lineRule="auto"/>
        <w:ind w:firstLine="708"/>
        <w:rPr>
          <w:rFonts w:ascii="Trebuchet MS" w:eastAsia="Arial" w:hAnsi="Trebuchet MS" w:cs="Times New Roman"/>
          <w:bCs/>
          <w:sz w:val="24"/>
          <w:szCs w:val="24"/>
        </w:rPr>
      </w:pPr>
      <w:r w:rsidRPr="001951D1">
        <w:rPr>
          <w:rFonts w:ascii="Trebuchet MS" w:eastAsia="Arial" w:hAnsi="Trebuchet MS" w:cs="Times New Roman"/>
          <w:bCs/>
          <w:sz w:val="24"/>
          <w:szCs w:val="24"/>
        </w:rPr>
        <w:t>Proiectul de investiții va integra toate condițiile și măsurile din actul de mediu pentru obținerea autorizației de construire iar verificarea implementării măsurilor de prevenire și reducere atât în timpul lucrărilor de execuție cât și în perioada de funcționare va fi realizată de către Garda Națională de Mediu.</w:t>
      </w:r>
    </w:p>
    <w:p w14:paraId="23FAF41A" w14:textId="77777777" w:rsidR="002203B4" w:rsidRPr="00903FCA" w:rsidRDefault="002203B4" w:rsidP="00162FC9">
      <w:pPr>
        <w:jc w:val="both"/>
        <w:rPr>
          <w:rFonts w:cstheme="minorHAnsi"/>
          <w:sz w:val="24"/>
          <w:szCs w:val="24"/>
        </w:rPr>
      </w:pPr>
    </w:p>
    <w:sectPr w:rsidR="002203B4" w:rsidRPr="00903FCA" w:rsidSect="00C809ED">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66C8A" w14:textId="77777777" w:rsidR="00DA2F45" w:rsidRDefault="00DA2F45" w:rsidP="00233880">
      <w:pPr>
        <w:spacing w:after="0" w:line="240" w:lineRule="auto"/>
      </w:pPr>
      <w:r>
        <w:separator/>
      </w:r>
    </w:p>
  </w:endnote>
  <w:endnote w:type="continuationSeparator" w:id="0">
    <w:p w14:paraId="4A7CB2DA" w14:textId="77777777" w:rsidR="00DA2F45" w:rsidRDefault="00DA2F45" w:rsidP="002338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7012559"/>
      <w:docPartObj>
        <w:docPartGallery w:val="Page Numbers (Bottom of Page)"/>
        <w:docPartUnique/>
      </w:docPartObj>
    </w:sdtPr>
    <w:sdtEndPr>
      <w:rPr>
        <w:noProof/>
      </w:rPr>
    </w:sdtEndPr>
    <w:sdtContent>
      <w:p w14:paraId="2F18CC98" w14:textId="77777777" w:rsidR="00903FCA" w:rsidRDefault="007A04FA">
        <w:pPr>
          <w:pStyle w:val="Footer"/>
          <w:jc w:val="right"/>
        </w:pPr>
        <w:r>
          <w:fldChar w:fldCharType="begin"/>
        </w:r>
        <w:r w:rsidR="00903FCA">
          <w:instrText xml:space="preserve"> PAGE   \* MERGEFORMAT </w:instrText>
        </w:r>
        <w:r>
          <w:fldChar w:fldCharType="separate"/>
        </w:r>
        <w:r w:rsidR="009307DA">
          <w:rPr>
            <w:noProof/>
          </w:rPr>
          <w:t>4</w:t>
        </w:r>
        <w:r>
          <w:rPr>
            <w:noProof/>
          </w:rPr>
          <w:fldChar w:fldCharType="end"/>
        </w:r>
      </w:p>
    </w:sdtContent>
  </w:sdt>
  <w:p w14:paraId="656DB8A3" w14:textId="77777777" w:rsidR="00903FCA" w:rsidRDefault="00903F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A657A" w14:textId="77777777" w:rsidR="00DA2F45" w:rsidRDefault="00DA2F45" w:rsidP="00233880">
      <w:pPr>
        <w:spacing w:after="0" w:line="240" w:lineRule="auto"/>
      </w:pPr>
      <w:r>
        <w:separator/>
      </w:r>
    </w:p>
  </w:footnote>
  <w:footnote w:type="continuationSeparator" w:id="0">
    <w:p w14:paraId="56439644" w14:textId="77777777" w:rsidR="00DA2F45" w:rsidRDefault="00DA2F45" w:rsidP="002338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060B0"/>
    <w:multiLevelType w:val="hybridMultilevel"/>
    <w:tmpl w:val="102A6D6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5202F5E"/>
    <w:multiLevelType w:val="hybridMultilevel"/>
    <w:tmpl w:val="4E6278F6"/>
    <w:lvl w:ilvl="0" w:tplc="696846CC">
      <w:start w:val="14"/>
      <w:numFmt w:val="bullet"/>
      <w:lvlText w:val="-"/>
      <w:lvlJc w:val="left"/>
      <w:pPr>
        <w:ind w:left="408" w:hanging="360"/>
      </w:pPr>
      <w:rPr>
        <w:rFonts w:ascii="Times New Roman" w:eastAsiaTheme="minorHAnsi" w:hAnsi="Times New Roman" w:cs="Times New Roman" w:hint="default"/>
      </w:rPr>
    </w:lvl>
    <w:lvl w:ilvl="1" w:tplc="04090003">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2" w15:restartNumberingAfterBreak="0">
    <w:nsid w:val="152611A3"/>
    <w:multiLevelType w:val="hybridMultilevel"/>
    <w:tmpl w:val="7AAEF22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15F7480F"/>
    <w:multiLevelType w:val="hybridMultilevel"/>
    <w:tmpl w:val="6CCC3BA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7E25E44"/>
    <w:multiLevelType w:val="hybridMultilevel"/>
    <w:tmpl w:val="E4A66FB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C56B75"/>
    <w:multiLevelType w:val="hybridMultilevel"/>
    <w:tmpl w:val="EB90726E"/>
    <w:lvl w:ilvl="0" w:tplc="957E791A">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ECE06E1"/>
    <w:multiLevelType w:val="hybridMultilevel"/>
    <w:tmpl w:val="51B02C7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2D21050"/>
    <w:multiLevelType w:val="hybridMultilevel"/>
    <w:tmpl w:val="A2483ADE"/>
    <w:lvl w:ilvl="0" w:tplc="AC50F1E0">
      <w:start w:val="1"/>
      <w:numFmt w:val="decimal"/>
      <w:lvlText w:val="%1."/>
      <w:lvlJc w:val="left"/>
      <w:pPr>
        <w:ind w:left="360" w:hanging="360"/>
      </w:pPr>
      <w:rPr>
        <w:rFonts w:asciiTheme="minorHAnsi" w:hAnsiTheme="minorHAnsi" w:cstheme="minorHAnsi"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2E275F2"/>
    <w:multiLevelType w:val="hybridMultilevel"/>
    <w:tmpl w:val="F51A92C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5F27F89"/>
    <w:multiLevelType w:val="hybridMultilevel"/>
    <w:tmpl w:val="51B02C72"/>
    <w:lvl w:ilvl="0" w:tplc="957E791A">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93F2057"/>
    <w:multiLevelType w:val="hybridMultilevel"/>
    <w:tmpl w:val="A5F2BBD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2BE10D93"/>
    <w:multiLevelType w:val="hybridMultilevel"/>
    <w:tmpl w:val="4454A11C"/>
    <w:lvl w:ilvl="0" w:tplc="1F0EC9CC">
      <w:start w:val="1"/>
      <w:numFmt w:val="low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2" w15:restartNumberingAfterBreak="0">
    <w:nsid w:val="2C4467C1"/>
    <w:multiLevelType w:val="hybridMultilevel"/>
    <w:tmpl w:val="E4A66FB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C515557"/>
    <w:multiLevelType w:val="hybridMultilevel"/>
    <w:tmpl w:val="EB90726E"/>
    <w:lvl w:ilvl="0" w:tplc="957E791A">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C643CDC"/>
    <w:multiLevelType w:val="hybridMultilevel"/>
    <w:tmpl w:val="8DE4FF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DCA4780"/>
    <w:multiLevelType w:val="hybridMultilevel"/>
    <w:tmpl w:val="13B8BEF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12469E7"/>
    <w:multiLevelType w:val="hybridMultilevel"/>
    <w:tmpl w:val="EB90726E"/>
    <w:lvl w:ilvl="0" w:tplc="957E791A">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68B2514"/>
    <w:multiLevelType w:val="hybridMultilevel"/>
    <w:tmpl w:val="55669454"/>
    <w:lvl w:ilvl="0" w:tplc="C340FAB6">
      <w:start w:val="1"/>
      <w:numFmt w:val="bullet"/>
      <w:lvlText w:val=""/>
      <w:lvlJc w:val="left"/>
      <w:pPr>
        <w:ind w:left="360" w:hanging="360"/>
      </w:pPr>
      <w:rPr>
        <w:rFonts w:ascii="Wingdings 3" w:hAnsi="Wingdings 3" w:hint="default"/>
        <w:color w:val="FFC000"/>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3BEA3E35"/>
    <w:multiLevelType w:val="hybridMultilevel"/>
    <w:tmpl w:val="FA8C736C"/>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CFB2B8D"/>
    <w:multiLevelType w:val="hybridMultilevel"/>
    <w:tmpl w:val="1C6A524C"/>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ECE17C0"/>
    <w:multiLevelType w:val="hybridMultilevel"/>
    <w:tmpl w:val="E4A66FB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08318CC"/>
    <w:multiLevelType w:val="hybridMultilevel"/>
    <w:tmpl w:val="E4A66FB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2D6578F"/>
    <w:multiLevelType w:val="hybridMultilevel"/>
    <w:tmpl w:val="8DE4FF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7D86EC9"/>
    <w:multiLevelType w:val="hybridMultilevel"/>
    <w:tmpl w:val="B19424D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4A4D3FD3"/>
    <w:multiLevelType w:val="hybridMultilevel"/>
    <w:tmpl w:val="197880F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BEA09E9"/>
    <w:multiLevelType w:val="hybridMultilevel"/>
    <w:tmpl w:val="BF1069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C731F14"/>
    <w:multiLevelType w:val="hybridMultilevel"/>
    <w:tmpl w:val="FA8C736C"/>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D173A79"/>
    <w:multiLevelType w:val="hybridMultilevel"/>
    <w:tmpl w:val="C91E074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33B35E9"/>
    <w:multiLevelType w:val="hybridMultilevel"/>
    <w:tmpl w:val="5FFCAB7A"/>
    <w:lvl w:ilvl="0" w:tplc="53346F4E">
      <w:start w:val="1"/>
      <w:numFmt w:val="decimal"/>
      <w:lvlText w:val="%1."/>
      <w:lvlJc w:val="left"/>
      <w:pPr>
        <w:ind w:left="450" w:hanging="45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4E478F4"/>
    <w:multiLevelType w:val="hybridMultilevel"/>
    <w:tmpl w:val="10583E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177D23"/>
    <w:multiLevelType w:val="hybridMultilevel"/>
    <w:tmpl w:val="FA8C736C"/>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5C91772F"/>
    <w:multiLevelType w:val="hybridMultilevel"/>
    <w:tmpl w:val="0FCAF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01143A"/>
    <w:multiLevelType w:val="hybridMultilevel"/>
    <w:tmpl w:val="E118D60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ABE3941"/>
    <w:multiLevelType w:val="hybridMultilevel"/>
    <w:tmpl w:val="FA8C736C"/>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6FDE671D"/>
    <w:multiLevelType w:val="hybridMultilevel"/>
    <w:tmpl w:val="197880F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2E757F3"/>
    <w:multiLevelType w:val="hybridMultilevel"/>
    <w:tmpl w:val="FA8C736C"/>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5823F89"/>
    <w:multiLevelType w:val="hybridMultilevel"/>
    <w:tmpl w:val="69708B1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BDB4883"/>
    <w:multiLevelType w:val="hybridMultilevel"/>
    <w:tmpl w:val="054C969A"/>
    <w:lvl w:ilvl="0" w:tplc="C8667448">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008902155">
    <w:abstractNumId w:val="16"/>
  </w:num>
  <w:num w:numId="2" w16cid:durableId="1561945260">
    <w:abstractNumId w:val="13"/>
  </w:num>
  <w:num w:numId="3" w16cid:durableId="641345668">
    <w:abstractNumId w:val="9"/>
  </w:num>
  <w:num w:numId="4" w16cid:durableId="407849134">
    <w:abstractNumId w:val="5"/>
  </w:num>
  <w:num w:numId="5" w16cid:durableId="264197967">
    <w:abstractNumId w:val="7"/>
  </w:num>
  <w:num w:numId="6" w16cid:durableId="936064634">
    <w:abstractNumId w:val="12"/>
  </w:num>
  <w:num w:numId="7" w16cid:durableId="487288584">
    <w:abstractNumId w:val="6"/>
  </w:num>
  <w:num w:numId="8" w16cid:durableId="1038160894">
    <w:abstractNumId w:val="36"/>
  </w:num>
  <w:num w:numId="9" w16cid:durableId="1276399422">
    <w:abstractNumId w:val="4"/>
  </w:num>
  <w:num w:numId="10" w16cid:durableId="1050305370">
    <w:abstractNumId w:val="20"/>
  </w:num>
  <w:num w:numId="11" w16cid:durableId="308678919">
    <w:abstractNumId w:val="3"/>
  </w:num>
  <w:num w:numId="12" w16cid:durableId="978611815">
    <w:abstractNumId w:val="19"/>
  </w:num>
  <w:num w:numId="13" w16cid:durableId="1560481988">
    <w:abstractNumId w:val="21"/>
  </w:num>
  <w:num w:numId="14" w16cid:durableId="568465685">
    <w:abstractNumId w:val="32"/>
  </w:num>
  <w:num w:numId="15" w16cid:durableId="532964153">
    <w:abstractNumId w:val="14"/>
  </w:num>
  <w:num w:numId="16" w16cid:durableId="95905405">
    <w:abstractNumId w:val="24"/>
  </w:num>
  <w:num w:numId="17" w16cid:durableId="1063915572">
    <w:abstractNumId w:val="22"/>
  </w:num>
  <w:num w:numId="18" w16cid:durableId="1085568686">
    <w:abstractNumId w:val="27"/>
  </w:num>
  <w:num w:numId="19" w16cid:durableId="1875849608">
    <w:abstractNumId w:val="34"/>
  </w:num>
  <w:num w:numId="20" w16cid:durableId="1445270017">
    <w:abstractNumId w:val="0"/>
  </w:num>
  <w:num w:numId="21" w16cid:durableId="553155642">
    <w:abstractNumId w:val="17"/>
  </w:num>
  <w:num w:numId="22" w16cid:durableId="1748336205">
    <w:abstractNumId w:val="10"/>
  </w:num>
  <w:num w:numId="23" w16cid:durableId="810249380">
    <w:abstractNumId w:val="2"/>
  </w:num>
  <w:num w:numId="24" w16cid:durableId="2116972170">
    <w:abstractNumId w:val="23"/>
  </w:num>
  <w:num w:numId="25" w16cid:durableId="541749352">
    <w:abstractNumId w:val="33"/>
  </w:num>
  <w:num w:numId="26" w16cid:durableId="1158152233">
    <w:abstractNumId w:val="18"/>
  </w:num>
  <w:num w:numId="27" w16cid:durableId="1771468679">
    <w:abstractNumId w:val="30"/>
  </w:num>
  <w:num w:numId="28" w16cid:durableId="1363821173">
    <w:abstractNumId w:val="35"/>
  </w:num>
  <w:num w:numId="29" w16cid:durableId="2082679290">
    <w:abstractNumId w:val="26"/>
  </w:num>
  <w:num w:numId="30" w16cid:durableId="950280823">
    <w:abstractNumId w:val="8"/>
  </w:num>
  <w:num w:numId="31" w16cid:durableId="680274575">
    <w:abstractNumId w:val="15"/>
  </w:num>
  <w:num w:numId="32" w16cid:durableId="1340355608">
    <w:abstractNumId w:val="28"/>
  </w:num>
  <w:num w:numId="33" w16cid:durableId="676006537">
    <w:abstractNumId w:val="37"/>
  </w:num>
  <w:num w:numId="34" w16cid:durableId="460075663">
    <w:abstractNumId w:val="29"/>
  </w:num>
  <w:num w:numId="35" w16cid:durableId="1898201869">
    <w:abstractNumId w:val="31"/>
  </w:num>
  <w:num w:numId="36" w16cid:durableId="907350802">
    <w:abstractNumId w:val="25"/>
  </w:num>
  <w:num w:numId="37" w16cid:durableId="1366254730">
    <w:abstractNumId w:val="1"/>
  </w:num>
  <w:num w:numId="38" w16cid:durableId="13014171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9ED"/>
    <w:rsid w:val="00006224"/>
    <w:rsid w:val="000143DD"/>
    <w:rsid w:val="00033777"/>
    <w:rsid w:val="00037F36"/>
    <w:rsid w:val="00061A13"/>
    <w:rsid w:val="00064179"/>
    <w:rsid w:val="000660A1"/>
    <w:rsid w:val="0008509D"/>
    <w:rsid w:val="000947EB"/>
    <w:rsid w:val="000A0A50"/>
    <w:rsid w:val="000A2989"/>
    <w:rsid w:val="000C0CB3"/>
    <w:rsid w:val="000C46E4"/>
    <w:rsid w:val="000D1FA5"/>
    <w:rsid w:val="000D40C6"/>
    <w:rsid w:val="00103ED9"/>
    <w:rsid w:val="00106F30"/>
    <w:rsid w:val="00117BA7"/>
    <w:rsid w:val="001235F9"/>
    <w:rsid w:val="00125142"/>
    <w:rsid w:val="0012676F"/>
    <w:rsid w:val="00131980"/>
    <w:rsid w:val="00131DAB"/>
    <w:rsid w:val="001334BA"/>
    <w:rsid w:val="00134F6D"/>
    <w:rsid w:val="00140EE0"/>
    <w:rsid w:val="001430A5"/>
    <w:rsid w:val="00143609"/>
    <w:rsid w:val="00151E70"/>
    <w:rsid w:val="00162FC9"/>
    <w:rsid w:val="001805F4"/>
    <w:rsid w:val="00183E26"/>
    <w:rsid w:val="00193312"/>
    <w:rsid w:val="00194D1E"/>
    <w:rsid w:val="001951D1"/>
    <w:rsid w:val="001A0CFF"/>
    <w:rsid w:val="001A1639"/>
    <w:rsid w:val="001B0835"/>
    <w:rsid w:val="001D6A9E"/>
    <w:rsid w:val="001E0EA8"/>
    <w:rsid w:val="001E33A1"/>
    <w:rsid w:val="00202C1E"/>
    <w:rsid w:val="0021016B"/>
    <w:rsid w:val="00211CCF"/>
    <w:rsid w:val="00215A18"/>
    <w:rsid w:val="00217F10"/>
    <w:rsid w:val="002203B4"/>
    <w:rsid w:val="00230238"/>
    <w:rsid w:val="00233880"/>
    <w:rsid w:val="0023502D"/>
    <w:rsid w:val="002351DC"/>
    <w:rsid w:val="002355E5"/>
    <w:rsid w:val="002531A7"/>
    <w:rsid w:val="00257EC5"/>
    <w:rsid w:val="00261D5C"/>
    <w:rsid w:val="00267F69"/>
    <w:rsid w:val="002734D7"/>
    <w:rsid w:val="00284FBB"/>
    <w:rsid w:val="00290500"/>
    <w:rsid w:val="00294810"/>
    <w:rsid w:val="00294811"/>
    <w:rsid w:val="00295037"/>
    <w:rsid w:val="002B2183"/>
    <w:rsid w:val="002B37D6"/>
    <w:rsid w:val="002B576B"/>
    <w:rsid w:val="002B586E"/>
    <w:rsid w:val="002D0E08"/>
    <w:rsid w:val="002E2E65"/>
    <w:rsid w:val="00302F55"/>
    <w:rsid w:val="00303B7D"/>
    <w:rsid w:val="003169A1"/>
    <w:rsid w:val="0032290E"/>
    <w:rsid w:val="003305B8"/>
    <w:rsid w:val="003361FE"/>
    <w:rsid w:val="00336C4F"/>
    <w:rsid w:val="0033797F"/>
    <w:rsid w:val="00341C09"/>
    <w:rsid w:val="0034340B"/>
    <w:rsid w:val="003434F2"/>
    <w:rsid w:val="00343E01"/>
    <w:rsid w:val="00347E4E"/>
    <w:rsid w:val="00350F58"/>
    <w:rsid w:val="0035757D"/>
    <w:rsid w:val="0037155D"/>
    <w:rsid w:val="00376191"/>
    <w:rsid w:val="0039103F"/>
    <w:rsid w:val="00392F3F"/>
    <w:rsid w:val="00395FB6"/>
    <w:rsid w:val="003A0D57"/>
    <w:rsid w:val="003A5108"/>
    <w:rsid w:val="003B0F73"/>
    <w:rsid w:val="003B56EA"/>
    <w:rsid w:val="003C68B5"/>
    <w:rsid w:val="003D5457"/>
    <w:rsid w:val="003D5CFF"/>
    <w:rsid w:val="003D6274"/>
    <w:rsid w:val="003E468F"/>
    <w:rsid w:val="003E593A"/>
    <w:rsid w:val="003F4FF2"/>
    <w:rsid w:val="003F5D5A"/>
    <w:rsid w:val="00401F95"/>
    <w:rsid w:val="0040337B"/>
    <w:rsid w:val="00406963"/>
    <w:rsid w:val="00411AA1"/>
    <w:rsid w:val="00417576"/>
    <w:rsid w:val="00422C21"/>
    <w:rsid w:val="0043332B"/>
    <w:rsid w:val="0043344A"/>
    <w:rsid w:val="004340CF"/>
    <w:rsid w:val="00440A3D"/>
    <w:rsid w:val="00442A88"/>
    <w:rsid w:val="00461179"/>
    <w:rsid w:val="00464760"/>
    <w:rsid w:val="004764E6"/>
    <w:rsid w:val="004B78A0"/>
    <w:rsid w:val="004C32E7"/>
    <w:rsid w:val="004C7820"/>
    <w:rsid w:val="004E2C63"/>
    <w:rsid w:val="004E39B6"/>
    <w:rsid w:val="004F64AC"/>
    <w:rsid w:val="005141F1"/>
    <w:rsid w:val="005254F5"/>
    <w:rsid w:val="00527050"/>
    <w:rsid w:val="00535471"/>
    <w:rsid w:val="00543F00"/>
    <w:rsid w:val="00547399"/>
    <w:rsid w:val="0056404E"/>
    <w:rsid w:val="00590F8F"/>
    <w:rsid w:val="00595DAA"/>
    <w:rsid w:val="005A0D7E"/>
    <w:rsid w:val="005A5AD4"/>
    <w:rsid w:val="005D67AA"/>
    <w:rsid w:val="005F507E"/>
    <w:rsid w:val="006056B9"/>
    <w:rsid w:val="00606F99"/>
    <w:rsid w:val="00613DE9"/>
    <w:rsid w:val="00614FB2"/>
    <w:rsid w:val="0061564E"/>
    <w:rsid w:val="006157F0"/>
    <w:rsid w:val="00620F78"/>
    <w:rsid w:val="00622BAA"/>
    <w:rsid w:val="006262A6"/>
    <w:rsid w:val="00640DB2"/>
    <w:rsid w:val="006603AA"/>
    <w:rsid w:val="006724A0"/>
    <w:rsid w:val="00675FAA"/>
    <w:rsid w:val="006A13B5"/>
    <w:rsid w:val="006A7FCC"/>
    <w:rsid w:val="006B2980"/>
    <w:rsid w:val="006B7E5F"/>
    <w:rsid w:val="006C0683"/>
    <w:rsid w:val="006C684B"/>
    <w:rsid w:val="006C79B4"/>
    <w:rsid w:val="00700AFC"/>
    <w:rsid w:val="007112AD"/>
    <w:rsid w:val="00717170"/>
    <w:rsid w:val="00724DCF"/>
    <w:rsid w:val="00726836"/>
    <w:rsid w:val="007375CD"/>
    <w:rsid w:val="007400E5"/>
    <w:rsid w:val="00741EA5"/>
    <w:rsid w:val="00742F4B"/>
    <w:rsid w:val="00746E1F"/>
    <w:rsid w:val="007477B8"/>
    <w:rsid w:val="007603E0"/>
    <w:rsid w:val="00761903"/>
    <w:rsid w:val="007662A9"/>
    <w:rsid w:val="007808FA"/>
    <w:rsid w:val="007949AA"/>
    <w:rsid w:val="00794ED7"/>
    <w:rsid w:val="00797153"/>
    <w:rsid w:val="007A04FA"/>
    <w:rsid w:val="007A0516"/>
    <w:rsid w:val="007A1492"/>
    <w:rsid w:val="007B087D"/>
    <w:rsid w:val="007C0251"/>
    <w:rsid w:val="007C0576"/>
    <w:rsid w:val="007C1F56"/>
    <w:rsid w:val="007C2F39"/>
    <w:rsid w:val="007C7A60"/>
    <w:rsid w:val="007D4621"/>
    <w:rsid w:val="007D641A"/>
    <w:rsid w:val="007E1EB5"/>
    <w:rsid w:val="007F6A6F"/>
    <w:rsid w:val="00802614"/>
    <w:rsid w:val="00802E16"/>
    <w:rsid w:val="00820310"/>
    <w:rsid w:val="00823D05"/>
    <w:rsid w:val="008327A9"/>
    <w:rsid w:val="008426EA"/>
    <w:rsid w:val="00843886"/>
    <w:rsid w:val="0085234A"/>
    <w:rsid w:val="0085751A"/>
    <w:rsid w:val="00860F41"/>
    <w:rsid w:val="00866BE6"/>
    <w:rsid w:val="00894A70"/>
    <w:rsid w:val="008A4625"/>
    <w:rsid w:val="008A46A3"/>
    <w:rsid w:val="008C4C16"/>
    <w:rsid w:val="008F2264"/>
    <w:rsid w:val="00900A0E"/>
    <w:rsid w:val="00901C8E"/>
    <w:rsid w:val="00903FCA"/>
    <w:rsid w:val="0090556E"/>
    <w:rsid w:val="00910B8A"/>
    <w:rsid w:val="00922D7E"/>
    <w:rsid w:val="0092456A"/>
    <w:rsid w:val="009307DA"/>
    <w:rsid w:val="00933C87"/>
    <w:rsid w:val="009474AC"/>
    <w:rsid w:val="009570D9"/>
    <w:rsid w:val="00962BC6"/>
    <w:rsid w:val="00966C64"/>
    <w:rsid w:val="00972453"/>
    <w:rsid w:val="00990DF1"/>
    <w:rsid w:val="0099274B"/>
    <w:rsid w:val="009A369D"/>
    <w:rsid w:val="009B1F7A"/>
    <w:rsid w:val="009C3230"/>
    <w:rsid w:val="009D07EB"/>
    <w:rsid w:val="009D3B8D"/>
    <w:rsid w:val="009E1C66"/>
    <w:rsid w:val="009F06E4"/>
    <w:rsid w:val="009F65F1"/>
    <w:rsid w:val="00A06867"/>
    <w:rsid w:val="00A1449C"/>
    <w:rsid w:val="00A23382"/>
    <w:rsid w:val="00A3711F"/>
    <w:rsid w:val="00A4149F"/>
    <w:rsid w:val="00A41BF3"/>
    <w:rsid w:val="00A431E0"/>
    <w:rsid w:val="00A52B1E"/>
    <w:rsid w:val="00A55897"/>
    <w:rsid w:val="00A55B35"/>
    <w:rsid w:val="00A5727A"/>
    <w:rsid w:val="00A5779F"/>
    <w:rsid w:val="00A63648"/>
    <w:rsid w:val="00A760D6"/>
    <w:rsid w:val="00A8174B"/>
    <w:rsid w:val="00A81CBF"/>
    <w:rsid w:val="00A97916"/>
    <w:rsid w:val="00AA6F5F"/>
    <w:rsid w:val="00AC7B3C"/>
    <w:rsid w:val="00AF6E96"/>
    <w:rsid w:val="00B2350C"/>
    <w:rsid w:val="00B3141B"/>
    <w:rsid w:val="00B33910"/>
    <w:rsid w:val="00B351C9"/>
    <w:rsid w:val="00B46640"/>
    <w:rsid w:val="00B513E1"/>
    <w:rsid w:val="00B5265E"/>
    <w:rsid w:val="00B60980"/>
    <w:rsid w:val="00B636E6"/>
    <w:rsid w:val="00B6622C"/>
    <w:rsid w:val="00B76006"/>
    <w:rsid w:val="00B77C06"/>
    <w:rsid w:val="00B847D2"/>
    <w:rsid w:val="00B93AD3"/>
    <w:rsid w:val="00BA00AC"/>
    <w:rsid w:val="00BA2CA5"/>
    <w:rsid w:val="00BB2D3A"/>
    <w:rsid w:val="00BB5E78"/>
    <w:rsid w:val="00BE165E"/>
    <w:rsid w:val="00BE49D3"/>
    <w:rsid w:val="00BE5163"/>
    <w:rsid w:val="00C02401"/>
    <w:rsid w:val="00C04478"/>
    <w:rsid w:val="00C05EC4"/>
    <w:rsid w:val="00C12C45"/>
    <w:rsid w:val="00C14B2F"/>
    <w:rsid w:val="00C20539"/>
    <w:rsid w:val="00C24A41"/>
    <w:rsid w:val="00C2759E"/>
    <w:rsid w:val="00C3433C"/>
    <w:rsid w:val="00C37634"/>
    <w:rsid w:val="00C46400"/>
    <w:rsid w:val="00C4766E"/>
    <w:rsid w:val="00C648EF"/>
    <w:rsid w:val="00C76FF5"/>
    <w:rsid w:val="00C809ED"/>
    <w:rsid w:val="00C83AA4"/>
    <w:rsid w:val="00C857C4"/>
    <w:rsid w:val="00C94984"/>
    <w:rsid w:val="00CA5DCE"/>
    <w:rsid w:val="00CB0C8A"/>
    <w:rsid w:val="00CB0DC2"/>
    <w:rsid w:val="00CC639F"/>
    <w:rsid w:val="00CD2DE2"/>
    <w:rsid w:val="00CD5932"/>
    <w:rsid w:val="00CD6483"/>
    <w:rsid w:val="00CD7F45"/>
    <w:rsid w:val="00CE2ACE"/>
    <w:rsid w:val="00CE5DB3"/>
    <w:rsid w:val="00CF2076"/>
    <w:rsid w:val="00CF48A5"/>
    <w:rsid w:val="00D0381F"/>
    <w:rsid w:val="00D12E4E"/>
    <w:rsid w:val="00D22687"/>
    <w:rsid w:val="00D23179"/>
    <w:rsid w:val="00D3395F"/>
    <w:rsid w:val="00D44C82"/>
    <w:rsid w:val="00D4793A"/>
    <w:rsid w:val="00D51850"/>
    <w:rsid w:val="00D6475A"/>
    <w:rsid w:val="00D73572"/>
    <w:rsid w:val="00D836E3"/>
    <w:rsid w:val="00D84C62"/>
    <w:rsid w:val="00D907DB"/>
    <w:rsid w:val="00D936F3"/>
    <w:rsid w:val="00DA2145"/>
    <w:rsid w:val="00DA2F45"/>
    <w:rsid w:val="00DB44D3"/>
    <w:rsid w:val="00DC08CC"/>
    <w:rsid w:val="00DC7EBD"/>
    <w:rsid w:val="00DD1A57"/>
    <w:rsid w:val="00DD3539"/>
    <w:rsid w:val="00DD4182"/>
    <w:rsid w:val="00DF0B51"/>
    <w:rsid w:val="00E02A68"/>
    <w:rsid w:val="00E03943"/>
    <w:rsid w:val="00E04C4F"/>
    <w:rsid w:val="00E10F2F"/>
    <w:rsid w:val="00E1179B"/>
    <w:rsid w:val="00E25EC1"/>
    <w:rsid w:val="00E35069"/>
    <w:rsid w:val="00E404BD"/>
    <w:rsid w:val="00E4140E"/>
    <w:rsid w:val="00E45DF2"/>
    <w:rsid w:val="00E5426B"/>
    <w:rsid w:val="00E56C46"/>
    <w:rsid w:val="00E60C99"/>
    <w:rsid w:val="00E65698"/>
    <w:rsid w:val="00E65DBF"/>
    <w:rsid w:val="00E7074A"/>
    <w:rsid w:val="00E7542E"/>
    <w:rsid w:val="00E77A5D"/>
    <w:rsid w:val="00E92398"/>
    <w:rsid w:val="00E937ED"/>
    <w:rsid w:val="00E942B1"/>
    <w:rsid w:val="00E96D22"/>
    <w:rsid w:val="00EA1618"/>
    <w:rsid w:val="00EB6628"/>
    <w:rsid w:val="00EB7004"/>
    <w:rsid w:val="00EC021A"/>
    <w:rsid w:val="00EC3364"/>
    <w:rsid w:val="00EC3929"/>
    <w:rsid w:val="00EC6C4C"/>
    <w:rsid w:val="00EC7F7D"/>
    <w:rsid w:val="00ED5DD8"/>
    <w:rsid w:val="00ED7186"/>
    <w:rsid w:val="00EE06F5"/>
    <w:rsid w:val="00EE52DE"/>
    <w:rsid w:val="00EF3F64"/>
    <w:rsid w:val="00F051B6"/>
    <w:rsid w:val="00F25E33"/>
    <w:rsid w:val="00F44D5A"/>
    <w:rsid w:val="00F4652A"/>
    <w:rsid w:val="00F55B97"/>
    <w:rsid w:val="00F56B01"/>
    <w:rsid w:val="00F57225"/>
    <w:rsid w:val="00F64F86"/>
    <w:rsid w:val="00F73794"/>
    <w:rsid w:val="00F92C60"/>
    <w:rsid w:val="00F97A3E"/>
    <w:rsid w:val="00FA3F77"/>
    <w:rsid w:val="00FA609E"/>
    <w:rsid w:val="00FA71D0"/>
    <w:rsid w:val="00FB44BE"/>
    <w:rsid w:val="00FB4E0D"/>
    <w:rsid w:val="00FC0282"/>
    <w:rsid w:val="00FD4AB9"/>
    <w:rsid w:val="00FE3E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B0E40"/>
  <w15:docId w15:val="{06654E47-6679-44E2-9734-AB76423EC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34F2"/>
  </w:style>
  <w:style w:type="paragraph" w:styleId="Heading1">
    <w:name w:val="heading 1"/>
    <w:basedOn w:val="Normal"/>
    <w:next w:val="Normal"/>
    <w:link w:val="Heading1Char"/>
    <w:uiPriority w:val="9"/>
    <w:qFormat/>
    <w:rsid w:val="009570D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C809ED"/>
    <w:pPr>
      <w:keepNext/>
      <w:keepLines/>
      <w:spacing w:before="40" w:after="0"/>
      <w:outlineLvl w:val="1"/>
    </w:pPr>
    <w:rPr>
      <w:rFonts w:ascii="Calibri Light" w:eastAsia="Times New Roman" w:hAnsi="Calibri Light" w:cs="Times New Roman"/>
      <w:color w:val="2E74B5"/>
      <w:sz w:val="26"/>
      <w:szCs w:val="26"/>
    </w:rPr>
  </w:style>
  <w:style w:type="paragraph" w:styleId="Heading3">
    <w:name w:val="heading 3"/>
    <w:basedOn w:val="Normal"/>
    <w:next w:val="Normal"/>
    <w:link w:val="Heading3Char"/>
    <w:uiPriority w:val="9"/>
    <w:unhideWhenUsed/>
    <w:qFormat/>
    <w:rsid w:val="00C809ED"/>
    <w:pPr>
      <w:keepNext/>
      <w:keepLines/>
      <w:spacing w:before="40" w:after="0"/>
      <w:outlineLvl w:val="2"/>
    </w:pPr>
    <w:rPr>
      <w:rFonts w:ascii="Calibri Light" w:eastAsia="Times New Roman" w:hAnsi="Calibri Light" w:cs="Times New Roman"/>
      <w:color w:val="1F4D7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809ED"/>
    <w:rPr>
      <w:rFonts w:ascii="Calibri Light" w:eastAsia="Times New Roman" w:hAnsi="Calibri Light" w:cs="Times New Roman"/>
      <w:color w:val="2E74B5"/>
      <w:sz w:val="26"/>
      <w:szCs w:val="26"/>
    </w:rPr>
  </w:style>
  <w:style w:type="character" w:customStyle="1" w:styleId="Heading3Char">
    <w:name w:val="Heading 3 Char"/>
    <w:basedOn w:val="DefaultParagraphFont"/>
    <w:link w:val="Heading3"/>
    <w:uiPriority w:val="9"/>
    <w:rsid w:val="00C809ED"/>
    <w:rPr>
      <w:rFonts w:ascii="Calibri Light" w:eastAsia="Times New Roman" w:hAnsi="Calibri Light" w:cs="Times New Roman"/>
      <w:color w:val="1F4D78"/>
      <w:sz w:val="24"/>
      <w:szCs w:val="24"/>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C809ED"/>
    <w:pPr>
      <w:widowControl w:val="0"/>
      <w:autoSpaceDE w:val="0"/>
      <w:autoSpaceDN w:val="0"/>
      <w:spacing w:after="0" w:line="240" w:lineRule="auto"/>
      <w:ind w:left="312"/>
    </w:pPr>
    <w:rPr>
      <w:rFonts w:ascii="Times New Roman" w:eastAsia="Times New Roman" w:hAnsi="Times New Roman" w:cs="Times New Roman"/>
      <w:lang w:val="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C809ED"/>
    <w:rPr>
      <w:rFonts w:ascii="Times New Roman" w:eastAsia="Times New Roman" w:hAnsi="Times New Roman" w:cs="Times New Roman"/>
      <w:lang w:val="en-US"/>
    </w:rPr>
  </w:style>
  <w:style w:type="table" w:customStyle="1" w:styleId="TableGrid1">
    <w:name w:val="Table Grid1"/>
    <w:basedOn w:val="TableNormal"/>
    <w:next w:val="TableGrid"/>
    <w:uiPriority w:val="39"/>
    <w:rsid w:val="00C809ED"/>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80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570D9"/>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9570D9"/>
    <w:pPr>
      <w:outlineLvl w:val="9"/>
    </w:pPr>
    <w:rPr>
      <w:lang w:val="en-US"/>
    </w:rPr>
  </w:style>
  <w:style w:type="paragraph" w:styleId="TOC1">
    <w:name w:val="toc 1"/>
    <w:basedOn w:val="Normal"/>
    <w:next w:val="Normal"/>
    <w:autoRedefine/>
    <w:uiPriority w:val="39"/>
    <w:unhideWhenUsed/>
    <w:rsid w:val="009570D9"/>
    <w:pPr>
      <w:tabs>
        <w:tab w:val="left" w:pos="440"/>
        <w:tab w:val="right" w:leader="dot" w:pos="9350"/>
      </w:tabs>
      <w:spacing w:after="100"/>
    </w:pPr>
  </w:style>
  <w:style w:type="paragraph" w:styleId="TOC2">
    <w:name w:val="toc 2"/>
    <w:basedOn w:val="Normal"/>
    <w:next w:val="Normal"/>
    <w:autoRedefine/>
    <w:uiPriority w:val="39"/>
    <w:unhideWhenUsed/>
    <w:rsid w:val="009570D9"/>
    <w:pPr>
      <w:tabs>
        <w:tab w:val="left" w:pos="880"/>
        <w:tab w:val="right" w:leader="dot" w:pos="9350"/>
      </w:tabs>
      <w:spacing w:after="100"/>
      <w:ind w:left="220"/>
    </w:pPr>
  </w:style>
  <w:style w:type="character" w:styleId="Hyperlink">
    <w:name w:val="Hyperlink"/>
    <w:basedOn w:val="DefaultParagraphFont"/>
    <w:uiPriority w:val="99"/>
    <w:unhideWhenUsed/>
    <w:rsid w:val="009570D9"/>
    <w:rPr>
      <w:color w:val="0563C1" w:themeColor="hyperlink"/>
      <w:u w:val="single"/>
    </w:rPr>
  </w:style>
  <w:style w:type="paragraph" w:styleId="TOC3">
    <w:name w:val="toc 3"/>
    <w:basedOn w:val="Normal"/>
    <w:next w:val="Normal"/>
    <w:autoRedefine/>
    <w:uiPriority w:val="39"/>
    <w:unhideWhenUsed/>
    <w:rsid w:val="009570D9"/>
    <w:pPr>
      <w:spacing w:after="100"/>
      <w:ind w:left="440"/>
    </w:pPr>
  </w:style>
  <w:style w:type="paragraph" w:styleId="Header">
    <w:name w:val="header"/>
    <w:basedOn w:val="Normal"/>
    <w:link w:val="HeaderChar"/>
    <w:uiPriority w:val="99"/>
    <w:unhideWhenUsed/>
    <w:rsid w:val="002338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3880"/>
  </w:style>
  <w:style w:type="paragraph" w:styleId="Footer">
    <w:name w:val="footer"/>
    <w:basedOn w:val="Normal"/>
    <w:link w:val="FooterChar"/>
    <w:uiPriority w:val="99"/>
    <w:unhideWhenUsed/>
    <w:rsid w:val="002338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3880"/>
  </w:style>
  <w:style w:type="table" w:customStyle="1" w:styleId="TableGrid11">
    <w:name w:val="Table Grid11"/>
    <w:basedOn w:val="TableNormal"/>
    <w:next w:val="TableGrid"/>
    <w:rsid w:val="008327A9"/>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4149F"/>
    <w:pPr>
      <w:spacing w:after="0" w:line="240" w:lineRule="auto"/>
    </w:pPr>
  </w:style>
  <w:style w:type="character" w:styleId="CommentReference">
    <w:name w:val="annotation reference"/>
    <w:basedOn w:val="DefaultParagraphFont"/>
    <w:uiPriority w:val="99"/>
    <w:semiHidden/>
    <w:unhideWhenUsed/>
    <w:rsid w:val="00A4149F"/>
    <w:rPr>
      <w:sz w:val="16"/>
      <w:szCs w:val="16"/>
    </w:rPr>
  </w:style>
  <w:style w:type="paragraph" w:styleId="CommentText">
    <w:name w:val="annotation text"/>
    <w:basedOn w:val="Normal"/>
    <w:link w:val="CommentTextChar"/>
    <w:uiPriority w:val="99"/>
    <w:semiHidden/>
    <w:unhideWhenUsed/>
    <w:rsid w:val="00A4149F"/>
    <w:pPr>
      <w:spacing w:line="240" w:lineRule="auto"/>
    </w:pPr>
    <w:rPr>
      <w:sz w:val="20"/>
      <w:szCs w:val="20"/>
    </w:rPr>
  </w:style>
  <w:style w:type="character" w:customStyle="1" w:styleId="CommentTextChar">
    <w:name w:val="Comment Text Char"/>
    <w:basedOn w:val="DefaultParagraphFont"/>
    <w:link w:val="CommentText"/>
    <w:uiPriority w:val="99"/>
    <w:semiHidden/>
    <w:rsid w:val="00A4149F"/>
    <w:rPr>
      <w:sz w:val="20"/>
      <w:szCs w:val="20"/>
    </w:rPr>
  </w:style>
  <w:style w:type="paragraph" w:styleId="CommentSubject">
    <w:name w:val="annotation subject"/>
    <w:basedOn w:val="CommentText"/>
    <w:next w:val="CommentText"/>
    <w:link w:val="CommentSubjectChar"/>
    <w:uiPriority w:val="99"/>
    <w:semiHidden/>
    <w:unhideWhenUsed/>
    <w:rsid w:val="00A4149F"/>
    <w:rPr>
      <w:b/>
      <w:bCs/>
    </w:rPr>
  </w:style>
  <w:style w:type="character" w:customStyle="1" w:styleId="CommentSubjectChar">
    <w:name w:val="Comment Subject Char"/>
    <w:basedOn w:val="CommentTextChar"/>
    <w:link w:val="CommentSubject"/>
    <w:uiPriority w:val="99"/>
    <w:semiHidden/>
    <w:rsid w:val="00A4149F"/>
    <w:rPr>
      <w:b/>
      <w:bCs/>
      <w:sz w:val="20"/>
      <w:szCs w:val="20"/>
    </w:rPr>
  </w:style>
  <w:style w:type="paragraph" w:styleId="BalloonText">
    <w:name w:val="Balloon Text"/>
    <w:basedOn w:val="Normal"/>
    <w:link w:val="BalloonTextChar"/>
    <w:uiPriority w:val="99"/>
    <w:semiHidden/>
    <w:unhideWhenUsed/>
    <w:rsid w:val="00E656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5698"/>
    <w:rPr>
      <w:rFonts w:ascii="Segoe UI" w:hAnsi="Segoe UI" w:cs="Segoe UI"/>
      <w:sz w:val="18"/>
      <w:szCs w:val="18"/>
    </w:rPr>
  </w:style>
  <w:style w:type="paragraph" w:styleId="NormalWeb">
    <w:name w:val="Normal (Web)"/>
    <w:basedOn w:val="Normal"/>
    <w:uiPriority w:val="99"/>
    <w:semiHidden/>
    <w:unhideWhenUsed/>
    <w:rsid w:val="001430A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811251">
      <w:bodyDiv w:val="1"/>
      <w:marLeft w:val="0"/>
      <w:marRight w:val="0"/>
      <w:marTop w:val="0"/>
      <w:marBottom w:val="0"/>
      <w:divBdr>
        <w:top w:val="none" w:sz="0" w:space="0" w:color="auto"/>
        <w:left w:val="none" w:sz="0" w:space="0" w:color="auto"/>
        <w:bottom w:val="none" w:sz="0" w:space="0" w:color="auto"/>
        <w:right w:val="none" w:sz="0" w:space="0" w:color="auto"/>
      </w:divBdr>
    </w:div>
    <w:div w:id="1595939486">
      <w:bodyDiv w:val="1"/>
      <w:marLeft w:val="0"/>
      <w:marRight w:val="0"/>
      <w:marTop w:val="0"/>
      <w:marBottom w:val="0"/>
      <w:divBdr>
        <w:top w:val="none" w:sz="0" w:space="0" w:color="auto"/>
        <w:left w:val="none" w:sz="0" w:space="0" w:color="auto"/>
        <w:bottom w:val="none" w:sz="0" w:space="0" w:color="auto"/>
        <w:right w:val="none" w:sz="0" w:space="0" w:color="auto"/>
      </w:divBdr>
    </w:div>
    <w:div w:id="1669552493">
      <w:bodyDiv w:val="1"/>
      <w:marLeft w:val="0"/>
      <w:marRight w:val="0"/>
      <w:marTop w:val="0"/>
      <w:marBottom w:val="0"/>
      <w:divBdr>
        <w:top w:val="none" w:sz="0" w:space="0" w:color="auto"/>
        <w:left w:val="none" w:sz="0" w:space="0" w:color="auto"/>
        <w:bottom w:val="none" w:sz="0" w:space="0" w:color="auto"/>
        <w:right w:val="none" w:sz="0" w:space="0" w:color="auto"/>
      </w:divBdr>
    </w:div>
    <w:div w:id="1926107050">
      <w:bodyDiv w:val="1"/>
      <w:marLeft w:val="0"/>
      <w:marRight w:val="0"/>
      <w:marTop w:val="0"/>
      <w:marBottom w:val="0"/>
      <w:divBdr>
        <w:top w:val="none" w:sz="0" w:space="0" w:color="auto"/>
        <w:left w:val="none" w:sz="0" w:space="0" w:color="auto"/>
        <w:bottom w:val="none" w:sz="0" w:space="0" w:color="auto"/>
        <w:right w:val="none" w:sz="0" w:space="0" w:color="auto"/>
      </w:divBdr>
    </w:div>
    <w:div w:id="202358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ur-lex.europa.eu/legal-content/RO/TXT/PDF/?uri=CELEX:32018R2066&amp;from=EN" TargetMode="Externa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2EB9E-75E0-4CFE-949B-0E7B3AB6B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2721</Words>
  <Characters>15787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 Butiu</dc:creator>
  <cp:lastModifiedBy>Liliana Filip</cp:lastModifiedBy>
  <cp:revision>5</cp:revision>
  <cp:lastPrinted>2023-09-15T07:43:00Z</cp:lastPrinted>
  <dcterms:created xsi:type="dcterms:W3CDTF">2023-09-06T10:34:00Z</dcterms:created>
  <dcterms:modified xsi:type="dcterms:W3CDTF">2023-09-15T07:43:00Z</dcterms:modified>
</cp:coreProperties>
</file>