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EA7" w:rsidRPr="00E35963" w:rsidRDefault="00BC6EA7" w:rsidP="00674B21">
      <w:pPr>
        <w:autoSpaceDE w:val="0"/>
        <w:autoSpaceDN w:val="0"/>
        <w:adjustRightInd w:val="0"/>
        <w:rPr>
          <w:rFonts w:ascii="Trebuchet MS" w:eastAsia="Calibri" w:hAnsi="Trebuchet MS"/>
          <w:b/>
          <w:color w:val="1F4E79" w:themeColor="accent1" w:themeShade="80"/>
          <w:sz w:val="24"/>
          <w:lang w:val="ro-RO" w:eastAsia="en-US"/>
        </w:rPr>
      </w:pPr>
      <w:bookmarkStart w:id="0" w:name="_GoBack"/>
      <w:bookmarkEnd w:id="0"/>
      <w:r w:rsidRPr="00E35963">
        <w:rPr>
          <w:rFonts w:ascii="Trebuchet MS" w:eastAsia="Calibri" w:hAnsi="Trebuchet MS"/>
          <w:color w:val="1F4E79" w:themeColor="accent1" w:themeShade="80"/>
          <w:sz w:val="24"/>
          <w:lang w:val="ro-RO" w:eastAsia="en-US"/>
        </w:rPr>
        <w:t xml:space="preserve"> </w:t>
      </w:r>
      <w:r w:rsidRPr="00E35963">
        <w:rPr>
          <w:rFonts w:ascii="Trebuchet MS" w:eastAsia="Calibri" w:hAnsi="Trebuchet MS"/>
          <w:b/>
          <w:color w:val="1F4E79" w:themeColor="accent1" w:themeShade="80"/>
          <w:sz w:val="24"/>
          <w:lang w:val="ro-RO" w:eastAsia="en-US"/>
        </w:rPr>
        <w:t xml:space="preserve">Anexa 1 </w:t>
      </w:r>
    </w:p>
    <w:p w:rsidR="00BC6EA7" w:rsidRPr="00E35963" w:rsidRDefault="00BC6EA7" w:rsidP="00674B21">
      <w:pPr>
        <w:autoSpaceDE w:val="0"/>
        <w:autoSpaceDN w:val="0"/>
        <w:adjustRightInd w:val="0"/>
        <w:rPr>
          <w:rFonts w:ascii="Trebuchet MS" w:eastAsia="Calibri" w:hAnsi="Trebuchet MS"/>
          <w:b/>
          <w:color w:val="1F4E79" w:themeColor="accent1" w:themeShade="80"/>
          <w:sz w:val="24"/>
          <w:lang w:val="ro-RO" w:eastAsia="en-US"/>
        </w:rPr>
      </w:pPr>
      <w:r w:rsidRPr="00E35963">
        <w:rPr>
          <w:rFonts w:ascii="Trebuchet MS" w:eastAsia="Calibri" w:hAnsi="Trebuchet MS"/>
          <w:b/>
          <w:color w:val="1F4E79" w:themeColor="accent1" w:themeShade="80"/>
          <w:sz w:val="24"/>
          <w:lang w:val="ro-RO" w:eastAsia="en-US"/>
        </w:rPr>
        <w:t>Cadrul legal si strategii relevante</w:t>
      </w:r>
    </w:p>
    <w:p w:rsidR="000B4427" w:rsidRPr="00E35963" w:rsidRDefault="000B4427" w:rsidP="00674B21">
      <w:pPr>
        <w:autoSpaceDE w:val="0"/>
        <w:autoSpaceDN w:val="0"/>
        <w:adjustRightInd w:val="0"/>
        <w:rPr>
          <w:rFonts w:ascii="Trebuchet MS" w:eastAsia="Calibri" w:hAnsi="Trebuchet MS"/>
          <w:b/>
          <w:color w:val="1F4E79" w:themeColor="accent1" w:themeShade="80"/>
          <w:sz w:val="24"/>
          <w:lang w:val="ro-RO" w:eastAsia="en-US"/>
        </w:rPr>
      </w:pPr>
    </w:p>
    <w:p w:rsidR="000B4427" w:rsidRPr="00E35963" w:rsidRDefault="000B4427" w:rsidP="00674B21">
      <w:pPr>
        <w:autoSpaceDE w:val="0"/>
        <w:autoSpaceDN w:val="0"/>
        <w:adjustRightInd w:val="0"/>
        <w:rPr>
          <w:rFonts w:ascii="Trebuchet MS" w:eastAsia="Calibri" w:hAnsi="Trebuchet MS"/>
          <w:b/>
          <w:color w:val="1F4E79" w:themeColor="accent1" w:themeShade="80"/>
          <w:sz w:val="24"/>
          <w:lang w:val="ro-RO" w:eastAsia="en-US"/>
        </w:rPr>
      </w:pPr>
      <w:r w:rsidRPr="00E35963">
        <w:rPr>
          <w:rFonts w:ascii="Trebuchet MS" w:eastAsia="Calibri" w:hAnsi="Trebuchet MS"/>
          <w:b/>
          <w:color w:val="1F4E79" w:themeColor="accent1" w:themeShade="80"/>
          <w:sz w:val="24"/>
          <w:lang w:val="ro-RO" w:eastAsia="en-US"/>
        </w:rPr>
        <w:t>Strategii:</w:t>
      </w:r>
    </w:p>
    <w:p w:rsidR="00E35963" w:rsidRPr="00E35963" w:rsidRDefault="00E35963" w:rsidP="00674B21">
      <w:pPr>
        <w:autoSpaceDE w:val="0"/>
        <w:autoSpaceDN w:val="0"/>
        <w:adjustRightInd w:val="0"/>
        <w:rPr>
          <w:rFonts w:ascii="Trebuchet MS" w:eastAsia="Calibri" w:hAnsi="Trebuchet MS"/>
          <w:b/>
          <w:color w:val="1F4E79" w:themeColor="accent1" w:themeShade="80"/>
          <w:sz w:val="24"/>
          <w:lang w:val="ro-RO" w:eastAsia="en-US"/>
        </w:rPr>
      </w:pPr>
    </w:p>
    <w:p w:rsidR="00BC6EA7" w:rsidRDefault="005C2C6F" w:rsidP="008962C1">
      <w:pPr>
        <w:numPr>
          <w:ilvl w:val="0"/>
          <w:numId w:val="1"/>
        </w:numPr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</w:pPr>
      <w:r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>S</w:t>
      </w:r>
      <w:r w:rsidRPr="00E35963"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>trategia națională pentru învățământ terțiar</w:t>
      </w:r>
      <w:r w:rsidR="000B4427" w:rsidRPr="00E35963"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 xml:space="preserve"> 2015- 2020</w:t>
      </w:r>
    </w:p>
    <w:p w:rsidR="00322C2F" w:rsidRPr="00E35963" w:rsidRDefault="00322C2F" w:rsidP="00322C2F">
      <w:pPr>
        <w:numPr>
          <w:ilvl w:val="0"/>
          <w:numId w:val="1"/>
        </w:numPr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</w:pPr>
      <w:r w:rsidRPr="00322C2F"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>Strategia Națională de Cercetare, Dezvoltare și Inovare 2014 – 2020</w:t>
      </w:r>
    </w:p>
    <w:p w:rsidR="000B4427" w:rsidRPr="00E35963" w:rsidRDefault="001031E1" w:rsidP="008962C1">
      <w:pPr>
        <w:numPr>
          <w:ilvl w:val="0"/>
          <w:numId w:val="1"/>
        </w:numPr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</w:pPr>
      <w:r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 xml:space="preserve">Hotărârea de Guvern </w:t>
      </w:r>
      <w:r w:rsidR="000B4427" w:rsidRPr="00E35963"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>nr. 640/2018  privind modificarea Strategiei naționale pentru competitivitate 2015-2020, aprobată prin Hotărârea de Guvern nr. 775/2015</w:t>
      </w:r>
    </w:p>
    <w:p w:rsidR="000B4427" w:rsidRPr="00E35963" w:rsidRDefault="000B4427" w:rsidP="008962C1">
      <w:pPr>
        <w:numPr>
          <w:ilvl w:val="0"/>
          <w:numId w:val="1"/>
        </w:numPr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</w:pPr>
      <w:r w:rsidRPr="00E35963"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>Strategia Națională pentru Ocuparea Forței de Muncă (SNOFM) 2014-2020</w:t>
      </w:r>
    </w:p>
    <w:p w:rsidR="000B4427" w:rsidRPr="00E35963" w:rsidRDefault="000B4427" w:rsidP="00C844AF">
      <w:pPr>
        <w:ind w:left="720"/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</w:pPr>
      <w:r w:rsidRPr="00E35963"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>http://www.mmuncii.ro/j33/images/Documente/Munca/2014-DOES/2014-01-31_</w:t>
      </w:r>
      <w:r w:rsidR="00892E98" w:rsidRPr="00E35963">
        <w:rPr>
          <w:rFonts w:ascii="Trebuchet MS" w:hAnsi="Trebuchet MS"/>
          <w:bCs/>
          <w:color w:val="1F4E79" w:themeColor="accent1" w:themeShade="80"/>
          <w:sz w:val="22"/>
          <w:szCs w:val="22"/>
          <w:lang w:val="ro-RO" w:eastAsia="en-US"/>
        </w:rPr>
        <w:t>Anexa1_Strategia_de_Ocupare.pdf</w:t>
      </w:r>
    </w:p>
    <w:p w:rsidR="00322C2F" w:rsidRDefault="00322C2F" w:rsidP="00674B21">
      <w:pPr>
        <w:autoSpaceDE w:val="0"/>
        <w:autoSpaceDN w:val="0"/>
        <w:adjustRightInd w:val="0"/>
        <w:rPr>
          <w:rFonts w:ascii="Trebuchet MS" w:eastAsia="Calibri" w:hAnsi="Trebuchet MS"/>
          <w:b/>
          <w:color w:val="1F4E79" w:themeColor="accent1" w:themeShade="80"/>
          <w:sz w:val="22"/>
          <w:szCs w:val="22"/>
          <w:lang w:val="ro-RO" w:eastAsia="en-US"/>
        </w:rPr>
      </w:pPr>
    </w:p>
    <w:p w:rsidR="00BC6EA7" w:rsidRPr="00E35963" w:rsidRDefault="00BC6EA7" w:rsidP="00674B21">
      <w:pPr>
        <w:autoSpaceDE w:val="0"/>
        <w:autoSpaceDN w:val="0"/>
        <w:adjustRightInd w:val="0"/>
        <w:rPr>
          <w:rFonts w:ascii="Trebuchet MS" w:eastAsia="Calibri" w:hAnsi="Trebuchet MS"/>
          <w:b/>
          <w:color w:val="1F4E79" w:themeColor="accent1" w:themeShade="80"/>
          <w:sz w:val="22"/>
          <w:szCs w:val="22"/>
          <w:lang w:val="ro-RO" w:eastAsia="en-US"/>
        </w:rPr>
      </w:pPr>
      <w:r w:rsidRPr="00E35963">
        <w:rPr>
          <w:rFonts w:ascii="Trebuchet MS" w:eastAsia="Calibri" w:hAnsi="Trebuchet MS"/>
          <w:b/>
          <w:color w:val="1F4E79" w:themeColor="accent1" w:themeShade="80"/>
          <w:sz w:val="22"/>
          <w:szCs w:val="22"/>
          <w:lang w:val="ro-RO" w:eastAsia="en-US"/>
        </w:rPr>
        <w:t>BURSE DOCTORALE</w:t>
      </w:r>
    </w:p>
    <w:p w:rsidR="000100DF" w:rsidRPr="00E35963" w:rsidRDefault="00BC6EA7" w:rsidP="00B111E2">
      <w:pPr>
        <w:numPr>
          <w:ilvl w:val="0"/>
          <w:numId w:val="1"/>
        </w:numPr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</w:pP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Legea 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educației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naționale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 nr 1/2011, cu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modificările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ș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i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completările ulterioare</w:t>
      </w:r>
    </w:p>
    <w:p w:rsidR="00BC6EA7" w:rsidRPr="00E35963" w:rsidRDefault="0061021C" w:rsidP="00B111E2">
      <w:pPr>
        <w:numPr>
          <w:ilvl w:val="0"/>
          <w:numId w:val="1"/>
        </w:numPr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</w:pPr>
      <w:hyperlink r:id="rId7" w:history="1"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>OMEN nr. 6102/15.12.2016</w:t>
        </w:r>
        <w:r w:rsidR="00BC6EA7" w:rsidRPr="00E35963">
          <w:rPr>
            <w:rFonts w:ascii="Trebuchet MS" w:hAnsi="Trebuchet MS"/>
            <w:color w:val="1F4E79" w:themeColor="accent1" w:themeShade="80"/>
            <w:sz w:val="22"/>
            <w:szCs w:val="22"/>
            <w:lang w:val="ro-RO" w:eastAsia="en-US"/>
          </w:rPr>
          <w:t xml:space="preserve"> pentru aprobarea Metodologiei cadru privind organizarea admiterii în ciclurile de studii universitare de licență, de master și de doctorat</w:t>
        </w:r>
      </w:hyperlink>
    </w:p>
    <w:p w:rsidR="00BC6EA7" w:rsidRPr="00E35963" w:rsidRDefault="0061021C" w:rsidP="00674B21">
      <w:pPr>
        <w:numPr>
          <w:ilvl w:val="0"/>
          <w:numId w:val="1"/>
        </w:numPr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</w:pPr>
      <w:hyperlink r:id="rId8" w:history="1"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>OMEN nr. 5382/2016</w:t>
        </w:r>
        <w:r w:rsidR="00BC6EA7" w:rsidRPr="00E35963">
          <w:rPr>
            <w:rFonts w:ascii="Trebuchet MS" w:hAnsi="Trebuchet MS"/>
            <w:color w:val="1F4E79" w:themeColor="accent1" w:themeShade="80"/>
            <w:sz w:val="22"/>
            <w:szCs w:val="22"/>
            <w:lang w:val="ro-RO" w:eastAsia="en-US"/>
          </w:rPr>
          <w:t xml:space="preserve"> - privind funcționarea școlilor doctorale în anul universitar 2016-2017</w:t>
        </w:r>
      </w:hyperlink>
      <w:r w:rsidR="00BC6EA7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 </w:t>
      </w:r>
    </w:p>
    <w:p w:rsidR="00BC6EA7" w:rsidRPr="00E35963" w:rsidRDefault="0061021C" w:rsidP="00674B21">
      <w:pPr>
        <w:numPr>
          <w:ilvl w:val="0"/>
          <w:numId w:val="1"/>
        </w:numPr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</w:pPr>
      <w:hyperlink r:id="rId9" w:history="1"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>OMEN nr. 3482/24.03.2016 privind aprobarea Regulamentului de organizare și funcționare al CNATDCU</w:t>
        </w:r>
        <w:r w:rsidR="00BC6EA7" w:rsidRPr="00E35963">
          <w:rPr>
            <w:rFonts w:ascii="Trebuchet MS" w:hAnsi="Trebuchet MS"/>
            <w:color w:val="1F4E79" w:themeColor="accent1" w:themeShade="80"/>
            <w:sz w:val="22"/>
            <w:szCs w:val="22"/>
            <w:lang w:val="ro-RO" w:eastAsia="en-US"/>
          </w:rPr>
          <w:t xml:space="preserve">. </w:t>
        </w:r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>Anexa nr.1</w:t>
        </w:r>
        <w:r w:rsidR="00BC6EA7" w:rsidRPr="00E35963">
          <w:rPr>
            <w:rFonts w:ascii="Trebuchet MS" w:hAnsi="Trebuchet MS"/>
            <w:color w:val="1F4E79" w:themeColor="accent1" w:themeShade="80"/>
            <w:sz w:val="22"/>
            <w:szCs w:val="22"/>
            <w:lang w:val="ro-RO" w:eastAsia="en-US"/>
          </w:rPr>
          <w:t xml:space="preserve"> - Metodologia de evaluare a tezelor de doctorat</w:t>
        </w:r>
      </w:hyperlink>
    </w:p>
    <w:p w:rsidR="00BC6EA7" w:rsidRPr="00E35963" w:rsidRDefault="0061021C" w:rsidP="00674B21">
      <w:pPr>
        <w:numPr>
          <w:ilvl w:val="0"/>
          <w:numId w:val="1"/>
        </w:numPr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</w:pPr>
      <w:hyperlink r:id="rId10" w:history="1"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>HG nr.</w:t>
        </w:r>
        <w:r w:rsidR="000100DF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 xml:space="preserve"> </w:t>
        </w:r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>134/2.02.2016 pentru modificarea și completarea Codului studiilor universitare de doctorat</w:t>
        </w:r>
      </w:hyperlink>
      <w:r w:rsidR="00BC6EA7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 aprobat prin </w:t>
      </w:r>
      <w:hyperlink r:id="rId11" w:history="1"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>Hotărârea Guvernului nr.681/2011</w:t>
        </w:r>
      </w:hyperlink>
    </w:p>
    <w:p w:rsidR="00BC6EA7" w:rsidRPr="00E35963" w:rsidRDefault="0061021C" w:rsidP="00674B21">
      <w:pPr>
        <w:numPr>
          <w:ilvl w:val="0"/>
          <w:numId w:val="1"/>
        </w:numPr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</w:pPr>
      <w:hyperlink r:id="rId12" w:history="1"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>OMEN nr.</w:t>
        </w:r>
        <w:r w:rsidR="000100DF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 xml:space="preserve"> </w:t>
        </w:r>
        <w:r w:rsidR="00BC6EA7" w:rsidRPr="00E35963">
          <w:rPr>
            <w:rFonts w:ascii="Trebuchet MS" w:hAnsi="Trebuchet MS"/>
            <w:bCs/>
            <w:color w:val="1F4E79" w:themeColor="accent1" w:themeShade="80"/>
            <w:sz w:val="22"/>
            <w:szCs w:val="22"/>
            <w:lang w:val="ro-RO" w:eastAsia="en-US"/>
          </w:rPr>
          <w:t xml:space="preserve">3107/27.01.2016 pentru aprobarea Metodologiei-cadru privind organizarea ADMITERII în ciclurile de studii universitare de licență, de master și de doctorat pentru anul universitar 2016-2017 </w:t>
        </w:r>
      </w:hyperlink>
      <w:hyperlink r:id="rId13" w:history="1">
        <w:r w:rsidR="00BC6EA7" w:rsidRPr="00E35963">
          <w:rPr>
            <w:rFonts w:ascii="Trebuchet MS" w:hAnsi="Trebuchet MS"/>
            <w:color w:val="1F4E79" w:themeColor="accent1" w:themeShade="80"/>
            <w:sz w:val="22"/>
            <w:szCs w:val="22"/>
            <w:lang w:val="ro-RO" w:eastAsia="en-US"/>
          </w:rPr>
          <w:t>(</w:t>
        </w:r>
        <w:r w:rsidR="00BC6EA7" w:rsidRPr="00E35963">
          <w:rPr>
            <w:rFonts w:ascii="Trebuchet MS" w:hAnsi="Trebuchet MS"/>
            <w:iCs/>
            <w:color w:val="1F4E79" w:themeColor="accent1" w:themeShade="80"/>
            <w:sz w:val="22"/>
            <w:szCs w:val="22"/>
            <w:lang w:val="ro-RO" w:eastAsia="en-US"/>
          </w:rPr>
          <w:t>abrogată prin OMEN nr.6102/15.12.2016</w:t>
        </w:r>
        <w:r w:rsidR="00BC6EA7" w:rsidRPr="00E35963">
          <w:rPr>
            <w:rFonts w:ascii="Trebuchet MS" w:hAnsi="Trebuchet MS"/>
            <w:color w:val="1F4E79" w:themeColor="accent1" w:themeShade="80"/>
            <w:sz w:val="22"/>
            <w:szCs w:val="22"/>
            <w:lang w:val="ro-RO" w:eastAsia="en-US"/>
          </w:rPr>
          <w:t>)</w:t>
        </w:r>
      </w:hyperlink>
    </w:p>
    <w:p w:rsidR="00BC6EA7" w:rsidRPr="00E35963" w:rsidRDefault="00BC6EA7" w:rsidP="00674B21">
      <w:pPr>
        <w:numPr>
          <w:ilvl w:val="0"/>
          <w:numId w:val="1"/>
        </w:numPr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</w:pP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OMEN  Nr. 5125 din 2015 privind aprobarea de noi domenii în cadrul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școlilor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 doctorale organizate în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instituțiile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 de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>învățământ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  <w:t xml:space="preserve"> superior, organizatoare de studii universitare de doctorat</w:t>
      </w:r>
    </w:p>
    <w:p w:rsidR="00BC6EA7" w:rsidRPr="00E35963" w:rsidRDefault="00BC6EA7" w:rsidP="00674B21">
      <w:pPr>
        <w:numPr>
          <w:ilvl w:val="0"/>
          <w:numId w:val="1"/>
        </w:numPr>
        <w:rPr>
          <w:rFonts w:ascii="Trebuchet MS" w:hAnsi="Trebuchet MS"/>
          <w:color w:val="1F4E79" w:themeColor="accent1" w:themeShade="80"/>
          <w:sz w:val="22"/>
          <w:szCs w:val="22"/>
          <w:lang w:val="ro-RO" w:eastAsia="en-US"/>
        </w:rPr>
      </w:pP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/>
        </w:rPr>
        <w:t>HG nr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/>
        </w:rPr>
        <w:t>.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/>
        </w:rPr>
        <w:t xml:space="preserve"> 583 din 2015 pentru aprobarea Planului </w:t>
      </w:r>
      <w:r w:rsidR="000100DF" w:rsidRPr="00E35963">
        <w:rPr>
          <w:rFonts w:ascii="Trebuchet MS" w:hAnsi="Trebuchet MS"/>
          <w:color w:val="1F4E79" w:themeColor="accent1" w:themeShade="80"/>
          <w:sz w:val="22"/>
          <w:szCs w:val="22"/>
          <w:lang w:val="ro-RO"/>
        </w:rPr>
        <w:t>Național</w:t>
      </w:r>
      <w:r w:rsidRPr="00E35963">
        <w:rPr>
          <w:rFonts w:ascii="Trebuchet MS" w:hAnsi="Trebuchet MS"/>
          <w:color w:val="1F4E79" w:themeColor="accent1" w:themeShade="80"/>
          <w:sz w:val="22"/>
          <w:szCs w:val="22"/>
          <w:lang w:val="ro-RO"/>
        </w:rPr>
        <w:t xml:space="preserve"> de cercetare-dezvoltare şi inovare pentru perioada 2015 - 2020 (PNCDI III)</w:t>
      </w:r>
    </w:p>
    <w:p w:rsidR="00BC6EA7" w:rsidRPr="00E35963" w:rsidRDefault="00BC6EA7" w:rsidP="00674B21">
      <w:pPr>
        <w:autoSpaceDE w:val="0"/>
        <w:autoSpaceDN w:val="0"/>
        <w:adjustRightInd w:val="0"/>
        <w:rPr>
          <w:rFonts w:ascii="Trebuchet MS" w:eastAsia="Calibri" w:hAnsi="Trebuchet MS"/>
          <w:color w:val="1F4E79" w:themeColor="accent1" w:themeShade="80"/>
          <w:sz w:val="22"/>
          <w:szCs w:val="22"/>
          <w:lang w:val="ro-RO" w:eastAsia="en-US"/>
        </w:rPr>
      </w:pPr>
    </w:p>
    <w:p w:rsidR="00BC6EA7" w:rsidRPr="00E35963" w:rsidRDefault="00BC6EA7" w:rsidP="00674B21">
      <w:pPr>
        <w:autoSpaceDE w:val="0"/>
        <w:autoSpaceDN w:val="0"/>
        <w:adjustRightInd w:val="0"/>
        <w:rPr>
          <w:rFonts w:ascii="Trebuchet MS" w:eastAsia="Calibri" w:hAnsi="Trebuchet MS"/>
          <w:b/>
          <w:color w:val="1F4E79" w:themeColor="accent1" w:themeShade="80"/>
          <w:sz w:val="22"/>
          <w:szCs w:val="22"/>
          <w:lang w:val="ro-RO" w:eastAsia="en-US"/>
        </w:rPr>
      </w:pPr>
      <w:r w:rsidRPr="00E35963">
        <w:rPr>
          <w:rFonts w:ascii="Trebuchet MS" w:eastAsia="Calibri" w:hAnsi="Trebuchet MS"/>
          <w:b/>
          <w:color w:val="1F4E79" w:themeColor="accent1" w:themeShade="80"/>
          <w:sz w:val="22"/>
          <w:szCs w:val="22"/>
          <w:lang w:val="ro-RO" w:eastAsia="en-US"/>
        </w:rPr>
        <w:t>BURSE POSTDOCTORALE</w:t>
      </w:r>
    </w:p>
    <w:p w:rsidR="00BC6EA7" w:rsidRPr="00E35963" w:rsidRDefault="00BC6EA7" w:rsidP="00674B2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Theme="minorHAnsi" w:hAnsi="Trebuchet MS"/>
          <w:color w:val="1F4E79" w:themeColor="accent1" w:themeShade="80"/>
          <w:lang w:val="ro-RO" w:eastAsia="en-US"/>
        </w:rPr>
      </w:pPr>
      <w:r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 xml:space="preserve">Legea 1/2011 </w:t>
      </w:r>
      <w:r w:rsidR="000100DF"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>educației</w:t>
      </w:r>
      <w:r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 xml:space="preserve"> </w:t>
      </w:r>
      <w:r w:rsidR="000100DF"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>naționale</w:t>
      </w:r>
      <w:r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 xml:space="preserve">, cu </w:t>
      </w:r>
      <w:r w:rsidR="000100DF"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>modificările</w:t>
      </w:r>
      <w:r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 xml:space="preserve"> </w:t>
      </w:r>
      <w:r w:rsidR="000100DF"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>ș</w:t>
      </w:r>
      <w:r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 xml:space="preserve">i </w:t>
      </w:r>
      <w:r w:rsidR="000100DF"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>completările</w:t>
      </w:r>
      <w:r w:rsidR="001A1112" w:rsidRPr="00E35963">
        <w:rPr>
          <w:rFonts w:ascii="Trebuchet MS" w:eastAsiaTheme="minorHAnsi" w:hAnsi="Trebuchet MS"/>
          <w:color w:val="1F4E79" w:themeColor="accent1" w:themeShade="80"/>
          <w:lang w:val="ro-RO" w:eastAsia="en-US"/>
        </w:rPr>
        <w:t xml:space="preserve"> ulterioare</w:t>
      </w:r>
    </w:p>
    <w:p w:rsidR="00BC6EA7" w:rsidRPr="00E35963" w:rsidRDefault="00BC6EA7" w:rsidP="00674B2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rebuchet MS" w:hAnsi="Trebuchet MS"/>
          <w:color w:val="1F4E79" w:themeColor="accent1" w:themeShade="80"/>
          <w:lang w:val="ro-RO"/>
        </w:rPr>
      </w:pPr>
      <w:r w:rsidRPr="00E35963">
        <w:rPr>
          <w:rFonts w:ascii="Trebuchet MS" w:hAnsi="Trebuchet MS"/>
          <w:color w:val="1F4E79" w:themeColor="accent1" w:themeShade="80"/>
          <w:lang w:val="ro-RO"/>
        </w:rPr>
        <w:t>HG nr</w:t>
      </w:r>
      <w:r w:rsidR="000100DF" w:rsidRPr="00E35963">
        <w:rPr>
          <w:rFonts w:ascii="Trebuchet MS" w:hAnsi="Trebuchet MS"/>
          <w:color w:val="1F4E79" w:themeColor="accent1" w:themeShade="80"/>
          <w:lang w:val="ro-RO"/>
        </w:rPr>
        <w:t>.</w:t>
      </w:r>
      <w:r w:rsidRPr="00E35963">
        <w:rPr>
          <w:rFonts w:ascii="Trebuchet MS" w:hAnsi="Trebuchet MS"/>
          <w:color w:val="1F4E79" w:themeColor="accent1" w:themeShade="80"/>
          <w:lang w:val="ro-RO"/>
        </w:rPr>
        <w:t xml:space="preserve"> 583 din 2015 pentru aprobarea Planului </w:t>
      </w:r>
      <w:r w:rsidR="000100DF" w:rsidRPr="00E35963">
        <w:rPr>
          <w:rFonts w:ascii="Trebuchet MS" w:hAnsi="Trebuchet MS"/>
          <w:color w:val="1F4E79" w:themeColor="accent1" w:themeShade="80"/>
          <w:lang w:val="ro-RO"/>
        </w:rPr>
        <w:t>National</w:t>
      </w:r>
      <w:r w:rsidRPr="00E35963">
        <w:rPr>
          <w:rFonts w:ascii="Trebuchet MS" w:hAnsi="Trebuchet MS"/>
          <w:color w:val="1F4E79" w:themeColor="accent1" w:themeShade="80"/>
          <w:lang w:val="ro-RO"/>
        </w:rPr>
        <w:t xml:space="preserve"> de cercetare-dezvoltare şi inovare pentru perioada 2015 - 2020 (PNCDI III)</w:t>
      </w:r>
    </w:p>
    <w:p w:rsidR="00BD7646" w:rsidRPr="00E35963" w:rsidRDefault="00BD7646" w:rsidP="00674B21">
      <w:pPr>
        <w:rPr>
          <w:rFonts w:ascii="Trebuchet MS" w:hAnsi="Trebuchet MS"/>
          <w:color w:val="1F4E79" w:themeColor="accent1" w:themeShade="80"/>
          <w:sz w:val="22"/>
          <w:szCs w:val="22"/>
          <w:lang w:val="ro-RO"/>
        </w:rPr>
      </w:pPr>
    </w:p>
    <w:sectPr w:rsidR="00BD7646" w:rsidRPr="00E35963" w:rsidSect="00674B21">
      <w:footerReference w:type="default" r:id="rId14"/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21C" w:rsidRDefault="0061021C" w:rsidP="0021121A">
      <w:r>
        <w:separator/>
      </w:r>
    </w:p>
  </w:endnote>
  <w:endnote w:type="continuationSeparator" w:id="0">
    <w:p w:rsidR="0061021C" w:rsidRDefault="0061021C" w:rsidP="0021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2782553"/>
      <w:docPartObj>
        <w:docPartGallery w:val="Page Numbers (Bottom of Page)"/>
        <w:docPartUnique/>
      </w:docPartObj>
    </w:sdtPr>
    <w:sdtEndPr/>
    <w:sdtContent>
      <w:p w:rsidR="0021121A" w:rsidRDefault="0021121A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602" w:rsidRPr="00152602">
          <w:rPr>
            <w:noProof/>
            <w:lang w:val="ro-RO"/>
          </w:rPr>
          <w:t>1</w:t>
        </w:r>
        <w:r>
          <w:fldChar w:fldCharType="end"/>
        </w:r>
      </w:p>
    </w:sdtContent>
  </w:sdt>
  <w:p w:rsidR="0021121A" w:rsidRDefault="0021121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21C" w:rsidRDefault="0061021C" w:rsidP="0021121A">
      <w:r>
        <w:separator/>
      </w:r>
    </w:p>
  </w:footnote>
  <w:footnote w:type="continuationSeparator" w:id="0">
    <w:p w:rsidR="0061021C" w:rsidRDefault="0061021C" w:rsidP="00211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C1767"/>
    <w:multiLevelType w:val="hybridMultilevel"/>
    <w:tmpl w:val="40CE6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D0CF2"/>
    <w:multiLevelType w:val="hybridMultilevel"/>
    <w:tmpl w:val="8EF83286"/>
    <w:lvl w:ilvl="0" w:tplc="7E6469A2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88586F"/>
    <w:multiLevelType w:val="hybridMultilevel"/>
    <w:tmpl w:val="E7C4E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EA7"/>
    <w:rsid w:val="000100DF"/>
    <w:rsid w:val="000B4427"/>
    <w:rsid w:val="001025BF"/>
    <w:rsid w:val="001031E1"/>
    <w:rsid w:val="00124DDF"/>
    <w:rsid w:val="00152602"/>
    <w:rsid w:val="001A1112"/>
    <w:rsid w:val="0021121A"/>
    <w:rsid w:val="002854F7"/>
    <w:rsid w:val="00322C2F"/>
    <w:rsid w:val="005C2C6F"/>
    <w:rsid w:val="005E4869"/>
    <w:rsid w:val="0061021C"/>
    <w:rsid w:val="00631164"/>
    <w:rsid w:val="00670B79"/>
    <w:rsid w:val="00674B21"/>
    <w:rsid w:val="007D4279"/>
    <w:rsid w:val="00807089"/>
    <w:rsid w:val="00892E98"/>
    <w:rsid w:val="008962C1"/>
    <w:rsid w:val="008F4DF6"/>
    <w:rsid w:val="00A15B04"/>
    <w:rsid w:val="00A20EA4"/>
    <w:rsid w:val="00A6107F"/>
    <w:rsid w:val="00B700BE"/>
    <w:rsid w:val="00BC6EA7"/>
    <w:rsid w:val="00BD7646"/>
    <w:rsid w:val="00C07BA2"/>
    <w:rsid w:val="00C844AF"/>
    <w:rsid w:val="00D03949"/>
    <w:rsid w:val="00D0789B"/>
    <w:rsid w:val="00E35963"/>
    <w:rsid w:val="00F8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078EE6-1179-4532-8BB2-3BF2F7EE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EA7"/>
    <w:pPr>
      <w:spacing w:after="0" w:line="240" w:lineRule="auto"/>
      <w:jc w:val="both"/>
    </w:pPr>
    <w:rPr>
      <w:rFonts w:ascii="Verdana" w:eastAsia="Times New Roman" w:hAnsi="Verdana" w:cs="Times New Roman"/>
      <w:color w:val="333333"/>
      <w:sz w:val="20"/>
      <w:szCs w:val="24"/>
      <w:lang w:val="en-GB"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Odstavec_muj,Normal bullet 2,List Paragraph1,body 2,List Paragraph11,List Paragraph111,Antes de enumeración,Listă colorată - Accentuare 11,Bullet,Citation List,Akapit z listą BS,List_Paragraph,Multilevel para_II,Outlines a.b.c."/>
    <w:basedOn w:val="Normal"/>
    <w:link w:val="ListparagrafCaracter"/>
    <w:uiPriority w:val="34"/>
    <w:qFormat/>
    <w:rsid w:val="00BC6EA7"/>
    <w:pPr>
      <w:spacing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</w:rPr>
  </w:style>
  <w:style w:type="character" w:customStyle="1" w:styleId="ListparagrafCaracter">
    <w:name w:val="Listă paragraf Caracter"/>
    <w:aliases w:val="Odstavec_muj Caracter,Normal bullet 2 Caracter,List Paragraph1 Caracter,body 2 Caracter,List Paragraph11 Caracter,List Paragraph111 Caracter,Antes de enumeración Caracter,Listă colorată - Accentuare 11 Caracter,Bullet Caracter"/>
    <w:link w:val="Listparagraf"/>
    <w:uiPriority w:val="34"/>
    <w:locked/>
    <w:rsid w:val="00BC6EA7"/>
    <w:rPr>
      <w:rFonts w:ascii="Calibri" w:eastAsia="Calibri" w:hAnsi="Calibri" w:cs="Times New Roman"/>
      <w:lang w:val="en-GB" w:eastAsia="en-GB"/>
    </w:rPr>
  </w:style>
  <w:style w:type="paragraph" w:styleId="Antet">
    <w:name w:val="header"/>
    <w:basedOn w:val="Normal"/>
    <w:link w:val="AntetCaracter"/>
    <w:uiPriority w:val="99"/>
    <w:unhideWhenUsed/>
    <w:rsid w:val="0021121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1121A"/>
    <w:rPr>
      <w:rFonts w:ascii="Verdana" w:eastAsia="Times New Roman" w:hAnsi="Verdana" w:cs="Times New Roman"/>
      <w:color w:val="333333"/>
      <w:sz w:val="20"/>
      <w:szCs w:val="24"/>
      <w:lang w:val="en-GB" w:eastAsia="en-GB"/>
    </w:rPr>
  </w:style>
  <w:style w:type="paragraph" w:styleId="Subsol">
    <w:name w:val="footer"/>
    <w:basedOn w:val="Normal"/>
    <w:link w:val="SubsolCaracter"/>
    <w:uiPriority w:val="99"/>
    <w:unhideWhenUsed/>
    <w:rsid w:val="0021121A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1121A"/>
    <w:rPr>
      <w:rFonts w:ascii="Verdana" w:eastAsia="Times New Roman" w:hAnsi="Verdana" w:cs="Times New Roman"/>
      <w:color w:val="333333"/>
      <w:sz w:val="20"/>
      <w:szCs w:val="24"/>
      <w:lang w:val="en-GB" w:eastAsia="en-GB"/>
    </w:rPr>
  </w:style>
  <w:style w:type="character" w:styleId="Hyperlink">
    <w:name w:val="Hyperlink"/>
    <w:basedOn w:val="Fontdeparagrafimplicit"/>
    <w:uiPriority w:val="99"/>
    <w:unhideWhenUsed/>
    <w:rsid w:val="000B44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t.ro/img/files/legislatie/2016/OMECS_nr_5382_funct_sc_doctorala.pdf" TargetMode="External"/><Relationship Id="rId13" Type="http://schemas.openxmlformats.org/officeDocument/2006/relationships/hyperlink" Target="http://www.upt.ro/img/files/legislatie/2016/OM_nr_3098_27ian_2016_Metod_cadru_examene_licenta_disertatie%281%2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pt.ro/img/files/legislatie/2016/OMENCS_6102_15-12-2016_Metodologie_cadru_admitere.pdf" TargetMode="External"/><Relationship Id="rId12" Type="http://schemas.openxmlformats.org/officeDocument/2006/relationships/hyperlink" Target="http://www.upt.ro/img/files/legislatie/2016/OM_nr_3107_27ian_2016_Metod_cadru_admitere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pt.ro/administrare/dgac2/file/Codul_studiilor_doctorale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upt.ro/img/files/legislatie/2016/HG_nr_134_2.03.2016_Modificare_Cod_doctora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pt.ro/img/files/legislatie/2016/OMENCS_3482_Reg_CNATDCU_Met_eva_teze_dr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Raluca Elena Irofti</cp:lastModifiedBy>
  <cp:revision>2</cp:revision>
  <dcterms:created xsi:type="dcterms:W3CDTF">2019-09-26T11:56:00Z</dcterms:created>
  <dcterms:modified xsi:type="dcterms:W3CDTF">2019-09-26T11:56:00Z</dcterms:modified>
</cp:coreProperties>
</file>